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580" w:after="80" w:line="240" w:lineRule="auto"/>
        <w:ind w:left="0" w:right="0" w:firstLine="0"/>
        <w:jc w:val="center"/>
        <w:rPr>
          <w:sz w:val="32"/>
          <w:szCs w:val="32"/>
        </w:rPr>
      </w:pPr>
      <w:r>
        <w:rPr>
          <w:b/>
          <w:bCs/>
          <w:color w:val="0A68B4"/>
          <w:spacing w:val="0"/>
          <w:w w:val="100"/>
          <w:position w:val="0"/>
          <w:sz w:val="32"/>
          <w:szCs w:val="32"/>
        </w:rPr>
        <w:t>©</w:t>
      </w:r>
    </w:p>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SimHei" w:eastAsia="SimHei" w:hAnsi="SimHei" w:cs="SimHei"/>
          <w:color w:val="0A68B4"/>
          <w:spacing w:val="0"/>
          <w:w w:val="100"/>
          <w:position w:val="0"/>
          <w:sz w:val="48"/>
          <w:szCs w:val="48"/>
        </w:rPr>
        <w:t>美亚祐科</w:t>
      </w:r>
    </w:p>
    <w:p>
      <w:pPr>
        <w:pStyle w:val="Style2"/>
        <w:keepNext w:val="0"/>
        <w:keepLines w:val="0"/>
        <w:widowControl w:val="0"/>
        <w:shd w:val="clear" w:color="auto" w:fill="auto"/>
        <w:bidi w:val="0"/>
        <w:spacing w:before="0" w:after="280" w:line="240" w:lineRule="auto"/>
        <w:ind w:left="0" w:right="0" w:firstLine="0"/>
        <w:jc w:val="center"/>
        <w:rPr>
          <w:sz w:val="30"/>
          <w:szCs w:val="30"/>
        </w:rPr>
      </w:pPr>
      <w:r>
        <w:rPr>
          <w:b/>
          <w:bCs/>
          <w:color w:val="0A68B4"/>
          <w:spacing w:val="0"/>
          <w:w w:val="100"/>
          <w:position w:val="0"/>
          <w:sz w:val="36"/>
          <w:szCs w:val="36"/>
        </w:rPr>
        <w:t xml:space="preserve">一 </w:t>
      </w:r>
      <w:r>
        <w:rPr>
          <w:rFonts w:ascii="Times New Roman" w:eastAsia="Times New Roman" w:hAnsi="Times New Roman" w:cs="Times New Roman"/>
          <w:b/>
          <w:bCs/>
          <w:color w:val="0A68B4"/>
          <w:spacing w:val="0"/>
          <w:w w:val="100"/>
          <w:position w:val="0"/>
          <w:sz w:val="32"/>
          <w:szCs w:val="32"/>
        </w:rPr>
        <w:t xml:space="preserve">Meiya </w:t>
      </w:r>
      <w:r>
        <w:rPr>
          <w:rFonts w:ascii="Arial" w:eastAsia="Arial" w:hAnsi="Arial" w:cs="Arial"/>
          <w:smallCaps/>
          <w:color w:val="0A68B4"/>
          <w:spacing w:val="0"/>
          <w:w w:val="100"/>
          <w:position w:val="0"/>
          <w:sz w:val="30"/>
          <w:szCs w:val="30"/>
        </w:rPr>
        <w:t xml:space="preserve">picd </w:t>
      </w:r>
      <w:r>
        <w:rPr>
          <w:rFonts w:ascii="Arial" w:eastAsia="Arial" w:hAnsi="Arial" w:cs="Arial"/>
          <w:smallCaps/>
          <w:color w:val="0A68B4"/>
          <w:spacing w:val="0"/>
          <w:w w:val="100"/>
          <w:position w:val="0"/>
          <w:sz w:val="30"/>
          <w:szCs w:val="30"/>
        </w:rPr>
        <w:t>-</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厦门市美亚柏科信息股份有限公司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2021-05</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7"/>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公司负责人滕达、主管会计工作负责人张乃军及会计机构负责人（会计主管 人员）陈志友声明：保证本年度报告中财务报告的真实、准确、完整。</w:t>
      </w:r>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重要提示：本报告中有关未来计划、业绩预测等方面的内容，均不构成本 公司对任何投资者及相关人士的实质承诺，投资者及相关人士均应当对此保持 足够的风险认识，并且应当理解计划、预测与承诺之间的差异。</w:t>
      </w:r>
    </w:p>
    <w:p>
      <w:pPr>
        <w:pStyle w:val="Style19"/>
        <w:keepNext w:val="0"/>
        <w:keepLines w:val="0"/>
        <w:widowControl w:val="0"/>
        <w:shd w:val="clear" w:color="auto" w:fill="auto"/>
        <w:tabs>
          <w:tab w:pos="992" w:val="left"/>
        </w:tabs>
        <w:bidi w:val="0"/>
        <w:spacing w:before="0" w:line="621" w:lineRule="exact"/>
        <w:ind w:left="0" w:right="0"/>
        <w:jc w:val="both"/>
      </w:pPr>
      <w:bookmarkStart w:id="4" w:name="bookmark4"/>
      <w:r>
        <w:rPr>
          <w:color w:val="000000"/>
          <w:spacing w:val="0"/>
          <w:w w:val="100"/>
          <w:position w:val="0"/>
          <w:sz w:val="28"/>
          <w:szCs w:val="28"/>
        </w:rPr>
        <w:t>1</w:t>
      </w:r>
      <w:bookmarkEnd w:id="4"/>
      <w:r>
        <w:rPr>
          <w:color w:val="000000"/>
          <w:spacing w:val="0"/>
          <w:w w:val="100"/>
          <w:position w:val="0"/>
        </w:rPr>
        <w:t>、</w:t>
        <w:tab/>
        <w:t>经营效益风险：新冠疫情对公司前期业务的正常开展产生了一定影响， 政府及客户节奏放缓，原有商机订单延后、已建项目延迟验收等，公司复工复 产后一方面积极与客户推进现有商机的落地，一方面加快订单的实施进度，促 进项目的完结验收；开展“开源节流、瘦身健体、提质增效”、“全面预算” 等管理活动，增强内部发展活力和综合实力，积极应对新冠疫情带来的不利影 响。</w:t>
      </w:r>
    </w:p>
    <w:p>
      <w:pPr>
        <w:pStyle w:val="Style19"/>
        <w:keepNext w:val="0"/>
        <w:keepLines w:val="0"/>
        <w:widowControl w:val="0"/>
        <w:shd w:val="clear" w:color="auto" w:fill="auto"/>
        <w:tabs>
          <w:tab w:pos="983" w:val="left"/>
        </w:tabs>
        <w:bidi w:val="0"/>
        <w:spacing w:before="0" w:line="630" w:lineRule="exact"/>
        <w:ind w:left="0" w:right="0"/>
        <w:jc w:val="both"/>
      </w:pPr>
      <w:bookmarkStart w:id="5" w:name="bookmark5"/>
      <w:r>
        <w:rPr>
          <w:color w:val="000000"/>
          <w:spacing w:val="0"/>
          <w:w w:val="100"/>
          <w:position w:val="0"/>
          <w:sz w:val="28"/>
          <w:szCs w:val="28"/>
        </w:rPr>
        <w:t>2</w:t>
      </w:r>
      <w:bookmarkEnd w:id="5"/>
      <w:r>
        <w:rPr>
          <w:color w:val="000000"/>
          <w:spacing w:val="0"/>
          <w:w w:val="100"/>
          <w:position w:val="0"/>
        </w:rPr>
        <w:t>、</w:t>
        <w:tab/>
        <w:t>商誉减值风险：</w:t>
      </w:r>
      <w:r>
        <w:rPr>
          <w:color w:val="000000"/>
          <w:spacing w:val="0"/>
          <w:w w:val="100"/>
          <w:position w:val="0"/>
          <w:sz w:val="28"/>
          <w:szCs w:val="28"/>
        </w:rPr>
        <w:t>2015</w:t>
      </w:r>
      <w:r>
        <w:rPr>
          <w:color w:val="000000"/>
          <w:spacing w:val="0"/>
          <w:w w:val="100"/>
          <w:position w:val="0"/>
        </w:rPr>
        <w:t xml:space="preserve">年公司通过发行股份购买资产的方式购买江苏税软 </w:t>
      </w:r>
      <w:r>
        <w:rPr>
          <w:color w:val="000000"/>
          <w:spacing w:val="0"/>
          <w:w w:val="100"/>
          <w:position w:val="0"/>
          <w:sz w:val="28"/>
          <w:szCs w:val="28"/>
        </w:rPr>
        <w:t>100%</w:t>
      </w:r>
      <w:r>
        <w:rPr>
          <w:color w:val="000000"/>
          <w:spacing w:val="0"/>
          <w:w w:val="100"/>
          <w:position w:val="0"/>
        </w:rPr>
        <w:t>股权和新德汇</w:t>
      </w:r>
      <w:r>
        <w:rPr>
          <w:color w:val="000000"/>
          <w:spacing w:val="0"/>
          <w:w w:val="100"/>
          <w:position w:val="0"/>
          <w:sz w:val="28"/>
          <w:szCs w:val="28"/>
        </w:rPr>
        <w:t>49%</w:t>
      </w:r>
      <w:r>
        <w:rPr>
          <w:color w:val="000000"/>
          <w:spacing w:val="0"/>
          <w:w w:val="100"/>
          <w:position w:val="0"/>
        </w:rPr>
        <w:t xml:space="preserve">股权，在公司合并资产负债表中形成较大金额的商誉。江 苏税软和新德汇的业绩承诺已全部完成。根据《企业会计准则》规定，本次交 易形成的商誉不作摊销处理，但需在未来每年年终进行减值测试。如果江苏税 </w:t>
      </w:r>
      <w:r>
        <w:rPr>
          <w:color w:val="000000"/>
          <w:spacing w:val="0"/>
          <w:w w:val="100"/>
          <w:position w:val="0"/>
        </w:rPr>
        <w:t>软和新德汇未来经营状况恶化，则存在商誉减值的风险，从而对公司当期损益 造成不利影响。为了减少商誉减值风险，公司主要采取的管理措施如下：</w:t>
      </w:r>
      <w:r>
        <w:rPr>
          <w:color w:val="000000"/>
          <w:spacing w:val="0"/>
          <w:w w:val="100"/>
          <w:position w:val="0"/>
          <w:sz w:val="28"/>
          <w:szCs w:val="28"/>
        </w:rPr>
        <w:t>1</w:t>
      </w:r>
      <w:r>
        <w:rPr>
          <w:color w:val="000000"/>
          <w:spacing w:val="0"/>
          <w:w w:val="100"/>
          <w:position w:val="0"/>
        </w:rPr>
        <w:t>）加 强母子公司资源整合，在市场渠道和产品研发上，加强资源管理和</w:t>
      </w:r>
      <w:r>
        <w:rPr>
          <w:color w:val="000000"/>
          <w:spacing w:val="0"/>
          <w:w w:val="100"/>
          <w:position w:val="0"/>
          <w:sz w:val="28"/>
          <w:szCs w:val="28"/>
        </w:rPr>
        <w:t>1+1&gt;2</w:t>
      </w:r>
      <w:r>
        <w:rPr>
          <w:color w:val="000000"/>
          <w:spacing w:val="0"/>
          <w:w w:val="100"/>
          <w:position w:val="0"/>
        </w:rPr>
        <w:t>的协 同整合，提升子公司产品竞争力；</w:t>
      </w:r>
      <w:r>
        <w:rPr>
          <w:color w:val="000000"/>
          <w:spacing w:val="0"/>
          <w:w w:val="100"/>
          <w:position w:val="0"/>
          <w:sz w:val="28"/>
          <w:szCs w:val="28"/>
        </w:rPr>
        <w:t>2</w:t>
      </w:r>
      <w:r>
        <w:rPr>
          <w:color w:val="000000"/>
          <w:spacing w:val="0"/>
          <w:w w:val="100"/>
          <w:position w:val="0"/>
        </w:rPr>
        <w:t>）维护核心人员稳定：通过签订劳动合同、 竞业协议、保密协议等措施保障人员稳定；将公司的股权激励计划等人才激励 措施，覆盖到子公司核心员工；</w:t>
      </w:r>
      <w:r>
        <w:rPr>
          <w:color w:val="000000"/>
          <w:spacing w:val="0"/>
          <w:w w:val="100"/>
          <w:position w:val="0"/>
          <w:sz w:val="28"/>
          <w:szCs w:val="28"/>
        </w:rPr>
        <w:t>3</w:t>
      </w:r>
      <w:r>
        <w:rPr>
          <w:color w:val="000000"/>
          <w:spacing w:val="0"/>
          <w:w w:val="100"/>
          <w:position w:val="0"/>
        </w:rPr>
        <w:t>）经营管理：公司每年将目标责任书和绩效考 核指标分解到子公司，年终根据业绩的完成程度给予相应的激励，公司也从总 部派驻核心财务骨干常驻子公司，担任子公司财务负责人，协助子公司负责人 进行经营管理，同时将子公司管理层纳入到公司管理体系中，让子公司管理层 和核心人员均有权参与公司管理。通过公司与子公司在经营管理、技术研发、 市场拓展等方面的资源共享和协同合作，保持公司及各子公司的持续竞争力， 尽量降低商誉对公司未来业绩的影响。</w:t>
      </w:r>
    </w:p>
    <w:p>
      <w:pPr>
        <w:pStyle w:val="Style19"/>
        <w:keepNext w:val="0"/>
        <w:keepLines w:val="0"/>
        <w:widowControl w:val="0"/>
        <w:shd w:val="clear" w:color="auto" w:fill="auto"/>
        <w:tabs>
          <w:tab w:pos="970" w:val="left"/>
        </w:tabs>
        <w:bidi w:val="0"/>
        <w:spacing w:before="0" w:line="626" w:lineRule="exact"/>
        <w:ind w:left="0" w:right="0"/>
        <w:jc w:val="both"/>
      </w:pPr>
      <w:bookmarkStart w:id="6" w:name="bookmark6"/>
      <w:r>
        <w:rPr>
          <w:color w:val="000000"/>
          <w:spacing w:val="0"/>
          <w:w w:val="100"/>
          <w:position w:val="0"/>
          <w:sz w:val="28"/>
          <w:szCs w:val="28"/>
        </w:rPr>
        <w:t>3</w:t>
      </w:r>
      <w:bookmarkEnd w:id="6"/>
      <w:r>
        <w:rPr>
          <w:color w:val="000000"/>
          <w:spacing w:val="0"/>
          <w:w w:val="100"/>
          <w:position w:val="0"/>
        </w:rPr>
        <w:t>、</w:t>
        <w:tab/>
        <w:t>应收账款和合同资产净额过高的风险：报告期末，公司应收账款和合同 资产净额合计</w:t>
      </w:r>
      <w:r>
        <w:rPr>
          <w:color w:val="000000"/>
          <w:spacing w:val="0"/>
          <w:w w:val="100"/>
          <w:position w:val="0"/>
          <w:sz w:val="28"/>
          <w:szCs w:val="28"/>
        </w:rPr>
        <w:t>96,692.71</w:t>
      </w:r>
      <w:r>
        <w:rPr>
          <w:color w:val="000000"/>
          <w:spacing w:val="0"/>
          <w:w w:val="100"/>
          <w:position w:val="0"/>
        </w:rPr>
        <w:t>万元，占公司总资产的比例为</w:t>
      </w:r>
      <w:r>
        <w:rPr>
          <w:color w:val="000000"/>
          <w:spacing w:val="0"/>
          <w:w w:val="100"/>
          <w:position w:val="0"/>
          <w:sz w:val="28"/>
          <w:szCs w:val="28"/>
        </w:rPr>
        <w:t>20.82%</w:t>
      </w:r>
      <w:r>
        <w:rPr>
          <w:color w:val="000000"/>
          <w:spacing w:val="0"/>
          <w:w w:val="100"/>
          <w:position w:val="0"/>
        </w:rPr>
        <w:t>。主要是因为公 司主要客户为司法机关和行政执法部门，该类客户的采购及付款审批周期较长, 因而导致公司应收账款及合同资产净额较高，并且随着公司平台类项目的销售 收入比重不断增加，单个业务合同金额增大，实施周期较长，项目付款进度相 应较长，应收账款及合同资产的账期和绝对值也可能会相应上升。对此，公司 实行了清产核资“暖春”行动，加强应收账款催收及降低非正常存货。</w:t>
      </w:r>
    </w:p>
    <w:p>
      <w:pPr>
        <w:pStyle w:val="Style19"/>
        <w:keepNext w:val="0"/>
        <w:keepLines w:val="0"/>
        <w:widowControl w:val="0"/>
        <w:shd w:val="clear" w:color="auto" w:fill="auto"/>
        <w:tabs>
          <w:tab w:pos="970" w:val="left"/>
        </w:tabs>
        <w:bidi w:val="0"/>
        <w:spacing w:before="0" w:after="60" w:line="624" w:lineRule="exact"/>
        <w:ind w:left="0" w:right="0"/>
        <w:jc w:val="both"/>
      </w:pPr>
      <w:bookmarkStart w:id="7" w:name="bookmark7"/>
      <w:r>
        <w:rPr>
          <w:color w:val="000000"/>
          <w:spacing w:val="0"/>
          <w:w w:val="100"/>
          <w:position w:val="0"/>
          <w:sz w:val="28"/>
          <w:szCs w:val="28"/>
        </w:rPr>
        <w:t>4</w:t>
      </w:r>
      <w:bookmarkEnd w:id="7"/>
      <w:r>
        <w:rPr>
          <w:color w:val="000000"/>
          <w:spacing w:val="0"/>
          <w:w w:val="100"/>
          <w:position w:val="0"/>
        </w:rPr>
        <w:t>、</w:t>
        <w:tab/>
        <w:t xml:space="preserve">市场风险：公司积极布局及扩宽大数据智能化、网络空间安全等行业赛 道，市场前景可观，但每个行业赛道国内都有企业涉及，市场竞争日趋激烈。 公司将立足于公司大数据、电子数据取证及人工智能技术及行业优势，加大研 </w:t>
      </w:r>
      <w:r>
        <w:rPr>
          <w:color w:val="000000"/>
          <w:spacing w:val="0"/>
          <w:w w:val="100"/>
          <w:position w:val="0"/>
        </w:rPr>
        <w:t>发投入及相关技术人才的储备，研制适应新形势要求的新产品，保持产品先进 性；对前期投放市场的产品，考虑到培育市场的难度，公司将在市场培育前进 行整体规划，详细制定营销战略，积极利用积累的客户资源，达到“以旧带新”， 确保产品得以顺利进入市场。</w:t>
      </w:r>
    </w:p>
    <w:p>
      <w:pPr>
        <w:pStyle w:val="Style19"/>
        <w:keepNext w:val="0"/>
        <w:keepLines w:val="0"/>
        <w:widowControl w:val="0"/>
        <w:shd w:val="clear" w:color="auto" w:fill="auto"/>
        <w:bidi w:val="0"/>
        <w:spacing w:before="0" w:after="60" w:line="635" w:lineRule="exact"/>
        <w:ind w:left="0" w:right="0"/>
        <w:jc w:val="both"/>
      </w:pPr>
      <w:bookmarkStart w:id="8" w:name="bookmark8"/>
      <w:r>
        <w:rPr>
          <w:color w:val="000000"/>
          <w:spacing w:val="0"/>
          <w:w w:val="100"/>
          <w:position w:val="0"/>
          <w:sz w:val="28"/>
          <w:szCs w:val="28"/>
        </w:rPr>
        <w:t>5</w:t>
      </w:r>
      <w:bookmarkEnd w:id="8"/>
      <w:r>
        <w:rPr>
          <w:color w:val="000000"/>
          <w:spacing w:val="0"/>
          <w:w w:val="100"/>
          <w:position w:val="0"/>
        </w:rPr>
        <w:t>、季节性风险：公司产品销售收入在上、下半年具有不均衡的特点，因为 公司产品主要销售给司法机关、行政执法部门等，这些客户的普遍特点是：上 半年制定计划、预算审批，下半年实施和验收。公司将持续加大售前的进度引 导以及阶段验收等方式，尽量降低第四季度集中和不确定性的影响。</w:t>
      </w:r>
    </w:p>
    <w:p>
      <w:pPr>
        <w:pStyle w:val="Style19"/>
        <w:keepNext w:val="0"/>
        <w:keepLines w:val="0"/>
        <w:widowControl w:val="0"/>
        <w:shd w:val="clear" w:color="auto" w:fill="auto"/>
        <w:bidi w:val="0"/>
        <w:spacing w:before="0" w:after="60" w:line="626"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55" w:right="970" w:bottom="1646" w:left="1100"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color w:val="000000"/>
          <w:spacing w:val="0"/>
          <w:w w:val="100"/>
          <w:position w:val="0"/>
          <w:sz w:val="28"/>
          <w:szCs w:val="28"/>
        </w:rPr>
        <w:t>806, 726,815</w:t>
      </w:r>
      <w:r>
        <w:rPr>
          <w:color w:val="000000"/>
          <w:spacing w:val="0"/>
          <w:w w:val="100"/>
          <w:position w:val="0"/>
        </w:rPr>
        <w:t>为基数， 向全体股东每</w:t>
      </w:r>
      <w:r>
        <w:rPr>
          <w:color w:val="000000"/>
          <w:spacing w:val="0"/>
          <w:w w:val="100"/>
          <w:position w:val="0"/>
          <w:sz w:val="28"/>
          <w:szCs w:val="28"/>
        </w:rPr>
        <w:t>10</w:t>
      </w:r>
      <w:r>
        <w:rPr>
          <w:color w:val="000000"/>
          <w:spacing w:val="0"/>
          <w:w w:val="100"/>
          <w:position w:val="0"/>
        </w:rPr>
        <w:t>股派发现金红利</w:t>
      </w:r>
      <w:r>
        <w:rPr>
          <w:color w:val="000000"/>
          <w:spacing w:val="0"/>
          <w:w w:val="100"/>
          <w:position w:val="0"/>
          <w:sz w:val="28"/>
          <w:szCs w:val="28"/>
        </w:rPr>
        <w:t>1.3</w:t>
      </w:r>
      <w:r>
        <w:rPr>
          <w:color w:val="000000"/>
          <w:spacing w:val="0"/>
          <w:w w:val="100"/>
          <w:position w:val="0"/>
        </w:rPr>
        <w:t>元（含税），送红股</w:t>
      </w:r>
      <w:r>
        <w:rPr>
          <w:color w:val="000000"/>
          <w:spacing w:val="0"/>
          <w:w w:val="100"/>
          <w:position w:val="0"/>
          <w:sz w:val="28"/>
          <w:szCs w:val="28"/>
        </w:rPr>
        <w:t>0</w:t>
      </w:r>
      <w:r>
        <w:rPr>
          <w:color w:val="000000"/>
          <w:spacing w:val="0"/>
          <w:w w:val="100"/>
          <w:position w:val="0"/>
        </w:rPr>
        <w:t>股（含税），以资本 公积金向全体股东每</w:t>
      </w:r>
      <w:r>
        <w:rPr>
          <w:color w:val="000000"/>
          <w:spacing w:val="0"/>
          <w:w w:val="100"/>
          <w:position w:val="0"/>
          <w:sz w:val="28"/>
          <w:szCs w:val="28"/>
        </w:rPr>
        <w:t>10</w:t>
      </w:r>
      <w:r>
        <w:rPr>
          <w:color w:val="000000"/>
          <w:spacing w:val="0"/>
          <w:w w:val="100"/>
          <w:position w:val="0"/>
        </w:rPr>
        <w:t>股转增</w:t>
      </w:r>
      <w:r>
        <w:rPr>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1420" w:after="158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8</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12</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9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i/>
            <w:iCs/>
            <w:color w:val="000000"/>
            <w:spacing w:val="0"/>
            <w:w w:val="100"/>
            <w:position w:val="0"/>
            <w:sz w:val="24"/>
            <w:szCs w:val="24"/>
          </w:rPr>
          <w:t>29</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278"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61</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47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89</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551"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98</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55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99</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55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100</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597"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111</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67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118</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683"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119</w:t>
        </w:r>
      </w:hyperlink>
    </w:p>
    <w:p>
      <w:pPr>
        <w:pStyle w:val="Style22"/>
        <w:keepNext w:val="0"/>
        <w:keepLines w:val="0"/>
        <w:widowControl w:val="0"/>
        <w:shd w:val="clear" w:color="auto" w:fill="auto"/>
        <w:tabs>
          <w:tab w:leader="dot" w:pos="9613" w:val="right"/>
        </w:tabs>
        <w:bidi w:val="0"/>
        <w:spacing w:before="0" w:line="240" w:lineRule="auto"/>
        <w:ind w:left="0" w:right="0" w:firstLine="0"/>
        <w:jc w:val="both"/>
      </w:pPr>
      <w:hyperlink w:anchor="bookmark2260" w:tooltip="Current Document">
        <w:r>
          <w:rPr>
            <w:color w:val="000000"/>
            <w:spacing w:val="0"/>
            <w:w w:val="100"/>
            <w:position w:val="0"/>
            <w:sz w:val="24"/>
            <w:szCs w:val="24"/>
          </w:rPr>
          <w:t>第十三节 备查文件目录</w:t>
        </w:r>
        <w:r>
          <w:rPr>
            <w:color w:val="000000"/>
            <w:spacing w:val="0"/>
            <w:w w:val="100"/>
            <w:position w:val="0"/>
            <w:sz w:val="24"/>
            <w:szCs w:val="24"/>
          </w:rPr>
          <w:tab/>
          <w:t xml:space="preserve"> </w:t>
        </w:r>
        <w:r>
          <w:rPr>
            <w:color w:val="000000"/>
            <w:spacing w:val="0"/>
            <w:w w:val="100"/>
            <w:position w:val="0"/>
            <w:sz w:val="24"/>
            <w:szCs w:val="24"/>
          </w:rPr>
          <w:t>267</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131"/>
        <w:gridCol w:w="571"/>
        <w:gridCol w:w="688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美亚柏科、公司或本公司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国务院国资委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国投集团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国家开发投资集团有限公司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美亚柏科信息安全研究所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厦门市美亚柏科信息安全研究所有限公司，公司的全资子公司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美亚天信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厦门美亚天信会议服务有限公司，公司的全资子公司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北京美亚网安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北京美亚柏科网络安全科技有限公司，公司的全资子公司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美银智投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厦门美银智投科技有限公司，公司的全资子公司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美亚榕安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福建美亚榕安科技有限公司，公司的全资子公司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美亚川安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四川美亚川安信息科技有限公司，公司的全资子公司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美亚陇安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甘肃美亚陇安信息科技有限公司，公司的全资子公司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厦门美亚中敏科技有限公司，公司的控股子公司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安胜网络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厦门安胜网络科技有限公司，公司的控股子公司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香港鼎永泰克科技有限公司，公司的控股子公司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武汉大千信息技术有限公司，公司的控股子公司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美亚宏数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北京美亚宏数科技有限责任公司，公司的控股子公司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国信宏数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北京国信宏数科技有限责任公司，美亚宏数的控股子公司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美亚智讯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北京美亚智讯信息技术有限公司，公司的控股子公司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美亚亿安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厦门美亚亿安信息科技有限公司，公司的控股子公司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大田柏科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福建大田柏科信息科技有限公司，公司的控股子公司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中检美亚（北京）科技有限公司，公司的控股子公司（原北京万诚信用评价有限公司）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杭州攀克网络技术有限公司，公司的参股公司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巨龙信息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厦门市巨龙信息科技有限公司，公司的参股公司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福建宏创信息科技有限公司，公司的参股公司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海峡国家版权交易中心有限公司，公司的参股公司</w:t>
            </w:r>
          </w:p>
        </w:tc>
      </w:tr>
    </w:tbl>
    <w:p>
      <w:pPr>
        <w:spacing w:lineRule="exact" w:line="1"/>
        <w:rPr>
          <w:sz w:val="2"/>
          <w:szCs w:val="2"/>
        </w:rPr>
      </w:pPr>
      <w:r>
        <w:br w:type="page"/>
      </w:r>
    </w:p>
    <w:tbl>
      <w:tblPr>
        <w:tblOverlap w:val="never"/>
        <w:jc w:val="center"/>
        <w:tblLayout w:type="fixed"/>
      </w:tblPr>
      <w:tblGrid>
        <w:gridCol w:w="2131"/>
        <w:gridCol w:w="571"/>
        <w:gridCol w:w="688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中新赛克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深圳市中新赛克科技股份有限公司，公司的参股公司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正信世纪</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华易智美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厦门华易智美信息咨询合伙企业（有限合伙），公司的参股公司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斯坦道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厦门斯坦道科学仪器股份有限公司，公司的参股公司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万方智讯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北京万方智讯信息技术有限公司，美亚智讯的参股公司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美桐产业并购基金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厦门市美桐股权投资基金合伙企业（有限合伙），公司参与认购的基金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美桐贰期基金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厦门市美桐贰期股权投资合伙企业（有限合伙），公司拟参与认购的基金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柏科晔济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厦门市柏科晔济投资管理合伙企业（有限合伙），美桐贰期基金的执行事务合伙人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厦门市美亚柏科信息股份有限公司第二期限制性股票激励计划</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年股权激励计划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年股票期权及限制性股票激励计划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回购注销部分离职激励对象已获授尚未解锁的限制性股票和股票期权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发行人首次发行</w:t>
            </w:r>
            <w:r>
              <w:rPr>
                <w:rFonts w:ascii="Times New Roman" w:eastAsia="Times New Roman" w:hAnsi="Times New Roman" w:cs="Times New Roman"/>
                <w:color w:val="000000"/>
                <w:spacing w:val="0"/>
                <w:w w:val="100"/>
                <w:position w:val="0"/>
              </w:rPr>
              <w:t>1,350</w:t>
            </w:r>
            <w:r>
              <w:rPr>
                <w:color w:val="000000"/>
                <w:spacing w:val="0"/>
                <w:w w:val="100"/>
                <w:position w:val="0"/>
              </w:rPr>
              <w:t>万股</w:t>
            </w:r>
            <w:r>
              <w:rPr>
                <w:rFonts w:ascii="Times New Roman" w:eastAsia="Times New Roman" w:hAnsi="Times New Roman" w:cs="Times New Roman"/>
                <w:color w:val="000000"/>
                <w:spacing w:val="0"/>
                <w:w w:val="100"/>
                <w:position w:val="0"/>
              </w:rPr>
              <w:t>A</w:t>
            </w:r>
            <w:r>
              <w:rPr>
                <w:color w:val="000000"/>
                <w:spacing w:val="0"/>
                <w:w w:val="100"/>
                <w:position w:val="0"/>
              </w:rPr>
              <w:t>股的行为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保荐机构、国信证券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国信证券股份有限公司，公司首次公开发行股票的保荐机构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致同会计师事务所（特殊普通合伙），公司原聘请的审计机构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中证天通会计师事务所（特殊普通合伙），公司的年度审计机构</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美亚柏科发行股份购买江苏税软</w:t>
            </w:r>
            <w:r>
              <w:rPr>
                <w:rFonts w:ascii="Times New Roman" w:eastAsia="Times New Roman" w:hAnsi="Times New Roman" w:cs="Times New Roman"/>
                <w:color w:val="000000"/>
                <w:spacing w:val="0"/>
                <w:w w:val="100"/>
                <w:position w:val="0"/>
              </w:rPr>
              <w:t>100%</w:t>
            </w:r>
            <w:r>
              <w:rPr>
                <w:color w:val="000000"/>
                <w:spacing w:val="0"/>
                <w:w w:val="100"/>
                <w:position w:val="0"/>
              </w:rPr>
              <w:t>股权及珠海新德汇</w:t>
            </w:r>
            <w:r>
              <w:rPr>
                <w:rFonts w:ascii="Times New Roman" w:eastAsia="Times New Roman" w:hAnsi="Times New Roman" w:cs="Times New Roman"/>
                <w:color w:val="000000"/>
                <w:spacing w:val="0"/>
                <w:w w:val="100"/>
                <w:position w:val="0"/>
              </w:rPr>
              <w:t>49%</w:t>
            </w:r>
            <w:r>
              <w:rPr>
                <w:color w:val="000000"/>
                <w:spacing w:val="0"/>
                <w:w w:val="100"/>
                <w:position w:val="0"/>
              </w:rPr>
              <w:t>股权的交易统称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1436" w:right="1142" w:bottom="1484" w:left="1085" w:header="0" w:footer="3" w:gutter="0"/>
          <w:cols w:space="720"/>
          <w:noEndnote/>
          <w:rtlGutter w:val="0"/>
          <w:docGrid w:linePitch="360"/>
        </w:sectPr>
      </w:pPr>
    </w:p>
    <w:p>
      <w:pPr>
        <w:pStyle w:val="Style17"/>
        <w:keepNext/>
        <w:keepLines/>
        <w:widowControl w:val="0"/>
        <w:shd w:val="clear" w:color="auto" w:fill="auto"/>
        <w:bidi w:val="0"/>
        <w:spacing w:before="50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7"/>
        <w:keepNext/>
        <w:keepLines/>
        <w:widowControl w:val="0"/>
        <w:shd w:val="clear" w:color="auto" w:fill="auto"/>
        <w:bidi w:val="0"/>
        <w:spacing w:before="0" w:after="30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bookmarkEnd w:id="12"/>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Xiamen Meiya Pico Information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MEIYAPICO INC.</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102-402</w:t>
            </w:r>
            <w:r>
              <w:rPr>
                <w:color w:val="000000"/>
                <w:spacing w:val="0"/>
                <w:w w:val="100"/>
                <w:position w:val="0"/>
              </w:rPr>
              <w:t>单元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102-402</w:t>
            </w:r>
            <w:r>
              <w:rPr>
                <w:color w:val="000000"/>
                <w:spacing w:val="0"/>
                <w:w w:val="100"/>
                <w:position w:val="0"/>
              </w:rPr>
              <w:t>单元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"http://www.300188.cn" </w:instrText>
            </w:r>
            <w:r>
              <w:fldChar w:fldCharType="separate"/>
            </w:r>
            <w:r>
              <w:rPr>
                <w:rFonts w:ascii="Times New Roman" w:eastAsia="Times New Roman" w:hAnsi="Times New Roman" w:cs="Times New Roman"/>
                <w:color w:val="000000"/>
                <w:spacing w:val="0"/>
                <w:w w:val="100"/>
                <w:position w:val="0"/>
              </w:rPr>
              <w:t>www.300188.cn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rPr>
              <w:t>tzzgx@300188.cn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240"/>
        <w:jc w:val="left"/>
      </w:pPr>
      <w:bookmarkStart w:id="16" w:name="bookmark16"/>
      <w:bookmarkStart w:id="17" w:name="bookmark17"/>
      <w:bookmarkStart w:id="18" w:name="bookmark18"/>
      <w:r>
        <w:rPr>
          <w:color w:val="000000"/>
          <w:spacing w:val="0"/>
          <w:w w:val="100"/>
          <w:position w:val="0"/>
          <w:sz w:val="24"/>
          <w:szCs w:val="24"/>
        </w:rPr>
        <w:t>、联系人和联系方式</w:t>
      </w:r>
      <w:bookmarkEnd w:id="16"/>
      <w:bookmarkEnd w:id="17"/>
      <w:bookmarkEnd w:id="18"/>
    </w:p>
    <w:tbl>
      <w:tblPr>
        <w:tblOverlap w:val="never"/>
        <w:jc w:val="center"/>
        <w:tblLayout w:type="fixed"/>
      </w:tblPr>
      <w:tblGrid>
        <w:gridCol w:w="859"/>
        <w:gridCol w:w="4392"/>
        <w:gridCol w:w="433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蔡志评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号美亚柏科董事会办公室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号美亚柏科董事会办公室</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0592-3698792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0592-3698792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0592-2519335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0592-2519335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rPr>
              <w:t>tzzgx@300188.cn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rPr>
              <w:t>tzzgx@300188.cn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《证券时报》、《中国证券报》、《证券日报》和《上海证券报》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号美亚柏科董事会办公室</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北京市海淀区西直门北大街甲</w:t>
            </w:r>
            <w:r>
              <w:rPr>
                <w:rFonts w:ascii="Times New Roman" w:eastAsia="Times New Roman" w:hAnsi="Times New Roman" w:cs="Times New Roman"/>
                <w:color w:val="000000"/>
                <w:spacing w:val="0"/>
                <w:w w:val="100"/>
                <w:position w:val="0"/>
              </w:rPr>
              <w:t>43</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1316-1326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陈峰、易厚震</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86"/>
        <w:gridCol w:w="1699"/>
        <w:gridCol w:w="1699"/>
        <w:gridCol w:w="1699"/>
        <w:gridCol w:w="15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2,386,098,335.14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2,067,410,376.33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1,600,584,391.00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374,620,968.32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289,675,573.16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303,214,679.83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341,065,341.29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267,051,725.91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214,701,444.00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297,590,222.23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396,135,918.52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71,849,254.67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4,645,273,172.56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4,200,148,312.04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3,444,140,529.17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3,301,174,645.05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2,960,789,180.88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2,550,684,558.80</w:t>
            </w:r>
          </w:p>
        </w:tc>
      </w:tr>
    </w:tbl>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0.4644</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229,931,323.35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381,697,270.79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466,546,956.81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1,307,922,784.19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-44,494,270.79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48,237,712.37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65,723,022.97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305,154,503.77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-53,800,324.53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45,032,326.75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53,253,715.73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296,579,623.34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-496,242,751.70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37,029,231.64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181,209,055.35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575,594,686.94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6" w:val="left"/>
        </w:tabs>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2"/>
        <w:keepNext/>
        <w:keepLines/>
        <w:widowControl w:val="0"/>
        <w:shd w:val="clear" w:color="auto" w:fill="auto"/>
        <w:tabs>
          <w:tab w:pos="410"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6"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1421"/>
        <w:gridCol w:w="1133"/>
        <w:gridCol w:w="1277"/>
        <w:gridCol w:w="93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32,978.14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45,927,903.68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30,625,248.85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29,790,872.69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除同公司正常经营业务相关的有效套期保值业务外，持有交 易性金融资产、衍生金融资产、交易性金融负债、衍生金融 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65,449,779.62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-3,784,029.08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-4,160,865.79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-1,255,696.03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10,045,572.00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4,842,494.71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3,102,958.29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11,109,971.64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3,177,650.03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2,525,761.54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1,535,129.19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33,555,627.03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22,623,847.25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88,513,235.83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992"/>
        <w:gridCol w:w="602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35,250,789.81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退税政策为长期的政策，本集团的软件增值税退税属于经常性发生的补助</w:t>
            </w:r>
          </w:p>
        </w:tc>
      </w:tr>
    </w:tbl>
    <w:p>
      <w:pPr>
        <w:sectPr>
          <w:footnotePr>
            <w:pos w:val="pageBottom"/>
            <w:numFmt w:val="decimal"/>
            <w:numRestart w:val="continuous"/>
          </w:footnotePr>
          <w:pgSz w:w="11900" w:h="16840"/>
          <w:pgMar w:top="1398" w:right="1118" w:bottom="1456" w:left="1096" w:header="0" w:footer="3" w:gutter="0"/>
          <w:cols w:space="720"/>
          <w:noEndnote/>
          <w:rtlGutter w:val="0"/>
          <w:docGrid w:linePitch="360"/>
        </w:sectPr>
      </w:pPr>
    </w:p>
    <w:p>
      <w:pPr>
        <w:pStyle w:val="Style17"/>
        <w:keepNext/>
        <w:keepLines/>
        <w:widowControl w:val="0"/>
        <w:shd w:val="clear" w:color="auto" w:fill="auto"/>
        <w:bidi w:val="0"/>
        <w:spacing w:before="58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7"/>
        <w:keepNext/>
        <w:keepLines/>
        <w:widowControl w:val="0"/>
        <w:shd w:val="clear" w:color="auto" w:fill="auto"/>
        <w:bidi w:val="0"/>
        <w:spacing w:before="0" w:after="10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44"/>
        <w:keepNext w:val="0"/>
        <w:keepLines w:val="0"/>
        <w:widowControl w:val="0"/>
        <w:shd w:val="clear" w:color="auto" w:fill="auto"/>
        <w:tabs>
          <w:tab w:pos="784" w:val="left"/>
        </w:tabs>
        <w:bidi w:val="0"/>
        <w:spacing w:before="0" w:after="0" w:line="469" w:lineRule="exact"/>
        <w:ind w:left="0" w:right="0" w:firstLine="440"/>
        <w:jc w:val="both"/>
      </w:pPr>
      <w:bookmarkStart w:id="59" w:name="bookmark59"/>
      <w:r>
        <w:rPr>
          <w:rFonts w:ascii="Times New Roman" w:eastAsia="Times New Roman" w:hAnsi="Times New Roman" w:cs="Times New Roman"/>
          <w:b/>
          <w:bCs/>
          <w:color w:val="000000"/>
          <w:spacing w:val="0"/>
          <w:w w:val="100"/>
          <w:position w:val="0"/>
        </w:rPr>
        <w:t>1</w:t>
      </w:r>
      <w:bookmarkEnd w:id="59"/>
      <w:r>
        <w:rPr>
          <w:b/>
          <w:bCs/>
          <w:color w:val="000000"/>
          <w:spacing w:val="0"/>
          <w:w w:val="100"/>
          <w:position w:val="0"/>
        </w:rPr>
        <w:t>、</w:t>
        <w:tab/>
        <w:t>公司主要业务概述</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美亚柏科是国投智能的控股子公司，国投集团的重要投资企业，国务院国资委为公司实际控制人。国 投智能是国家开发投资集团的全资子公司，是国投集团在数字经济产业的战略投资平台和信息化综合服务 平台。</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美亚柏科自成立以来不断完善发展战略，通过内生增长和外延并购，不断优化产业链布局，现已成长 为国内电子数据取证行业龙头和公安大数据领先企业、网络空间安全及大数据智能化等领域专家，业务领 域由传统的网络安全部门向军工、监察委、税务、海关、市监、应急等行业拓展，并不断向民用市场延伸， 业务范围覆盖全国各省、市、自治区及部分“一带一路”沿线国家。</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美亚柏科拥有自主技术内核、四大产品方向和相关基础支撑服务产业。公司围绕“产品装备化，大数 据智能化”，将大数据和人工智能两大先进技术融入到擅长和专注的电子数据取证、网络空间安全以及开 源情报三大技术，不断拓宽和延展业务赛道，公安大数据实现从“跟随者”到“领先者”的行业地位转变, 持续推进网络空间安全产品装备化，加强人工智能在大数据及网络空间安全的应用，进一步服务社会治理 现代化，衍生出网络空间安全、大数据智能化、网络开源情报和智能装备制造四大产品方向。</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过去，美亚柏科致力于为各级司法机关打击犯罪提供电子数据取证产品及网络信息安全解决方案，作 为国内电子数据取证行业的龙头企业，不断引领行业技术发展。</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现在，美亚柏科正着力于将大数据和人工智能技术应用于为更多行政执法部门开展网络空间社会治理 和市域治理提供产品和服务，助力执法部门实现“大数据打造无贼天下”的远大目标。</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未来，美亚柏科将继续充分发挥公司技术及资源优势，用大数据智能化打好新基建的“新地基”，围 绕网络安全、大数据、人工智能等新技术，持续加大研发投入，不断提高自身核心技术创新能力，不断深 耕国内网络空间安全和大数据业务领域，服务国家“网络空间安全”战略，助推国家治理体系和社会治理 现代化战略目标的实现。</w:t>
      </w:r>
    </w:p>
    <w:p>
      <w:pPr>
        <w:pStyle w:val="Style44"/>
        <w:keepNext w:val="0"/>
        <w:keepLines w:val="0"/>
        <w:widowControl w:val="0"/>
        <w:shd w:val="clear" w:color="auto" w:fill="auto"/>
        <w:tabs>
          <w:tab w:pos="789" w:val="left"/>
        </w:tabs>
        <w:bidi w:val="0"/>
        <w:spacing w:before="0" w:after="0" w:line="469" w:lineRule="exact"/>
        <w:ind w:left="0" w:right="0" w:firstLine="440"/>
        <w:jc w:val="both"/>
      </w:pPr>
      <w:bookmarkStart w:id="60" w:name="bookmark60"/>
      <w:r>
        <w:rPr>
          <w:b/>
          <w:bCs/>
          <w:color w:val="000000"/>
          <w:spacing w:val="0"/>
          <w:w w:val="100"/>
          <w:position w:val="0"/>
        </w:rPr>
        <w:t>2</w:t>
      </w:r>
      <w:bookmarkEnd w:id="60"/>
      <w:r>
        <w:rPr>
          <w:b/>
          <w:bCs/>
          <w:color w:val="000000"/>
          <w:spacing w:val="0"/>
          <w:w w:val="100"/>
          <w:position w:val="0"/>
        </w:rPr>
        <w:t>、</w:t>
        <w:tab/>
        <w:t>公司主要产品及业绩驱动因素</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报告期内，结合国投集团“十四五”发展规划中“将美亚柏科打造为国内一流的网络空间安全与社会 治理的国家队，初步建成世界一流大数据企业”的整体目标，围绕美亚柏科“十四五”发展规划中“力争 成为全球电子数据取证领域领航者、公安大数据智能化与新型智慧城市建设运营领域的领跑者及网络空间 </w:t>
      </w:r>
      <w:r>
        <w:rPr>
          <w:color w:val="000000"/>
          <w:spacing w:val="0"/>
          <w:w w:val="100"/>
          <w:position w:val="0"/>
        </w:rPr>
        <w:t>安全领域领先者”的总体要求，公司业务和战略全面升级，明确了新的总体定位，由原来的电子数据取证 与大数据信息化，延伸为聚焦网络空间安全和大数据智能化，致力于成为网络空间安全和现代化社会治理 国家队领先企业。业务领域由传统的电子数据取证拓展至网络空间安全事前、事中、事后全赛道及大数据、 人工智能、智慧城市、智能装备制造等其他领域，形成以网络空间安全和大数据智能化为主赛道、网络开 源情报和智能装备制造为辅助赛道的“2+2”产品体系。公司四大产品方向如下：</w:t>
      </w:r>
    </w:p>
    <w:p>
      <w:pPr>
        <w:pStyle w:val="Style44"/>
        <w:keepNext w:val="0"/>
        <w:keepLines w:val="0"/>
        <w:widowControl w:val="0"/>
        <w:shd w:val="clear" w:color="auto" w:fill="auto"/>
        <w:bidi w:val="0"/>
        <w:spacing w:before="0" w:after="0" w:line="468" w:lineRule="exact"/>
        <w:ind w:left="0" w:right="0" w:firstLine="440"/>
        <w:jc w:val="both"/>
      </w:pPr>
      <w:bookmarkStart w:id="61" w:name="bookmark61"/>
      <w:r>
        <w:rPr>
          <w:b/>
          <w:bCs/>
          <w:color w:val="000000"/>
          <w:spacing w:val="0"/>
          <w:w w:val="100"/>
          <w:position w:val="0"/>
        </w:rPr>
        <w:t>（</w:t>
      </w:r>
      <w:bookmarkEnd w:id="61"/>
      <w:r>
        <w:rPr>
          <w:b/>
          <w:bCs/>
          <w:color w:val="000000"/>
          <w:spacing w:val="0"/>
          <w:w w:val="100"/>
          <w:position w:val="0"/>
        </w:rPr>
        <w:t>1）网络空间安全：</w:t>
      </w:r>
      <w:r>
        <w:rPr>
          <w:color w:val="000000"/>
          <w:spacing w:val="0"/>
          <w:w w:val="100"/>
          <w:position w:val="0"/>
        </w:rPr>
        <w:t>由事后“电子数据调查取证”向事中“审计”及事前“防护”推进，打造云、 网、端、边的360度以数据安全为核心的网络空间安全防护体系，建立基于纵深防御体系的政企安全中心, 构建新网络空间安全生态。公司在2020年9月22日正式宣布启动新网络空间安全板块，核心产品方向为电 子数据取证、网络安全大数据、零信任安全防护体系等。</w:t>
      </w:r>
    </w:p>
    <w:p>
      <w:pPr>
        <w:pStyle w:val="Style44"/>
        <w:keepNext w:val="0"/>
        <w:keepLines w:val="0"/>
        <w:widowControl w:val="0"/>
        <w:shd w:val="clear" w:color="auto" w:fill="auto"/>
        <w:bidi w:val="0"/>
        <w:spacing w:before="0" w:after="260" w:line="468" w:lineRule="exact"/>
        <w:ind w:left="0" w:right="0" w:firstLine="440"/>
        <w:jc w:val="both"/>
      </w:pPr>
      <w:r>
        <w:rPr>
          <w:b/>
          <w:bCs/>
          <w:color w:val="000000"/>
          <w:spacing w:val="0"/>
          <w:w w:val="100"/>
          <w:position w:val="0"/>
        </w:rPr>
        <w:t>电子数据取证：</w:t>
      </w:r>
      <w:r>
        <w:rPr>
          <w:color w:val="000000"/>
          <w:spacing w:val="0"/>
          <w:w w:val="100"/>
          <w:position w:val="0"/>
        </w:rPr>
        <w:t>由最初的计算机取证，引领行业进入取证</w:t>
      </w:r>
      <w:r>
        <w:rPr>
          <w:color w:val="000000"/>
          <w:spacing w:val="0"/>
          <w:w w:val="100"/>
          <w:position w:val="0"/>
        </w:rPr>
        <w:t xml:space="preserve">3. </w:t>
      </w:r>
      <w:r>
        <w:rPr>
          <w:color w:val="000000"/>
          <w:spacing w:val="0"/>
          <w:w w:val="100"/>
          <w:position w:val="0"/>
        </w:rPr>
        <w:t>0时代，即基于终端取证、云取证、物联 网取证、互联网取证等技术，开展“云、管、端”取证建设，做到资源全互联、数据全汇聚、业务全对接、 生态全开放，实现全景数据下的智能取证与研判。产品形态已由一体化装备，逐步形成与后端大数据进行 联动的全息数据一体化平台。电子数据取证产品已覆盖电子数据取证全领域。</w:t>
      </w:r>
    </w:p>
    <w:p>
      <w:pPr>
        <w:widowControl w:val="0"/>
        <w:jc w:val="center"/>
        <w:rPr>
          <w:sz w:val="2"/>
          <w:szCs w:val="2"/>
        </w:rPr>
      </w:pPr>
      <w:r>
        <w:drawing>
          <wp:inline>
            <wp:extent cx="5998210" cy="33769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998210" cy="3376930"/>
                    </a:xfrm>
                    <a:prstGeom prst="rect"/>
                  </pic:spPr>
                </pic:pic>
              </a:graphicData>
            </a:graphic>
          </wp:inline>
        </w:drawing>
      </w:r>
    </w:p>
    <w:p>
      <w:pPr>
        <w:pStyle w:val="Style44"/>
        <w:keepNext w:val="0"/>
        <w:keepLines w:val="0"/>
        <w:widowControl w:val="0"/>
        <w:shd w:val="clear" w:color="auto" w:fill="auto"/>
        <w:bidi w:val="0"/>
        <w:spacing w:before="0" w:after="0" w:line="467" w:lineRule="exact"/>
        <w:ind w:left="0" w:right="0" w:firstLine="0"/>
        <w:jc w:val="center"/>
      </w:pPr>
      <w:r>
        <w:rPr>
          <w:b/>
          <w:bCs/>
          <w:color w:val="000000"/>
          <w:spacing w:val="0"/>
          <w:w w:val="100"/>
          <w:position w:val="0"/>
        </w:rPr>
        <w:t>图1电子数据取证</w:t>
      </w:r>
      <w:r>
        <w:rPr>
          <w:b/>
          <w:bCs/>
          <w:color w:val="000000"/>
          <w:spacing w:val="0"/>
          <w:w w:val="100"/>
          <w:position w:val="0"/>
        </w:rPr>
        <w:t>3.0</w:t>
      </w:r>
      <w:r>
        <w:rPr>
          <w:b/>
          <w:bCs/>
          <w:color w:val="000000"/>
          <w:spacing w:val="0"/>
          <w:w w:val="100"/>
          <w:position w:val="0"/>
        </w:rPr>
        <w:t>业务架构图</w:t>
      </w:r>
    </w:p>
    <w:p>
      <w:pPr>
        <w:pStyle w:val="Style44"/>
        <w:keepNext w:val="0"/>
        <w:keepLines w:val="0"/>
        <w:widowControl w:val="0"/>
        <w:shd w:val="clear" w:color="auto" w:fill="auto"/>
        <w:bidi w:val="0"/>
        <w:spacing w:before="0" w:after="140" w:line="467" w:lineRule="exact"/>
        <w:ind w:left="0" w:right="0" w:firstLine="440"/>
        <w:jc w:val="both"/>
      </w:pPr>
      <w:r>
        <w:rPr>
          <w:b/>
          <w:bCs/>
          <w:color w:val="000000"/>
          <w:spacing w:val="0"/>
          <w:w w:val="100"/>
          <w:position w:val="0"/>
        </w:rPr>
        <w:t>网络安全大数据：</w:t>
      </w:r>
      <w:r>
        <w:rPr>
          <w:color w:val="000000"/>
          <w:spacing w:val="0"/>
          <w:w w:val="100"/>
          <w:position w:val="0"/>
        </w:rPr>
        <w:t>以监管者视角，从网络安全大数据做起，拓展到政企网络安全。网络安全大数据平 台基于大数据智能化技术将多源、海量、异构的网络安全数据进行汇聚、处理和治理，结合响应处置、联 动指挥、安全监测等安全应用业务，形成网络安全强监管的“网络安全大脑”，为城市、执法部门和行业 提供全视角的安全威胁精准感知、快速响应、即时处置和溯源反制等能力提供支撑。</w:t>
      </w:r>
    </w:p>
    <w:p>
      <w:pPr>
        <w:pStyle w:val="Style44"/>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零信任体系：</w:t>
      </w:r>
      <w:r>
        <w:rPr>
          <w:color w:val="000000"/>
          <w:spacing w:val="0"/>
          <w:w w:val="100"/>
          <w:position w:val="0"/>
        </w:rPr>
        <w:t>以使用者视角，从公共安全大数据零信任体系做起，走向新一代政企信息安全。公司基 于对零信任安全框架的理解，以“零信任体系”理念为核心，结合大数据行业深耕多年的行业经验，为政 府部门及企事业单位使用者构建以数据为中心的安全可信合规的纵深防御体系，该防御产品体系，具备认 证管理、权限管理、审批管理、审计管理、安全策略控制、环境感知六大能力，为用户抵御日益复杂的新 型网络风险，避免未知安全威胁带来的数据泄露风险。通过零信任体系和安全防护体系构建安全可信合规 的政务数据安全中心逐步向政企安全中心发展。</w:t>
      </w:r>
    </w:p>
    <w:p>
      <w:pPr>
        <w:pStyle w:val="Style44"/>
        <w:keepNext w:val="0"/>
        <w:keepLines w:val="0"/>
        <w:widowControl w:val="0"/>
        <w:shd w:val="clear" w:color="auto" w:fill="auto"/>
        <w:bidi w:val="0"/>
        <w:spacing w:before="0" w:after="0" w:line="469"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2）大数据智能化</w:t>
      </w:r>
      <w:r>
        <w:rPr>
          <w:color w:val="000000"/>
          <w:spacing w:val="0"/>
          <w:w w:val="100"/>
          <w:position w:val="0"/>
        </w:rPr>
        <w:t>：大数据发展是建设数字中国的重要路径，公司坚持从公安大数据做起，积极横 向拓展智慧政法、智慧应急、智慧政务细分行业大数据、视频大数据、网络安全大数据等其他应用领域， 同时形成中台复用能力，逐步拓展至市域社会治理平台，构建新型智慧城市大脑，助力实现善政、惠民、 兴业，满足国家对社会治理智能化的需求。</w:t>
      </w:r>
    </w:p>
    <w:p>
      <w:pPr>
        <w:pStyle w:val="Style44"/>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乾坤大数据操作系统：</w:t>
      </w:r>
      <w:r>
        <w:rPr>
          <w:color w:val="000000"/>
          <w:spacing w:val="0"/>
          <w:w w:val="100"/>
          <w:position w:val="0"/>
        </w:rPr>
        <w:t>2020年7月，美亚柏科发布</w:t>
      </w:r>
      <w:r>
        <w:rPr>
          <w:b/>
          <w:bCs/>
          <w:color w:val="000000"/>
          <w:spacing w:val="0"/>
          <w:w w:val="100"/>
          <w:position w:val="0"/>
        </w:rPr>
        <w:t>核心基础软件产品</w:t>
      </w:r>
      <w:r>
        <w:rPr>
          <w:color w:val="000000"/>
          <w:spacing w:val="0"/>
          <w:w w:val="100"/>
          <w:position w:val="0"/>
        </w:rPr>
        <w:t>“</w:t>
      </w:r>
      <w:r>
        <w:rPr>
          <w:b/>
          <w:bCs/>
          <w:color w:val="000000"/>
          <w:spacing w:val="0"/>
          <w:w w:val="100"/>
          <w:position w:val="0"/>
        </w:rPr>
        <w:t>乾坤”大数据操作系统</w:t>
      </w:r>
      <w:r>
        <w:rPr>
          <w:color w:val="000000"/>
          <w:spacing w:val="0"/>
          <w:w w:val="100"/>
          <w:position w:val="0"/>
        </w:rPr>
        <w:t xml:space="preserve">。“乾 坤”大数据操作系统以“乾坤”大数据治理平台为基座，应用大数据、人工智能、物联网等数字化技术手 段，构建对多源异构数据场景管理的高性能一站式平台，实现全生命周期的数字化治理和应用。作为一款 </w:t>
      </w:r>
      <w:r>
        <w:rPr>
          <w:b/>
          <w:bCs/>
          <w:color w:val="000000"/>
          <w:spacing w:val="0"/>
          <w:w w:val="100"/>
          <w:position w:val="0"/>
        </w:rPr>
        <w:t>可跨行业、快速复用</w:t>
      </w:r>
      <w:r>
        <w:rPr>
          <w:color w:val="000000"/>
          <w:spacing w:val="0"/>
          <w:w w:val="100"/>
          <w:position w:val="0"/>
        </w:rPr>
        <w:t>的</w:t>
      </w:r>
      <w:r>
        <w:rPr>
          <w:b/>
          <w:bCs/>
          <w:color w:val="000000"/>
          <w:spacing w:val="0"/>
          <w:w w:val="100"/>
          <w:position w:val="0"/>
        </w:rPr>
        <w:t>大数据产品</w:t>
      </w:r>
      <w:r>
        <w:rPr>
          <w:color w:val="000000"/>
          <w:spacing w:val="0"/>
          <w:w w:val="100"/>
          <w:position w:val="0"/>
        </w:rPr>
        <w:t>，平台提供标准化、产品化的软件系统，可快速为政府、企事业单位打 造大数据中台。“乾坤”大数据操作系统现已运用于公安大数据、新型智慧城市、视频大数据和网络安全 等领域。</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大数据智能化平台体系是通过自主研发的超融合技术，推动数据、计算及业务融合，以打通信息壁垒, 构建一套全生态“大数据操作系统”，支撑跨层级、跨地域、跨系统、跨部门、跨业务的应用场景，推动 大数据技术创新，加速国产化进程，实现大数据核心技术“自主可控”。大数据智能化平台体系以“乾坤” 大数据操作系统为基座，搭建其他子系统，构成大数据治理产品。子系统包括“天算”大数据建模平台、</w:t>
      </w:r>
    </w:p>
    <w:p>
      <w:pPr>
        <w:pStyle w:val="Style44"/>
        <w:keepNext w:val="0"/>
        <w:keepLines w:val="0"/>
        <w:widowControl w:val="0"/>
        <w:shd w:val="clear" w:color="auto" w:fill="auto"/>
        <w:bidi w:val="0"/>
        <w:spacing w:before="0" w:after="0" w:line="469" w:lineRule="exact"/>
        <w:ind w:left="0" w:right="0" w:firstLine="0"/>
        <w:jc w:val="both"/>
      </w:pPr>
      <w:r>
        <w:rPr>
          <w:color w:val="000000"/>
          <w:spacing w:val="0"/>
          <w:w w:val="100"/>
          <w:position w:val="0"/>
        </w:rPr>
        <w:t>“天河”大数据服务平台、“天匠”大数据标签平台、“天界”大数据可视化平台、“天巡”大数据运维 平台、“天枢”大数据运营平台、“天智”大数据知识图谱平台、“天盾”零信任数据防护平台和“天 机</w:t>
      </w:r>
      <w:r>
        <w:rPr>
          <w:color w:val="000000"/>
          <w:spacing w:val="0"/>
          <w:w w:val="100"/>
          <w:position w:val="0"/>
        </w:rPr>
        <w:t>”AI</w:t>
      </w:r>
      <w:r>
        <w:rPr>
          <w:color w:val="000000"/>
          <w:spacing w:val="0"/>
          <w:w w:val="100"/>
          <w:position w:val="0"/>
        </w:rPr>
        <w:t>能力中台和揽月可视化前端。基于大数据治理产品还推出“大数据治理”、“大数据分析”、“大 数据知识”、“大数据咨询” 4类大数据服务。</w:t>
      </w:r>
      <w:r>
        <w:br w:type="page"/>
      </w:r>
    </w:p>
    <w:p>
      <w:pPr>
        <w:widowControl w:val="0"/>
        <w:spacing w:line="1" w:lineRule="exact"/>
      </w:pPr>
      <w:r>
        <w:drawing>
          <wp:anchor distT="0" distB="0" distL="0" distR="0" simplePos="0" relativeHeight="125829378" behindDoc="0" locked="0" layoutInCell="1" allowOverlap="1">
            <wp:simplePos x="0" y="0"/>
            <wp:positionH relativeFrom="page">
              <wp:posOffset>1272540</wp:posOffset>
            </wp:positionH>
            <wp:positionV relativeFrom="paragraph">
              <wp:posOffset>0</wp:posOffset>
            </wp:positionV>
            <wp:extent cx="5266690" cy="288925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5266690" cy="28892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6097270</wp:posOffset>
                </wp:positionH>
                <wp:positionV relativeFrom="paragraph">
                  <wp:posOffset>1511935</wp:posOffset>
                </wp:positionV>
                <wp:extent cx="109855" cy="636905"/>
                <wp:wrapNone/>
                <wp:docPr id="14" name="Shape 14"/>
                <a:graphic xmlns:a="http://schemas.openxmlformats.org/drawingml/2006/main">
                  <a:graphicData uri="http://schemas.microsoft.com/office/word/2010/wordprocessingShape">
                    <wps:wsp>
                      <wps:cNvSpPr txBox="1"/>
                      <wps:spPr>
                        <a:xfrm>
                          <a:ext cx="109855" cy="636905"/>
                        </a:xfrm>
                        <a:prstGeom prst="rect"/>
                        <a:noFill/>
                      </wps:spPr>
                      <wps:txbx>
                        <w:txbxContent>
                          <w:p>
                            <w:pPr>
                              <w:pStyle w:val="Style39"/>
                              <w:keepNext w:val="0"/>
                              <w:keepLines w:val="0"/>
                              <w:widowControl w:val="0"/>
                              <w:pBdr>
                                <w:top w:val="single" w:sz="0" w:space="0" w:color="6C4B56"/>
                                <w:left w:val="single" w:sz="0" w:space="0" w:color="6C4B56"/>
                                <w:bottom w:val="single" w:sz="0" w:space="0" w:color="6C4B56"/>
                                <w:right w:val="single" w:sz="0" w:space="0" w:color="6C4B56"/>
                              </w:pBdr>
                              <w:shd w:val="clear" w:color="auto" w:fill="6C4B56"/>
                              <w:bidi w:val="0"/>
                              <w:spacing w:before="0" w:after="0" w:line="240" w:lineRule="auto"/>
                              <w:ind w:left="0" w:right="0" w:firstLine="0"/>
                              <w:jc w:val="left"/>
                            </w:pPr>
                            <w:r>
                              <w:rPr>
                                <w:color w:val="FFFFFF"/>
                                <w:spacing w:val="0"/>
                                <w:w w:val="100"/>
                                <w:position w:val="0"/>
                              </w:rPr>
                              <w:t>天枢“运营平台</w:t>
                            </w:r>
                          </w:p>
                        </w:txbxContent>
                      </wps:txbx>
                      <wps:bodyPr upright="1" vert="eaVert" lIns="0" tIns="0" rIns="0" bIns="0">
                        <a:noAutoFit/>
                      </wps:bodyPr>
                    </wps:wsp>
                  </a:graphicData>
                </a:graphic>
              </wp:anchor>
            </w:drawing>
          </mc:Choice>
          <mc:Fallback>
            <w:pict>
              <v:shape id="_x0000_s1040" type="#_x0000_t202" style="position:absolute;margin-left:480.10000000000002pt;margin-top:119.05pt;width:8.6500000000000004pt;height:50.149999999999999pt;z-index:251657729;mso-wrap-distance-left:0;mso-wrap-distance-right:0;mso-position-horizontal-relative:page" filled="f" stroked="f">
                <v:textbox style="layout-flow:vertical-ideographic" inset="0,0,0,0">
                  <w:txbxContent>
                    <w:p>
                      <w:pPr>
                        <w:pStyle w:val="Style39"/>
                        <w:keepNext w:val="0"/>
                        <w:keepLines w:val="0"/>
                        <w:widowControl w:val="0"/>
                        <w:pBdr>
                          <w:top w:val="single" w:sz="0" w:space="0" w:color="6C4B56"/>
                          <w:left w:val="single" w:sz="0" w:space="0" w:color="6C4B56"/>
                          <w:bottom w:val="single" w:sz="0" w:space="0" w:color="6C4B56"/>
                          <w:right w:val="single" w:sz="0" w:space="0" w:color="6C4B56"/>
                        </w:pBdr>
                        <w:shd w:val="clear" w:color="auto" w:fill="6C4B56"/>
                        <w:bidi w:val="0"/>
                        <w:spacing w:before="0" w:after="0" w:line="240" w:lineRule="auto"/>
                        <w:ind w:left="0" w:right="0" w:firstLine="0"/>
                        <w:jc w:val="left"/>
                      </w:pPr>
                      <w:r>
                        <w:rPr>
                          <w:color w:val="FFFFFF"/>
                          <w:spacing w:val="0"/>
                          <w:w w:val="100"/>
                          <w:position w:val="0"/>
                        </w:rPr>
                        <w:t>天枢“运营平台</w:t>
                      </w:r>
                    </w:p>
                  </w:txbxContent>
                </v:textbox>
                <w10:wrap anchorx="page"/>
              </v:shape>
            </w:pict>
          </mc:Fallback>
        </mc:AlternateContent>
      </w:r>
      <w:r>
        <w:drawing>
          <wp:anchor distT="15240" distB="1935480" distL="0" distR="0" simplePos="0" relativeHeight="125829379" behindDoc="0" locked="0" layoutInCell="1" allowOverlap="1">
            <wp:simplePos x="0" y="0"/>
            <wp:positionH relativeFrom="page">
              <wp:posOffset>1287780</wp:posOffset>
            </wp:positionH>
            <wp:positionV relativeFrom="paragraph">
              <wp:posOffset>15240</wp:posOffset>
            </wp:positionV>
            <wp:extent cx="5236210" cy="93853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5236210" cy="938530"/>
                    </a:xfrm>
                    <a:prstGeom prst="rect"/>
                  </pic:spPr>
                </pic:pic>
              </a:graphicData>
            </a:graphic>
          </wp:anchor>
        </w:drawing>
      </w:r>
      <w:r>
        <w:drawing>
          <wp:anchor distT="951230" distB="1459865" distL="0" distR="0" simplePos="0" relativeHeight="125829380" behindDoc="0" locked="0" layoutInCell="1" allowOverlap="1">
            <wp:simplePos x="0" y="0"/>
            <wp:positionH relativeFrom="page">
              <wp:posOffset>1355090</wp:posOffset>
            </wp:positionH>
            <wp:positionV relativeFrom="paragraph">
              <wp:posOffset>951230</wp:posOffset>
            </wp:positionV>
            <wp:extent cx="5132705" cy="47561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5132705" cy="4756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2169160</wp:posOffset>
                </wp:positionH>
                <wp:positionV relativeFrom="paragraph">
                  <wp:posOffset>1637030</wp:posOffset>
                </wp:positionV>
                <wp:extent cx="478790" cy="201295"/>
                <wp:wrapNone/>
                <wp:docPr id="20" name="Shape 20"/>
                <a:graphic xmlns:a="http://schemas.openxmlformats.org/drawingml/2006/main">
                  <a:graphicData uri="http://schemas.microsoft.com/office/word/2010/wordprocessingShape">
                    <wps:wsp>
                      <wps:cNvSpPr txBox="1"/>
                      <wps:spPr>
                        <a:xfrm>
                          <a:ext cx="478790" cy="201295"/>
                        </a:xfrm>
                        <a:prstGeom prst="rect"/>
                        <a:noFill/>
                      </wps:spPr>
                      <wps:txbx>
                        <w:txbxContent>
                          <w:p>
                            <w:pPr>
                              <w:pStyle w:val="Style41"/>
                              <w:keepNext w:val="0"/>
                              <w:keepLines w:val="0"/>
                              <w:widowControl w:val="0"/>
                              <w:pBdr>
                                <w:top w:val="single" w:sz="0" w:space="0" w:color="36525C"/>
                                <w:left w:val="single" w:sz="0" w:space="0" w:color="36525C"/>
                                <w:bottom w:val="single" w:sz="0" w:space="0" w:color="36525C"/>
                                <w:right w:val="single" w:sz="0" w:space="0" w:color="36525C"/>
                              </w:pBdr>
                              <w:shd w:val="clear" w:color="auto" w:fill="36525C"/>
                              <w:bidi w:val="0"/>
                              <w:spacing w:before="0" w:after="0" w:line="139" w:lineRule="exact"/>
                              <w:ind w:left="0" w:right="0" w:firstLine="0"/>
                              <w:jc w:val="center"/>
                              <w:rPr>
                                <w:sz w:val="12"/>
                                <w:szCs w:val="12"/>
                              </w:rPr>
                            </w:pPr>
                            <w:r>
                              <w:rPr>
                                <w:color w:val="E6D2AD"/>
                                <w:spacing w:val="0"/>
                                <w:w w:val="100"/>
                                <w:position w:val="0"/>
                                <w:sz w:val="12"/>
                                <w:szCs w:val="12"/>
                              </w:rPr>
                              <w:t>“天算</w:t>
                            </w:r>
                            <w:r>
                              <w:rPr>
                                <w:color w:val="E6D2AD"/>
                                <w:spacing w:val="0"/>
                                <w:w w:val="100"/>
                                <w:position w:val="0"/>
                                <w:sz w:val="12"/>
                                <w:szCs w:val="12"/>
                              </w:rPr>
                              <w:t xml:space="preserve">" </w:t>
                            </w:r>
                            <w:r>
                              <w:rPr>
                                <w:color w:val="E6D2AD"/>
                                <w:spacing w:val="0"/>
                                <w:w w:val="100"/>
                                <w:position w:val="0"/>
                                <w:sz w:val="12"/>
                                <w:szCs w:val="12"/>
                              </w:rPr>
                              <w:t>数据建模平台</w:t>
                            </w:r>
                          </w:p>
                        </w:txbxContent>
                      </wps:txbx>
                      <wps:bodyPr lIns="0" tIns="0" rIns="0" bIns="0">
                        <a:noAutoFit/>
                      </wps:bodyPr>
                    </wps:wsp>
                  </a:graphicData>
                </a:graphic>
              </wp:anchor>
            </w:drawing>
          </mc:Choice>
          <mc:Fallback>
            <w:pict>
              <v:shape id="_x0000_s1046" type="#_x0000_t202" style="position:absolute;margin-left:170.80000000000001pt;margin-top:128.90000000000001pt;width:37.700000000000003pt;height:15.85pt;z-index:251657731;mso-wrap-distance-left:0;mso-wrap-distance-right:0;mso-position-horizontal-relative:page" filled="f" stroked="f">
                <v:textbox inset="0,0,0,0">
                  <w:txbxContent>
                    <w:p>
                      <w:pPr>
                        <w:pStyle w:val="Style41"/>
                        <w:keepNext w:val="0"/>
                        <w:keepLines w:val="0"/>
                        <w:widowControl w:val="0"/>
                        <w:pBdr>
                          <w:top w:val="single" w:sz="0" w:space="0" w:color="36525C"/>
                          <w:left w:val="single" w:sz="0" w:space="0" w:color="36525C"/>
                          <w:bottom w:val="single" w:sz="0" w:space="0" w:color="36525C"/>
                          <w:right w:val="single" w:sz="0" w:space="0" w:color="36525C"/>
                        </w:pBdr>
                        <w:shd w:val="clear" w:color="auto" w:fill="36525C"/>
                        <w:bidi w:val="0"/>
                        <w:spacing w:before="0" w:after="0" w:line="139" w:lineRule="exact"/>
                        <w:ind w:left="0" w:right="0" w:firstLine="0"/>
                        <w:jc w:val="center"/>
                        <w:rPr>
                          <w:sz w:val="12"/>
                          <w:szCs w:val="12"/>
                        </w:rPr>
                      </w:pPr>
                      <w:r>
                        <w:rPr>
                          <w:color w:val="E6D2AD"/>
                          <w:spacing w:val="0"/>
                          <w:w w:val="100"/>
                          <w:position w:val="0"/>
                          <w:sz w:val="12"/>
                          <w:szCs w:val="12"/>
                        </w:rPr>
                        <w:t>“天算</w:t>
                      </w:r>
                      <w:r>
                        <w:rPr>
                          <w:color w:val="E6D2AD"/>
                          <w:spacing w:val="0"/>
                          <w:w w:val="100"/>
                          <w:position w:val="0"/>
                          <w:sz w:val="12"/>
                          <w:szCs w:val="12"/>
                        </w:rPr>
                        <w:t xml:space="preserve">" </w:t>
                      </w:r>
                      <w:r>
                        <w:rPr>
                          <w:color w:val="E6D2AD"/>
                          <w:spacing w:val="0"/>
                          <w:w w:val="100"/>
                          <w:position w:val="0"/>
                          <w:sz w:val="12"/>
                          <w:szCs w:val="12"/>
                        </w:rPr>
                        <w:t>数据建模平台</w:t>
                      </w:r>
                    </w:p>
                  </w:txbxContent>
                </v:textbox>
                <w10:wrap anchorx="page"/>
              </v:shape>
            </w:pict>
          </mc:Fallback>
        </mc:AlternateContent>
      </w:r>
      <w:r>
        <w:drawing>
          <wp:anchor distT="1146175" distB="1478280" distL="0" distR="0" simplePos="0" relativeHeight="125829381" behindDoc="0" locked="0" layoutInCell="1" allowOverlap="1">
            <wp:simplePos x="0" y="0"/>
            <wp:positionH relativeFrom="page">
              <wp:posOffset>2178050</wp:posOffset>
            </wp:positionH>
            <wp:positionV relativeFrom="paragraph">
              <wp:posOffset>1146175</wp:posOffset>
            </wp:positionV>
            <wp:extent cx="3474720" cy="26225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7"/>
                    <a:stretch/>
                  </pic:blipFill>
                  <pic:spPr>
                    <a:xfrm>
                      <a:ext cx="3474720" cy="262255"/>
                    </a:xfrm>
                    <a:prstGeom prst="rect"/>
                  </pic:spPr>
                </pic:pic>
              </a:graphicData>
            </a:graphic>
          </wp:anchor>
        </w:drawing>
      </w:r>
      <w:r>
        <w:drawing>
          <wp:anchor distT="1426210" distB="9525" distL="0" distR="267970" simplePos="0" relativeHeight="125829382" behindDoc="0" locked="0" layoutInCell="1" allowOverlap="1">
            <wp:simplePos x="0" y="0"/>
            <wp:positionH relativeFrom="page">
              <wp:posOffset>1287780</wp:posOffset>
            </wp:positionH>
            <wp:positionV relativeFrom="paragraph">
              <wp:posOffset>1426210</wp:posOffset>
            </wp:positionV>
            <wp:extent cx="4450080" cy="145097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9"/>
                    <a:stretch/>
                  </pic:blipFill>
                  <pic:spPr>
                    <a:xfrm>
                      <a:ext cx="4450080" cy="145097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5890260</wp:posOffset>
                </wp:positionH>
                <wp:positionV relativeFrom="paragraph">
                  <wp:posOffset>1511300</wp:posOffset>
                </wp:positionV>
                <wp:extent cx="115570" cy="636905"/>
                <wp:wrapNone/>
                <wp:docPr id="26" name="Shape 26"/>
                <a:graphic xmlns:a="http://schemas.openxmlformats.org/drawingml/2006/main">
                  <a:graphicData uri="http://schemas.microsoft.com/office/word/2010/wordprocessingShape">
                    <wps:wsp>
                      <wps:cNvSpPr txBox="1"/>
                      <wps:spPr>
                        <a:xfrm>
                          <a:ext cx="115570" cy="636905"/>
                        </a:xfrm>
                        <a:prstGeom prst="rect"/>
                        <a:noFill/>
                      </wps:spPr>
                      <wps:txbx>
                        <w:txbxContent>
                          <w:p>
                            <w:pPr>
                              <w:pStyle w:val="Style39"/>
                              <w:keepNext w:val="0"/>
                              <w:keepLines w:val="0"/>
                              <w:widowControl w:val="0"/>
                              <w:pBdr>
                                <w:top w:val="single" w:sz="0" w:space="0" w:color="703858"/>
                                <w:left w:val="single" w:sz="0" w:space="0" w:color="703858"/>
                                <w:bottom w:val="single" w:sz="0" w:space="0" w:color="703858"/>
                                <w:right w:val="single" w:sz="0" w:space="0" w:color="703858"/>
                              </w:pBdr>
                              <w:shd w:val="clear" w:color="auto" w:fill="703858"/>
                              <w:bidi w:val="0"/>
                              <w:spacing w:before="0" w:after="0" w:line="240" w:lineRule="auto"/>
                              <w:ind w:left="0" w:right="0" w:firstLine="0"/>
                              <w:jc w:val="left"/>
                            </w:pPr>
                            <w:r>
                              <w:rPr>
                                <w:color w:val="FFFFFF"/>
                                <w:spacing w:val="0"/>
                                <w:w w:val="100"/>
                                <w:position w:val="0"/>
                              </w:rPr>
                              <w:t>天巡“运雄平台</w:t>
                            </w:r>
                          </w:p>
                        </w:txbxContent>
                      </wps:txbx>
                      <wps:bodyPr upright="1" vert="eaVert" lIns="0" tIns="0" rIns="0" bIns="0">
                        <a:noAutoFit/>
                      </wps:bodyPr>
                    </wps:wsp>
                  </a:graphicData>
                </a:graphic>
              </wp:anchor>
            </w:drawing>
          </mc:Choice>
          <mc:Fallback>
            <w:pict>
              <v:shape id="_x0000_s1052" type="#_x0000_t202" style="position:absolute;margin-left:463.80000000000001pt;margin-top:119.pt;width:9.0999999999999996pt;height:50.149999999999999pt;z-index:251657733;mso-wrap-distance-left:0;mso-wrap-distance-right:0;mso-position-horizontal-relative:page" filled="f" stroked="f">
                <v:textbox style="layout-flow:vertical-ideographic" inset="0,0,0,0">
                  <w:txbxContent>
                    <w:p>
                      <w:pPr>
                        <w:pStyle w:val="Style39"/>
                        <w:keepNext w:val="0"/>
                        <w:keepLines w:val="0"/>
                        <w:widowControl w:val="0"/>
                        <w:pBdr>
                          <w:top w:val="single" w:sz="0" w:space="0" w:color="703858"/>
                          <w:left w:val="single" w:sz="0" w:space="0" w:color="703858"/>
                          <w:bottom w:val="single" w:sz="0" w:space="0" w:color="703858"/>
                          <w:right w:val="single" w:sz="0" w:space="0" w:color="703858"/>
                        </w:pBdr>
                        <w:shd w:val="clear" w:color="auto" w:fill="703858"/>
                        <w:bidi w:val="0"/>
                        <w:spacing w:before="0" w:after="0" w:line="240" w:lineRule="auto"/>
                        <w:ind w:left="0" w:right="0" w:firstLine="0"/>
                        <w:jc w:val="left"/>
                      </w:pPr>
                      <w:r>
                        <w:rPr>
                          <w:color w:val="FFFFFF"/>
                          <w:spacing w:val="0"/>
                          <w:w w:val="100"/>
                          <w:position w:val="0"/>
                        </w:rPr>
                        <w:t>天巡“运雄平台</w:t>
                      </w:r>
                    </w:p>
                  </w:txbxContent>
                </v:textbox>
                <w10:wrap anchorx="page"/>
              </v:shape>
            </w:pict>
          </mc:Fallback>
        </mc:AlternateContent>
      </w:r>
      <w:r>
        <w:drawing>
          <wp:anchor distT="972185" distB="1426845" distL="0" distR="0" simplePos="0" relativeHeight="125829383" behindDoc="0" locked="0" layoutInCell="1" allowOverlap="1">
            <wp:simplePos x="0" y="0"/>
            <wp:positionH relativeFrom="page">
              <wp:posOffset>5878195</wp:posOffset>
            </wp:positionH>
            <wp:positionV relativeFrom="paragraph">
              <wp:posOffset>972185</wp:posOffset>
            </wp:positionV>
            <wp:extent cx="347345" cy="48768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347345" cy="487680"/>
                    </a:xfrm>
                    <a:prstGeom prst="rect"/>
                  </pic:spPr>
                </pic:pic>
              </a:graphicData>
            </a:graphic>
          </wp:anchor>
        </w:drawing>
      </w:r>
      <w:r>
        <w:drawing>
          <wp:anchor distT="2675890" distB="27940" distL="0" distR="0" simplePos="0" relativeHeight="125829384" behindDoc="0" locked="0" layoutInCell="1" allowOverlap="1">
            <wp:simplePos x="0" y="0"/>
            <wp:positionH relativeFrom="page">
              <wp:posOffset>5960110</wp:posOffset>
            </wp:positionH>
            <wp:positionV relativeFrom="paragraph">
              <wp:posOffset>2675890</wp:posOffset>
            </wp:positionV>
            <wp:extent cx="213360" cy="18288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3"/>
                    <a:stretch/>
                  </pic:blipFill>
                  <pic:spPr>
                    <a:xfrm>
                      <a:ext cx="213360" cy="182880"/>
                    </a:xfrm>
                    <a:prstGeom prst="rect"/>
                  </pic:spPr>
                </pic:pic>
              </a:graphicData>
            </a:graphic>
          </wp:anchor>
        </w:drawing>
      </w:r>
    </w:p>
    <w:p>
      <w:pPr>
        <w:pStyle w:val="Style44"/>
        <w:keepNext w:val="0"/>
        <w:keepLines w:val="0"/>
        <w:widowControl w:val="0"/>
        <w:shd w:val="clear" w:color="auto" w:fill="auto"/>
        <w:tabs>
          <w:tab w:pos="590" w:val="left"/>
        </w:tabs>
        <w:bidi w:val="0"/>
        <w:spacing w:before="0" w:after="0" w:line="467" w:lineRule="exact"/>
        <w:ind w:left="0" w:right="0" w:firstLine="0"/>
        <w:jc w:val="center"/>
      </w:pPr>
      <w:r>
        <w:rPr>
          <w:b/>
          <w:bCs/>
          <w:color w:val="000000"/>
          <w:spacing w:val="0"/>
          <w:w w:val="100"/>
          <w:position w:val="0"/>
        </w:rPr>
        <w:t>图2</w:t>
        <w:tab/>
        <w:t>“乾坤”大数据操作系统图谱</w:t>
      </w:r>
    </w:p>
    <w:p>
      <w:pPr>
        <w:pStyle w:val="Style4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公司参与国家部委大数据标准制定，并在若干一线省市建设大数据平台，在技术和市场份额上获得持 续突破。公司已先后成立了广东大数据研究院、北京大数据研究院，西南大数据研究院分院，专攻大数据 相关技术的研究，推进行业及政务大数据重点项目的建设及落地，巩固市场地位，并依托人工智能技术， 深入挖掘大数据的核心价值，实现大数据智能化高端应用。此外，作为国内大数据智能化领域专家，公司 于2020年3月承办了厦门市大数据职称评审工作，为培养造就素质优良、结构合理、充满活力的大数据和 人工智能技术人才队伍，客观、公平、科学地评价大数据技术人才的能力和水平，为公司和厦门市大数据 和人工智能产业群落发展提供了强有力的支撑。</w:t>
      </w:r>
    </w:p>
    <w:p>
      <w:pPr>
        <w:pStyle w:val="Style44"/>
        <w:keepNext w:val="0"/>
        <w:keepLines w:val="0"/>
        <w:widowControl w:val="0"/>
        <w:shd w:val="clear" w:color="auto" w:fill="auto"/>
        <w:bidi w:val="0"/>
        <w:spacing w:before="0" w:after="0" w:line="467" w:lineRule="exact"/>
        <w:ind w:left="0" w:right="0" w:firstLine="420"/>
        <w:jc w:val="both"/>
      </w:pPr>
      <w:r>
        <w:rPr>
          <w:b/>
          <w:bCs/>
          <w:color w:val="000000"/>
          <w:spacing w:val="0"/>
          <w:w w:val="100"/>
          <w:position w:val="0"/>
        </w:rPr>
        <w:t>新型智慧城市（城市大脑）：</w:t>
      </w:r>
      <w:r>
        <w:rPr>
          <w:color w:val="000000"/>
          <w:spacing w:val="0"/>
          <w:w w:val="100"/>
          <w:position w:val="0"/>
        </w:rPr>
        <w:t>新型智慧城市是“数字政府+城市大脑”的组合，数字政府强调跨层级、 跨地域、跨系统、跨部门、跨业务，城市大脑强调网络协同和数据智能。公司所从事的新型智慧城市，主 要是基于城市数据资源，打破数据壁垒，实现数据互通互联，对城市进行全局的即时分析，了解城市现状 问题和变化情况，有效调配公共资源，形成“全时段、全区域、自动化、多途径”的公共服务便捷体系社 会治理协同体系，推动城市可持续发展。通过城市大脑赋能建设全面物联、充分整合、激励创新、协同运 作的新型智慧城市，协助提升政务服务水平，提高市民生活品质，带动产业经济发展。</w:t>
      </w:r>
    </w:p>
    <w:p>
      <w:pPr>
        <w:pStyle w:val="Style44"/>
        <w:keepNext w:val="0"/>
        <w:keepLines w:val="0"/>
        <w:widowControl w:val="0"/>
        <w:shd w:val="clear" w:color="auto" w:fill="auto"/>
        <w:bidi w:val="0"/>
        <w:spacing w:before="0" w:after="240" w:line="467" w:lineRule="exact"/>
        <w:ind w:left="0" w:right="0" w:firstLine="420"/>
        <w:jc w:val="both"/>
      </w:pPr>
      <w:r>
        <w:rPr>
          <w:color w:val="000000"/>
          <w:spacing w:val="0"/>
          <w:w w:val="100"/>
          <w:position w:val="0"/>
        </w:rPr>
        <w:t>2020年8月，公司正式成立新型智慧城市事业部，将围绕公司对新型智慧城市板块的发展思路积极拓 展业务，从顶层规划入手，以大数据治理、人工智能和装备制造等核心技术为基础，依托城市公共安全平 台、公安大数据、应急大数据等项目经验和技术，设计</w:t>
      </w:r>
      <w:r>
        <w:rPr>
          <w:color w:val="000000"/>
          <w:spacing w:val="0"/>
          <w:w w:val="100"/>
          <w:position w:val="0"/>
        </w:rPr>
        <w:t>“1+5+N</w:t>
      </w:r>
      <w:r>
        <w:rPr>
          <w:color w:val="000000"/>
          <w:spacing w:val="0"/>
          <w:w w:val="100"/>
          <w:position w:val="0"/>
        </w:rPr>
        <w:t>”顶规方案，即做强1个城市大脑中枢，做 好5大运营中心，集成</w:t>
      </w:r>
      <w:r>
        <w:rPr>
          <w:color w:val="000000"/>
          <w:spacing w:val="0"/>
          <w:w w:val="100"/>
          <w:position w:val="0"/>
        </w:rPr>
        <w:t>N</w:t>
      </w:r>
      <w:r>
        <w:rPr>
          <w:color w:val="000000"/>
          <w:spacing w:val="0"/>
          <w:w w:val="100"/>
          <w:position w:val="0"/>
        </w:rPr>
        <w:t xml:space="preserve">个智慧场景，涵盖智慧应急、社会治理、智慧便民、智慧公安等。2020年12月，公 司与国投智能、中国电子工程设计院有限公司三方联合成立的国投智慧城市创新研究院获批设立，并于 2021年3月在厦门揭牌。国投智慧城市创新研究院主要负责跟踪新型智慧城市发展趋势，围绕新型智慧城 </w:t>
      </w:r>
      <w:r>
        <w:rPr>
          <w:color w:val="000000"/>
          <w:spacing w:val="0"/>
          <w:w w:val="100"/>
          <w:position w:val="0"/>
        </w:rPr>
        <w:t>市领域顶层设计、技术前沿、工程基础技术、智能应用场景、系统和功能架构、运营维护等方面开展研究。</w:t>
      </w:r>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抢抓新基建和新型智慧城市发展机遇期，打造服务新型智慧城市的生态体系。</w:t>
      </w:r>
    </w:p>
    <w:p>
      <w:pPr>
        <w:widowControl w:val="0"/>
        <w:jc w:val="center"/>
        <w:rPr>
          <w:sz w:val="2"/>
          <w:szCs w:val="2"/>
        </w:rPr>
      </w:pPr>
      <w:r>
        <w:drawing>
          <wp:inline>
            <wp:extent cx="5480050" cy="294449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stretch/>
                  </pic:blipFill>
                  <pic:spPr>
                    <a:xfrm>
                      <a:ext cx="5480050" cy="2944495"/>
                    </a:xfrm>
                    <a:prstGeom prst="rect"/>
                  </pic:spPr>
                </pic:pic>
              </a:graphicData>
            </a:graphic>
          </wp:inline>
        </w:drawing>
      </w:r>
    </w:p>
    <w:p>
      <w:pPr>
        <w:pStyle w:val="Style41"/>
        <w:keepNext w:val="0"/>
        <w:keepLines w:val="0"/>
        <w:widowControl w:val="0"/>
        <w:shd w:val="clear" w:color="auto" w:fill="auto"/>
        <w:bidi w:val="0"/>
        <w:spacing w:before="0" w:after="0" w:line="240" w:lineRule="auto"/>
        <w:ind w:left="3470" w:right="0" w:firstLine="0"/>
        <w:jc w:val="left"/>
        <w:rPr>
          <w:sz w:val="20"/>
          <w:szCs w:val="20"/>
        </w:rPr>
      </w:pPr>
      <w:r>
        <w:rPr>
          <w:rFonts w:ascii="SimSun" w:eastAsia="SimSun" w:hAnsi="SimSun" w:cs="SimSun"/>
          <w:b/>
          <w:bCs/>
          <w:color w:val="000000"/>
          <w:spacing w:val="0"/>
          <w:w w:val="100"/>
          <w:position w:val="0"/>
          <w:sz w:val="20"/>
          <w:szCs w:val="20"/>
        </w:rPr>
        <w:t>图3城市大脑架构</w:t>
      </w:r>
    </w:p>
    <w:p>
      <w:pPr>
        <w:pStyle w:val="Style44"/>
        <w:keepNext w:val="0"/>
        <w:keepLines w:val="0"/>
        <w:widowControl w:val="0"/>
        <w:shd w:val="clear" w:color="auto" w:fill="auto"/>
        <w:tabs>
          <w:tab w:pos="961" w:val="left"/>
        </w:tabs>
        <w:bidi w:val="0"/>
        <w:spacing w:before="0" w:after="0" w:line="469"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3）</w:t>
        <w:tab/>
        <w:t>网络开源情报：</w:t>
      </w:r>
      <w:r>
        <w:rPr>
          <w:color w:val="000000"/>
          <w:spacing w:val="0"/>
          <w:w w:val="100"/>
          <w:position w:val="0"/>
        </w:rPr>
        <w:t>依托公司超级计算中心，充分发挥“大数据平台”的资源优势，利用人工智能、 知识图谱与自然语言处理等技术，实现从采集、刻画、应对及评估为一体的产品体系，形成有效的业务闭 环，为客户的数据分析、战略决策、危机应对提供了支撑。为网络空间安全治理提供网络舆情分析、金融 风险监测、网络市场监督、社会信用综合服务等解决方案。</w:t>
      </w:r>
    </w:p>
    <w:p>
      <w:pPr>
        <w:pStyle w:val="Style44"/>
        <w:keepNext w:val="0"/>
        <w:keepLines w:val="0"/>
        <w:widowControl w:val="0"/>
        <w:shd w:val="clear" w:color="auto" w:fill="auto"/>
        <w:tabs>
          <w:tab w:pos="966" w:val="left"/>
        </w:tabs>
        <w:bidi w:val="0"/>
        <w:spacing w:before="0" w:after="0" w:line="469"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4）</w:t>
        <w:tab/>
        <w:t>智能装备制造：</w:t>
      </w:r>
      <w:r>
        <w:rPr>
          <w:color w:val="000000"/>
          <w:spacing w:val="0"/>
          <w:w w:val="100"/>
          <w:position w:val="0"/>
        </w:rPr>
        <w:t>实现由“制造”向“智造”转变。依托行业大数据平台和行业应用场景需求， 为客户提供专项及定制化设备，如智能自助设备、移动警务终端、各类便民自助设备、对接大数据资源的 警用工作台等；基于社会治理所需的智能感知设备，提供智能交通、行业机器人等行业特需装备；未来将 实现设计到制造的全流程信息化、自动化，提升柔性制造能力，应对多样化、定制化需求，向“工业互联 网”智能制造方向迈进。实现从助力执法部门打击犯罪延伸到社会治理后，又进一步延伸到社会服务。</w:t>
      </w:r>
    </w:p>
    <w:p>
      <w:pPr>
        <w:pStyle w:val="Style44"/>
        <w:keepNext w:val="0"/>
        <w:keepLines w:val="0"/>
        <w:widowControl w:val="0"/>
        <w:shd w:val="clear" w:color="auto" w:fill="auto"/>
        <w:bidi w:val="0"/>
        <w:spacing w:before="0" w:after="180" w:line="469" w:lineRule="exact"/>
        <w:ind w:left="0" w:right="0" w:firstLine="440"/>
        <w:jc w:val="both"/>
        <w:sectPr>
          <w:footnotePr>
            <w:pos w:val="pageBottom"/>
            <w:numFmt w:val="decimal"/>
            <w:numRestart w:val="continuous"/>
          </w:footnotePr>
          <w:pgSz w:w="11900" w:h="16840"/>
          <w:pgMar w:top="1326" w:right="1002" w:bottom="1408" w:left="1111" w:header="0" w:footer="3" w:gutter="0"/>
          <w:cols w:space="720"/>
          <w:noEndnote/>
          <w:rtlGutter w:val="0"/>
          <w:docGrid w:linePitch="360"/>
        </w:sectPr>
      </w:pPr>
      <w:r>
        <w:rPr>
          <w:color w:val="000000"/>
          <w:spacing w:val="0"/>
          <w:w w:val="100"/>
          <w:position w:val="0"/>
        </w:rPr>
        <w:t>公司已建立智能装备创新中心，以产品创新速度为中心，打造快速设计、打样与制造的模式，提供开 放式的硬件平台，推出智能化警务终端、车载及移动装备、警用机器人、无人机及无人机反制设备，并于 疫情期间推出智能防疫设备和防疫版机器人。全资子公司珠海新德汇陆续推出了一系列涵盖出入境办证业 务、车管业务、户政业务各个环节的自助便民设备20余款，形成了自助引导、自助拍照受理、自助办证、 自助取证等全流程，覆盖了公安三大警种，目前自助方案已在广东、南京、云南、福建、山西、广西、河 南、重庆等多个省市上线应用，实现高频政务服务“就近可办、多点可办”和24小时不打烊，民众可以更 好地享受到“数字政府”建设和“互联网+政务服务”发展成果。</w:t>
      </w:r>
    </w:p>
    <w:p>
      <w:pPr>
        <w:widowControl w:val="0"/>
        <w:spacing w:line="1" w:lineRule="exact"/>
      </w:pPr>
      <w:r>
        <w:drawing>
          <wp:anchor distT="0" distB="545465" distL="0" distR="0" simplePos="0" relativeHeight="125829385" behindDoc="0" locked="0" layoutInCell="1" allowOverlap="1">
            <wp:simplePos x="0" y="0"/>
            <wp:positionH relativeFrom="page">
              <wp:posOffset>1694180</wp:posOffset>
            </wp:positionH>
            <wp:positionV relativeFrom="paragraph">
              <wp:posOffset>0</wp:posOffset>
            </wp:positionV>
            <wp:extent cx="4346575" cy="317627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7"/>
                    <a:stretch/>
                  </pic:blipFill>
                  <pic:spPr>
                    <a:xfrm>
                      <a:ext cx="4346575" cy="31762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5238750</wp:posOffset>
                </wp:positionH>
                <wp:positionV relativeFrom="paragraph">
                  <wp:posOffset>2514600</wp:posOffset>
                </wp:positionV>
                <wp:extent cx="628015" cy="113030"/>
                <wp:wrapNone/>
                <wp:docPr id="35" name="Shape 35"/>
                <a:graphic xmlns:a="http://schemas.openxmlformats.org/drawingml/2006/main">
                  <a:graphicData uri="http://schemas.microsoft.com/office/word/2010/wordprocessingShape">
                    <wps:wsp>
                      <wps:cNvSpPr txBox="1"/>
                      <wps:spPr>
                        <a:xfrm>
                          <a:ext cx="628015" cy="11303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rPr>
                                <w:sz w:val="12"/>
                                <w:szCs w:val="12"/>
                              </w:rPr>
                            </w:pPr>
                            <w:r>
                              <w:rPr>
                                <w:color w:val="C56561"/>
                                <w:spacing w:val="0"/>
                                <w:w w:val="100"/>
                                <w:position w:val="0"/>
                                <w:sz w:val="12"/>
                                <w:szCs w:val="12"/>
                              </w:rPr>
                              <w:t>注区蜀努自助站</w:t>
                            </w:r>
                          </w:p>
                        </w:txbxContent>
                      </wps:txbx>
                      <wps:bodyPr lIns="0" tIns="0" rIns="0" bIns="0">
                        <a:noAutoFit/>
                      </wps:bodyPr>
                    </wps:wsp>
                  </a:graphicData>
                </a:graphic>
              </wp:anchor>
            </w:drawing>
          </mc:Choice>
          <mc:Fallback>
            <w:pict>
              <v:shape id="_x0000_s1061" type="#_x0000_t202" style="position:absolute;margin-left:412.5pt;margin-top:198.pt;width:49.450000000000003pt;height:8.9000000000000004pt;z-index:251657735;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rPr>
                          <w:sz w:val="12"/>
                          <w:szCs w:val="12"/>
                        </w:rPr>
                      </w:pPr>
                      <w:r>
                        <w:rPr>
                          <w:color w:val="C56561"/>
                          <w:spacing w:val="0"/>
                          <w:w w:val="100"/>
                          <w:position w:val="0"/>
                          <w:sz w:val="12"/>
                          <w:szCs w:val="12"/>
                        </w:rPr>
                        <w:t>注区蜀努自助站</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1785620</wp:posOffset>
                </wp:positionH>
                <wp:positionV relativeFrom="paragraph">
                  <wp:posOffset>3224530</wp:posOffset>
                </wp:positionV>
                <wp:extent cx="765175" cy="100330"/>
                <wp:wrapNone/>
                <wp:docPr id="37" name="Shape 37"/>
                <a:graphic xmlns:a="http://schemas.openxmlformats.org/drawingml/2006/main">
                  <a:graphicData uri="http://schemas.microsoft.com/office/word/2010/wordprocessingShape">
                    <wps:wsp>
                      <wps:cNvSpPr txBox="1"/>
                      <wps:spPr>
                        <a:xfrm>
                          <a:ext cx="765175" cy="10033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rPr>
                              <w:t>分别提供公安出入境、户</w:t>
                            </w:r>
                          </w:p>
                        </w:txbxContent>
                      </wps:txbx>
                      <wps:bodyPr lIns="0" tIns="0" rIns="0" bIns="0">
                        <a:noAutoFit/>
                      </wps:bodyPr>
                    </wps:wsp>
                  </a:graphicData>
                </a:graphic>
              </wp:anchor>
            </w:drawing>
          </mc:Choice>
          <mc:Fallback>
            <w:pict>
              <v:shape id="_x0000_s1063" type="#_x0000_t202" style="position:absolute;margin-left:140.59999999999999pt;margin-top:253.90000000000001pt;width:60.25pt;height:7.9000000000000004pt;z-index:25165773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rPr>
                        <w:t>分别提供公安出入境、户</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3379470</wp:posOffset>
                </wp:positionH>
                <wp:positionV relativeFrom="paragraph">
                  <wp:posOffset>3526790</wp:posOffset>
                </wp:positionV>
                <wp:extent cx="1075690" cy="191770"/>
                <wp:wrapNone/>
                <wp:docPr id="39" name="Shape 39"/>
                <a:graphic xmlns:a="http://schemas.openxmlformats.org/drawingml/2006/main">
                  <a:graphicData uri="http://schemas.microsoft.com/office/word/2010/wordprocessingShape">
                    <wps:wsp>
                      <wps:cNvSpPr txBox="1"/>
                      <wps:spPr>
                        <a:xfrm>
                          <a:ext cx="1075690" cy="19177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图</w:t>
                            </w:r>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自助便民设备</w:t>
                            </w:r>
                          </w:p>
                        </w:txbxContent>
                      </wps:txbx>
                      <wps:bodyPr lIns="0" tIns="0" rIns="0" bIns="0">
                        <a:noAutoFit/>
                      </wps:bodyPr>
                    </wps:wsp>
                  </a:graphicData>
                </a:graphic>
              </wp:anchor>
            </w:drawing>
          </mc:Choice>
          <mc:Fallback>
            <w:pict>
              <v:shape id="_x0000_s1065" type="#_x0000_t202" style="position:absolute;margin-left:266.10000000000002pt;margin-top:277.69999999999999pt;width:84.700000000000003pt;height:15.1pt;z-index:25165773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图</w:t>
                      </w:r>
                      <w:r>
                        <w:rPr>
                          <w:rFonts w:ascii="Times New Roman" w:eastAsia="Times New Roman" w:hAnsi="Times New Roman" w:cs="Times New Roman"/>
                          <w:b/>
                          <w:bCs/>
                          <w:color w:val="000000"/>
                          <w:spacing w:val="0"/>
                          <w:w w:val="100"/>
                          <w:position w:val="0"/>
                          <w:sz w:val="20"/>
                          <w:szCs w:val="20"/>
                        </w:rPr>
                        <w:t>4</w:t>
                      </w:r>
                      <w:r>
                        <w:rPr>
                          <w:rFonts w:ascii="SimSun" w:eastAsia="SimSun" w:hAnsi="SimSun" w:cs="SimSun"/>
                          <w:b/>
                          <w:bCs/>
                          <w:color w:val="000000"/>
                          <w:spacing w:val="0"/>
                          <w:w w:val="100"/>
                          <w:position w:val="0"/>
                          <w:sz w:val="20"/>
                          <w:szCs w:val="20"/>
                        </w:rPr>
                        <w:t>自助便民设备</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5199380</wp:posOffset>
                </wp:positionH>
                <wp:positionV relativeFrom="paragraph">
                  <wp:posOffset>3224530</wp:posOffset>
                </wp:positionV>
                <wp:extent cx="731520" cy="167640"/>
                <wp:wrapNone/>
                <wp:docPr id="41" name="Shape 41"/>
                <a:graphic xmlns:a="http://schemas.openxmlformats.org/drawingml/2006/main">
                  <a:graphicData uri="http://schemas.microsoft.com/office/word/2010/wordprocessingShape">
                    <wps:wsp>
                      <wps:cNvSpPr txBox="1"/>
                      <wps:spPr>
                        <a:xfrm>
                          <a:ext cx="731520" cy="167640"/>
                        </a:xfrm>
                        <a:prstGeom prst="rect"/>
                        <a:noFill/>
                      </wps:spPr>
                      <wps:txbx>
                        <w:txbxContent>
                          <w:p>
                            <w:pPr>
                              <w:pStyle w:val="Style41"/>
                              <w:keepNext w:val="0"/>
                              <w:keepLines w:val="0"/>
                              <w:widowControl w:val="0"/>
                              <w:shd w:val="clear" w:color="auto" w:fill="auto"/>
                              <w:bidi w:val="0"/>
                              <w:spacing w:before="0" w:after="0" w:line="106" w:lineRule="exact"/>
                              <w:ind w:left="0" w:right="0" w:firstLine="0"/>
                              <w:jc w:val="left"/>
                            </w:pPr>
                            <w:r>
                              <w:rPr>
                                <w:spacing w:val="0"/>
                                <w:w w:val="100"/>
                                <w:position w:val="0"/>
                              </w:rPr>
                              <w:t xml:space="preserve">根据社区规根特点建立 </w:t>
                            </w:r>
                            <w:r>
                              <w:rPr>
                                <w:color w:val="313131"/>
                                <w:spacing w:val="0"/>
                                <w:w w:val="100"/>
                                <w:position w:val="0"/>
                              </w:rPr>
                              <w:t>的</w:t>
                            </w:r>
                            <w:r>
                              <w:rPr>
                                <w:spacing w:val="0"/>
                                <w:w w:val="100"/>
                                <w:position w:val="0"/>
                              </w:rPr>
                              <w:t>公安证件办理自助站</w:t>
                            </w:r>
                          </w:p>
                        </w:txbxContent>
                      </wps:txbx>
                      <wps:bodyPr lIns="0" tIns="0" rIns="0" bIns="0">
                        <a:noAutoFit/>
                      </wps:bodyPr>
                    </wps:wsp>
                  </a:graphicData>
                </a:graphic>
              </wp:anchor>
            </w:drawing>
          </mc:Choice>
          <mc:Fallback>
            <w:pict>
              <v:shape id="_x0000_s1067" type="#_x0000_t202" style="position:absolute;margin-left:409.40000000000003pt;margin-top:253.90000000000001pt;width:57.600000000000001pt;height:13.200000000000001pt;z-index:25165774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106" w:lineRule="exact"/>
                        <w:ind w:left="0" w:right="0" w:firstLine="0"/>
                        <w:jc w:val="left"/>
                      </w:pPr>
                      <w:r>
                        <w:rPr>
                          <w:spacing w:val="0"/>
                          <w:w w:val="100"/>
                          <w:position w:val="0"/>
                        </w:rPr>
                        <w:t xml:space="preserve">根据社区规根特点建立 </w:t>
                      </w:r>
                      <w:r>
                        <w:rPr>
                          <w:color w:val="313131"/>
                          <w:spacing w:val="0"/>
                          <w:w w:val="100"/>
                          <w:position w:val="0"/>
                        </w:rPr>
                        <w:t>的</w:t>
                      </w:r>
                      <w:r>
                        <w:rPr>
                          <w:spacing w:val="0"/>
                          <w:w w:val="100"/>
                          <w:position w:val="0"/>
                        </w:rPr>
                        <w:t>公安证件办理自助站</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1779270</wp:posOffset>
                </wp:positionH>
                <wp:positionV relativeFrom="paragraph">
                  <wp:posOffset>3295015</wp:posOffset>
                </wp:positionV>
                <wp:extent cx="780415" cy="173990"/>
                <wp:wrapNone/>
                <wp:docPr id="43" name="Shape 43"/>
                <a:graphic xmlns:a="http://schemas.openxmlformats.org/drawingml/2006/main">
                  <a:graphicData uri="http://schemas.microsoft.com/office/word/2010/wordprocessingShape">
                    <wps:wsp>
                      <wps:cNvSpPr txBox="1"/>
                      <wps:spPr>
                        <a:xfrm>
                          <a:ext cx="780415" cy="1739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z w:val="8"/>
                                <w:szCs w:val="8"/>
                              </w:rPr>
                              <w:t>«</w:t>
                            </w:r>
                            <w:r>
                              <w:rPr>
                                <w:spacing w:val="0"/>
                                <w:w w:val="100"/>
                                <w:position w:val="0"/>
                              </w:rPr>
                              <w:t>时业房</w:t>
                            </w:r>
                          </w:p>
                        </w:txbxContent>
                      </wps:txbx>
                      <wps:bodyPr lIns="0" tIns="0" rIns="0" bIns="0">
                        <a:noAutoFit/>
                      </wps:bodyPr>
                    </wps:wsp>
                  </a:graphicData>
                </a:graphic>
              </wp:anchor>
            </w:drawing>
          </mc:Choice>
          <mc:Fallback>
            <w:pict>
              <v:shape id="_x0000_s1069" type="#_x0000_t202" style="position:absolute;margin-left:140.09999999999999pt;margin-top:259.44999999999999pt;width:61.450000000000003pt;height:13.700000000000001pt;z-index:251657743;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z w:val="8"/>
                          <w:szCs w:val="8"/>
                        </w:rPr>
                        <w:t>«</w:t>
                      </w:r>
                      <w:r>
                        <w:rPr>
                          <w:spacing w:val="0"/>
                          <w:w w:val="100"/>
                          <w:position w:val="0"/>
                        </w:rPr>
                        <w:t>时业房</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3489325</wp:posOffset>
                </wp:positionH>
                <wp:positionV relativeFrom="paragraph">
                  <wp:posOffset>3224530</wp:posOffset>
                </wp:positionV>
                <wp:extent cx="731520" cy="237490"/>
                <wp:wrapNone/>
                <wp:docPr id="45" name="Shape 45"/>
                <a:graphic xmlns:a="http://schemas.openxmlformats.org/drawingml/2006/main">
                  <a:graphicData uri="http://schemas.microsoft.com/office/word/2010/wordprocessingShape">
                    <wps:wsp>
                      <wps:cNvSpPr txBox="1"/>
                      <wps:spPr>
                        <a:xfrm>
                          <a:ext cx="731520" cy="237490"/>
                        </a:xfrm>
                        <a:prstGeom prst="rect"/>
                        <a:noFill/>
                      </wps:spPr>
                      <wps:txbx>
                        <w:txbxContent>
                          <w:p>
                            <w:pPr>
                              <w:pStyle w:val="Style41"/>
                              <w:keepNext w:val="0"/>
                              <w:keepLines w:val="0"/>
                              <w:widowControl w:val="0"/>
                              <w:shd w:val="clear" w:color="auto" w:fill="auto"/>
                              <w:bidi w:val="0"/>
                              <w:spacing w:before="0" w:after="0" w:line="110" w:lineRule="exact"/>
                              <w:ind w:left="0" w:right="0" w:firstLine="0"/>
                              <w:jc w:val="both"/>
                            </w:pPr>
                            <w:r>
                              <w:rPr>
                                <w:spacing w:val="0"/>
                                <w:w w:val="100"/>
                                <w:position w:val="0"/>
                              </w:rPr>
                              <w:t>根据派出所精区规模特 点建立的公安证件办理 自助室</w:t>
                            </w:r>
                          </w:p>
                        </w:txbxContent>
                      </wps:txbx>
                      <wps:bodyPr lIns="0" tIns="0" rIns="0" bIns="0">
                        <a:noAutoFit/>
                      </wps:bodyPr>
                    </wps:wsp>
                  </a:graphicData>
                </a:graphic>
              </wp:anchor>
            </w:drawing>
          </mc:Choice>
          <mc:Fallback>
            <w:pict>
              <v:shape id="_x0000_s1071" type="#_x0000_t202" style="position:absolute;margin-left:274.75pt;margin-top:253.90000000000001pt;width:57.600000000000001pt;height:18.699999999999999pt;z-index:251657745;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110" w:lineRule="exact"/>
                        <w:ind w:left="0" w:right="0" w:firstLine="0"/>
                        <w:jc w:val="both"/>
                      </w:pPr>
                      <w:r>
                        <w:rPr>
                          <w:spacing w:val="0"/>
                          <w:w w:val="100"/>
                          <w:position w:val="0"/>
                        </w:rPr>
                        <w:t>根据派出所精区规模特 点建立的公安证件办理 自助室</w:t>
                      </w:r>
                    </w:p>
                  </w:txbxContent>
                </v:textbox>
                <w10:wrap anchorx="page"/>
              </v:shape>
            </w:pict>
          </mc:Fallback>
        </mc:AlternateContent>
      </w:r>
      <w:r>
        <mc:AlternateContent>
          <mc:Choice Requires="wps">
            <w:drawing>
              <wp:anchor distT="2237105" distB="1383665" distL="0" distR="0" simplePos="0" relativeHeight="125829386" behindDoc="0" locked="0" layoutInCell="1" allowOverlap="1">
                <wp:simplePos x="0" y="0"/>
                <wp:positionH relativeFrom="page">
                  <wp:posOffset>1755140</wp:posOffset>
                </wp:positionH>
                <wp:positionV relativeFrom="paragraph">
                  <wp:posOffset>2237105</wp:posOffset>
                </wp:positionV>
                <wp:extent cx="948055" cy="97790"/>
                <wp:wrapTopAndBottom/>
                <wp:docPr id="47" name="Shape 47"/>
                <a:graphic xmlns:a="http://schemas.openxmlformats.org/drawingml/2006/main">
                  <a:graphicData uri="http://schemas.microsoft.com/office/word/2010/wordprocessingShape">
                    <wps:wsp>
                      <wps:cNvSpPr txBox="1"/>
                      <wps:spPr>
                        <a:xfrm>
                          <a:ext cx="948055"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D6D6D"/>
                                <w:spacing w:val="0"/>
                                <w:w w:val="100"/>
                                <w:position w:val="0"/>
                                <w:sz w:val="8"/>
                                <w:szCs w:val="8"/>
                              </w:rPr>
                              <w:t>舀</w:t>
                            </w:r>
                            <w:r>
                              <w:rPr>
                                <w:rFonts w:ascii="Arial" w:eastAsia="Arial" w:hAnsi="Arial" w:cs="Arial"/>
                                <w:b/>
                                <w:bCs/>
                                <w:color w:val="6D6D6D"/>
                                <w:spacing w:val="0"/>
                                <w:w w:val="100"/>
                                <w:position w:val="0"/>
                                <w:sz w:val="11"/>
                                <w:szCs w:val="11"/>
                              </w:rPr>
                              <w:t>16</w:t>
                            </w:r>
                            <w:r>
                              <w:rPr>
                                <w:rFonts w:ascii="SimHei" w:eastAsia="SimHei" w:hAnsi="SimHei" w:cs="SimHei"/>
                                <w:color w:val="6D6D6D"/>
                                <w:spacing w:val="0"/>
                                <w:w w:val="100"/>
                                <w:position w:val="0"/>
                                <w:sz w:val="8"/>
                                <w:szCs w:val="8"/>
                              </w:rPr>
                              <w:t>号办机糖人自助咨询引导机</w:t>
                            </w:r>
                          </w:p>
                        </w:txbxContent>
                      </wps:txbx>
                      <wps:bodyPr wrap="none" lIns="0" tIns="0" rIns="0" bIns="0">
                        <a:noAutoFit/>
                      </wps:bodyPr>
                    </wps:wsp>
                  </a:graphicData>
                </a:graphic>
              </wp:anchor>
            </w:drawing>
          </mc:Choice>
          <mc:Fallback>
            <w:pict>
              <v:shape id="_x0000_s1073" type="#_x0000_t202" style="position:absolute;margin-left:138.20000000000002pt;margin-top:176.15000000000001pt;width:74.650000000000006pt;height:7.7000000000000002pt;z-index:-125829367;mso-wrap-distance-left:0;mso-wrap-distance-top:176.15000000000001pt;mso-wrap-distance-right:0;mso-wrap-distance-bottom:108.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D6D6D"/>
                          <w:spacing w:val="0"/>
                          <w:w w:val="100"/>
                          <w:position w:val="0"/>
                          <w:sz w:val="8"/>
                          <w:szCs w:val="8"/>
                        </w:rPr>
                        <w:t>舀</w:t>
                      </w:r>
                      <w:r>
                        <w:rPr>
                          <w:rFonts w:ascii="Arial" w:eastAsia="Arial" w:hAnsi="Arial" w:cs="Arial"/>
                          <w:b/>
                          <w:bCs/>
                          <w:color w:val="6D6D6D"/>
                          <w:spacing w:val="0"/>
                          <w:w w:val="100"/>
                          <w:position w:val="0"/>
                          <w:sz w:val="11"/>
                          <w:szCs w:val="11"/>
                        </w:rPr>
                        <w:t>16</w:t>
                      </w:r>
                      <w:r>
                        <w:rPr>
                          <w:rFonts w:ascii="SimHei" w:eastAsia="SimHei" w:hAnsi="SimHei" w:cs="SimHei"/>
                          <w:color w:val="6D6D6D"/>
                          <w:spacing w:val="0"/>
                          <w:w w:val="100"/>
                          <w:position w:val="0"/>
                          <w:sz w:val="8"/>
                          <w:szCs w:val="8"/>
                        </w:rPr>
                        <w:t>号办机糖人自助咨询引导机</w:t>
                      </w:r>
                    </w:p>
                  </w:txbxContent>
                </v:textbox>
                <w10:wrap type="topAndBottom" anchorx="page"/>
              </v:shape>
            </w:pict>
          </mc:Fallback>
        </mc:AlternateContent>
      </w:r>
      <w:r>
        <mc:AlternateContent>
          <mc:Choice Requires="wps">
            <w:drawing>
              <wp:anchor distT="2514600" distB="1090930" distL="0" distR="0" simplePos="0" relativeHeight="125829388" behindDoc="0" locked="0" layoutInCell="1" allowOverlap="1">
                <wp:simplePos x="0" y="0"/>
                <wp:positionH relativeFrom="page">
                  <wp:posOffset>1849755</wp:posOffset>
                </wp:positionH>
                <wp:positionV relativeFrom="paragraph">
                  <wp:posOffset>2514600</wp:posOffset>
                </wp:positionV>
                <wp:extent cx="631190" cy="113030"/>
                <wp:wrapTopAndBottom/>
                <wp:docPr id="49" name="Shape 49"/>
                <a:graphic xmlns:a="http://schemas.openxmlformats.org/drawingml/2006/main">
                  <a:graphicData uri="http://schemas.microsoft.com/office/word/2010/wordprocessingShape">
                    <wps:wsp>
                      <wps:cNvSpPr txBox="1"/>
                      <wps:spPr>
                        <a:xfrm>
                          <a:ext cx="63119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C56561"/>
                                <w:spacing w:val="0"/>
                                <w:w w:val="100"/>
                                <w:position w:val="0"/>
                                <w:sz w:val="12"/>
                                <w:szCs w:val="12"/>
                              </w:rPr>
                              <w:t>专业警务自助厅</w:t>
                            </w:r>
                          </w:p>
                        </w:txbxContent>
                      </wps:txbx>
                      <wps:bodyPr wrap="none" lIns="0" tIns="0" rIns="0" bIns="0">
                        <a:noAutoFit/>
                      </wps:bodyPr>
                    </wps:wsp>
                  </a:graphicData>
                </a:graphic>
              </wp:anchor>
            </w:drawing>
          </mc:Choice>
          <mc:Fallback>
            <w:pict>
              <v:shape id="_x0000_s1075" type="#_x0000_t202" style="position:absolute;margin-left:145.65000000000001pt;margin-top:198.pt;width:49.700000000000003pt;height:8.9000000000000004pt;z-index:-125829365;mso-wrap-distance-left:0;mso-wrap-distance-top:198.pt;mso-wrap-distance-right:0;mso-wrap-distance-bottom:85.9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C56561"/>
                          <w:spacing w:val="0"/>
                          <w:w w:val="100"/>
                          <w:position w:val="0"/>
                          <w:sz w:val="12"/>
                          <w:szCs w:val="12"/>
                        </w:rPr>
                        <w:t>专业警务自助厅</w:t>
                      </w:r>
                    </w:p>
                  </w:txbxContent>
                </v:textbox>
                <w10:wrap type="topAndBottom" anchorx="page"/>
              </v:shape>
            </w:pict>
          </mc:Fallback>
        </mc:AlternateContent>
      </w:r>
    </w:p>
    <w:p>
      <w:pPr>
        <w:pStyle w:val="Style56"/>
        <w:keepNext w:val="0"/>
        <w:keepLines w:val="0"/>
        <w:widowControl w:val="0"/>
        <w:shd w:val="clear" w:color="auto" w:fill="auto"/>
        <w:bidi w:val="0"/>
        <w:spacing w:before="0" w:after="0" w:line="240" w:lineRule="auto"/>
        <w:ind w:left="0" w:right="0"/>
        <w:jc w:val="left"/>
      </w:pPr>
      <w:r>
        <w:rPr>
          <w:b/>
          <w:bCs/>
          <w:color w:val="000000"/>
          <w:spacing w:val="0"/>
          <w:w w:val="100"/>
          <w:position w:val="0"/>
          <w:sz w:val="24"/>
          <w:szCs w:val="24"/>
        </w:rPr>
        <w:t>3</w:t>
      </w:r>
      <w:r>
        <w:rPr>
          <w:b/>
          <w:bCs/>
          <w:color w:val="000000"/>
          <w:spacing w:val="0"/>
          <w:w w:val="100"/>
          <w:position w:val="0"/>
          <w:sz w:val="24"/>
          <w:szCs w:val="24"/>
        </w:rPr>
        <w:t>、公司经营模式</w:t>
      </w:r>
    </w:p>
    <w:p>
      <w:pPr>
        <w:widowControl w:val="0"/>
        <w:spacing w:line="1" w:lineRule="exact"/>
        <w:sectPr>
          <w:footnotePr>
            <w:pos w:val="pageBottom"/>
            <w:numFmt w:val="decimal"/>
            <w:numRestart w:val="continuous"/>
          </w:footnotePr>
          <w:pgSz w:w="11900" w:h="16840"/>
          <w:pgMar w:top="1518" w:right="995" w:bottom="1446" w:left="1526" w:header="0" w:footer="3" w:gutter="0"/>
          <w:cols w:space="720"/>
          <w:noEndnote/>
          <w:rtlGutter w:val="0"/>
          <w:docGrid w:linePitch="360"/>
        </w:sectPr>
      </w:pPr>
      <w:r>
        <mc:AlternateContent>
          <mc:Choice Requires="wps">
            <w:drawing>
              <wp:anchor distT="76200" distB="3175" distL="0" distR="0" simplePos="0" relativeHeight="125829390" behindDoc="0" locked="0" layoutInCell="1" allowOverlap="1">
                <wp:simplePos x="0" y="0"/>
                <wp:positionH relativeFrom="page">
                  <wp:posOffset>1279525</wp:posOffset>
                </wp:positionH>
                <wp:positionV relativeFrom="paragraph">
                  <wp:posOffset>76200</wp:posOffset>
                </wp:positionV>
                <wp:extent cx="3398520" cy="186055"/>
                <wp:wrapTopAndBottom/>
                <wp:docPr id="51" name="Shape 51"/>
                <a:graphic xmlns:a="http://schemas.openxmlformats.org/drawingml/2006/main">
                  <a:graphicData uri="http://schemas.microsoft.com/office/word/2010/wordprocessingShape">
                    <wps:wsp>
                      <wps:cNvSpPr txBox="1"/>
                      <wps:spPr>
                        <a:xfrm>
                          <a:ext cx="3398520" cy="18605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公司主要客户为国内各级司法机关和行政执法部门</w:t>
                            </w:r>
                          </w:p>
                        </w:txbxContent>
                      </wps:txbx>
                      <wps:bodyPr wrap="none" lIns="0" tIns="0" rIns="0" bIns="0">
                        <a:noAutoFit/>
                      </wps:bodyPr>
                    </wps:wsp>
                  </a:graphicData>
                </a:graphic>
              </wp:anchor>
            </w:drawing>
          </mc:Choice>
          <mc:Fallback>
            <w:pict>
              <v:shape id="_x0000_s1077" type="#_x0000_t202" style="position:absolute;margin-left:100.75pt;margin-top:6.pt;width:267.60000000000002pt;height:14.65pt;z-index:-125829363;mso-wrap-distance-left:0;mso-wrap-distance-top:6.pt;mso-wrap-distance-right:0;mso-wrap-distance-bottom:0.25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公司主要客户为国内各级司法机关和行政执法部门</w:t>
                      </w:r>
                    </w:p>
                  </w:txbxContent>
                </v:textbox>
                <w10:wrap type="topAndBottom" anchorx="page"/>
              </v:shape>
            </w:pict>
          </mc:Fallback>
        </mc:AlternateContent>
      </w:r>
      <w:r>
        <mc:AlternateContent>
          <mc:Choice Requires="wps">
            <w:drawing>
              <wp:anchor distT="76200" distB="0" distL="0" distR="0" simplePos="0" relativeHeight="125829392" behindDoc="0" locked="0" layoutInCell="1" allowOverlap="1">
                <wp:simplePos x="0" y="0"/>
                <wp:positionH relativeFrom="page">
                  <wp:posOffset>4824095</wp:posOffset>
                </wp:positionH>
                <wp:positionV relativeFrom="paragraph">
                  <wp:posOffset>76200</wp:posOffset>
                </wp:positionV>
                <wp:extent cx="2023745" cy="189230"/>
                <wp:wrapTopAndBottom/>
                <wp:docPr id="53" name="Shape 53"/>
                <a:graphic xmlns:a="http://schemas.openxmlformats.org/drawingml/2006/main">
                  <a:graphicData uri="http://schemas.microsoft.com/office/word/2010/wordprocessingShape">
                    <wps:wsp>
                      <wps:cNvSpPr txBox="1"/>
                      <wps:spPr>
                        <a:xfrm>
                          <a:ext cx="2023745" cy="1892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为其实现社会治理和政务信息</w:t>
                            </w:r>
                          </w:p>
                        </w:txbxContent>
                      </wps:txbx>
                      <wps:bodyPr wrap="none" lIns="0" tIns="0" rIns="0" bIns="0">
                        <a:noAutoFit/>
                      </wps:bodyPr>
                    </wps:wsp>
                  </a:graphicData>
                </a:graphic>
              </wp:anchor>
            </w:drawing>
          </mc:Choice>
          <mc:Fallback>
            <w:pict>
              <v:shape id="_x0000_s1079" type="#_x0000_t202" style="position:absolute;margin-left:379.85000000000002pt;margin-top:6.pt;width:159.34999999999999pt;height:14.9pt;z-index:-125829361;mso-wrap-distance-left:0;mso-wrap-distance-top:6.pt;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为其实现社会治理和政务信息</w:t>
                      </w:r>
                    </w:p>
                  </w:txbxContent>
                </v:textbox>
                <w10:wrap type="topAndBottom" anchorx="page"/>
              </v:shape>
            </w:pict>
          </mc:Fallback>
        </mc:AlternateContent>
      </w:r>
    </w:p>
    <w:p>
      <w:pPr>
        <w:widowControl w:val="0"/>
        <w:spacing w:line="90" w:lineRule="exact"/>
        <w:rPr>
          <w:sz w:val="7"/>
          <w:szCs w:val="7"/>
        </w:rPr>
      </w:pPr>
    </w:p>
    <w:p>
      <w:pPr>
        <w:widowControl w:val="0"/>
        <w:spacing w:line="1" w:lineRule="exact"/>
        <w:sectPr>
          <w:footnotePr>
            <w:pos w:val="pageBottom"/>
            <w:numFmt w:val="decimal"/>
            <w:numRestart w:val="continuous"/>
          </w:footnotePr>
          <w:type w:val="continuous"/>
          <w:pgSz w:w="11900" w:h="16840"/>
          <w:pgMar w:top="1258" w:right="0" w:bottom="1445" w:left="0" w:header="0" w:footer="3" w:gutter="0"/>
          <w:cols w:space="720"/>
          <w:noEndnote/>
          <w:rtlGutter w:val="0"/>
          <w:docGrid w:linePitch="360"/>
        </w:sectPr>
      </w:pPr>
    </w:p>
    <w:p>
      <w:pPr>
        <w:pStyle w:val="Style56"/>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 xml:space="preserve">化服务，提供网络空间安全及大数据智能化等产品及服务。公司坚持自主研发，主要产 </w:t>
      </w:r>
      <w:r>
        <w:rPr>
          <w:color w:val="000000"/>
          <w:spacing w:val="0"/>
          <w:w w:val="100"/>
          <w:position w:val="0"/>
          <w:sz w:val="24"/>
          <w:szCs w:val="24"/>
        </w:rPr>
        <w:t xml:space="preserve">品的核心软件具有自主知识产权，项目及产品涉及的硬件以及小部分通用型软件模块通 </w:t>
      </w:r>
      <w:r>
        <w:rPr>
          <w:color w:val="000000"/>
          <w:spacing w:val="0"/>
          <w:w w:val="100"/>
          <w:position w:val="0"/>
          <w:sz w:val="24"/>
          <w:szCs w:val="24"/>
        </w:rPr>
        <w:t xml:space="preserve">过外部采购的方式。公司建立营销服务网络为客户提供高质量服务，通过销售环节不断 </w:t>
      </w:r>
      <w:r>
        <w:rPr>
          <w:color w:val="000000"/>
          <w:spacing w:val="0"/>
          <w:w w:val="100"/>
          <w:position w:val="0"/>
          <w:sz w:val="24"/>
          <w:szCs w:val="24"/>
        </w:rPr>
        <w:t xml:space="preserve">反馈市场的需求动态，指导公司产品研发部门进一步针对市场需求对技术进行改造和积 </w:t>
      </w:r>
      <w:r>
        <w:rPr>
          <w:color w:val="000000"/>
          <w:spacing w:val="0"/>
          <w:w w:val="100"/>
          <w:position w:val="0"/>
          <w:sz w:val="24"/>
          <w:szCs w:val="24"/>
        </w:rPr>
        <w:t>累。</w:t>
      </w:r>
    </w:p>
    <w:p>
      <w:pPr>
        <w:pStyle w:val="Style56"/>
        <w:keepNext w:val="0"/>
        <w:keepLines w:val="0"/>
        <w:widowControl w:val="0"/>
        <w:shd w:val="clear" w:color="auto" w:fill="auto"/>
        <w:bidi w:val="0"/>
        <w:spacing w:before="0" w:after="0"/>
        <w:ind w:left="0" w:right="0"/>
        <w:jc w:val="left"/>
      </w:pPr>
      <w:r>
        <w:rPr>
          <w:color w:val="000000"/>
          <w:spacing w:val="0"/>
          <w:w w:val="100"/>
          <w:position w:val="0"/>
          <w:sz w:val="24"/>
          <w:szCs w:val="24"/>
        </w:rPr>
        <w:t>公司研发模式、采购模式、生产模式和销售模式如下：</w:t>
      </w:r>
    </w:p>
    <w:p>
      <w:pPr>
        <w:pStyle w:val="Style56"/>
        <w:keepNext w:val="0"/>
        <w:keepLines w:val="0"/>
        <w:widowControl w:val="0"/>
        <w:shd w:val="clear" w:color="auto" w:fill="auto"/>
        <w:bidi w:val="0"/>
        <w:spacing w:before="0" w:after="0"/>
        <w:ind w:left="0" w:right="0"/>
        <w:jc w:val="both"/>
      </w:pPr>
      <w:bookmarkStart w:id="65" w:name="bookmark65"/>
      <w:r>
        <w:rPr>
          <w:b/>
          <w:bCs/>
          <w:color w:val="000000"/>
          <w:spacing w:val="0"/>
          <w:w w:val="100"/>
          <w:position w:val="0"/>
          <w:sz w:val="24"/>
          <w:szCs w:val="24"/>
        </w:rPr>
        <w:t>（</w:t>
      </w:r>
      <w:bookmarkEnd w:id="65"/>
      <w:r>
        <w:rPr>
          <w:b/>
          <w:bCs/>
          <w:color w:val="000000"/>
          <w:spacing w:val="0"/>
          <w:w w:val="100"/>
          <w:position w:val="0"/>
          <w:sz w:val="24"/>
          <w:szCs w:val="24"/>
        </w:rPr>
        <w:t>1</w:t>
      </w:r>
      <w:r>
        <w:rPr>
          <w:b/>
          <w:bCs/>
          <w:color w:val="000000"/>
          <w:spacing w:val="0"/>
          <w:w w:val="100"/>
          <w:position w:val="0"/>
          <w:sz w:val="24"/>
          <w:szCs w:val="24"/>
        </w:rPr>
        <w:t>）研发模式</w:t>
      </w:r>
    </w:p>
    <w:p>
      <w:pPr>
        <w:pStyle w:val="Style56"/>
        <w:keepNext w:val="0"/>
        <w:keepLines w:val="0"/>
        <w:widowControl w:val="0"/>
        <w:shd w:val="clear" w:color="auto" w:fill="auto"/>
        <w:bidi w:val="0"/>
        <w:spacing w:before="0" w:after="0"/>
        <w:ind w:left="0" w:right="0"/>
        <w:jc w:val="both"/>
      </w:pPr>
      <w:r>
        <w:rPr>
          <w:color w:val="000000"/>
          <w:spacing w:val="0"/>
          <w:w w:val="100"/>
          <w:position w:val="0"/>
          <w:sz w:val="24"/>
          <w:szCs w:val="24"/>
        </w:rPr>
        <w:t>公司始终以国内外前沿技术为导向和目标，积极开发、引进、消化和吸收适用的先 进技术和先进标准，提高公司技术创新能力。公司设有大数据与智能平台研究院、电子 数据取证与智能装备研究院及开源情报与应用研究院，同时在北京、广州、西安等地设 有研发基地，负责电子数据取证、大数据信息化、网络空间安全、开源情报和智能装备 制造等相关产品和技术的研发与管理，并设立了技术管理委员会，负责集团技术管理和 服务工作。</w:t>
      </w:r>
    </w:p>
    <w:p>
      <w:pPr>
        <w:pStyle w:val="Style56"/>
        <w:keepNext w:val="0"/>
        <w:keepLines w:val="0"/>
        <w:widowControl w:val="0"/>
        <w:shd w:val="clear" w:color="auto" w:fill="auto"/>
        <w:bidi w:val="0"/>
        <w:spacing w:before="0" w:line="485" w:lineRule="exact"/>
        <w:ind w:left="0" w:right="0"/>
        <w:jc w:val="both"/>
      </w:pPr>
      <w:r>
        <w:rPr>
          <w:color w:val="000000"/>
          <w:spacing w:val="0"/>
          <w:w w:val="100"/>
          <w:position w:val="0"/>
          <w:sz w:val="24"/>
          <w:szCs w:val="24"/>
        </w:rPr>
        <w:t>在技术研发模式上，公司主要采用</w:t>
      </w:r>
      <w:r>
        <w:rPr>
          <w:color w:val="000000"/>
          <w:spacing w:val="0"/>
          <w:w w:val="100"/>
          <w:position w:val="0"/>
          <w:sz w:val="24"/>
          <w:szCs w:val="24"/>
        </w:rPr>
        <w:t>NPI. CMMI</w:t>
      </w:r>
      <w:r>
        <w:rPr>
          <w:color w:val="000000"/>
          <w:spacing w:val="0"/>
          <w:w w:val="100"/>
          <w:position w:val="0"/>
          <w:sz w:val="24"/>
          <w:szCs w:val="24"/>
        </w:rPr>
        <w:t xml:space="preserve">等研发管理流程。始终以市场为导向， 以客户为中心，建立客户需求反馈渠道，梳理和规范开发流程，提高产品研发效率和产 </w:t>
      </w:r>
      <w:r>
        <w:rPr>
          <w:color w:val="000000"/>
          <w:spacing w:val="0"/>
          <w:w w:val="100"/>
          <w:position w:val="0"/>
          <w:sz w:val="24"/>
          <w:szCs w:val="24"/>
        </w:rPr>
        <w:t>品质量，提高客户满意度。公司产品型项目研发过程分为规划、概念、启动、研发实施、 发布、结项、维护阶段七个阶段；合同型项目研发过程分为规划、售前、启动、研发实 施、试运行、验收、维护七个阶段。研发实施阶段主要指软硬件开发过程中的需求分析、 设计、编码、样机制作、测试等过程，具体产品的研发实施过程，可根据产品的特点在 启动阶段进行裁剪。通过前期的需求分析规划及概念框架设计，确保研发的产品符合市 场实际需求并具有广阔应用前景和较强的技术竞争力；通过产品的研发实施和试运行， 确保产品质量以及功能满足市场需求。</w:t>
      </w:r>
    </w:p>
    <w:p>
      <w:pPr>
        <w:pStyle w:val="Style56"/>
        <w:keepNext w:val="0"/>
        <w:keepLines w:val="0"/>
        <w:widowControl w:val="0"/>
        <w:shd w:val="clear" w:color="auto" w:fill="auto"/>
        <w:tabs>
          <w:tab w:pos="1475" w:val="left"/>
        </w:tabs>
        <w:bidi w:val="0"/>
        <w:spacing w:before="0" w:line="468" w:lineRule="exact"/>
        <w:ind w:left="0" w:right="0" w:firstLine="1000"/>
        <w:jc w:val="both"/>
      </w:pPr>
      <w:bookmarkStart w:id="66" w:name="bookmark66"/>
      <w:r>
        <w:rPr>
          <w:b/>
          <w:bCs/>
          <w:color w:val="000000"/>
          <w:spacing w:val="0"/>
          <w:w w:val="100"/>
          <w:position w:val="0"/>
          <w:sz w:val="24"/>
          <w:szCs w:val="24"/>
        </w:rPr>
        <w:t>（</w:t>
      </w:r>
      <w:bookmarkEnd w:id="66"/>
      <w:r>
        <w:rPr>
          <w:b/>
          <w:bCs/>
          <w:color w:val="000000"/>
          <w:spacing w:val="0"/>
          <w:w w:val="100"/>
          <w:position w:val="0"/>
          <w:sz w:val="24"/>
          <w:szCs w:val="24"/>
        </w:rPr>
        <w:t>2</w:t>
      </w:r>
      <w:r>
        <w:rPr>
          <w:b/>
          <w:bCs/>
          <w:color w:val="000000"/>
          <w:spacing w:val="0"/>
          <w:w w:val="100"/>
          <w:position w:val="0"/>
          <w:sz w:val="24"/>
          <w:szCs w:val="24"/>
        </w:rPr>
        <w:t>）</w:t>
        <w:tab/>
        <w:t>采购模式</w:t>
      </w:r>
    </w:p>
    <w:p>
      <w:pPr>
        <w:pStyle w:val="Style56"/>
        <w:keepNext w:val="0"/>
        <w:keepLines w:val="0"/>
        <w:widowControl w:val="0"/>
        <w:shd w:val="clear" w:color="auto" w:fill="auto"/>
        <w:bidi w:val="0"/>
        <w:spacing w:before="0" w:line="468" w:lineRule="exact"/>
        <w:ind w:right="0"/>
        <w:jc w:val="both"/>
      </w:pPr>
      <w:r>
        <w:rPr>
          <w:color w:val="000000"/>
          <w:spacing w:val="0"/>
          <w:w w:val="100"/>
          <w:position w:val="0"/>
          <w:sz w:val="24"/>
          <w:szCs w:val="24"/>
        </w:rPr>
        <w:t>公司采购的原材料主要为服务器、网络设备、电子产品及各种生产组件配件等。公 司制定了《集团化采购管理制度》，公司的物料采购主要采用如下模式：对于生产所需原 材料公司采取集中采购模式，对于工程项目公司采取招标采购模式。公司供应商管理实 现由竞争关系模式向双赢关系模式的转变，与战略供应商开展全方位协同与合作，充分 发挥供应链的增值作用。公司营销中心、运营管理中心根据市场预测及订单情况共同确 定生产计划，根据生产计划提出物料需求，由集团采购执行采购业务。每年各个相关部 门通过各维度的评价打分，定期对供应商进行考核并由采购推送考核结果。加大优秀供 应商合作，淘汰不合格供应商。</w:t>
      </w:r>
    </w:p>
    <w:p>
      <w:pPr>
        <w:pStyle w:val="Style56"/>
        <w:keepNext w:val="0"/>
        <w:keepLines w:val="0"/>
        <w:widowControl w:val="0"/>
        <w:shd w:val="clear" w:color="auto" w:fill="auto"/>
        <w:tabs>
          <w:tab w:pos="1475" w:val="left"/>
        </w:tabs>
        <w:bidi w:val="0"/>
        <w:spacing w:before="0" w:line="468" w:lineRule="exact"/>
        <w:ind w:left="0" w:right="0" w:firstLine="1000"/>
        <w:jc w:val="both"/>
      </w:pPr>
      <w:bookmarkStart w:id="67" w:name="bookmark67"/>
      <w:r>
        <w:rPr>
          <w:b/>
          <w:bCs/>
          <w:color w:val="000000"/>
          <w:spacing w:val="0"/>
          <w:w w:val="100"/>
          <w:position w:val="0"/>
          <w:sz w:val="24"/>
          <w:szCs w:val="24"/>
        </w:rPr>
        <w:t>（</w:t>
      </w:r>
      <w:bookmarkEnd w:id="67"/>
      <w:r>
        <w:rPr>
          <w:b/>
          <w:bCs/>
          <w:color w:val="000000"/>
          <w:spacing w:val="0"/>
          <w:w w:val="100"/>
          <w:position w:val="0"/>
          <w:sz w:val="24"/>
          <w:szCs w:val="24"/>
        </w:rPr>
        <w:t>3</w:t>
      </w:r>
      <w:r>
        <w:rPr>
          <w:b/>
          <w:bCs/>
          <w:color w:val="000000"/>
          <w:spacing w:val="0"/>
          <w:w w:val="100"/>
          <w:position w:val="0"/>
          <w:sz w:val="24"/>
          <w:szCs w:val="24"/>
        </w:rPr>
        <w:t>）</w:t>
        <w:tab/>
        <w:t>生产模式</w:t>
      </w:r>
    </w:p>
    <w:p>
      <w:pPr>
        <w:pStyle w:val="Style56"/>
        <w:keepNext w:val="0"/>
        <w:keepLines w:val="0"/>
        <w:widowControl w:val="0"/>
        <w:shd w:val="clear" w:color="auto" w:fill="auto"/>
        <w:bidi w:val="0"/>
        <w:spacing w:before="0" w:line="466" w:lineRule="exact"/>
        <w:ind w:right="0"/>
        <w:jc w:val="both"/>
      </w:pPr>
      <w:r>
        <w:rPr>
          <w:color w:val="000000"/>
          <w:spacing w:val="0"/>
          <w:w w:val="100"/>
          <w:position w:val="0"/>
          <w:sz w:val="24"/>
          <w:szCs w:val="24"/>
        </w:rPr>
        <w:t>根据公司所处行业及产品特点，公司将主要精力集中于研发、销售等高附加值环节, 生产和组装环节主要交由控股子公司厦门美亚中敏科技有限公司（以下简称“美亚中 敏”），美亚中敏主要负责研发、设计、生产高新科技电子产品及提供高端电子产品、半 成品。公司建立</w:t>
      </w:r>
      <w:r>
        <w:rPr>
          <w:color w:val="000000"/>
          <w:spacing w:val="0"/>
          <w:w w:val="100"/>
          <w:position w:val="0"/>
          <w:sz w:val="24"/>
          <w:szCs w:val="24"/>
        </w:rPr>
        <w:t>IS09001</w:t>
      </w:r>
      <w:r>
        <w:rPr>
          <w:color w:val="000000"/>
          <w:spacing w:val="0"/>
          <w:w w:val="100"/>
          <w:position w:val="0"/>
          <w:sz w:val="24"/>
          <w:szCs w:val="24"/>
        </w:rPr>
        <w:t>质量管理体系、</w:t>
      </w:r>
      <w:r>
        <w:rPr>
          <w:color w:val="000000"/>
          <w:spacing w:val="0"/>
          <w:w w:val="100"/>
          <w:position w:val="0"/>
          <w:sz w:val="24"/>
          <w:szCs w:val="24"/>
        </w:rPr>
        <w:t>IS014001</w:t>
      </w:r>
      <w:r>
        <w:rPr>
          <w:color w:val="000000"/>
          <w:spacing w:val="0"/>
          <w:w w:val="100"/>
          <w:position w:val="0"/>
          <w:sz w:val="24"/>
          <w:szCs w:val="24"/>
        </w:rPr>
        <w:t>环境管理体系、</w:t>
      </w:r>
      <w:r>
        <w:rPr>
          <w:color w:val="000000"/>
          <w:spacing w:val="0"/>
          <w:w w:val="100"/>
          <w:position w:val="0"/>
          <w:sz w:val="24"/>
          <w:szCs w:val="24"/>
        </w:rPr>
        <w:t>NPI</w:t>
      </w:r>
      <w:r>
        <w:rPr>
          <w:color w:val="000000"/>
          <w:spacing w:val="0"/>
          <w:w w:val="100"/>
          <w:position w:val="0"/>
          <w:sz w:val="24"/>
          <w:szCs w:val="24"/>
        </w:rPr>
        <w:t>产品研发、</w:t>
      </w:r>
      <w:r>
        <w:rPr>
          <w:color w:val="000000"/>
          <w:spacing w:val="0"/>
          <w:w w:val="100"/>
          <w:position w:val="0"/>
          <w:sz w:val="24"/>
          <w:szCs w:val="24"/>
        </w:rPr>
        <w:t xml:space="preserve">CMMI </w:t>
      </w:r>
      <w:r>
        <w:rPr>
          <w:color w:val="000000"/>
          <w:spacing w:val="0"/>
          <w:w w:val="100"/>
          <w:position w:val="0"/>
          <w:sz w:val="24"/>
          <w:szCs w:val="24"/>
        </w:rPr>
        <w:t>软件研发，系统识别产品安全、环保、能资源消耗、安全生产、公共卫生等方面的影响 因素，并应用系统的方法予以有效控制，确保生产质量及安全生产。</w:t>
      </w:r>
    </w:p>
    <w:p>
      <w:pPr>
        <w:pStyle w:val="Style56"/>
        <w:keepNext w:val="0"/>
        <w:keepLines w:val="0"/>
        <w:widowControl w:val="0"/>
        <w:shd w:val="clear" w:color="auto" w:fill="auto"/>
        <w:tabs>
          <w:tab w:pos="1475" w:val="left"/>
        </w:tabs>
        <w:bidi w:val="0"/>
        <w:spacing w:before="0" w:line="468" w:lineRule="exact"/>
        <w:ind w:left="0" w:right="0" w:firstLine="1000"/>
        <w:jc w:val="both"/>
      </w:pPr>
      <w:bookmarkStart w:id="68" w:name="bookmark68"/>
      <w:r>
        <w:rPr>
          <w:b/>
          <w:bCs/>
          <w:color w:val="000000"/>
          <w:spacing w:val="0"/>
          <w:w w:val="100"/>
          <w:position w:val="0"/>
          <w:sz w:val="24"/>
          <w:szCs w:val="24"/>
        </w:rPr>
        <w:t>（</w:t>
      </w:r>
      <w:bookmarkEnd w:id="68"/>
      <w:r>
        <w:rPr>
          <w:b/>
          <w:bCs/>
          <w:color w:val="000000"/>
          <w:spacing w:val="0"/>
          <w:w w:val="100"/>
          <w:position w:val="0"/>
          <w:sz w:val="24"/>
          <w:szCs w:val="24"/>
        </w:rPr>
        <w:t>4</w:t>
      </w:r>
      <w:r>
        <w:rPr>
          <w:b/>
          <w:bCs/>
          <w:color w:val="000000"/>
          <w:spacing w:val="0"/>
          <w:w w:val="100"/>
          <w:position w:val="0"/>
          <w:sz w:val="24"/>
          <w:szCs w:val="24"/>
        </w:rPr>
        <w:t>）</w:t>
        <w:tab/>
        <w:t>销售模式</w:t>
      </w:r>
    </w:p>
    <w:p>
      <w:pPr>
        <w:pStyle w:val="Style56"/>
        <w:keepNext w:val="0"/>
        <w:keepLines w:val="0"/>
        <w:widowControl w:val="0"/>
        <w:shd w:val="clear" w:color="auto" w:fill="auto"/>
        <w:bidi w:val="0"/>
        <w:spacing w:before="0" w:line="467" w:lineRule="exact"/>
        <w:ind w:right="0"/>
        <w:jc w:val="both"/>
      </w:pPr>
      <w:r>
        <w:rPr>
          <w:color w:val="000000"/>
          <w:spacing w:val="0"/>
          <w:w w:val="100"/>
          <w:position w:val="0"/>
          <w:sz w:val="24"/>
          <w:szCs w:val="24"/>
        </w:rPr>
        <w:t xml:space="preserve">培训带动销售是公司自成立以来一直沿用的特色销售和服务模式，以培训得市场、 促服务、获需求。公司设有美亚柏科信息安全学院，拥有专业的培训团队、培训课程、 培训场所、专业资格认证。通过建立完善的培训服务体系、培训服务流程，为顾客提供 包括行业技术培训、产品培训、认证培训等服务。从而将客户请进来，为客户介绍公司 产品技术，并为客户培养专业技术人才及提升专业技术水平，快速实现行业覆盖。目前 </w:t>
      </w:r>
      <w:r>
        <w:rPr>
          <w:color w:val="000000"/>
          <w:spacing w:val="0"/>
          <w:w w:val="100"/>
          <w:position w:val="0"/>
          <w:sz w:val="24"/>
          <w:szCs w:val="24"/>
        </w:rPr>
        <w:t>这种商业模式已逐渐推广到子公司及国际市场。为加强集团营销管理，公司设立了营销 管理委员会，用于加大公司及子公司间销售的交流，明确销售行业划分，建立纠纷解决 机制，优化销售管理模式，将市场活动、品牌管理均拓展到集团视野。</w:t>
      </w:r>
    </w:p>
    <w:p>
      <w:pPr>
        <w:pStyle w:val="Style44"/>
        <w:keepNext w:val="0"/>
        <w:keepLines w:val="0"/>
        <w:widowControl w:val="0"/>
        <w:shd w:val="clear" w:color="auto" w:fill="auto"/>
        <w:bidi w:val="0"/>
        <w:spacing w:before="0" w:after="0" w:line="469" w:lineRule="exact"/>
        <w:ind w:left="0" w:right="0" w:firstLine="540"/>
        <w:jc w:val="both"/>
      </w:pPr>
      <w:bookmarkStart w:id="69" w:name="bookmark69"/>
      <w:r>
        <w:rPr>
          <w:b/>
          <w:bCs/>
          <w:color w:val="000000"/>
          <w:spacing w:val="0"/>
          <w:w w:val="100"/>
          <w:position w:val="0"/>
        </w:rPr>
        <w:t>（</w:t>
      </w:r>
      <w:bookmarkEnd w:id="69"/>
      <w:r>
        <w:rPr>
          <w:b/>
          <w:bCs/>
          <w:color w:val="000000"/>
          <w:spacing w:val="0"/>
          <w:w w:val="100"/>
          <w:position w:val="0"/>
        </w:rPr>
        <w:t>二）公司所处行业特点及地位</w:t>
      </w:r>
    </w:p>
    <w:p>
      <w:pPr>
        <w:pStyle w:val="Style44"/>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根据中国证监会发布的《上市公司行业分类指引》（2012年修订）及国家统计局2011年公布的《国民 经济行业分类</w:t>
      </w:r>
      <w:r>
        <w:rPr>
          <w:color w:val="000000"/>
          <w:spacing w:val="0"/>
          <w:w w:val="100"/>
          <w:position w:val="0"/>
        </w:rPr>
        <w:t>》（GB/T4754-2011）,</w:t>
      </w:r>
      <w:r>
        <w:rPr>
          <w:color w:val="000000"/>
          <w:spacing w:val="0"/>
          <w:w w:val="100"/>
          <w:position w:val="0"/>
        </w:rPr>
        <w:t>公司所处行业为“软件和信息技术服务业”。同时公司聚焦网络空 间安全和大数据智能化，致力于成为网络空间安全和大数据智能化的专家。</w:t>
      </w:r>
    </w:p>
    <w:p>
      <w:pPr>
        <w:pStyle w:val="Style44"/>
        <w:keepNext w:val="0"/>
        <w:keepLines w:val="0"/>
        <w:widowControl w:val="0"/>
        <w:shd w:val="clear" w:color="auto" w:fill="auto"/>
        <w:tabs>
          <w:tab w:pos="803" w:val="left"/>
        </w:tabs>
        <w:bidi w:val="0"/>
        <w:spacing w:before="0" w:after="0" w:line="469" w:lineRule="exact"/>
        <w:ind w:left="0" w:right="0" w:firstLine="540"/>
        <w:jc w:val="both"/>
      </w:pPr>
      <w:bookmarkStart w:id="70" w:name="bookmark70"/>
      <w:r>
        <w:rPr>
          <w:b/>
          <w:bCs/>
          <w:color w:val="000000"/>
          <w:spacing w:val="0"/>
          <w:w w:val="100"/>
          <w:position w:val="0"/>
        </w:rPr>
        <w:t>1</w:t>
      </w:r>
      <w:bookmarkEnd w:id="70"/>
      <w:r>
        <w:rPr>
          <w:b/>
          <w:bCs/>
          <w:color w:val="000000"/>
          <w:spacing w:val="0"/>
          <w:w w:val="100"/>
          <w:position w:val="0"/>
        </w:rPr>
        <w:t>、</w:t>
        <w:tab/>
        <w:t>软件和信息技术服务：</w:t>
      </w:r>
      <w:r>
        <w:rPr>
          <w:color w:val="000000"/>
          <w:spacing w:val="0"/>
          <w:w w:val="100"/>
          <w:position w:val="0"/>
        </w:rPr>
        <w:t>根据工业和信息化部公布《2020年软件和信息技术服务业统计公报》数据 显示，2020年，我国软件和信息技术服务业持续恢复，逐步摆脱新冠肺炎疫情负面影响，呈现平稳发展态 势。收入和利润均保持较快增长。其中软件产品收入保持较快增长，2020年软件产品实现收入22,758亿元, 同比增长10.1%，占全行业比重为27.9%。信息技术服务实现收入49,868亿元，同比增长15.2%，增速高出 全行业平均水平</w:t>
      </w:r>
      <w:r>
        <w:rPr>
          <w:color w:val="000000"/>
          <w:spacing w:val="0"/>
          <w:w w:val="100"/>
          <w:position w:val="0"/>
        </w:rPr>
        <w:t>1.9</w:t>
      </w:r>
      <w:r>
        <w:rPr>
          <w:color w:val="000000"/>
          <w:spacing w:val="0"/>
          <w:w w:val="100"/>
          <w:position w:val="0"/>
        </w:rPr>
        <w:t>个百分点，占全行业收入比重为61.1%。其中云服务、大数据服务共实现收入4, 116亿 元，同比增长11.1%。信息安全产品和服务实现收入1,498亿元，同比增长10.0%,增速较上年回落</w:t>
      </w:r>
      <w:r>
        <w:rPr>
          <w:color w:val="000000"/>
          <w:spacing w:val="0"/>
          <w:w w:val="100"/>
          <w:position w:val="0"/>
        </w:rPr>
        <w:t>2.4</w:t>
      </w:r>
      <w:r>
        <w:rPr>
          <w:color w:val="000000"/>
          <w:spacing w:val="0"/>
          <w:w w:val="100"/>
          <w:position w:val="0"/>
        </w:rPr>
        <w:t>个百 分点。</w:t>
      </w:r>
    </w:p>
    <w:p>
      <w:pPr>
        <w:pStyle w:val="Style44"/>
        <w:keepNext w:val="0"/>
        <w:keepLines w:val="0"/>
        <w:widowControl w:val="0"/>
        <w:shd w:val="clear" w:color="auto" w:fill="auto"/>
        <w:tabs>
          <w:tab w:pos="853" w:val="left"/>
        </w:tabs>
        <w:bidi w:val="0"/>
        <w:spacing w:before="0" w:after="0" w:line="469" w:lineRule="exact"/>
        <w:ind w:left="0" w:right="0" w:firstLine="540"/>
        <w:jc w:val="both"/>
      </w:pPr>
      <w:bookmarkStart w:id="71" w:name="bookmark71"/>
      <w:r>
        <w:rPr>
          <w:b/>
          <w:bCs/>
          <w:color w:val="000000"/>
          <w:spacing w:val="0"/>
          <w:w w:val="100"/>
          <w:position w:val="0"/>
        </w:rPr>
        <w:t>2</w:t>
      </w:r>
      <w:bookmarkEnd w:id="71"/>
      <w:r>
        <w:rPr>
          <w:b/>
          <w:bCs/>
          <w:color w:val="000000"/>
          <w:spacing w:val="0"/>
          <w:w w:val="100"/>
          <w:position w:val="0"/>
        </w:rPr>
        <w:t>、</w:t>
        <w:tab/>
        <w:t>产业政策</w:t>
      </w:r>
    </w:p>
    <w:p>
      <w:pPr>
        <w:pStyle w:val="Style44"/>
        <w:keepNext w:val="0"/>
        <w:keepLines w:val="0"/>
        <w:widowControl w:val="0"/>
        <w:shd w:val="clear" w:color="auto" w:fill="auto"/>
        <w:bidi w:val="0"/>
        <w:spacing w:before="0" w:after="420" w:line="469" w:lineRule="exact"/>
        <w:ind w:left="0" w:right="0" w:firstLine="540"/>
        <w:jc w:val="both"/>
      </w:pPr>
      <w:r>
        <w:rPr>
          <w:color w:val="000000"/>
          <w:spacing w:val="0"/>
          <w:w w:val="100"/>
          <w:position w:val="0"/>
        </w:rPr>
        <w:t>近几年，公安部、最高检察院、国家税务总局等主管机关陆续出台涉及电子数据取证、大数据平台、 税务稽查信息化、网络空间安全等业务领域的行业标准及政策，这些政策的持续推出，为未来相关行业发 展提供了有力支撑。相关的主要产业政策如下：</w:t>
      </w:r>
    </w:p>
    <w:tbl>
      <w:tblPr>
        <w:tblOverlap w:val="never"/>
        <w:jc w:val="center"/>
        <w:tblLayout w:type="fixed"/>
      </w:tblPr>
      <w:tblGrid>
        <w:gridCol w:w="854"/>
        <w:gridCol w:w="850"/>
        <w:gridCol w:w="821"/>
        <w:gridCol w:w="1301"/>
        <w:gridCol w:w="5683"/>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技术</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方向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发布</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发布</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政策</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rPr>
              <w:t>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主要内容</w:t>
            </w:r>
          </w:p>
        </w:tc>
      </w:tr>
      <w:tr>
        <w:trPr>
          <w:trHeight w:val="250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大数据</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智能化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2021 年 3 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全国公 安机关 打击防 范电信 网络诈 骗犯罪 工作现 场会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全国公安机关 打击防范电信 网络诈骗犯罪 工作现场会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会议强调，要坚持典型引路，以压降发案为目标，迅速推动厦门等地 反诈工作经验落地见效。要充分发挥公安大数据开展精准预警劝阻和 技术反制的作用，全力构建“全警反诈、全社会反诈”新格局</w:t>
            </w:r>
          </w:p>
        </w:tc>
      </w:tr>
      <w:tr>
        <w:trPr>
          <w:trHeight w:val="94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《关于工业大 数据发展的指 导意见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推动工业数据全面采集，加快工业设备互联互通，推动工业数据开放 共享，激发工业数据市场活力，深化数据应用，完善数据治理</w:t>
            </w:r>
          </w:p>
        </w:tc>
      </w:tr>
      <w:tr>
        <w:trPr>
          <w:trHeight w:val="955" w:hRule="exact"/>
        </w:trPr>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《关于公布支 撑疫情防控和 复工复产大数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一网畅行</w:t>
            </w:r>
            <w:r>
              <w:rPr>
                <w:rFonts w:ascii="Times New Roman" w:eastAsia="Times New Roman" w:hAnsi="Times New Roman" w:cs="Times New Roman"/>
                <w:color w:val="000000"/>
                <w:spacing w:val="0"/>
                <w:w w:val="100"/>
                <w:position w:val="0"/>
              </w:rPr>
              <w:t>”</w:t>
            </w:r>
            <w:r>
              <w:rPr>
                <w:color w:val="000000"/>
                <w:spacing w:val="0"/>
                <w:w w:val="100"/>
                <w:position w:val="0"/>
              </w:rPr>
              <w:t>疫情防控和复工复产大数据系统等</w:t>
            </w:r>
            <w:r>
              <w:rPr>
                <w:rFonts w:ascii="Times New Roman" w:eastAsia="Times New Roman" w:hAnsi="Times New Roman" w:cs="Times New Roman"/>
                <w:color w:val="000000"/>
                <w:spacing w:val="0"/>
                <w:w w:val="100"/>
                <w:position w:val="0"/>
              </w:rPr>
              <w:t>94</w:t>
            </w:r>
            <w:r>
              <w:rPr>
                <w:color w:val="000000"/>
                <w:spacing w:val="0"/>
                <w:w w:val="100"/>
                <w:position w:val="0"/>
              </w:rPr>
              <w:t>个疫情防控和复工复 产复课大数据产品和解决方案入选</w:t>
            </w:r>
          </w:p>
        </w:tc>
      </w:tr>
    </w:tbl>
    <w:p>
      <w:pPr>
        <w:spacing w:lineRule="exact" w:line="1"/>
        <w:rPr>
          <w:sz w:val="2"/>
          <w:szCs w:val="2"/>
        </w:rPr>
      </w:pPr>
      <w:r>
        <w:br w:type="page"/>
      </w:r>
    </w:p>
    <w:tbl>
      <w:tblPr>
        <w:tblOverlap w:val="never"/>
        <w:jc w:val="center"/>
        <w:tblLayout w:type="fixed"/>
      </w:tblPr>
      <w:tblGrid>
        <w:gridCol w:w="854"/>
        <w:gridCol w:w="850"/>
        <w:gridCol w:w="821"/>
        <w:gridCol w:w="1301"/>
        <w:gridCol w:w="5683"/>
      </w:tblGrid>
      <w:tr>
        <w:trPr>
          <w:trHeight w:val="63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据产品和解决 方案》</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中央网 信办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《关于做好个 人信息保护利 用大数据支撑 联防联控工作 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鼓励有能力的企业在有关部门的领导下，积极利用大数据，分析预测 确诊者、疑似者、密切接触者等重点人群的流动情况，为联防联控工 作提供大数据支持</w:t>
            </w:r>
          </w:p>
        </w:tc>
      </w:tr>
      <w:tr>
        <w:trPr>
          <w:trHeight w:val="9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2019 年 1 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全国公 安厅局 长会议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全国公安厅局 长会议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强调，要聚焦智慧公安建设目标，坚持融合共享、突出实战急用、推 进深度应用，深入推进公安大数据建设应用</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2018 年 1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全国公 安厅局 长会议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全国公安厅局 长会议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强调大力实施改革强警战略、公安数据战略，深入推进平安中国建设、 法治公安建设，全面推进工作现代化，确保到2020年公安信息化建设 取得重大进展、维护国家安全和社会稳定能力有大的提升，到2022年 基本建立起与新时代要求相适应的现代警务管理体制和警务运行机制</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中共中 央政治 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中共中央政治 局集体学习会 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中共央政治局就实施国家大数据战略进行第二次集体学习，会议指出， 推动施国家大数据战略，加快完善数字基础设施，推进资源整合和开 放共享，保障数据安全，加快数字中国建设</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2017 年 4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《云计算发展 三年行动计划</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(2017-2019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支持企业和第三方机构创新云安全服务模式，推动建设基于云计算和 大数据的网络安全态势感知预警平台，实现对各类安全事件的及时发 现和有效处置</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2017年1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《大数据产业 发展规划</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(2016-2020</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到2020年，技术先进，应用繁荣、保障有力的大数据产业体系基本形 成。大数据相关产品和服务业务收入突破1万亿元，年均复合增长率保 持30%左右，加快建设数据强国，为实现制造强国和网络强国提供强大 的产业支撑。</w:t>
            </w:r>
          </w:p>
        </w:tc>
      </w:tr>
      <w:tr>
        <w:trPr>
          <w:trHeight w:val="21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国家发 改委办 公厅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《关于组织实 施和促进大数 据发展重大工</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程的通知》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在重点支持大数据示范应用方面，开展</w:t>
            </w:r>
            <w:r>
              <w:rPr>
                <w:b/>
                <w:bCs/>
                <w:color w:val="000000"/>
                <w:spacing w:val="0"/>
                <w:w w:val="100"/>
                <w:position w:val="0"/>
              </w:rPr>
              <w:t>社会治理</w:t>
            </w:r>
            <w:r>
              <w:rPr>
                <w:color w:val="000000"/>
                <w:spacing w:val="0"/>
                <w:w w:val="100"/>
                <w:position w:val="0"/>
              </w:rPr>
              <w:t>大数据应用；开展公 共服务大数据应用，在医疗健康、社保就业、教育文化、交通旅游等 领域，推动传统公共服务数据与互联网、移动互联网、移动穿戴设备 数据的汇聚整合。开展产业发展大数据应用，在工业制造、新型材料、 航空航天、生物工程、金融服务、现代农业、商贸物流等领域，提升 大数据资源采集获取能力和分析利用能力。开展创业创新大数据应用， 实施大数据开放行动计划。</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2015 年 8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《促进大数据 发展行动纲</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加快政府数据开放共享，推动资源整合，提升治理能力。推动产业创 新发展，培育新兴业态，助力经济转型。强化安全保障，提高管理水 平，促进健康发展</w:t>
            </w:r>
          </w:p>
        </w:tc>
      </w:tr>
      <w:tr>
        <w:trPr>
          <w:trHeight w:val="25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网络 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2020年4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网信 办、发 改委、</w:t>
            </w:r>
          </w:p>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工信 部、公 安部等 12个部</w:t>
            </w:r>
          </w:p>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《网络安全审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查办法》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关键信息基础设施运营者采购网络产品和服务，影响或可能影响国家 安全的，应当按照《办法》进行网络安全审查。</w:t>
            </w:r>
          </w:p>
        </w:tc>
      </w:tr>
      <w:tr>
        <w:trPr>
          <w:trHeight w:val="32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 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国务院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将规范密码应用和管理，促进密码事业发展，保障网络与信息安全，</w:t>
            </w:r>
          </w:p>
        </w:tc>
      </w:tr>
    </w:tbl>
    <w:p>
      <w:pPr>
        <w:spacing w:lineRule="exact" w:line="1"/>
        <w:rPr>
          <w:sz w:val="2"/>
          <w:szCs w:val="2"/>
        </w:rPr>
      </w:pPr>
      <w:r>
        <w:br w:type="page"/>
      </w:r>
    </w:p>
    <w:tbl>
      <w:tblPr>
        <w:tblOverlap w:val="never"/>
        <w:jc w:val="center"/>
        <w:tblLayout w:type="fixed"/>
      </w:tblPr>
      <w:tblGrid>
        <w:gridCol w:w="854"/>
        <w:gridCol w:w="850"/>
        <w:gridCol w:w="821"/>
        <w:gridCol w:w="1301"/>
        <w:gridCol w:w="5683"/>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和国密码法》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提出了国家对密码实行分类管理。</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2019 年 9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《关于促进网 络安全产业发 展的指导意见</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（征求意见 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到2025年，培育形成一批年营收超过20亿的网络安全企业，形成若干 具有国际竞争力的网络安全骨干企业，网络安全产业规模超过2000亿。 加强</w:t>
            </w:r>
            <w:r>
              <w:rPr>
                <w:color w:val="000000"/>
                <w:spacing w:val="0"/>
                <w:w w:val="100"/>
                <w:position w:val="0"/>
              </w:rPr>
              <w:t>5G、</w:t>
            </w:r>
            <w:r>
              <w:rPr>
                <w:color w:val="000000"/>
                <w:spacing w:val="0"/>
                <w:w w:val="100"/>
                <w:position w:val="0"/>
              </w:rPr>
              <w:t>下一代互联网、工业互联网、物联网、车联网等新兴领域网 络安全威胁和风险分析，大力推动相关场景下的网络安全技术产品研 发。</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2019 年 8 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全国信 息安全 标准化 技术委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《信息安全技 术大数据安全 管理指南》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提出了大数据安全管理基本原则，规定了大数据安全需求、数据分类 分级、大数据活动的安全要求、评估大数据安全风险，适用于各类组 织进行数据安全管理。</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2019 年 7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《电信和互联 网行业提升网 络数据安全保 护能力专项行 动方案》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《行动方案》将企业网络数据安全责任落实情况、数据安全合规性评 估落实情况作为重点内容，纳入2019年网络信息安全“双随机一公 开”检查和基础电信企业网络与信息安全责任考核检查，对违法违规 行为及时采取约谈、公开曝光、行政处罚等措施，将处罚结果纳入电 信业务经营不良名单或失信名单。</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2019 年 5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《网络安全等 级保护技术 </w:t>
            </w:r>
            <w:r>
              <w:rPr>
                <w:color w:val="000000"/>
                <w:spacing w:val="0"/>
                <w:w w:val="100"/>
                <w:position w:val="0"/>
              </w:rPr>
              <w:t>2.0</w:t>
            </w:r>
            <w:r>
              <w:rPr>
                <w:color w:val="000000"/>
                <w:spacing w:val="0"/>
                <w:w w:val="100"/>
                <w:position w:val="0"/>
              </w:rPr>
              <w:t>版本》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提出了对云计算安全、移动互联网安全、物联网安全和工业控制系统 安全扩展要求。为落实信息安全工作提出了新的要求。</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2018年9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《公安机关互 联网安全监督</w:t>
            </w:r>
          </w:p>
          <w:p>
            <w:pPr>
              <w:pStyle w:val="Style2"/>
              <w:keepNext w:val="0"/>
              <w:keepLines w:val="0"/>
              <w:widowControl w:val="0"/>
              <w:shd w:val="clear" w:color="auto" w:fill="auto"/>
              <w:bidi w:val="0"/>
              <w:spacing w:before="0" w:after="0" w:line="307" w:lineRule="exact"/>
              <w:ind w:left="0" w:right="0" w:firstLine="200"/>
              <w:jc w:val="left"/>
            </w:pPr>
            <w:r>
              <w:rPr>
                <w:color w:val="000000"/>
                <w:spacing w:val="0"/>
                <w:w w:val="100"/>
                <w:position w:val="0"/>
              </w:rPr>
              <w:t>检查规定》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规定明确公安机关依法对互联网服务提供者和联网使用单位履行法 律、行政法规规定的网络安全义务情况进行的安全监督检查的对象、 内容和程序以及互联网服务提供者和联网使用单位的法律责任。</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2018 年 4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《推动企业上 云实施指南 </w:t>
            </w:r>
            <w:r>
              <w:rPr>
                <w:color w:val="000000"/>
                <w:spacing w:val="0"/>
                <w:w w:val="100"/>
                <w:position w:val="0"/>
              </w:rPr>
              <w:t>（2018-2020</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推动企业利用云计算加快数字化、网络化、智能化转型，推进互联网、 大数据、人工智能与实体经济深度融合。</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2017年1</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《关于促进互 联网健康有序 发展的意见》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《意见》要求要加快完善市场准入制度，提升网络安全保障水平，维 护用户合法权益、打击网络违法犯罪、增强网络管理能力，防范移动 互联网安全风险。</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《网络安全 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《中华人民共和国网络安全法》正式发布，并于2017年6月1日开始实 施。强调了金融、能源、交通、电子政务等行业在网络安全等级保护 制度的建设，是我国第一部网络空间管理方面的基础性法律。</w:t>
            </w:r>
          </w:p>
        </w:tc>
      </w:tr>
      <w:tr>
        <w:trPr>
          <w:trHeight w:val="18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电子数 据取证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《关于发布实 施</w:t>
            </w:r>
            <w:r>
              <w:rPr>
                <w:color w:val="000000"/>
                <w:spacing w:val="0"/>
                <w:w w:val="100"/>
                <w:position w:val="0"/>
              </w:rPr>
              <w:t>〈</w:t>
            </w:r>
            <w:r>
              <w:rPr>
                <w:color w:val="000000"/>
                <w:spacing w:val="0"/>
                <w:w w:val="100"/>
                <w:position w:val="0"/>
              </w:rPr>
              <w:t>司法鉴定</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行业标准体 系</w:t>
            </w:r>
            <w:r>
              <w:rPr>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20</w:t>
            </w:r>
            <w:r>
              <w:rPr>
                <w:color w:val="000000"/>
                <w:spacing w:val="0"/>
                <w:w w:val="100"/>
                <w:position w:val="0"/>
              </w:rPr>
              <w:t>项行 业标准的公</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新增了 </w:t>
            </w:r>
            <w:r>
              <w:rPr>
                <w:rFonts w:ascii="Times New Roman" w:eastAsia="Times New Roman" w:hAnsi="Times New Roman" w:cs="Times New Roman"/>
                <w:color w:val="000000"/>
                <w:spacing w:val="0"/>
                <w:w w:val="100"/>
                <w:position w:val="0"/>
              </w:rPr>
              <w:t>3</w:t>
            </w:r>
            <w:r>
              <w:rPr>
                <w:color w:val="000000"/>
                <w:spacing w:val="0"/>
                <w:w w:val="100"/>
                <w:position w:val="0"/>
              </w:rPr>
              <w:t>项电子数据司法鉴定行业新标准。分别是：</w:t>
            </w:r>
            <w:r>
              <w:rPr>
                <w:rFonts w:ascii="Times New Roman" w:eastAsia="Times New Roman" w:hAnsi="Times New Roman" w:cs="Times New Roman"/>
                <w:color w:val="000000"/>
                <w:spacing w:val="0"/>
                <w:w w:val="100"/>
                <w:position w:val="0"/>
              </w:rPr>
              <w:t>SF/T 0075-2020</w:t>
            </w:r>
            <w:r>
              <w:rPr>
                <w:color w:val="000000"/>
                <w:spacing w:val="0"/>
                <w:w w:val="100"/>
                <w:position w:val="0"/>
              </w:rPr>
              <w:t>网 络文学作品相似性检验技术规范；</w:t>
            </w:r>
            <w:r>
              <w:rPr>
                <w:rFonts w:ascii="Times New Roman" w:eastAsia="Times New Roman" w:hAnsi="Times New Roman" w:cs="Times New Roman"/>
                <w:color w:val="000000"/>
                <w:spacing w:val="0"/>
                <w:w w:val="100"/>
                <w:position w:val="0"/>
              </w:rPr>
              <w:t>SF/T 0076-2020</w:t>
            </w:r>
            <w:r>
              <w:rPr>
                <w:color w:val="000000"/>
                <w:spacing w:val="0"/>
                <w:w w:val="100"/>
                <w:position w:val="0"/>
              </w:rPr>
              <w:t>电子数据存证技术 规范；</w:t>
            </w:r>
            <w:r>
              <w:rPr>
                <w:rFonts w:ascii="Times New Roman" w:eastAsia="Times New Roman" w:hAnsi="Times New Roman" w:cs="Times New Roman"/>
                <w:color w:val="000000"/>
                <w:spacing w:val="0"/>
                <w:w w:val="100"/>
                <w:position w:val="0"/>
              </w:rPr>
              <w:t>SF/T 0077-2020</w:t>
            </w:r>
            <w:r>
              <w:rPr>
                <w:color w:val="000000"/>
                <w:spacing w:val="0"/>
                <w:w w:val="100"/>
                <w:position w:val="0"/>
              </w:rPr>
              <w:t>汽车电子数据检验技术规范。截止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我国电子数据取证鉴定领域的各项标准与技术规范包括</w:t>
            </w:r>
            <w:r>
              <w:rPr>
                <w:rFonts w:ascii="Times New Roman" w:eastAsia="Times New Roman" w:hAnsi="Times New Roman" w:cs="Times New Roman"/>
                <w:color w:val="000000"/>
                <w:spacing w:val="0"/>
                <w:w w:val="100"/>
                <w:position w:val="0"/>
              </w:rPr>
              <w:t>4</w:t>
            </w:r>
            <w:r>
              <w:rPr>
                <w:color w:val="000000"/>
                <w:spacing w:val="0"/>
                <w:w w:val="100"/>
                <w:position w:val="0"/>
              </w:rPr>
              <w:t xml:space="preserve">项国家标准、 </w:t>
            </w:r>
            <w:r>
              <w:rPr>
                <w:rFonts w:ascii="Times New Roman" w:eastAsia="Times New Roman" w:hAnsi="Times New Roman" w:cs="Times New Roman"/>
                <w:color w:val="000000"/>
                <w:spacing w:val="0"/>
                <w:w w:val="100"/>
                <w:position w:val="0"/>
              </w:rPr>
              <w:t>35</w:t>
            </w:r>
            <w:r>
              <w:rPr>
                <w:color w:val="000000"/>
                <w:spacing w:val="0"/>
                <w:w w:val="100"/>
                <w:position w:val="0"/>
              </w:rPr>
              <w:t>项公共安全行业标准和</w:t>
            </w:r>
            <w:r>
              <w:rPr>
                <w:rFonts w:ascii="Times New Roman" w:eastAsia="Times New Roman" w:hAnsi="Times New Roman" w:cs="Times New Roman"/>
                <w:color w:val="000000"/>
                <w:spacing w:val="0"/>
                <w:w w:val="100"/>
                <w:position w:val="0"/>
              </w:rPr>
              <w:t>16</w:t>
            </w:r>
            <w:r>
              <w:rPr>
                <w:color w:val="000000"/>
                <w:spacing w:val="0"/>
                <w:w w:val="100"/>
                <w:position w:val="0"/>
              </w:rPr>
              <w:t>项司法鉴定技术规范。</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2019年1</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《公安机关办 理刑事案件电 子数据取证规 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规范公安机关办理刑事案件电子数据取证作用，要求公安机关办理刑 事案件应当遵守法定程序，遵循有关技术标准，全面、客观、及时地 搜集和提取涉案电子数据，确保电子数据的真实、完整。</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2018 年 3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全国人 民代表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《中华人民共 和国监察法》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监察机关依照本法规定收集的物证、书证、证人证言、被调查人供述 和辩解、视听资料、电子数据等证据材料，在刑事诉讼中可以作为证</w:t>
            </w:r>
          </w:p>
        </w:tc>
      </w:tr>
    </w:tbl>
    <w:p>
      <w:pPr>
        <w:spacing w:lineRule="exact" w:line="1"/>
        <w:rPr>
          <w:sz w:val="2"/>
          <w:szCs w:val="2"/>
        </w:rPr>
      </w:pPr>
      <w:r>
        <w:br w:type="page"/>
      </w:r>
    </w:p>
    <w:tbl>
      <w:tblPr>
        <w:tblOverlap w:val="never"/>
        <w:jc w:val="center"/>
        <w:tblLayout w:type="fixed"/>
      </w:tblPr>
      <w:tblGrid>
        <w:gridCol w:w="854"/>
        <w:gridCol w:w="850"/>
        <w:gridCol w:w="821"/>
        <w:gridCol w:w="1301"/>
        <w:gridCol w:w="5683"/>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据使用。</w:t>
            </w:r>
          </w:p>
        </w:tc>
      </w:tr>
      <w:tr>
        <w:trPr>
          <w:trHeight w:val="9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2018 年 9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最高人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《互联网法院 审理案件若干 问题的规定》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明确电子证据真实性审查认定的基本框架，在要件、技术、证明上形 成了电子证据真实性认定的逻辑闭环。</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2017 年 1 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国家税 务总局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《全国税务稽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查规范1.0》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从税收违法案件查收、税收违法案件管理、税务稽查综合管理等方面 进一步规范税务稽查工作。</w:t>
            </w:r>
          </w:p>
        </w:tc>
      </w:tr>
      <w:tr>
        <w:trPr>
          <w:trHeight w:val="21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2016 年 9 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最高人 民法 院、最 高人民 检察 院、公 安部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《关于办理刑 事案件收集提 取和审查判断 电子数据若干 问题的规定》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第一次就电子数据这一特殊证据种类的收集提取和审查判断等方面做 出了系统的规定。</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2015 年 2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最高人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《关于适用〈 民事诉讼法〉 的解释第116 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明确电子介质信息可以作为民事案件证据。</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2015年2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最高人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《关于适用〈 民事诉讼法〉 的解释第116 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明确电子介质信息可以作为民事案件证据。</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2014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十二届 全国人 大常委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200" w:right="0" w:firstLine="0"/>
              <w:jc w:val="left"/>
            </w:pPr>
            <w:r>
              <w:rPr>
                <w:color w:val="000000"/>
                <w:spacing w:val="0"/>
                <w:w w:val="100"/>
                <w:position w:val="0"/>
              </w:rPr>
              <w:t>《行政诉讼 法》第33条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将电子证据作为行政诉讼独立的诉讼证据之一。</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2013 年 1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最高人 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《关于适用〈 刑事诉讼法〉 的解释第93 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对电子数据的审查与认定做出了详细的规定。</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2012年8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全国人 民代表 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《民事诉讼 法》第63条《刑 事诉讼法》第 48条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将“电子数据"作为民诉独立的诉讼证据之一。</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将电子数据首次纳入刑诉法定证据种类之一，电子数据在刑事诉讼中 取得独立的法律地位。</w:t>
            </w:r>
          </w:p>
        </w:tc>
      </w:tr>
      <w:tr>
        <w:trPr>
          <w:trHeight w:val="15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2018年9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200"/>
              <w:jc w:val="left"/>
            </w:pPr>
            <w:r>
              <w:rPr>
                <w:color w:val="000000"/>
                <w:spacing w:val="0"/>
                <w:w w:val="100"/>
                <w:position w:val="0"/>
              </w:rPr>
              <w:t>《关于开展</w:t>
            </w:r>
          </w:p>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2018年智能制 造试点示范项 目名单的通 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公布2018年智能制造试点示范项目99个。</w:t>
            </w:r>
          </w:p>
        </w:tc>
      </w:tr>
      <w:tr>
        <w:trPr>
          <w:trHeight w:val="12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2018年4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《关于开展 2018年智能制 造试点示范项 目推荐通知》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开展推荐工作，项目推荐条件包括项目技术应处于国内领先或国际先 进水平，项目使用的关键技术装备、工业软件需安全可控</w:t>
            </w:r>
          </w:p>
        </w:tc>
      </w:tr>
      <w:tr>
        <w:trPr>
          <w:trHeight w:val="64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2018 年 1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工信 部、国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《国家智能制 造标准体系建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到2019年，累计制修订300项以上智能制造标准，全面覆盖基础共性标 准和关键技术标准，逐步建立起较为完善的智能制造标准体系</w:t>
            </w:r>
          </w:p>
        </w:tc>
      </w:tr>
    </w:tbl>
    <w:p>
      <w:pPr>
        <w:spacing w:lineRule="exact" w:line="1"/>
        <w:rPr>
          <w:sz w:val="2"/>
          <w:szCs w:val="2"/>
        </w:rPr>
      </w:pPr>
      <w:r>
        <w:br w:type="page"/>
      </w:r>
    </w:p>
    <w:tbl>
      <w:tblPr>
        <w:tblOverlap w:val="never"/>
        <w:jc w:val="center"/>
        <w:tblLayout w:type="fixed"/>
      </w:tblPr>
      <w:tblGrid>
        <w:gridCol w:w="854"/>
        <w:gridCol w:w="850"/>
        <w:gridCol w:w="821"/>
        <w:gridCol w:w="1301"/>
        <w:gridCol w:w="5683"/>
      </w:tblGrid>
      <w:tr>
        <w:trPr>
          <w:trHeight w:val="9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3180" w:after="80" w:line="240" w:lineRule="auto"/>
              <w:ind w:left="0" w:right="0" w:firstLine="0"/>
              <w:jc w:val="center"/>
            </w:pPr>
            <w:r>
              <w:rPr>
                <w:b/>
                <w:bCs/>
                <w:color w:val="000000"/>
                <w:spacing w:val="0"/>
                <w:w w:val="100"/>
                <w:position w:val="0"/>
              </w:rPr>
              <w:t>智能</w:t>
            </w:r>
          </w:p>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家标准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设指南（2018 版）》征求意 见稿</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2017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《高端智能再 制造行动计划</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（2018-2020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到2020年，推动100家高端智能再制造示范企业、技术研发中心、服务 企业、信息服务平台、产业集聚区等，带动我国再制造产业规模达到 2000亿元。</w:t>
            </w:r>
          </w:p>
        </w:tc>
      </w:tr>
      <w:tr>
        <w:trPr>
          <w:trHeight w:val="12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2017 年 5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《政务信息系 统整合共享实 施方案》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《实施方案》围绕政府治理和公共服务的紧迫需要，以最大程度利企 便民，让企业和群众少跑腿、好办事、不添堵为目标，提出了加快推 进政务信息系统整合共享、促进国务院部门和地方政府信息系统互联 互通的重点任务和实施路径。</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2016 年 9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工信 部、财</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《智能制造发 展规划</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（2016-2020</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到2020年，智能制造发展基础和支撑能力明显增强，传统制造业重点 领域基本实现数字化制造，有条件、有基础的重点产业智能转型取得 明显进展；到2025年，智能制造支撑体系基本建立，重点产业初步实 现智能转型。</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2016 年 8 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质检总 局、国 家标准 委、工 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《装备制造业 标准化和质量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提升规划》</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《规划》的主要目标是：到2020年，工业基础、智能制造、绿色制造 等标准体系基本完善，质量安全标准与国际标准加快接轨，重点领域 国际标准转化率力争达到90%以上；到2025年，系统配套、服务产业跨 界融合的装备制造业标准体系基本健全，装备制造业标准和质量的国 际影响力大幅提升。</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2016年5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《关于深化制 造业与互联网 融合发展的指 导意见》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这是党中央、国务院总揽全球新一轮科技革命和产业变革新趋势作出 的重大战略部署，其核心是加快推动制造业转型升级，不断提升“中 国制造”竞争新优势。</w:t>
            </w:r>
          </w:p>
          <w:p>
            <w:pPr>
              <w:pStyle w:val="Style2"/>
              <w:keepNext w:val="0"/>
              <w:keepLines w:val="0"/>
              <w:widowControl w:val="0"/>
              <w:shd w:val="clear" w:color="auto" w:fill="auto"/>
              <w:bidi w:val="0"/>
              <w:spacing w:before="0" w:after="0" w:line="314" w:lineRule="exact"/>
              <w:ind w:left="0" w:right="0" w:firstLine="280"/>
              <w:jc w:val="both"/>
            </w:pPr>
            <w:r>
              <w:rPr>
                <w:color w:val="000000"/>
                <w:spacing w:val="0"/>
                <w:w w:val="100"/>
                <w:position w:val="0"/>
              </w:rPr>
              <w:t>《指导意见》提出了 2018年的近期目标和2025年的中长期目标，同 时，在具体目标设置上采用了定量目标和定性目标相结合的方式。</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2015年7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《积极推进 “互联网+”行 动指导意见》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近年来，我国在互联网技术、产业、应用以及跨界融合等方面取得了 积极进展，已具备加快推进“互联网+”发展的坚实基础，但也存在传 统企业运用互联网的意识和能力不足、互联网企业对传统产业理解不 够深入、新业态发展面临体制机制障碍、跨界融合型人才严重匮乏等 问题，亟待加以解决。</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2015年5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《中国制造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目标是到2025年，中国制造业整体素质大幅提升，创新能力显著增强， 全员劳动生产率明显提高，智能化、服务化、绿色化达到国际先进水 平，中国进入世界制造强国的行列。其中明确提出把智能制造作为两 化深度融合的主攻方向。</w:t>
            </w:r>
          </w:p>
        </w:tc>
      </w:tr>
      <w:tr>
        <w:trPr>
          <w:trHeight w:val="188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国家发 展改革 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《关于印发 </w:t>
            </w:r>
            <w:r>
              <w:rPr>
                <w:rFonts w:ascii="Times New Roman" w:eastAsia="Times New Roman" w:hAnsi="Times New Roman" w:cs="Times New Roman"/>
                <w:color w:val="000000"/>
                <w:spacing w:val="0"/>
                <w:w w:val="100"/>
                <w:position w:val="0"/>
              </w:rPr>
              <w:t>&lt;2020</w:t>
            </w:r>
            <w:r>
              <w:rPr>
                <w:color w:val="000000"/>
                <w:spacing w:val="0"/>
                <w:w w:val="100"/>
                <w:position w:val="0"/>
              </w:rPr>
              <w:t>年新型 城镇化建设和 城乡融合发展 重点任务</w:t>
            </w:r>
            <w:r>
              <w:rPr>
                <w:color w:val="000000"/>
                <w:spacing w:val="0"/>
                <w:w w:val="100"/>
                <w:position w:val="0"/>
              </w:rPr>
              <w:t>〉</w:t>
            </w:r>
            <w:r>
              <w:rPr>
                <w:color w:val="000000"/>
                <w:spacing w:val="0"/>
                <w:w w:val="100"/>
                <w:position w:val="0"/>
              </w:rPr>
              <w:t>的 通知》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实施新型智慧城市行动。完善城市数字化管理平台和感知系统，打通 社区末端、织密数据网格，整合卫生健康、公共安全、应急管理、交 通运输等领域信息系统和数据资源，深化政务服务“一网通办”、城市 运行“一网统管”，支撑城市健康高效运行和突发事件快速智能响应。</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（发展改革委、卫生健康委、公安部、住房城乡建设部、应急管理部、 交通运输部、省级有关部门等负责）</w:t>
            </w:r>
          </w:p>
        </w:tc>
      </w:tr>
      <w:tr>
        <w:trPr>
          <w:trHeight w:val="12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2019年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国务院 办公厅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《关于支持国 家级新区深化 改革创新加快 推动高质量发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促进新区加大创新创业力度，加强改革系统集成，扩大高水平开放， 打造实体经济发展高地，引领高质量发展。</w:t>
            </w:r>
          </w:p>
        </w:tc>
      </w:tr>
    </w:tbl>
    <w:p>
      <w:pPr>
        <w:spacing w:lineRule="exact" w:line="1"/>
        <w:rPr>
          <w:sz w:val="2"/>
          <w:szCs w:val="2"/>
        </w:rPr>
      </w:pPr>
      <w:r>
        <w:br w:type="page"/>
      </w:r>
    </w:p>
    <w:tbl>
      <w:tblPr>
        <w:tblOverlap w:val="never"/>
        <w:jc w:val="center"/>
        <w:tblLayout w:type="fixed"/>
      </w:tblPr>
      <w:tblGrid>
        <w:gridCol w:w="854"/>
        <w:gridCol w:w="850"/>
        <w:gridCol w:w="821"/>
        <w:gridCol w:w="1301"/>
        <w:gridCol w:w="5683"/>
      </w:tblGrid>
      <w:tr>
        <w:trPr>
          <w:trHeight w:val="63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3480" w:after="100" w:line="240" w:lineRule="auto"/>
              <w:ind w:left="0" w:right="0" w:firstLine="0"/>
              <w:jc w:val="center"/>
            </w:pPr>
            <w:r>
              <w:rPr>
                <w:b/>
                <w:bCs/>
                <w:color w:val="000000"/>
                <w:spacing w:val="0"/>
                <w:w w:val="100"/>
                <w:position w:val="0"/>
              </w:rPr>
              <w:t>智慧</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城市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展的指导意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w:t>
            </w: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2019 年 2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自然资 源部办 公厅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《智慧城市时 空大数据平台</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建设技术大 纲》（2019版）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对时空大数据平台建设的任务、定位与作用，思路、目标与原则，时 空大数据与云平台建设要求，支撑环境建设与示范应用，进行了详尽 的说明。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2017 年 9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国家测 绘地理 信息局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《智慧城市时 空大数据与云 平台建设技术 大纲》（2017 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2017版技术大纲进一步明确了测绘地理信息部门在智慧城市中的工作 定位，突出了时空大数据和时空信息云平台两项重点任务，明确了建 设目标、建设思路、技术路线及建设要求；进一步明确了测绘地理信 息部门的任务是开展智慧时空基础设施建设及应用，为智慧城市建设 提供时空基础。</w:t>
            </w:r>
          </w:p>
        </w:tc>
      </w:tr>
      <w:tr>
        <w:trPr>
          <w:trHeight w:val="21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国家标 准委、 中央网 信办、 国家发 展改革 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《关于组织开 展新型智慧城 市评价工作务 实推动新型智 慧城市健康快</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速发展的通 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该评价指标包含8项一级指标：惠民服务、精准治理、生态宜居、智能 设施、信息资源、网络安全、改革创新、市民体验。并且此次加入了</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“主观评价”，即问卷调查，上调了公众评价的权重。</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2015 年 5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国家测 绘地理 信息局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《关于推进数 字城市向智慧 城市转型升级 有关工作的通 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充分认识智慧城市建设的重要意义，扎实开展向智慧城市时空信息云 平台转型升级试点，继续推动数字城市地理空间框架应用与发展，探 索长效机制强化监督管理。</w:t>
            </w:r>
          </w:p>
        </w:tc>
      </w:tr>
      <w:tr>
        <w:trPr>
          <w:trHeight w:val="21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2015年1 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国家标 准委、 中央网 信办、 国家发 展改革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《关于开展智 慧城市标准体 系和评价指标 体系建设及应 用实施的指导 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《意见》明确到2017年，将完成智慧城市总体、支撑技术与平台、基 础设施、建设与宜居、管理与服务、产业与经济、安全与保障7个大类 20项急需标准的制订工作，到2020年累计完成50项左右的标准。同时， 从2015年起至2016年同步开展整体指标及成熟领域分项指标试评价工 作，到2018年初步建立我国智慧城市整体评价指标体系，到2020年实 现智慧城市评价指标体系的全面实施和应用。</w:t>
            </w:r>
          </w:p>
        </w:tc>
      </w:tr>
      <w:tr>
        <w:trPr>
          <w:trHeight w:val="37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2014 年 8 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国家发 改委、</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工信 部、科 技部、</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公安 部、财 政部、</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国土 部、住 建部、 交通部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《关于促进智 慧城市健康发 展的指导意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到2020年，建成一批特色鲜明的智慧城市，聚集和辐射带动作用大幅 增强，综合竞争优势明显提高，在保障和改善民生服务、创新社会管 理、维护网络安全等方面取得显著成效。</w:t>
            </w:r>
          </w:p>
        </w:tc>
      </w:tr>
      <w:tr>
        <w:trPr>
          <w:trHeight w:val="64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网络开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中共中 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《法治社会建 设实施纲要</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推动社会治理从现实社会向网络空间覆盖，建立健全网络综合治理体 系，加强依法管网、依法办网、依法上网，全面推进网络空间法治化，</w:t>
            </w:r>
          </w:p>
        </w:tc>
      </w:tr>
    </w:tbl>
    <w:p>
      <w:pPr>
        <w:spacing w:lineRule="exact" w:line="1"/>
        <w:rPr>
          <w:sz w:val="2"/>
          <w:szCs w:val="2"/>
        </w:rPr>
      </w:pPr>
      <w:r>
        <w:br w:type="page"/>
      </w:r>
    </w:p>
    <w:tbl>
      <w:tblPr>
        <w:tblOverlap w:val="never"/>
        <w:jc w:val="center"/>
        <w:tblLayout w:type="fixed"/>
      </w:tblPr>
      <w:tblGrid>
        <w:gridCol w:w="854"/>
        <w:gridCol w:w="850"/>
        <w:gridCol w:w="821"/>
        <w:gridCol w:w="1301"/>
        <w:gridCol w:w="5683"/>
      </w:tblGrid>
      <w:tr>
        <w:trPr>
          <w:trHeight w:val="63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源情报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2025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营造清朗的网络空间。</w:t>
            </w:r>
          </w:p>
        </w:tc>
      </w:tr>
      <w:tr>
        <w:trPr>
          <w:trHeight w:val="21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2019 年 9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最高人 民法</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院、最 高人民 检察院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《关于办理非 法利用信息网 络、帮助信息 网络犯罪活动 等刑事案件适 用法律若干问</w:t>
            </w:r>
          </w:p>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题的解释》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为保障法律正确、统一适用，依法严厉惩治、有效防范网络犯罪，经 深入调查研究、广泛征求意见、反复论证完善，制定了本《解释》， 对拒不履行信息网络安全管理义务罪，非法利用信息网络罪和帮助信 息网络犯罪活动罪的定罪量刑标准和有关法律适用问题作了全面、系 统的规定。</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2018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《具有舆论属 性或社会动员 能力的互联网 信息服务安全</w:t>
            </w:r>
          </w:p>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评估规定》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旨在督促指导具有舆论属性或社会动员能力的信息服务提供者履行法 律规定的安全管理义务，维护网上信息安全、秩序稳定，防范谣言和 虚假信息等违法信息传播带来危害，是促进互联网企业依法落实信息 网络安全义务的重要措施。</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2018年2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《微博客信息 服务管理规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《规定》旨在促进微博客信息服务健康有序发展，保护公民、法人和 其他组织的合法权益，维护国家安全和公共利益。微博客服务提供者 应当按照《规定》要求，切实履行职责和义务，自觉接受社会公众和 行业监督，积极营造清朗的网络空间。</w:t>
            </w:r>
          </w:p>
        </w:tc>
      </w:tr>
      <w:tr>
        <w:trPr>
          <w:trHeight w:val="3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 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中华人 民共和 国第十 二届全 国人民 代表大 会常务 委员会 第二十 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《中华人民共 和国网络安全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我国第一部全面规范网络空间安全管理方面问题的基础性法律，我国 网络空间法治建设的重要里程碑，是依法治网、化解网络风险的法律 重器，让互联网在法治轨道上健康运行的重要保障。</w:t>
            </w:r>
          </w:p>
        </w:tc>
      </w:tr>
      <w:tr>
        <w:trPr>
          <w:trHeight w:val="157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2006年 5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国务院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《信息网络传 播权保护条</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《条例》包括合理使用、法定许可、避风港原则、版权管理技术等一 系列内容，区分了著作权人、图书馆、网络服务商、读者各自可以享 受的权益，网络传播和使用都有法可依，形成一个相互依存、相互作 用、相互影响的“对立统一”关系，很好地体现了产业发展与权利人 利益、公众利益的平衡，为产业加速发展做好了法律准备。</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340"/>
        <w:jc w:val="left"/>
      </w:pPr>
      <w:bookmarkStart w:id="72" w:name="bookmark72"/>
      <w:bookmarkStart w:id="73" w:name="bookmark73"/>
      <w:bookmarkStart w:id="74" w:name="bookmark74"/>
      <w:r>
        <w:rPr>
          <w:color w:val="000000"/>
          <w:spacing w:val="0"/>
          <w:w w:val="100"/>
          <w:position w:val="0"/>
          <w:sz w:val="24"/>
          <w:szCs w:val="24"/>
        </w:rPr>
        <w:t>、主要资产重大变化情况</w:t>
      </w:r>
      <w:bookmarkEnd w:id="72"/>
      <w:bookmarkEnd w:id="73"/>
      <w:bookmarkEnd w:id="74"/>
    </w:p>
    <w:p>
      <w:pPr>
        <w:pStyle w:val="Style32"/>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1282"/>
        <w:gridCol w:w="8304"/>
      </w:tblGrid>
      <w:tr>
        <w:trPr>
          <w:trHeight w:val="77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期末长期股权投资较年初增长</w:t>
            </w:r>
            <w:r>
              <w:rPr>
                <w:rFonts w:ascii="Times New Roman" w:eastAsia="Times New Roman" w:hAnsi="Times New Roman" w:cs="Times New Roman"/>
                <w:color w:val="000000"/>
                <w:spacing w:val="0"/>
                <w:w w:val="100"/>
                <w:position w:val="0"/>
              </w:rPr>
              <w:t>21.04%</w:t>
            </w:r>
            <w:r>
              <w:rPr>
                <w:color w:val="000000"/>
                <w:spacing w:val="0"/>
                <w:w w:val="100"/>
                <w:position w:val="0"/>
              </w:rPr>
              <w:t>,主要是由于</w:t>
            </w:r>
            <w:r>
              <w:rPr>
                <w:rFonts w:ascii="Times New Roman" w:eastAsia="Times New Roman" w:hAnsi="Times New Roman" w:cs="Times New Roman"/>
                <w:color w:val="000000"/>
                <w:spacing w:val="0"/>
                <w:w w:val="100"/>
                <w:position w:val="0"/>
              </w:rPr>
              <w:t>2020</w:t>
            </w:r>
            <w:r>
              <w:rPr>
                <w:color w:val="000000"/>
                <w:spacing w:val="0"/>
                <w:w w:val="100"/>
                <w:position w:val="0"/>
              </w:rPr>
              <w:t>年权益法核算的参股公司盈利及支付安徽华图参 股投资款所致。</w:t>
            </w:r>
          </w:p>
        </w:tc>
      </w:tr>
    </w:tbl>
    <w:p>
      <w:pPr>
        <w:spacing w:lineRule="exact" w:line="1"/>
        <w:rPr>
          <w:sz w:val="2"/>
          <w:szCs w:val="2"/>
        </w:rPr>
      </w:pPr>
      <w:r>
        <w:br w:type="page"/>
      </w:r>
    </w:p>
    <w:tbl>
      <w:tblPr>
        <w:tblOverlap w:val="never"/>
        <w:jc w:val="center"/>
        <w:tblLayout w:type="fixed"/>
      </w:tblPr>
      <w:tblGrid>
        <w:gridCol w:w="1282"/>
        <w:gridCol w:w="830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期末固定资产较年初增长</w:t>
            </w:r>
            <w:r>
              <w:rPr>
                <w:rFonts w:ascii="Times New Roman" w:eastAsia="Times New Roman" w:hAnsi="Times New Roman" w:cs="Times New Roman"/>
                <w:color w:val="000000"/>
                <w:spacing w:val="0"/>
                <w:w w:val="100"/>
                <w:position w:val="0"/>
              </w:rPr>
              <w:t>13.98%</w:t>
            </w:r>
            <w:r>
              <w:rPr>
                <w:color w:val="000000"/>
                <w:spacing w:val="0"/>
                <w:w w:val="100"/>
                <w:position w:val="0"/>
              </w:rPr>
              <w:t>，主要是由于西安办公楼交房从其他非流动资产转至固定资产所致。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期末无形资产较年初增长</w:t>
            </w:r>
            <w:r>
              <w:rPr>
                <w:rFonts w:ascii="Times New Roman" w:eastAsia="Times New Roman" w:hAnsi="Times New Roman" w:cs="Times New Roman"/>
                <w:color w:val="000000"/>
                <w:spacing w:val="0"/>
                <w:w w:val="100"/>
                <w:position w:val="0"/>
              </w:rPr>
              <w:t>164.35%</w:t>
            </w:r>
            <w:r>
              <w:rPr>
                <w:color w:val="000000"/>
                <w:spacing w:val="0"/>
                <w:w w:val="100"/>
                <w:position w:val="0"/>
              </w:rPr>
              <w:t>，主要是由于公司部分开发支出达到预定可使用状态转为无形资产所致。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期末在建工程较年初增长</w:t>
            </w:r>
            <w:r>
              <w:rPr>
                <w:rFonts w:ascii="Times New Roman" w:eastAsia="Times New Roman" w:hAnsi="Times New Roman" w:cs="Times New Roman"/>
                <w:color w:val="000000"/>
                <w:spacing w:val="0"/>
                <w:w w:val="100"/>
                <w:position w:val="0"/>
              </w:rPr>
              <w:t>181.61%</w:t>
            </w:r>
            <w:r>
              <w:rPr>
                <w:color w:val="000000"/>
                <w:spacing w:val="0"/>
                <w:w w:val="100"/>
                <w:position w:val="0"/>
              </w:rPr>
              <w:t>，主要是由于公司办公室装修增加所致。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期末应收票据较年初下降</w:t>
            </w:r>
            <w:r>
              <w:rPr>
                <w:rFonts w:ascii="Times New Roman" w:eastAsia="Times New Roman" w:hAnsi="Times New Roman" w:cs="Times New Roman"/>
                <w:color w:val="000000"/>
                <w:spacing w:val="0"/>
                <w:w w:val="100"/>
                <w:position w:val="0"/>
              </w:rPr>
              <w:t>85.71%</w:t>
            </w:r>
            <w:r>
              <w:rPr>
                <w:color w:val="000000"/>
                <w:spacing w:val="0"/>
                <w:w w:val="100"/>
                <w:position w:val="0"/>
              </w:rPr>
              <w:t>，主要是由于公司持有的应收票据到期兑付所致。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期末合同资产较年初增加</w:t>
            </w:r>
            <w:r>
              <w:rPr>
                <w:rFonts w:ascii="Times New Roman" w:eastAsia="Times New Roman" w:hAnsi="Times New Roman" w:cs="Times New Roman"/>
                <w:color w:val="000000"/>
                <w:spacing w:val="0"/>
                <w:w w:val="100"/>
                <w:position w:val="0"/>
              </w:rPr>
              <w:t>48.32%</w:t>
            </w:r>
            <w:r>
              <w:rPr>
                <w:color w:val="000000"/>
                <w:spacing w:val="0"/>
                <w:w w:val="100"/>
                <w:position w:val="0"/>
              </w:rPr>
              <w:t>，主要是由于公司业务收入增加，按合同约定尚未到收款期项目金额增 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期末开发支出较年初下降</w:t>
            </w:r>
            <w:r>
              <w:rPr>
                <w:rFonts w:ascii="Times New Roman" w:eastAsia="Times New Roman" w:hAnsi="Times New Roman" w:cs="Times New Roman"/>
                <w:color w:val="000000"/>
                <w:spacing w:val="0"/>
                <w:w w:val="100"/>
                <w:position w:val="0"/>
              </w:rPr>
              <w:t>68.63%</w:t>
            </w:r>
            <w:r>
              <w:rPr>
                <w:color w:val="000000"/>
                <w:spacing w:val="0"/>
                <w:w w:val="100"/>
                <w:position w:val="0"/>
              </w:rPr>
              <w:t>,主要是由于公司部分开发支出达到预定可使用状态转为无形资产所致。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期末其他权益工具投资较年初下降</w:t>
            </w:r>
            <w:r>
              <w:rPr>
                <w:rFonts w:ascii="Times New Roman" w:eastAsia="Times New Roman" w:hAnsi="Times New Roman" w:cs="Times New Roman"/>
                <w:color w:val="000000"/>
                <w:spacing w:val="0"/>
                <w:w w:val="100"/>
                <w:position w:val="0"/>
              </w:rPr>
              <w:t>5.39%</w:t>
            </w:r>
            <w:r>
              <w:rPr>
                <w:color w:val="000000"/>
                <w:spacing w:val="0"/>
                <w:w w:val="100"/>
                <w:position w:val="0"/>
              </w:rPr>
              <w:t>，主要是由于公司参股公司中新赛克股价下跌所致。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期末其他流动资产较年初增长</w:t>
            </w:r>
            <w:r>
              <w:rPr>
                <w:rFonts w:ascii="Times New Roman" w:eastAsia="Times New Roman" w:hAnsi="Times New Roman" w:cs="Times New Roman"/>
                <w:color w:val="000000"/>
                <w:spacing w:val="0"/>
                <w:w w:val="100"/>
                <w:position w:val="0"/>
              </w:rPr>
              <w:t>49.89%</w:t>
            </w:r>
            <w:r>
              <w:rPr>
                <w:color w:val="000000"/>
                <w:spacing w:val="0"/>
                <w:w w:val="100"/>
                <w:position w:val="0"/>
              </w:rPr>
              <w:t>，主要是由于期末公司待认证、待抵扣增值税增加所致。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期末长期待摊费用较年初增长</w:t>
            </w:r>
            <w:r>
              <w:rPr>
                <w:rFonts w:ascii="Times New Roman" w:eastAsia="Times New Roman" w:hAnsi="Times New Roman" w:cs="Times New Roman"/>
                <w:color w:val="000000"/>
                <w:spacing w:val="0"/>
                <w:w w:val="100"/>
                <w:position w:val="0"/>
              </w:rPr>
              <w:t>30.89%</w:t>
            </w:r>
            <w:r>
              <w:rPr>
                <w:color w:val="000000"/>
                <w:spacing w:val="0"/>
                <w:w w:val="100"/>
                <w:position w:val="0"/>
              </w:rPr>
              <w:t>，主要是由于本期公司租赁办公场所装修竣工转入长期待摊所致。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期末递延所得税资产较年初增长</w:t>
            </w:r>
            <w:r>
              <w:rPr>
                <w:rFonts w:ascii="Times New Roman" w:eastAsia="Times New Roman" w:hAnsi="Times New Roman" w:cs="Times New Roman"/>
                <w:color w:val="000000"/>
                <w:spacing w:val="0"/>
                <w:w w:val="100"/>
                <w:position w:val="0"/>
              </w:rPr>
              <w:t>43.38%</w:t>
            </w:r>
            <w:r>
              <w:rPr>
                <w:color w:val="000000"/>
                <w:spacing w:val="0"/>
                <w:w w:val="100"/>
                <w:position w:val="0"/>
              </w:rPr>
              <w:t>，主要是由于本期公司资产减值准备等可抵扣</w:t>
            </w:r>
            <w:r>
              <w:rPr>
                <w:rFonts w:ascii="Times New Roman" w:eastAsia="Times New Roman" w:hAnsi="Times New Roman" w:cs="Times New Roman"/>
                <w:color w:val="000000"/>
                <w:spacing w:val="0"/>
                <w:w w:val="100"/>
                <w:position w:val="0"/>
              </w:rPr>
              <w:t>/</w:t>
            </w:r>
            <w:r>
              <w:rPr>
                <w:color w:val="000000"/>
                <w:spacing w:val="0"/>
                <w:w w:val="100"/>
                <w:position w:val="0"/>
              </w:rPr>
              <w:t>应纳税额暂时性差 异增加所致。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期末其他非流动资产较年初下降</w:t>
            </w:r>
            <w:r>
              <w:rPr>
                <w:rFonts w:ascii="Times New Roman" w:eastAsia="Times New Roman" w:hAnsi="Times New Roman" w:cs="Times New Roman"/>
                <w:color w:val="000000"/>
                <w:spacing w:val="0"/>
                <w:w w:val="100"/>
                <w:position w:val="0"/>
              </w:rPr>
              <w:t>98.23%</w:t>
            </w:r>
            <w:r>
              <w:rPr>
                <w:color w:val="000000"/>
                <w:spacing w:val="0"/>
                <w:w w:val="100"/>
                <w:position w:val="0"/>
              </w:rPr>
              <w:t>，主要是由于西安办公楼交房，从其他非流动资产转至固定资产 所致。</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994"/>
        <w:gridCol w:w="1138"/>
        <w:gridCol w:w="850"/>
        <w:gridCol w:w="1066"/>
        <w:gridCol w:w="1200"/>
        <w:gridCol w:w="566"/>
        <w:gridCol w:w="1421"/>
        <w:gridCol w:w="1070"/>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资产的具体内</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所在地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保障资产安全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境外资产占公司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是否存在重</w:t>
            </w: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容</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性的控制措施</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状况</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净资产的比重</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大减值风险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香港鼎永泰克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324.06</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澳门美新信息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147.92</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99" w:line="1" w:lineRule="exact"/>
      </w:pPr>
    </w:p>
    <w:p>
      <w:pPr>
        <w:pStyle w:val="Style27"/>
        <w:keepNext/>
        <w:keepLines/>
        <w:widowControl w:val="0"/>
        <w:shd w:val="clear" w:color="auto" w:fill="auto"/>
        <w:bidi w:val="0"/>
        <w:spacing w:before="0" w:after="18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44"/>
        <w:keepNext w:val="0"/>
        <w:keepLines w:val="0"/>
        <w:widowControl w:val="0"/>
        <w:shd w:val="clear" w:color="auto" w:fill="auto"/>
        <w:bidi w:val="0"/>
        <w:spacing w:before="0" w:after="0" w:line="469" w:lineRule="exact"/>
        <w:ind w:left="0" w:right="0" w:firstLine="440"/>
        <w:jc w:val="both"/>
      </w:pPr>
      <w:bookmarkStart w:id="87" w:name="bookmark87"/>
      <w:r>
        <w:rPr>
          <w:b/>
          <w:bCs/>
          <w:color w:val="000000"/>
          <w:spacing w:val="0"/>
          <w:w w:val="100"/>
          <w:position w:val="0"/>
        </w:rPr>
        <w:t>1</w:t>
      </w:r>
      <w:bookmarkEnd w:id="87"/>
      <w:r>
        <w:rPr>
          <w:b/>
          <w:bCs/>
          <w:color w:val="000000"/>
          <w:spacing w:val="0"/>
          <w:w w:val="100"/>
          <w:position w:val="0"/>
        </w:rPr>
        <w:t>、市场竞争优势</w:t>
      </w:r>
      <w:r>
        <w:rPr>
          <w:color w:val="000000"/>
          <w:spacing w:val="0"/>
          <w:w w:val="100"/>
          <w:position w:val="0"/>
        </w:rPr>
        <w:t xml:space="preserve">：2019年公司引入国投智能作为公司的控股股东，国务院国资委成为公司实际控制 人，通过国投有效赋能和产业及资源协同，促进了公司在司法机关、政府行政执法部门、军工等行业及数 字政务、社会治理等领域的业务发展。在加强与国投集团资源协同的同时，公司紧密围绕产业布局，形成 并不断壮大产业生态链，目前产业联盟企业已超过100家，包括全资、控股、参股及上下游产业链企业， 在技术合作、资源互补、业务协同上合智增效。通过生态企业间形成资源、技术、人才的聚集和共享，不 断拓展完善产业链，共同推动国家网络空间安全和社会治理现代化建设的信息化支撑。公司将司法及行政 执法领域的技术及行业经验优势，延伸至军工、税务、企事业等其他新培育行业。网络空间安全和大数据 智能化两大主赛道并驾齐驱，在持续保持电子数据取证市场行业龙头的地位同时，大数据智能化业务在公 </w:t>
      </w:r>
      <w:r>
        <w:rPr>
          <w:color w:val="000000"/>
          <w:spacing w:val="0"/>
          <w:w w:val="100"/>
          <w:position w:val="0"/>
        </w:rPr>
        <w:t>共安全、新型智慧城市、视频融合、网络安全等领域的应用及在军工、应急、监察委等行业不断拓展落地。</w:t>
      </w:r>
    </w:p>
    <w:p>
      <w:pPr>
        <w:pStyle w:val="Style44"/>
        <w:keepNext w:val="0"/>
        <w:keepLines w:val="0"/>
        <w:widowControl w:val="0"/>
        <w:shd w:val="clear" w:color="auto" w:fill="auto"/>
        <w:tabs>
          <w:tab w:pos="735" w:val="left"/>
        </w:tabs>
        <w:bidi w:val="0"/>
        <w:spacing w:before="0" w:after="0" w:line="469" w:lineRule="exact"/>
        <w:ind w:left="0" w:right="0" w:firstLine="440"/>
        <w:jc w:val="left"/>
      </w:pPr>
      <w:bookmarkStart w:id="88" w:name="bookmark88"/>
      <w:r>
        <w:rPr>
          <w:b/>
          <w:bCs/>
          <w:color w:val="000000"/>
          <w:spacing w:val="0"/>
          <w:w w:val="100"/>
          <w:position w:val="0"/>
        </w:rPr>
        <w:t>2</w:t>
      </w:r>
      <w:bookmarkEnd w:id="88"/>
      <w:r>
        <w:rPr>
          <w:b/>
          <w:bCs/>
          <w:color w:val="000000"/>
          <w:spacing w:val="0"/>
          <w:w w:val="100"/>
          <w:position w:val="0"/>
        </w:rPr>
        <w:t>、</w:t>
        <w:tab/>
        <w:t>持续技术创新优势：</w:t>
      </w:r>
      <w:r>
        <w:rPr>
          <w:color w:val="000000"/>
          <w:spacing w:val="0"/>
          <w:w w:val="100"/>
          <w:position w:val="0"/>
        </w:rPr>
        <w:t>公司高度重视核心技术的创新及自主可控产品研发，建立了一套完善的研发 管理体系。公司设立技术管理委员会，负责公司项目管理、产品研发管理、</w:t>
      </w:r>
      <w:r>
        <w:rPr>
          <w:color w:val="000000"/>
          <w:spacing w:val="0"/>
          <w:w w:val="100"/>
          <w:position w:val="0"/>
        </w:rPr>
        <w:t>CMM</w:t>
      </w:r>
      <w:r>
        <w:rPr>
          <w:color w:val="000000"/>
          <w:spacing w:val="0"/>
          <w:w w:val="100"/>
          <w:position w:val="0"/>
        </w:rPr>
        <w:t>软件能力成熟度、新产品 导入</w:t>
      </w:r>
      <w:r>
        <w:rPr>
          <w:color w:val="000000"/>
          <w:spacing w:val="0"/>
          <w:w w:val="100"/>
          <w:position w:val="0"/>
        </w:rPr>
        <w:t>/NPI</w:t>
      </w:r>
      <w:r>
        <w:rPr>
          <w:color w:val="000000"/>
          <w:spacing w:val="0"/>
          <w:w w:val="100"/>
          <w:position w:val="0"/>
        </w:rPr>
        <w:t>管理等体系的能力建设，同时下设技术创新中心，围绕着大数据、人工智能和智能取证等技术方 向不断探索和研究。设置专门的研究机构，包括大数据与智能平台研究院（成立北京、广东、西南大数据 研究院分院）、电子数据取证与智能装备研究院、开源情报与应用研究院，新型智慧城市事业部、网络空 间安全事业部，并建设有大数据实验室、电子数据鉴定实验室、计算机取证实验室、手机取证实验室、开 源情报实验室等。</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为保证公司产品自主可控，公司不断增加研发投入。近几年每年研发投入占当年度营业收入比例均在 16%以上，其中2018年16.35%、2019年17.32%、2020年17.44%。截至2020年12月31日，公司共取得授权专 利350项，其中发明专利208项，实用新型专利64项，外观专利78项；有效注册商标85项，软件著作权661 项。报告期内，公司新增授权专利66项，其中发明专利42项，实用新型专利10项，外观专利14项；新增软 件著作权91项。主导参与7项国家级、11项行业标准制定。人工智能作为公司核心技术之一，公司主办三 届人工智能大赛，核心团队在2019年中国人工智能比赛，人脸识别组获得</w:t>
      </w:r>
      <w:r>
        <w:rPr>
          <w:color w:val="000000"/>
          <w:spacing w:val="0"/>
          <w:w w:val="100"/>
          <w:position w:val="0"/>
        </w:rPr>
        <w:t>A^（</w:t>
      </w:r>
      <w:r>
        <w:rPr>
          <w:color w:val="000000"/>
          <w:spacing w:val="0"/>
          <w:w w:val="100"/>
          <w:position w:val="0"/>
        </w:rPr>
        <w:t>最高级别）证书、变种同 源视频检索获</w:t>
      </w:r>
      <w:r>
        <w:rPr>
          <w:color w:val="000000"/>
          <w:spacing w:val="0"/>
          <w:w w:val="100"/>
          <w:position w:val="0"/>
        </w:rPr>
        <w:t>B</w:t>
      </w:r>
      <w:r>
        <w:rPr>
          <w:color w:val="000000"/>
          <w:spacing w:val="0"/>
          <w:w w:val="100"/>
          <w:position w:val="0"/>
        </w:rPr>
        <w:t>级证书。人工智能研究成果“基于深度学习的移动端敏感信息检测设备”获批为福建省 “数字福建人工智能应用示范项目”和厦门市人工智能应用示范项目；“基于人工智能先进技术的网络有 害信息识别系统”成为工业和信息化部新一代人工智能产业创新重点任务揭榜项目。</w:t>
      </w:r>
    </w:p>
    <w:p>
      <w:pPr>
        <w:pStyle w:val="Style44"/>
        <w:keepNext w:val="0"/>
        <w:keepLines w:val="0"/>
        <w:widowControl w:val="0"/>
        <w:shd w:val="clear" w:color="auto" w:fill="auto"/>
        <w:tabs>
          <w:tab w:pos="740" w:val="left"/>
        </w:tabs>
        <w:bidi w:val="0"/>
        <w:spacing w:before="0" w:after="0" w:line="469" w:lineRule="exact"/>
        <w:ind w:left="0" w:right="0" w:firstLine="440"/>
        <w:jc w:val="both"/>
      </w:pPr>
      <w:bookmarkStart w:id="89" w:name="bookmark89"/>
      <w:r>
        <w:rPr>
          <w:b/>
          <w:bCs/>
          <w:color w:val="000000"/>
          <w:spacing w:val="0"/>
          <w:w w:val="100"/>
          <w:position w:val="0"/>
        </w:rPr>
        <w:t>3</w:t>
      </w:r>
      <w:bookmarkEnd w:id="89"/>
      <w:r>
        <w:rPr>
          <w:b/>
          <w:bCs/>
          <w:color w:val="000000"/>
          <w:spacing w:val="0"/>
          <w:w w:val="100"/>
          <w:position w:val="0"/>
        </w:rPr>
        <w:t>、</w:t>
        <w:tab/>
        <w:t>培训和技术支持体系优势：</w:t>
      </w:r>
      <w:r>
        <w:rPr>
          <w:color w:val="000000"/>
          <w:spacing w:val="0"/>
          <w:w w:val="100"/>
          <w:position w:val="0"/>
        </w:rPr>
        <w:t>公司已建立“以培训带动销售”的培训体系和“以客户为中心”的技 术支持体系。公司的营销模式是“以培训带动销售”，以培训获需求、培训促服务、培训得市场。采用线 上线下相结合的培训方式，并将培训管理、培训课程体系、培训服务流程实现了集团资源融合，通过优化 培训课程，加强新产品新技术宣导，将培训模式复制到集团内子公司。目前公司已累计培训达15万余人次。 建立专业的技术支持服务团队，贯彻“以客户为中心”的服务方针，以“客户需求的快速响应和提供优质 持续服务”为核心，超越客户期望，提高客户满意度的技术服务模式。通过微信公众号、微信小程序、400 888 6688服务热线、企业</w:t>
      </w:r>
      <w:r>
        <w:rPr>
          <w:color w:val="000000"/>
          <w:spacing w:val="0"/>
          <w:w w:val="100"/>
          <w:position w:val="0"/>
        </w:rPr>
        <w:t>QQ</w:t>
      </w:r>
      <w:r>
        <w:rPr>
          <w:color w:val="000000"/>
          <w:spacing w:val="0"/>
          <w:w w:val="100"/>
          <w:position w:val="0"/>
        </w:rPr>
        <w:t xml:space="preserve">等方式提供了 </w:t>
      </w:r>
      <w:r>
        <w:rPr>
          <w:color w:val="000000"/>
          <w:spacing w:val="0"/>
          <w:w w:val="100"/>
          <w:position w:val="0"/>
        </w:rPr>
        <w:t>7X24</w:t>
      </w:r>
      <w:r>
        <w:rPr>
          <w:color w:val="000000"/>
          <w:spacing w:val="0"/>
          <w:w w:val="100"/>
          <w:position w:val="0"/>
        </w:rPr>
        <w:t>小时技术支持服务。</w:t>
      </w:r>
    </w:p>
    <w:p>
      <w:pPr>
        <w:pStyle w:val="Style44"/>
        <w:keepNext w:val="0"/>
        <w:keepLines w:val="0"/>
        <w:widowControl w:val="0"/>
        <w:shd w:val="clear" w:color="auto" w:fill="auto"/>
        <w:tabs>
          <w:tab w:pos="735" w:val="left"/>
        </w:tabs>
        <w:bidi w:val="0"/>
        <w:spacing w:before="0" w:after="0" w:line="469" w:lineRule="exact"/>
        <w:ind w:left="0" w:right="0" w:firstLine="440"/>
        <w:jc w:val="both"/>
        <w:sectPr>
          <w:footnotePr>
            <w:pos w:val="pageBottom"/>
            <w:numFmt w:val="decimal"/>
            <w:numRestart w:val="continuous"/>
          </w:footnotePr>
          <w:type w:val="continuous"/>
          <w:pgSz w:w="11900" w:h="16840"/>
          <w:pgMar w:top="1258" w:right="1043" w:bottom="1445" w:left="973" w:header="0" w:footer="3" w:gutter="0"/>
          <w:cols w:space="720"/>
          <w:noEndnote/>
          <w:rtlGutter w:val="0"/>
          <w:docGrid w:linePitch="360"/>
        </w:sectPr>
      </w:pPr>
      <w:bookmarkStart w:id="90" w:name="bookmark90"/>
      <w:r>
        <w:rPr>
          <w:b/>
          <w:bCs/>
          <w:color w:val="000000"/>
          <w:spacing w:val="0"/>
          <w:w w:val="100"/>
          <w:position w:val="0"/>
        </w:rPr>
        <w:t>4</w:t>
      </w:r>
      <w:bookmarkEnd w:id="90"/>
      <w:r>
        <w:rPr>
          <w:b/>
          <w:bCs/>
          <w:color w:val="000000"/>
          <w:spacing w:val="0"/>
          <w:w w:val="100"/>
          <w:position w:val="0"/>
        </w:rPr>
        <w:t>、</w:t>
        <w:tab/>
        <w:t>党建引领方向，创新驱动发展：</w:t>
      </w:r>
      <w:r>
        <w:rPr>
          <w:color w:val="000000"/>
          <w:spacing w:val="0"/>
          <w:w w:val="100"/>
          <w:position w:val="0"/>
        </w:rPr>
        <w:t xml:space="preserve">公司高度重视发挥党组织在公司的政治核心和政治引领作用。2007 年成立党组织，2015年成立公司党委，目前辖23个党支部，有党员500多名，2016年被中共中央表彰为“全 国先进基层党组织”，2018年被福建省委组织部确定为全省首批17家非公企业党建实训基地之一。2018年 把党建写入公司章程，大力加强党的组织领导。公司也不断探索“党建引领方向、创新启动发展”的创新 型党建特色机制，将党建工作和公司业务进行结合，探索通过以党建和业务相结合的方式与客户开展党建 共建活动，按照党建“全覆盖”和“业务拓展到哪里，党建工作就做到哪里”的原则，积极推动党务与经 </w:t>
      </w:r>
      <w:r>
        <w:rPr>
          <w:color w:val="000000"/>
          <w:spacing w:val="0"/>
          <w:w w:val="100"/>
          <w:position w:val="0"/>
        </w:rPr>
        <w:t>营管理有机融合，党纪与工作纪律紧密结合，较好发挥党组织在公司的战斗堡垒和党员的先锋和模范作用。</w:t>
      </w:r>
    </w:p>
    <w:p>
      <w:pPr>
        <w:pStyle w:val="Style17"/>
        <w:keepNext/>
        <w:keepLines/>
        <w:widowControl w:val="0"/>
        <w:shd w:val="clear" w:color="auto" w:fill="auto"/>
        <w:bidi w:val="0"/>
        <w:spacing w:before="70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7"/>
        <w:keepNext/>
        <w:keepLines/>
        <w:widowControl w:val="0"/>
        <w:shd w:val="clear" w:color="auto" w:fill="auto"/>
        <w:bidi w:val="0"/>
        <w:spacing w:before="0" w:after="18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bookmarkEnd w:id="94"/>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报告期内，公司实现营业总收入238, </w:t>
      </w:r>
      <w:r>
        <w:rPr>
          <w:color w:val="000000"/>
          <w:spacing w:val="0"/>
          <w:w w:val="100"/>
          <w:position w:val="0"/>
        </w:rPr>
        <w:t xml:space="preserve">609. </w:t>
      </w:r>
      <w:r>
        <w:rPr>
          <w:color w:val="000000"/>
          <w:spacing w:val="0"/>
          <w:w w:val="100"/>
          <w:position w:val="0"/>
        </w:rPr>
        <w:t>83万元，同比增长15.41%；利润总额</w:t>
      </w:r>
      <w:r>
        <w:rPr>
          <w:color w:val="000000"/>
          <w:spacing w:val="0"/>
          <w:w w:val="100"/>
          <w:position w:val="0"/>
        </w:rPr>
        <w:t>42,031.64</w:t>
      </w:r>
      <w:r>
        <w:rPr>
          <w:color w:val="000000"/>
          <w:spacing w:val="0"/>
          <w:w w:val="100"/>
          <w:position w:val="0"/>
        </w:rPr>
        <w:t xml:space="preserve">万元，同比 增长37.47%；实现归属于上市公司股东的净利润37, </w:t>
      </w:r>
      <w:r>
        <w:rPr>
          <w:color w:val="000000"/>
          <w:spacing w:val="0"/>
          <w:w w:val="100"/>
          <w:position w:val="0"/>
        </w:rPr>
        <w:t>462.1</w:t>
      </w:r>
      <w:r>
        <w:rPr>
          <w:color w:val="000000"/>
          <w:spacing w:val="0"/>
          <w:w w:val="100"/>
          <w:position w:val="0"/>
        </w:rPr>
        <w:t>0万元，同比增长29.32%；归属于上市公司股东 的扣除非经常性损益的净利润</w:t>
      </w:r>
      <w:r>
        <w:rPr>
          <w:color w:val="000000"/>
          <w:spacing w:val="0"/>
          <w:w w:val="100"/>
          <w:position w:val="0"/>
        </w:rPr>
        <w:t>34,106.53</w:t>
      </w:r>
      <w:r>
        <w:rPr>
          <w:color w:val="000000"/>
          <w:spacing w:val="0"/>
          <w:w w:val="100"/>
          <w:position w:val="0"/>
        </w:rPr>
        <w:t xml:space="preserve">万元，同比增长27.72%；报告期末公司资产总额464, </w:t>
      </w:r>
      <w:r>
        <w:rPr>
          <w:color w:val="000000"/>
          <w:spacing w:val="0"/>
          <w:w w:val="100"/>
          <w:position w:val="0"/>
        </w:rPr>
        <w:t xml:space="preserve">527. </w:t>
      </w:r>
      <w:r>
        <w:rPr>
          <w:color w:val="000000"/>
          <w:spacing w:val="0"/>
          <w:w w:val="100"/>
          <w:position w:val="0"/>
        </w:rPr>
        <w:t xml:space="preserve">32万元， 较上年末增长10.60%，归属于上市公司股东的所有者权益330, </w:t>
      </w:r>
      <w:r>
        <w:rPr>
          <w:color w:val="000000"/>
          <w:spacing w:val="0"/>
          <w:w w:val="100"/>
          <w:position w:val="0"/>
        </w:rPr>
        <w:t xml:space="preserve">117. </w:t>
      </w:r>
      <w:r>
        <w:rPr>
          <w:color w:val="000000"/>
          <w:spacing w:val="0"/>
          <w:w w:val="100"/>
          <w:position w:val="0"/>
        </w:rPr>
        <w:t>46万元，较上年末增长11.50%。公司产 品整体毛利率为57.60%，对比去年上升1.86%。</w:t>
      </w:r>
    </w:p>
    <w:p>
      <w:pPr>
        <w:pStyle w:val="Style44"/>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公司主要经营情况如下：</w:t>
      </w:r>
    </w:p>
    <w:p>
      <w:pPr>
        <w:pStyle w:val="Style44"/>
        <w:keepNext w:val="0"/>
        <w:keepLines w:val="0"/>
        <w:widowControl w:val="0"/>
        <w:shd w:val="clear" w:color="auto" w:fill="auto"/>
        <w:tabs>
          <w:tab w:pos="742" w:val="left"/>
        </w:tabs>
        <w:bidi w:val="0"/>
        <w:spacing w:before="0" w:after="0" w:line="468" w:lineRule="exact"/>
        <w:ind w:left="0" w:right="0" w:firstLine="440"/>
        <w:jc w:val="both"/>
      </w:pPr>
      <w:bookmarkStart w:id="99" w:name="bookmark99"/>
      <w:r>
        <w:rPr>
          <w:b/>
          <w:bCs/>
          <w:color w:val="000000"/>
          <w:spacing w:val="0"/>
          <w:w w:val="100"/>
          <w:position w:val="0"/>
        </w:rPr>
        <w:t>1</w:t>
      </w:r>
      <w:bookmarkEnd w:id="99"/>
      <w:r>
        <w:rPr>
          <w:b/>
          <w:bCs/>
          <w:color w:val="000000"/>
          <w:spacing w:val="0"/>
          <w:w w:val="100"/>
          <w:position w:val="0"/>
        </w:rPr>
        <w:t>、</w:t>
        <w:tab/>
        <w:t>主要业务：</w:t>
      </w:r>
      <w:r>
        <w:rPr>
          <w:color w:val="000000"/>
          <w:spacing w:val="0"/>
          <w:w w:val="100"/>
          <w:position w:val="0"/>
        </w:rPr>
        <w:t>公司近5年营业收入复合增长率约24%，2020年有效抓住了网络空间安全和大数据智能 化两大主赛道的成长机会，营业收入均突破10亿，其中大数据智能化产品线以年均50%的增速发展。在2020 年抗击疫情工作中，公司发挥自身在大数据和人工智能技术上的优势，开发疫情防控需求相关产品，在疫 情预警、防控等工作中发挥重要作用。同时，公司推出“乾坤”大数据操作系统，加快大数据产品化进程。 2020年，公司大数据智能化业务毛利率</w:t>
      </w:r>
      <w:r>
        <w:rPr>
          <w:color w:val="000000"/>
          <w:spacing w:val="0"/>
          <w:w w:val="100"/>
          <w:position w:val="0"/>
        </w:rPr>
        <w:t xml:space="preserve">50. </w:t>
      </w:r>
      <w:r>
        <w:rPr>
          <w:color w:val="000000"/>
          <w:spacing w:val="0"/>
          <w:w w:val="100"/>
          <w:position w:val="0"/>
        </w:rPr>
        <w:t>60%，较比2019年提升5.44%。提出网络空间安全板块及新型智 慧城市发展规划的新业务布局，持续推进网络空间安全产品装备化，加强装备与平台的联动性，积极应对 疫情影响。成立专业的大数据服务团队</w:t>
      </w:r>
      <w:r>
        <w:rPr>
          <w:color w:val="000000"/>
          <w:spacing w:val="0"/>
          <w:w w:val="100"/>
          <w:position w:val="0"/>
        </w:rPr>
        <w:t>M001</w:t>
      </w:r>
      <w:r>
        <w:rPr>
          <w:color w:val="000000"/>
          <w:spacing w:val="0"/>
          <w:w w:val="100"/>
          <w:position w:val="0"/>
        </w:rPr>
        <w:t>大队，通过专业数据分析服务及专项技术支撑保障，为客户创 造更多价值。</w:t>
      </w:r>
    </w:p>
    <w:p>
      <w:pPr>
        <w:pStyle w:val="Style44"/>
        <w:keepNext w:val="0"/>
        <w:keepLines w:val="0"/>
        <w:widowControl w:val="0"/>
        <w:shd w:val="clear" w:color="auto" w:fill="auto"/>
        <w:tabs>
          <w:tab w:pos="742" w:val="left"/>
        </w:tabs>
        <w:bidi w:val="0"/>
        <w:spacing w:before="0" w:after="180" w:line="468" w:lineRule="exact"/>
        <w:ind w:left="0" w:right="0" w:firstLine="440"/>
        <w:jc w:val="both"/>
      </w:pPr>
      <w:bookmarkStart w:id="100" w:name="bookmark100"/>
      <w:r>
        <w:rPr>
          <w:b/>
          <w:bCs/>
          <w:color w:val="000000"/>
          <w:spacing w:val="0"/>
          <w:w w:val="100"/>
          <w:position w:val="0"/>
        </w:rPr>
        <w:t>2</w:t>
      </w:r>
      <w:bookmarkEnd w:id="100"/>
      <w:r>
        <w:rPr>
          <w:b/>
          <w:bCs/>
          <w:color w:val="000000"/>
          <w:spacing w:val="0"/>
          <w:w w:val="100"/>
          <w:position w:val="0"/>
        </w:rPr>
        <w:t>、</w:t>
        <w:tab/>
        <w:t>市场拓展：</w:t>
      </w:r>
      <w:r>
        <w:rPr>
          <w:color w:val="000000"/>
          <w:spacing w:val="0"/>
          <w:w w:val="100"/>
          <w:position w:val="0"/>
        </w:rPr>
        <w:t>公司主要客户为国内各级司法机关及政府行政执法部门。为促进公司重点项目落地及 新行业拓展，公司开展“星火”、“捷豹”、“雷霆”等专项行动，加强在行业的横向拓展和纵向区县渠 道下沉，报告期，公司在新领域区县市场及军工、税务、企业等新行业订单均保持较好增长。其中区县市 场：2020年公司区县市场订单金额近3亿元，较2019年增长了41%,承接的区县取证实验室单个建设规模已 超1000万。税务：全资子公司江苏税软，挖掘国地税合并后带来的涉税评估和税务稽查装备化、信息化的 市场机会，在省市级涉税评估和税务稽查行业持续占70%以上的市场份额，巩固了税务稽查细分行业地位。 军工：线上线下营销相结合，推出符合行业及客户需求产品，2020年实现上亿的订单规模，较2019年增长 约2倍。企业：公司及控股子公司面对企事业单位推出一系列产品及解决方案。如为金融、旅游、知识产 权、医疗、家政、执法等行业提供一站式“公证+司法鉴定”电子证据服务平台，以及控股子公司美亚亿 安为企业监察、内审、合规、信息安全、法务等部门提供“企业电子数据调查整体解决方案”，专注于世 界和国内500强企业业务的美亚亿安2020年收入较2019年增长</w:t>
      </w:r>
      <w:r>
        <w:rPr>
          <w:color w:val="000000"/>
          <w:spacing w:val="0"/>
          <w:w w:val="100"/>
          <w:position w:val="0"/>
        </w:rPr>
        <w:t xml:space="preserve">64. </w:t>
      </w:r>
      <w:r>
        <w:rPr>
          <w:color w:val="000000"/>
          <w:spacing w:val="0"/>
          <w:w w:val="100"/>
          <w:position w:val="0"/>
        </w:rPr>
        <w:t>04%。</w:t>
      </w:r>
    </w:p>
    <w:p>
      <w:pPr>
        <w:pStyle w:val="Style44"/>
        <w:keepNext w:val="0"/>
        <w:keepLines w:val="0"/>
        <w:widowControl w:val="0"/>
        <w:shd w:val="clear" w:color="auto" w:fill="auto"/>
        <w:tabs>
          <w:tab w:pos="741" w:val="left"/>
        </w:tabs>
        <w:bidi w:val="0"/>
        <w:spacing w:before="0" w:after="0" w:line="469" w:lineRule="exact"/>
        <w:ind w:left="0" w:right="0" w:firstLine="440"/>
        <w:jc w:val="both"/>
      </w:pPr>
      <w:bookmarkStart w:id="101" w:name="bookmark101"/>
      <w:r>
        <w:rPr>
          <w:b/>
          <w:bCs/>
          <w:color w:val="000000"/>
          <w:spacing w:val="0"/>
          <w:w w:val="100"/>
          <w:position w:val="0"/>
        </w:rPr>
        <w:t>3</w:t>
      </w:r>
      <w:bookmarkEnd w:id="101"/>
      <w:r>
        <w:rPr>
          <w:b/>
          <w:bCs/>
          <w:color w:val="000000"/>
          <w:spacing w:val="0"/>
          <w:w w:val="100"/>
          <w:position w:val="0"/>
        </w:rPr>
        <w:t>、</w:t>
        <w:tab/>
        <w:t>公司管理：</w:t>
      </w:r>
      <w:r>
        <w:rPr>
          <w:color w:val="000000"/>
          <w:spacing w:val="0"/>
          <w:w w:val="100"/>
          <w:position w:val="0"/>
        </w:rPr>
        <w:t>报告期内，公司引入国投集团全面预算管理体系，开展“瘦身健体、提质增效”等管 理活动，压缩不必要的费用支出，加强成本管控及与控股股东之间的协同，2020年公司期间费用增长小于 收入和毛利的增长幅度。强化“卓越绩效管理”体系建设，通过明确组织定位、提高组织效能、支撑战略 落地三个方面，强化价值创造，强化人均毛利考核比重，促进公司产品化经营能力提升，促进公司做强做 大。借鉴国投管理经验，总结美亚干部管理经验教训，制定了《集团干部管理办法》，对职责权限、职数 管理、任职资格、选拔晋升程度等方面进行明确规定，大力推动人才交流和轮岗，全面提高人才队伍综合 能力。加强干部队伍建设，优化了管理干部的提名、考察和任用程序，依托美亚柏科干校，组织设立“高 研班”，拟开设“中青班”，加强高层后备人才的选拨培养，促进干部年轻化。强化经营和产品质量管理, 开展公司内的各项质量管理工作，公司于2020年9月30日获得“2020年全国质量标杆”的荣誉。强化董事 会合规治理及公司规范运作，围绕“做实”董事会四大专门委员会的工作要求，制定《服务董事会专门委 员会工作管理办法》，提高董事会规范运作水平和议事效率。</w:t>
      </w:r>
    </w:p>
    <w:p>
      <w:pPr>
        <w:pStyle w:val="Style44"/>
        <w:keepNext w:val="0"/>
        <w:keepLines w:val="0"/>
        <w:widowControl w:val="0"/>
        <w:shd w:val="clear" w:color="auto" w:fill="auto"/>
        <w:tabs>
          <w:tab w:pos="741" w:val="left"/>
        </w:tabs>
        <w:bidi w:val="0"/>
        <w:spacing w:before="0" w:after="0" w:line="469" w:lineRule="exact"/>
        <w:ind w:left="0" w:right="0" w:firstLine="440"/>
        <w:jc w:val="both"/>
      </w:pPr>
      <w:bookmarkStart w:id="102" w:name="bookmark102"/>
      <w:r>
        <w:rPr>
          <w:b/>
          <w:bCs/>
          <w:color w:val="000000"/>
          <w:spacing w:val="0"/>
          <w:w w:val="100"/>
          <w:position w:val="0"/>
        </w:rPr>
        <w:t>4</w:t>
      </w:r>
      <w:bookmarkEnd w:id="102"/>
      <w:r>
        <w:rPr>
          <w:b/>
          <w:bCs/>
          <w:color w:val="000000"/>
          <w:spacing w:val="0"/>
          <w:w w:val="100"/>
          <w:position w:val="0"/>
        </w:rPr>
        <w:t>、</w:t>
        <w:tab/>
        <w:t>制定“十四五”发展规划：</w:t>
      </w:r>
      <w:r>
        <w:rPr>
          <w:color w:val="000000"/>
          <w:spacing w:val="0"/>
          <w:w w:val="100"/>
          <w:position w:val="0"/>
        </w:rPr>
        <w:t>报告期内，公司认真贯彻国投集团关于编制“十四五”规划的工作要 求和部署，编制了美亚柏科“十四五”发展规划，制定了美亚柏科“8848”战略目标，计划在“十四五” 期间，重点拓展八大行业，建立八大基地，重点发展四大产品线，以战略构建新发展格局，引领公司高质 量发展。明确未来公司发展的两个主要板块，第一个是新型智慧城市，从公司擅长的公安大数据做起，逐 步拓展为市域社会治理平台，并进一步延伸至新型智慧城市，围绕惠民、善政、兴业，支撑社会治理现代 化；基于大数据技术的优势和多年的行业积累，加快新型智慧城市的业务布局。另外一个板块是新网络空 间安全，将业务赛道由事后电子数据调查取证延展至网络空间安全事前、事中、事后全赛道，以数据安全 为核心打造全面的网络空间安全防护体系。两大主要板块发展目标为未来公司拓宽业务赛道指明了重要方 向和潜在市场。</w:t>
      </w:r>
    </w:p>
    <w:p>
      <w:pPr>
        <w:pStyle w:val="Style44"/>
        <w:keepNext w:val="0"/>
        <w:keepLines w:val="0"/>
        <w:widowControl w:val="0"/>
        <w:shd w:val="clear" w:color="auto" w:fill="auto"/>
        <w:tabs>
          <w:tab w:pos="741" w:val="left"/>
        </w:tabs>
        <w:bidi w:val="0"/>
        <w:spacing w:before="0" w:after="440" w:line="469" w:lineRule="exact"/>
        <w:ind w:left="0" w:right="0" w:firstLine="440"/>
        <w:jc w:val="both"/>
      </w:pPr>
      <w:bookmarkStart w:id="103" w:name="bookmark103"/>
      <w:r>
        <w:rPr>
          <w:b/>
          <w:bCs/>
          <w:color w:val="000000"/>
          <w:spacing w:val="0"/>
          <w:w w:val="100"/>
          <w:position w:val="0"/>
        </w:rPr>
        <w:t>5</w:t>
      </w:r>
      <w:bookmarkEnd w:id="103"/>
      <w:r>
        <w:rPr>
          <w:b/>
          <w:bCs/>
          <w:color w:val="000000"/>
          <w:spacing w:val="0"/>
          <w:w w:val="100"/>
          <w:position w:val="0"/>
        </w:rPr>
        <w:t>、</w:t>
        <w:tab/>
        <w:t>为疫情防控贡献力量：</w:t>
      </w:r>
      <w:r>
        <w:rPr>
          <w:color w:val="000000"/>
          <w:spacing w:val="0"/>
          <w:w w:val="100"/>
          <w:position w:val="0"/>
        </w:rPr>
        <w:t>疫情发生后，公司组织集团内各单位利用自身优势为国家的疫情防控工作 贡献力量。其中，大数据团队整合疫情防控核心需求，快速开发疫情防控模块，协助客户完成了疫情防控 平台建设及相关数据分析工作，相关产品在疫情防控初期工作中及年末各地疫情回弹时都充分发挥预警、 防控等重要作用，及时消除了疫情扩散、蔓延隐患，疏解了返工复学、境外输入等风险。大数据抗疫团队 荣获“国投集团2020年度先进集体”。</w:t>
      </w:r>
    </w:p>
    <w:p>
      <w:pPr>
        <w:pStyle w:val="Style27"/>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、主营业务分析</w:t>
      </w:r>
      <w:bookmarkEnd w:id="104"/>
      <w:bookmarkEnd w:id="105"/>
      <w:bookmarkEnd w:id="107"/>
    </w:p>
    <w:p>
      <w:pPr>
        <w:pStyle w:val="Style32"/>
        <w:keepNext/>
        <w:keepLines/>
        <w:widowControl w:val="0"/>
        <w:shd w:val="clear" w:color="auto" w:fill="auto"/>
        <w:bidi w:val="0"/>
        <w:spacing w:before="0" w:after="120" w:line="48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、概述</w:t>
      </w:r>
      <w:bookmarkEnd w:id="108"/>
      <w:bookmarkEnd w:id="109"/>
      <w:bookmarkEnd w:id="111"/>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r>
        <w:br w:type="page"/>
      </w:r>
    </w:p>
    <w:p>
      <w:pPr>
        <w:pStyle w:val="Style32"/>
        <w:keepNext/>
        <w:keepLines/>
        <w:widowControl w:val="0"/>
        <w:shd w:val="clear" w:color="auto" w:fill="auto"/>
        <w:bidi w:val="0"/>
        <w:spacing w:before="0" w:after="34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、收入与成本</w:t>
      </w:r>
      <w:bookmarkEnd w:id="112"/>
      <w:bookmarkEnd w:id="113"/>
      <w:bookmarkEnd w:id="115"/>
    </w:p>
    <w:p>
      <w:pPr>
        <w:pStyle w:val="Style75"/>
        <w:keepNext/>
        <w:keepLines/>
        <w:widowControl w:val="0"/>
        <w:numPr>
          <w:ilvl w:val="0"/>
          <w:numId w:val="1"/>
        </w:numPr>
        <w:shd w:val="clear" w:color="auto" w:fill="auto"/>
        <w:bidi w:val="0"/>
        <w:spacing w:before="0" w:after="340" w:line="240" w:lineRule="auto"/>
        <w:ind w:left="0" w:right="0" w:firstLine="0"/>
        <w:jc w:val="both"/>
      </w:pPr>
      <w:bookmarkStart w:id="116" w:name="bookmark116"/>
      <w:bookmarkStart w:id="117" w:name="bookmark117"/>
      <w:bookmarkStart w:id="118" w:name="bookmark118"/>
      <w:bookmarkStart w:id="119" w:name="bookmark119"/>
      <w:bookmarkEnd w:id="118"/>
      <w:r>
        <w:rPr>
          <w:color w:val="000000"/>
          <w:spacing w:val="0"/>
          <w:w w:val="100"/>
          <w:position w:val="0"/>
        </w:rPr>
        <w:t>营业收入构成</w:t>
      </w:r>
      <w:bookmarkEnd w:id="116"/>
      <w:bookmarkEnd w:id="117"/>
      <w:bookmarkEnd w:id="119"/>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2,386,098,335.14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2,067,410,376.33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1,349,205,727.25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1,103,357,180.06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行政执法机关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329,239,775.23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310,612,057.08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592,019,194.48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557,132,982.19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115,633,638.18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96,308,157.00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1,126,231,805.09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1,084,246,375.88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大数据智能化产品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1,085,935,000.63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772,423,383.56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网络开源情报产品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58,119,089.45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75,694,393.40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61,806,942.79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92,423,516.91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54,005,497.18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42,622,706.58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516,482,027.53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565,889,189.22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1,267,336,113.84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972,333,519.66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442,510,461.41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352,384,825.82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159,769,732.36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176,802,841.63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r>
    </w:tbl>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229,931,323.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381,697,270.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466,546,956.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1,307,922,78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246,643,816.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336,732,046.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279,618,297.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1,204,416,21</w:t>
            </w:r>
          </w:p>
        </w:tc>
      </w:tr>
      <w:tr>
        <w:trPr>
          <w:trHeight w:val="34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r>
      <w:tr>
        <w:trPr>
          <w:trHeight w:val="36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-44,494,270.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48,237,712.3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65,723,022.9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305,154,503.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-14,296,950.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15,651,107.0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-35,501,711.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323,823,128.</w:t>
            </w:r>
          </w:p>
        </w:tc>
      </w:tr>
      <w:tr>
        <w:trPr>
          <w:trHeight w:val="355"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bl>
    <w:p>
      <w:pPr>
        <w:widowControl w:val="0"/>
        <w:spacing w:after="79" w:line="1" w:lineRule="exact"/>
      </w:pP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说明经营季节性(或周期性)发生的原因及波动风险</w:t>
      </w:r>
    </w:p>
    <w:p>
      <w:pPr>
        <w:pStyle w:val="Style4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公司产品销售收入有明显的季节性特征和风险。公司客户主要为国内各级司法机关及行政执法部门，该类</w:t>
      </w:r>
    </w:p>
    <w:p>
      <w:pPr>
        <w:pStyle w:val="Style4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客户的普遍特点是：上半年制定计划、预算审批、下半年实施和验收。因此，公司产品销售收入的实现主</w:t>
        <w:br w:type="page"/>
      </w:r>
      <w:r>
        <w:rPr>
          <w:color w:val="000000"/>
          <w:spacing w:val="0"/>
          <w:w w:val="100"/>
          <w:position w:val="0"/>
        </w:rPr>
        <w:t>要集中在下半年尤其是第四季度，第四季度的经营结果决定了全年的总体表现。受公司业绩季节性特点影 响，公司上半年收入和利润占全年收入和利润的比重较低，季节性资金需求和现金流量不均衡。</w:t>
      </w:r>
    </w:p>
    <w:p>
      <w:pPr>
        <w:pStyle w:val="Style75"/>
        <w:keepNext/>
        <w:keepLines/>
        <w:widowControl w:val="0"/>
        <w:numPr>
          <w:ilvl w:val="0"/>
          <w:numId w:val="1"/>
        </w:numPr>
        <w:shd w:val="clear" w:color="auto" w:fill="auto"/>
        <w:bidi w:val="0"/>
        <w:spacing w:before="0" w:line="461" w:lineRule="exact"/>
        <w:ind w:left="0" w:right="0" w:firstLine="0"/>
        <w:jc w:val="both"/>
      </w:pPr>
      <w:bookmarkStart w:id="120" w:name="bookmark120"/>
      <w:bookmarkStart w:id="121" w:name="bookmark121"/>
      <w:bookmarkStart w:id="122" w:name="bookmark122"/>
      <w:bookmarkStart w:id="123" w:name="bookmark123"/>
      <w:bookmarkEnd w:id="12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0"/>
      <w:bookmarkEnd w:id="121"/>
      <w:bookmarkEnd w:id="123"/>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277"/>
        <w:gridCol w:w="850"/>
        <w:gridCol w:w="1277"/>
        <w:gridCol w:w="1272"/>
        <w:gridCol w:w="1075"/>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毛利率比上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1,349,205,727.25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554,775,123.49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行政执法机关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329,239,775.23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125,553,963.82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592,019,194.48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297,297,485.37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115,633,638.18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34,014,984.48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1,126,231,805.09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420,474,129.50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其中：电子数据取证产品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1,036,706,285.82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391,717,266.38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网络安全产品和服务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89,525,519.27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28,756,863.12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大数据智能化产品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1,085,935,000.63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536,467,899.39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其中：大数据智能应用产品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1,049,187,455.16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511,061,239.51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人工智能产品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36,747,545.47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25,406,659.88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网络开源情报产品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58,119,089.45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6,412,468.16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61,806,942.79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36,485,746.09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54,005,497.18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11,801,314.02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516,482,027.53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234,750,196.80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1,267,336,113.84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508,754,068.25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442,510,461.41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182,352,997.16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159,769,732.36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85,784,294.95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numPr>
          <w:ilvl w:val="0"/>
          <w:numId w:val="1"/>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公司实物销售收入是否大于劳务收入</w:t>
      </w:r>
      <w:bookmarkEnd w:id="124"/>
      <w:bookmarkEnd w:id="125"/>
      <w:bookmarkEnd w:id="127"/>
    </w:p>
    <w:p>
      <w:pPr>
        <w:pStyle w:val="Style29"/>
        <w:keepNext w:val="0"/>
        <w:keepLines w:val="0"/>
        <w:widowControl w:val="0"/>
        <w:shd w:val="clear" w:color="auto" w:fill="auto"/>
        <w:bidi w:val="0"/>
        <w:spacing w:before="0" w:after="28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tbl>
      <w:tblPr>
        <w:tblOverlap w:val="never"/>
        <w:jc w:val="center"/>
        <w:tblLayout w:type="fixed"/>
      </w:tblPr>
      <w:tblGrid>
        <w:gridCol w:w="2842"/>
        <w:gridCol w:w="1133"/>
        <w:gridCol w:w="1138"/>
        <w:gridCol w:w="1272"/>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网络空间安全</w:t>
            </w:r>
            <w:r>
              <w:rPr>
                <w:rFonts w:ascii="Times New Roman" w:eastAsia="Times New Roman" w:hAnsi="Times New Roman" w:cs="Times New Roman"/>
                <w:color w:val="000000"/>
                <w:spacing w:val="0"/>
                <w:w w:val="100"/>
                <w:position w:val="0"/>
              </w:rPr>
              <w:t>-</w:t>
            </w:r>
            <w:r>
              <w:rPr>
                <w:color w:val="000000"/>
                <w:spacing w:val="0"/>
                <w:w w:val="100"/>
                <w:position w:val="0"/>
              </w:rPr>
              <w:t>电子数据取证产品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网络空间安全</w:t>
            </w:r>
            <w:r>
              <w:rPr>
                <w:rFonts w:ascii="Times New Roman" w:eastAsia="Times New Roman" w:hAnsi="Times New Roman" w:cs="Times New Roman"/>
                <w:color w:val="000000"/>
                <w:spacing w:val="0"/>
                <w:w w:val="100"/>
                <w:position w:val="0"/>
              </w:rPr>
              <w:t>-</w:t>
            </w:r>
            <w:r>
              <w:rPr>
                <w:color w:val="000000"/>
                <w:spacing w:val="0"/>
                <w:w w:val="100"/>
                <w:position w:val="0"/>
              </w:rPr>
              <w:t>网络安全产品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智能装备制造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网络空间安全产品，生产量、库存量增加主要是由于为销售需要进行备货所致；智能装备制造销售量、 生产量、库存量较去年同期增长，主要是由于本年公司子公司开发防疫类产品，销售量增加所致。</w:t>
      </w:r>
    </w:p>
    <w:p>
      <w:pPr>
        <w:pStyle w:val="Style75"/>
        <w:keepNext/>
        <w:keepLines/>
        <w:widowControl w:val="0"/>
        <w:shd w:val="clear" w:color="auto" w:fill="auto"/>
        <w:tabs>
          <w:tab w:pos="488" w:val="left"/>
        </w:tabs>
        <w:bidi w:val="0"/>
        <w:spacing w:before="0" w:after="380" w:line="470" w:lineRule="exact"/>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8"/>
      <w:bookmarkEnd w:id="129"/>
      <w:bookmarkEnd w:id="13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488" w:val="left"/>
        </w:tabs>
        <w:bidi w:val="0"/>
        <w:spacing w:before="0" w:after="380" w:line="470" w:lineRule="exact"/>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2"/>
      <w:bookmarkEnd w:id="133"/>
      <w:bookmarkEnd w:id="13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752"/>
        <w:gridCol w:w="1282"/>
        <w:gridCol w:w="1555"/>
        <w:gridCol w:w="1277"/>
        <w:gridCol w:w="1416"/>
        <w:gridCol w:w="93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375,103,578.67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355,559,365.60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大数据智能化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528,804,499.90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414,347,550.94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网络开源情报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原材料及服务成本等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6,412,468.16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21,583,176.83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35,383,019.65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48,100,634.63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工资及服务成本等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7,589,810.75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5,609,721.44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公司成本比重较高的主要为服务器、电子元器件等原材料</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87"/>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939,291,098.22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818,007,551.17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r>
    </w:tbl>
    <w:p>
      <w:pPr>
        <w:widowControl w:val="0"/>
        <w:spacing w:after="79" w:line="1" w:lineRule="exact"/>
      </w:pPr>
    </w:p>
    <w:p>
      <w:pPr>
        <w:pStyle w:val="Style75"/>
        <w:keepNext/>
        <w:keepLines/>
        <w:widowControl w:val="0"/>
        <w:shd w:val="clear" w:color="auto" w:fill="auto"/>
        <w:tabs>
          <w:tab w:pos="488" w:val="left"/>
        </w:tabs>
        <w:bidi w:val="0"/>
        <w:spacing w:before="0" w:after="380" w:line="468" w:lineRule="exact"/>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6"/>
      <w:bookmarkEnd w:id="137"/>
      <w:bookmarkEnd w:id="13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4"/>
        <w:keepNext w:val="0"/>
        <w:keepLines w:val="0"/>
        <w:widowControl w:val="0"/>
        <w:shd w:val="clear" w:color="auto" w:fill="auto"/>
        <w:tabs>
          <w:tab w:pos="794" w:val="left"/>
        </w:tabs>
        <w:bidi w:val="0"/>
        <w:spacing w:before="0" w:after="0" w:line="468" w:lineRule="exact"/>
        <w:ind w:left="0" w:right="0" w:firstLine="440"/>
        <w:jc w:val="left"/>
      </w:pPr>
      <w:bookmarkStart w:id="140" w:name="bookmark140"/>
      <w:r>
        <w:rPr>
          <w:color w:val="000000"/>
          <w:spacing w:val="0"/>
          <w:w w:val="100"/>
          <w:position w:val="0"/>
        </w:rPr>
        <w:t>1</w:t>
      </w:r>
      <w:bookmarkEnd w:id="140"/>
      <w:r>
        <w:rPr>
          <w:color w:val="000000"/>
          <w:spacing w:val="0"/>
          <w:w w:val="100"/>
          <w:position w:val="0"/>
        </w:rPr>
        <w:t>、</w:t>
        <w:tab/>
        <w:t>设立腾瑞智能</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2020年2月26日，子公司美亚中敏独资设立腾瑞智能，注册资本为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68" w:lineRule="exact"/>
        <w:ind w:left="0" w:right="0" w:firstLine="440"/>
        <w:jc w:val="left"/>
      </w:pPr>
      <w:bookmarkStart w:id="141" w:name="bookmark141"/>
      <w:r>
        <w:rPr>
          <w:color w:val="000000"/>
          <w:spacing w:val="0"/>
          <w:w w:val="100"/>
          <w:position w:val="0"/>
        </w:rPr>
        <w:t>2</w:t>
      </w:r>
      <w:bookmarkEnd w:id="141"/>
      <w:r>
        <w:rPr>
          <w:color w:val="000000"/>
          <w:spacing w:val="0"/>
          <w:w w:val="100"/>
          <w:position w:val="0"/>
        </w:rPr>
        <w:t>、</w:t>
        <w:tab/>
        <w:t>设立司法鉴定所</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2020年3月27日，子公司珠海新德汇独资设立司法鉴定所，注册资本为</w:t>
      </w:r>
      <w:r>
        <w:rPr>
          <w:color w:val="000000"/>
          <w:spacing w:val="0"/>
          <w:w w:val="100"/>
          <w:position w:val="0"/>
        </w:rPr>
        <w:t>100.00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68" w:lineRule="exact"/>
        <w:ind w:left="0" w:right="0" w:firstLine="440"/>
        <w:jc w:val="left"/>
      </w:pPr>
      <w:bookmarkStart w:id="142" w:name="bookmark142"/>
      <w:r>
        <w:rPr>
          <w:color w:val="000000"/>
          <w:spacing w:val="0"/>
          <w:w w:val="100"/>
          <w:position w:val="0"/>
        </w:rPr>
        <w:t>3</w:t>
      </w:r>
      <w:bookmarkEnd w:id="142"/>
      <w:r>
        <w:rPr>
          <w:color w:val="000000"/>
          <w:spacing w:val="0"/>
          <w:w w:val="100"/>
          <w:position w:val="0"/>
        </w:rPr>
        <w:t>、</w:t>
        <w:tab/>
        <w:t>设立腾柏顺科技</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2020年3月31日，子公司美亚中敏独资设立腾柏顺科技，注册资本为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68" w:lineRule="exact"/>
        <w:ind w:left="0" w:right="0" w:firstLine="440"/>
        <w:jc w:val="left"/>
      </w:pPr>
      <w:bookmarkStart w:id="143" w:name="bookmark143"/>
      <w:r>
        <w:rPr>
          <w:color w:val="000000"/>
          <w:spacing w:val="0"/>
          <w:w w:val="100"/>
          <w:position w:val="0"/>
        </w:rPr>
        <w:t>4</w:t>
      </w:r>
      <w:bookmarkEnd w:id="143"/>
      <w:r>
        <w:rPr>
          <w:color w:val="000000"/>
          <w:spacing w:val="0"/>
          <w:w w:val="100"/>
          <w:position w:val="0"/>
        </w:rPr>
        <w:t>、</w:t>
        <w:tab/>
        <w:t>设立澳门美新</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2020年8月19日，公司与子公司美银智投共同设立澳门美新，注册资本为</w:t>
      </w:r>
      <w:r>
        <w:rPr>
          <w:color w:val="000000"/>
          <w:spacing w:val="0"/>
          <w:w w:val="100"/>
          <w:position w:val="0"/>
        </w:rPr>
        <w:t>50.0</w:t>
      </w:r>
      <w:r>
        <w:rPr>
          <w:color w:val="000000"/>
          <w:spacing w:val="0"/>
          <w:w w:val="100"/>
          <w:position w:val="0"/>
        </w:rPr>
        <w:t>0万元澳门币，其中公司 持股90.00%，美银智投持股10.00%。</w:t>
      </w:r>
    </w:p>
    <w:p>
      <w:pPr>
        <w:pStyle w:val="Style44"/>
        <w:keepNext w:val="0"/>
        <w:keepLines w:val="0"/>
        <w:widowControl w:val="0"/>
        <w:shd w:val="clear" w:color="auto" w:fill="auto"/>
        <w:tabs>
          <w:tab w:pos="808" w:val="left"/>
        </w:tabs>
        <w:bidi w:val="0"/>
        <w:spacing w:before="0" w:after="0" w:line="468" w:lineRule="exact"/>
        <w:ind w:left="0" w:right="0" w:firstLine="440"/>
        <w:jc w:val="left"/>
      </w:pPr>
      <w:bookmarkStart w:id="144" w:name="bookmark144"/>
      <w:r>
        <w:rPr>
          <w:color w:val="000000"/>
          <w:spacing w:val="0"/>
          <w:w w:val="100"/>
          <w:position w:val="0"/>
        </w:rPr>
        <w:t>5</w:t>
      </w:r>
      <w:bookmarkEnd w:id="144"/>
      <w:r>
        <w:rPr>
          <w:color w:val="000000"/>
          <w:spacing w:val="0"/>
          <w:w w:val="100"/>
          <w:position w:val="0"/>
        </w:rPr>
        <w:t>、</w:t>
        <w:tab/>
        <w:t>设立中检美亚（厦门）</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2020年9月22日，子公司中检美亚（北京）独资设立中检美亚（厦门），注册资本为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68" w:lineRule="exact"/>
        <w:ind w:left="0" w:right="0" w:firstLine="440"/>
        <w:jc w:val="left"/>
      </w:pPr>
      <w:bookmarkStart w:id="145" w:name="bookmark145"/>
      <w:r>
        <w:rPr>
          <w:color w:val="000000"/>
          <w:spacing w:val="0"/>
          <w:w w:val="100"/>
          <w:position w:val="0"/>
        </w:rPr>
        <w:t>6</w:t>
      </w:r>
      <w:bookmarkEnd w:id="145"/>
      <w:r>
        <w:rPr>
          <w:color w:val="000000"/>
          <w:spacing w:val="0"/>
          <w:w w:val="100"/>
          <w:position w:val="0"/>
        </w:rPr>
        <w:t>、</w:t>
        <w:tab/>
        <w:t>设立大田柏科</w:t>
      </w:r>
    </w:p>
    <w:p>
      <w:pPr>
        <w:pStyle w:val="Style44"/>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2020年10月23日，公司与后生仔（福建）实业有限公司共同设立大田柏科，注册资本为</w:t>
      </w:r>
      <w:r>
        <w:rPr>
          <w:color w:val="000000"/>
          <w:spacing w:val="0"/>
          <w:w w:val="100"/>
          <w:position w:val="0"/>
        </w:rPr>
        <w:t>1,000.00</w:t>
      </w:r>
      <w:r>
        <w:rPr>
          <w:color w:val="000000"/>
          <w:spacing w:val="0"/>
          <w:w w:val="100"/>
          <w:position w:val="0"/>
        </w:rPr>
        <w:t>万元, 其中公司持股80.00%，后生仔（福建）实业有限公司持股20.00%。</w:t>
      </w:r>
    </w:p>
    <w:p>
      <w:pPr>
        <w:pStyle w:val="Style75"/>
        <w:keepNext/>
        <w:keepLines/>
        <w:widowControl w:val="0"/>
        <w:shd w:val="clear" w:color="auto" w:fill="auto"/>
        <w:tabs>
          <w:tab w:pos="488" w:val="left"/>
        </w:tabs>
        <w:bidi w:val="0"/>
        <w:spacing w:before="0" w:after="380" w:line="468"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488" w:val="left"/>
        </w:tabs>
        <w:bidi w:val="0"/>
        <w:spacing w:before="0" w:after="380" w:line="468" w:lineRule="exact"/>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3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公司主要销售客户情况</w:t>
      </w:r>
    </w:p>
    <w:tbl>
      <w:tblPr>
        <w:tblOverlap w:val="never"/>
        <w:jc w:val="center"/>
        <w:tblLayout w:type="fixed"/>
      </w:tblPr>
      <w:tblGrid>
        <w:gridCol w:w="5251"/>
        <w:gridCol w:w="43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561,439,054.13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267,840,424.37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83,269,184.12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r>
    </w:tbl>
    <w:p>
      <w:pPr>
        <w:widowControl w:val="0"/>
        <w:spacing w:line="1" w:lineRule="exact"/>
      </w:pPr>
      <w:r>
        <w:br w:type="page"/>
      </w:r>
    </w:p>
    <w:tbl>
      <w:tblPr>
        <w:tblOverlap w:val="never"/>
        <w:jc w:val="center"/>
        <w:tblLayout w:type="fixed"/>
      </w:tblPr>
      <w:tblGrid>
        <w:gridCol w:w="811"/>
        <w:gridCol w:w="3293"/>
        <w:gridCol w:w="232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71,606,354.03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70,634,729.67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68,088,361.94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561,439,054.13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w:t>
            </w: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0" w:line="53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61" w:lineRule="exact"/>
        <w:ind w:left="0" w:right="0" w:firstLine="0"/>
        <w:jc w:val="left"/>
      </w:pPr>
      <w:r>
        <w:rPr>
          <w:color w:val="000000"/>
          <w:spacing w:val="0"/>
          <w:w w:val="100"/>
          <w:position w:val="0"/>
        </w:rPr>
        <w:t>报告期内，公司前5名客户与公司不存在关联关系，公司董事、监事、高级管理人员、核心技术人员、持 股5%以上股东、实际控制人和其他关联方在前5大客户中未直接或间接拥有权益。</w:t>
      </w:r>
    </w:p>
    <w:p>
      <w:pPr>
        <w:pStyle w:val="Style29"/>
        <w:keepNext w:val="0"/>
        <w:keepLines w:val="0"/>
        <w:widowControl w:val="0"/>
        <w:shd w:val="clear" w:color="auto" w:fill="auto"/>
        <w:bidi w:val="0"/>
        <w:spacing w:before="0" w:after="60" w:line="461" w:lineRule="exact"/>
        <w:ind w:left="0" w:right="0" w:firstLine="0"/>
        <w:jc w:val="left"/>
      </w:pPr>
      <w:r>
        <w:rPr>
          <w:color w:val="000000"/>
          <w:spacing w:val="0"/>
          <w:w w:val="100"/>
          <w:position w:val="0"/>
        </w:rPr>
        <w:t>公司主要供应商情况</w:t>
      </w:r>
    </w:p>
    <w:tbl>
      <w:tblPr>
        <w:tblOverlap w:val="never"/>
        <w:jc w:val="center"/>
        <w:tblLayout w:type="fixed"/>
      </w:tblPr>
      <w:tblGrid>
        <w:gridCol w:w="5395"/>
        <w:gridCol w:w="41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151,120,331.27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50,146,406.95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28,793,141.59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26,816,436.37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22,993,339.27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22,371,007.09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151,120,331.27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报告期内，公司前5名供应商与公司不存在关联交易，公司董事、监事、高级管理人员、核心技术人员、</w:t>
      </w:r>
    </w:p>
    <w:p>
      <w:pPr>
        <w:pStyle w:val="Style44"/>
        <w:keepNext w:val="0"/>
        <w:keepLines w:val="0"/>
        <w:widowControl w:val="0"/>
        <w:shd w:val="clear" w:color="auto" w:fill="auto"/>
        <w:bidi w:val="0"/>
        <w:spacing w:before="0" w:after="440" w:line="240" w:lineRule="auto"/>
        <w:ind w:left="0" w:right="0" w:firstLine="0"/>
        <w:jc w:val="left"/>
      </w:pPr>
      <w:r>
        <w:rPr>
          <w:color w:val="000000"/>
          <w:spacing w:val="0"/>
          <w:w w:val="100"/>
          <w:position w:val="0"/>
        </w:rPr>
        <w:t>持股5%以上股东、实际控制人和其他关联方在前5大供应商中未直接或间接拥有权益。</w:t>
      </w:r>
    </w:p>
    <w:p>
      <w:pPr>
        <w:pStyle w:val="Style32"/>
        <w:keepNext/>
        <w:keepLines/>
        <w:widowControl w:val="0"/>
        <w:shd w:val="clear" w:color="auto" w:fill="auto"/>
        <w:bidi w:val="0"/>
        <w:spacing w:before="0" w:after="36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1560"/>
        <w:gridCol w:w="1416"/>
        <w:gridCol w:w="405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273,618,058.67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269,441,385.43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主要为公司人员增加，使得人员人工费增加所致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315,188,116.63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288,785,529.28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主要为人员增加</w:t>
            </w:r>
            <w:r>
              <w:rPr>
                <w:color w:val="000000"/>
                <w:spacing w:val="0"/>
                <w:w w:val="100"/>
                <w:position w:val="0"/>
              </w:rPr>
              <w:t>，</w:t>
            </w:r>
            <w:r>
              <w:rPr>
                <w:color w:val="000000"/>
                <w:spacing w:val="0"/>
                <w:w w:val="100"/>
                <w:position w:val="0"/>
              </w:rPr>
              <w:t>人工费用及房租、折旧费用等增加 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-10,150,958.94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定期存款利息增加所致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364,984,509.18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293,172,950.66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主要为公司为保持市场竞争力持续的加大研发投入</w:t>
            </w:r>
          </w:p>
        </w:tc>
      </w:tr>
    </w:tbl>
    <w:p>
      <w:pPr>
        <w:pStyle w:val="Style32"/>
        <w:keepNext/>
        <w:keepLines/>
        <w:widowControl w:val="0"/>
        <w:shd w:val="clear" w:color="auto" w:fill="auto"/>
        <w:bidi w:val="0"/>
        <w:spacing w:before="0" w:after="100" w:line="469" w:lineRule="exact"/>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29"/>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公司作为高新技术企业，持续保持公司核心技术自主可控，近几年持续加大技术创新力度，每年研发 投入均占当年度总收入的16%以上。为拓宽公司业务发展赛道，公司加强了在网络空间安全、大数据、人 工智能、智能制造等技术方向探索及研究，新设立网络空间安全和新型智慧城市事业部，建立北京、广东 和西安大数据研究院，并与国投电子院成立“国投智慧城市创新研究院”，推动公司在新型智慧城市领域 的发展。</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25"/>
        <w:gridCol w:w="1987"/>
        <w:gridCol w:w="2074"/>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416,091,976.64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358,090,794.13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261,769,029.11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90,481,346.34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87,390,826.60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38,102,832.66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82"/>
        <w:gridCol w:w="5947"/>
        <w:gridCol w:w="93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智慧监察大数据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23,732,907.93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通过采集和治理各种外部资源数据、电子取证数据，整合互联网公开数据和 舆情信息，并基于大数据分布式计算、存储及人工智能的技术，集智能分析、 人工调查、全面监督为一体的综合性调查平台。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移动设备查缉终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端 </w:t>
            </w:r>
            <w:r>
              <w:rPr>
                <w:rFonts w:ascii="Times New Roman" w:eastAsia="Times New Roman" w:hAnsi="Times New Roman" w:cs="Times New Roman"/>
                <w:color w:val="000000"/>
                <w:spacing w:val="0"/>
                <w:w w:val="100"/>
                <w:position w:val="0"/>
              </w:rPr>
              <w:t>V2.1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15,196,988.71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专为基层执法部门设计开发的手持式移动设备查缉终端。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彩虹大数据应用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40,452,018.89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基于公安大数据应用的实际需求出发，从数据采集、接入、组织和资源服务, 以及在此基础上实现数据分析、可视化等方面应用的一整套解决方案。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乾坤大数据治理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24,028,426.95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通过数据接入、处理、组织、服务、治理等多元处理方式、并提供数据服务、 为上层业务应用提供大数据服务支撑的综合性平台。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互联网信息应急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指挥系统</w:t>
            </w:r>
            <w:r>
              <w:rPr>
                <w:rFonts w:ascii="Times New Roman" w:eastAsia="Times New Roman" w:hAnsi="Times New Roman" w:cs="Times New Roman"/>
                <w:color w:val="000000"/>
                <w:spacing w:val="0"/>
                <w:w w:val="100"/>
                <w:position w:val="0"/>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1,472,044.07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通过大数据技术，致力于解决海量信息发现、分析、收集、整理等功能的行 业解决方案产品。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bl>
    <w:p>
      <w:pPr>
        <w:widowControl w:val="0"/>
        <w:spacing w:line="1" w:lineRule="exact"/>
      </w:pPr>
      <w:r>
        <w:br w:type="page"/>
      </w:r>
    </w:p>
    <w:tbl>
      <w:tblPr>
        <w:tblOverlap w:val="never"/>
        <w:jc w:val="center"/>
        <w:tblLayout w:type="fixed"/>
      </w:tblPr>
      <w:tblGrid>
        <w:gridCol w:w="1426"/>
        <w:gridCol w:w="1277"/>
        <w:gridCol w:w="5952"/>
        <w:gridCol w:w="93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手机取证大师系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11,728,673.59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支持手机解析、数据提取、数据浏览、数据分析以及生成报告等功能，为公 检法机关手机调查取证工作提供一站式解决方案。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left"/>
            </w:pPr>
            <w:r>
              <w:rPr>
                <w:color w:val="000000"/>
                <w:spacing w:val="0"/>
                <w:w w:val="100"/>
                <w:position w:val="0"/>
              </w:rPr>
              <w:t>鑫智经侦信息分 析实战管理平台</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1,071,618.03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以大数据为基座，汇聚互联网数据、政务数据、第三方数据的行业应用平台， 实现对宏观态势智能感知，线索发现，监测预警等全方面功能应用平台。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电子数据存证云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3,920,564.36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基于公司电子数据取证技术开发的电子数据取证、存证和出证的电子证据统 一管理平台。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信息单向传输系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992,835.55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采用先进的模块化设计和高效的数据分发技术，实现数据传输的产品。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手机取证航母系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4,763,485.44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支持多路手机高速并行取证，并适用于大量检材批量取证的手机取证智能工 作桌装备。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远望视频图像大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数据平台</w:t>
            </w: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11,222,964.87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融合人脸、车辆、视频结构化等数据，建设以实际应用需求及特色化实战应 用为主的综合性分析平台。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大数据应用端通 用开发系统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1,134,436.22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专门为特定行业用户提供数据接入、处理、组织、服务、检索等一系列数据 治理和应用功能的大数据应用产品，为特定行业应用提供数据的支撑性平 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物联取证大师系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633,722.16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物联网智能终端现场快速勘查及综合分析设备，支持智能设备的取证分析， 能够高效还原智能设备操作过程及物联空间人</w:t>
            </w:r>
            <w:r>
              <w:rPr>
                <w:rFonts w:ascii="Times New Roman" w:eastAsia="Times New Roman" w:hAnsi="Times New Roman" w:cs="Times New Roman"/>
                <w:color w:val="000000"/>
                <w:spacing w:val="0"/>
                <w:w w:val="100"/>
                <w:position w:val="0"/>
              </w:rPr>
              <w:t>/</w:t>
            </w:r>
            <w:r>
              <w:rPr>
                <w:color w:val="000000"/>
                <w:spacing w:val="0"/>
                <w:w w:val="100"/>
                <w:position w:val="0"/>
              </w:rPr>
              <w:t>物活动轨迹，为案发现场提 供高价值线索及证据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神盾大数据研判 工作站系统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769,426.16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针对基层执法办案部门设计的电子数据取证研判工作站。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极光超算分析系 统 </w:t>
            </w:r>
            <w:r>
              <w:rPr>
                <w:rFonts w:ascii="Times New Roman" w:eastAsia="Times New Roman" w:hAnsi="Times New Roman" w:cs="Times New Roman"/>
                <w:color w:val="000000"/>
                <w:spacing w:val="0"/>
                <w:w w:val="100"/>
                <w:position w:val="0"/>
              </w:rPr>
              <w:t xml:space="preserve">V5.0 （GPU </w:t>
            </w:r>
            <w:r>
              <w:rPr>
                <w:color w:val="000000"/>
                <w:spacing w:val="0"/>
                <w:w w:val="100"/>
                <w:position w:val="0"/>
              </w:rPr>
              <w:t>版</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184,978.06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自主研发、具备超算高性能运算能力、支持分布式运算、多任务并行计算的 综合算法分析专用设备。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舜悉开源情报分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析平台</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1,129,991.07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整合多厂商公开互联网数据及专网的数据资源，在专网实现互联网信息巡 查，报送，处置等全业务流程，舆情融合在公安大数据体系中的解决方案。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祥云城市公共安 全管理平台</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4,464,937.23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祥云城市公共安全管理平台是以公共安全为切入点，围绕实现城市运行风险 的预测预警预防这一核心目标，打造共建共治共享的市域社会治理现代化体 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极光超算分析系 统 </w:t>
            </w:r>
            <w:r>
              <w:rPr>
                <w:rFonts w:ascii="Times New Roman" w:eastAsia="Times New Roman" w:hAnsi="Times New Roman" w:cs="Times New Roman"/>
                <w:color w:val="000000"/>
                <w:spacing w:val="0"/>
                <w:w w:val="100"/>
                <w:position w:val="0"/>
              </w:rPr>
              <w:t xml:space="preserve">V2.0 </w:t>
            </w:r>
            <w:r>
              <w:rPr>
                <w:color w:val="000000"/>
                <w:spacing w:val="0"/>
                <w:w w:val="100"/>
                <w:position w:val="0"/>
              </w:rPr>
              <w:t>（</w:t>
            </w:r>
            <w:r>
              <w:rPr>
                <w:rFonts w:ascii="Times New Roman" w:eastAsia="Times New Roman" w:hAnsi="Times New Roman" w:cs="Times New Roman"/>
                <w:color w:val="000000"/>
                <w:spacing w:val="0"/>
                <w:w w:val="100"/>
                <w:position w:val="0"/>
              </w:rPr>
              <w:t xml:space="preserve">FPGA </w:t>
            </w:r>
            <w:r>
              <w:rPr>
                <w:color w:val="000000"/>
                <w:spacing w:val="0"/>
                <w:w w:val="100"/>
                <w:position w:val="0"/>
              </w:rPr>
              <w:t>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309,282.08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自主研发、具备超算高性能运算能力、支持分布式运算、多任务并行计算的 综合算法分析专用设备。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鑫智经侦信息分 析实战管理平台 </w:t>
            </w:r>
            <w:r>
              <w:rPr>
                <w:rFonts w:ascii="Times New Roman" w:eastAsia="Times New Roman" w:hAnsi="Times New Roman" w:cs="Times New Roman"/>
                <w:color w:val="000000"/>
                <w:spacing w:val="0"/>
                <w:w w:val="100"/>
                <w:position w:val="0"/>
              </w:rPr>
              <w:t>V3.0</w:t>
            </w:r>
            <w:r>
              <w:rPr>
                <w:rFonts w:ascii="Times New Roman" w:eastAsia="Times New Roman" w:hAnsi="Times New Roman" w:cs="Times New Roman"/>
                <w:color w:val="000000"/>
                <w:spacing w:val="0"/>
                <w:w w:val="100"/>
                <w:position w:val="0"/>
              </w:rPr>
              <w:t>-</w:t>
            </w:r>
            <w:r>
              <w:rPr>
                <w:color w:val="000000"/>
                <w:spacing w:val="0"/>
                <w:w w:val="100"/>
                <w:position w:val="0"/>
              </w:rPr>
              <w:t>研判模块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677,423.62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鑫智实战研判平台充分发挥公安大数据及人工智能技术创新优势，在防范和 打击互联网新型金融犯罪中提供了重要的模型应用支撑。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美亚大脑取证中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枢系统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633,054.85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首款具备海量电子数据综合智能分析能力的一体化智能装备，融合具有高性 能人工智能推理引擎和多项创新性技术应用，提供图像视频、文本语义和 </w:t>
            </w:r>
            <w:r>
              <w:rPr>
                <w:rFonts w:ascii="Times New Roman" w:eastAsia="Times New Roman" w:hAnsi="Times New Roman" w:cs="Times New Roman"/>
                <w:color w:val="000000"/>
                <w:spacing w:val="0"/>
                <w:w w:val="100"/>
                <w:position w:val="0"/>
              </w:rPr>
              <w:t>OCR</w:t>
            </w:r>
            <w:r>
              <w:rPr>
                <w:color w:val="000000"/>
                <w:spacing w:val="0"/>
                <w:w w:val="100"/>
                <w:position w:val="0"/>
              </w:rPr>
              <w:t>分析等全</w:t>
            </w:r>
            <w:r>
              <w:rPr>
                <w:rFonts w:ascii="Times New Roman" w:eastAsia="Times New Roman" w:hAnsi="Times New Roman" w:cs="Times New Roman"/>
                <w:color w:val="000000"/>
                <w:spacing w:val="0"/>
                <w:w w:val="100"/>
                <w:position w:val="0"/>
              </w:rPr>
              <w:t>AI</w:t>
            </w:r>
            <w:r>
              <w:rPr>
                <w:color w:val="000000"/>
                <w:spacing w:val="0"/>
                <w:w w:val="100"/>
                <w:position w:val="0"/>
              </w:rPr>
              <w:t>能力服务能力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互联网内容安全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检测系统</w:t>
            </w:r>
            <w:r>
              <w:rPr>
                <w:rFonts w:ascii="Times New Roman" w:eastAsia="Times New Roman" w:hAnsi="Times New Roman" w:cs="Times New Roman"/>
                <w:color w:val="000000"/>
                <w:spacing w:val="0"/>
                <w:w w:val="100"/>
                <w:position w:val="0"/>
              </w:rPr>
              <w:t>V1.1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支持对伪造信息分析识别与检验鉴定能力，准确识别出伪造信息；建立''深 度伪造</w:t>
            </w:r>
            <w:r>
              <w:rPr>
                <w:rFonts w:ascii="Times New Roman" w:eastAsia="Times New Roman" w:hAnsi="Times New Roman" w:cs="Times New Roman"/>
                <w:color w:val="000000"/>
                <w:spacing w:val="0"/>
                <w:w w:val="100"/>
                <w:position w:val="0"/>
              </w:rPr>
              <w:t>"</w:t>
            </w:r>
            <w:r>
              <w:rPr>
                <w:color w:val="000000"/>
                <w:spacing w:val="0"/>
                <w:w w:val="100"/>
                <w:position w:val="0"/>
              </w:rPr>
              <w:t>信息数据样本库，汇集国际权威''深伪</w:t>
            </w:r>
            <w:r>
              <w:rPr>
                <w:rFonts w:ascii="Times New Roman" w:eastAsia="Times New Roman" w:hAnsi="Times New Roman" w:cs="Times New Roman"/>
                <w:color w:val="000000"/>
                <w:spacing w:val="0"/>
                <w:w w:val="100"/>
                <w:position w:val="0"/>
              </w:rPr>
              <w:t>"</w:t>
            </w:r>
            <w:r>
              <w:rPr>
                <w:color w:val="000000"/>
                <w:spacing w:val="0"/>
                <w:w w:val="100"/>
                <w:position w:val="0"/>
              </w:rPr>
              <w:t>样本集和贴近实战需求的高质 量国内</w:t>
            </w:r>
            <w:r>
              <w:rPr>
                <w:rFonts w:ascii="Times New Roman" w:eastAsia="Times New Roman" w:hAnsi="Times New Roman" w:cs="Times New Roman"/>
                <w:color w:val="000000"/>
                <w:spacing w:val="0"/>
                <w:w w:val="100"/>
                <w:position w:val="0"/>
              </w:rPr>
              <w:t>"</w:t>
            </w:r>
            <w:r>
              <w:rPr>
                <w:color w:val="000000"/>
                <w:spacing w:val="0"/>
                <w:w w:val="100"/>
                <w:position w:val="0"/>
              </w:rPr>
              <w:t>深伪</w:t>
            </w:r>
            <w:r>
              <w:rPr>
                <w:rFonts w:ascii="Times New Roman" w:eastAsia="Times New Roman" w:hAnsi="Times New Roman" w:cs="Times New Roman"/>
                <w:color w:val="000000"/>
                <w:spacing w:val="0"/>
                <w:w w:val="100"/>
                <w:position w:val="0"/>
              </w:rPr>
              <w:t>"</w:t>
            </w:r>
            <w:r>
              <w:rPr>
                <w:color w:val="000000"/>
                <w:spacing w:val="0"/>
                <w:w w:val="100"/>
                <w:position w:val="0"/>
              </w:rPr>
              <w:t>信息数据样本集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bl>
    <w:p>
      <w:pPr>
        <w:widowControl w:val="0"/>
        <w:spacing w:line="1" w:lineRule="exact"/>
      </w:pPr>
      <w:r>
        <w:br w:type="page"/>
      </w:r>
    </w:p>
    <w:tbl>
      <w:tblPr>
        <w:tblOverlap w:val="never"/>
        <w:jc w:val="center"/>
        <w:tblLayout w:type="fixed"/>
      </w:tblPr>
      <w:tblGrid>
        <w:gridCol w:w="1426"/>
        <w:gridCol w:w="1277"/>
        <w:gridCol w:w="5952"/>
        <w:gridCol w:w="93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互联网内容快速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筛查设备</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170,802.39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支持对</w:t>
            </w:r>
            <w:r>
              <w:rPr>
                <w:rFonts w:ascii="Times New Roman" w:eastAsia="Times New Roman" w:hAnsi="Times New Roman" w:cs="Times New Roman"/>
                <w:color w:val="000000"/>
                <w:spacing w:val="0"/>
                <w:w w:val="100"/>
                <w:position w:val="0"/>
              </w:rPr>
              <w:t>ICP</w:t>
            </w:r>
            <w:r>
              <w:rPr>
                <w:color w:val="000000"/>
                <w:spacing w:val="0"/>
                <w:w w:val="100"/>
                <w:position w:val="0"/>
              </w:rPr>
              <w:t>厂商上传的图像、音视频文件的内容进行审核，对违法的多媒体 数据进行上报。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云甲卫士手机信 息智能管理系统</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适用于信息点验、统计分析、管理考核的全流程信息化工作平台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手机取证大师系 统</w:t>
            </w:r>
            <w:r>
              <w:rPr>
                <w:rFonts w:ascii="Times New Roman" w:eastAsia="Times New Roman" w:hAnsi="Times New Roman" w:cs="Times New Roman"/>
                <w:color w:val="000000"/>
                <w:spacing w:val="0"/>
                <w:w w:val="100"/>
                <w:position w:val="0"/>
              </w:rPr>
              <w:t>V3.0（</w:t>
            </w:r>
            <w:r>
              <w:rPr>
                <w:color w:val="000000"/>
                <w:spacing w:val="0"/>
                <w:w w:val="100"/>
                <w:position w:val="0"/>
              </w:rPr>
              <w:t>国产版</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677,989.32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PKS</w:t>
            </w:r>
            <w:r>
              <w:rPr>
                <w:color w:val="000000"/>
                <w:spacing w:val="0"/>
                <w:w w:val="100"/>
                <w:position w:val="0"/>
              </w:rPr>
              <w:t>安全体系，软件硬件全面国产化，自主可控的手机数据调查综合 方案，集成手机数据提取、数据解析、数据恢复、数据展示、报告生成等多 样功能的手机取证系统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完结</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侦勘一体化设备</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630,076.39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物联网智能终端现场快速勘查及综合分析设备，支持智能设备的取证分析， 能够高效还原智能设备操作过程及物联空间人</w:t>
            </w:r>
            <w:r>
              <w:rPr>
                <w:rFonts w:ascii="Times New Roman" w:eastAsia="Times New Roman" w:hAnsi="Times New Roman" w:cs="Times New Roman"/>
                <w:color w:val="000000"/>
                <w:spacing w:val="0"/>
                <w:w w:val="100"/>
                <w:position w:val="0"/>
              </w:rPr>
              <w:t>/</w:t>
            </w:r>
            <w:r>
              <w:rPr>
                <w:color w:val="000000"/>
                <w:spacing w:val="0"/>
                <w:w w:val="100"/>
                <w:position w:val="0"/>
              </w:rPr>
              <w:t>物活动轨迹，为案发现场提 供高价值线索及证据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处于产品 研发阶段</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电子数据存证云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V6.0</w:t>
            </w:r>
            <w:r>
              <w:rPr>
                <w:rFonts w:ascii="Times New Roman" w:eastAsia="Times New Roman" w:hAnsi="Times New Roman" w:cs="Times New Roman"/>
                <w:color w:val="000000"/>
                <w:spacing w:val="0"/>
                <w:w w:val="100"/>
                <w:position w:val="0"/>
              </w:rPr>
              <w:t>-</w:t>
            </w:r>
            <w:r>
              <w:rPr>
                <w:color w:val="000000"/>
                <w:spacing w:val="0"/>
                <w:w w:val="100"/>
                <w:position w:val="0"/>
              </w:rPr>
              <w:t>区块链模块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1,760,112.31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在现有的电子证据统一管理平台基础上，拓展更多的存证应用，包括合规存 证应用、区块链存证应用等。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处于产品 研发阶段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自助取证一体机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704,974.93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该设备是一款对检材进行自助快速检验的设备，适用于电子取证实验室，可 无缝对接电子数据取证实验室智能管理系统，自动接收勘验指令并上传检验 结果及报告。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处于产品 研发阶段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超级魔方</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781,770.07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便携式勘查取证设备，产品集计算机取证、手机取证、汽车取证、路由器取 证、监控视频采集以及智能分析为一体，一体化解决外出办案对不同检材的 取证。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处于产品 研发阶段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天基</w:t>
            </w:r>
            <w:r>
              <w:rPr>
                <w:rFonts w:ascii="Times New Roman" w:eastAsia="Times New Roman" w:hAnsi="Times New Roman" w:cs="Times New Roman"/>
                <w:color w:val="000000"/>
                <w:spacing w:val="0"/>
                <w:w w:val="100"/>
                <w:position w:val="0"/>
              </w:rPr>
              <w:t>"</w:t>
            </w:r>
            <w:r>
              <w:rPr>
                <w:color w:val="000000"/>
                <w:spacing w:val="0"/>
                <w:w w:val="100"/>
                <w:position w:val="0"/>
              </w:rPr>
              <w:t>数据治理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12,176,391.12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对多源异构数据场景管理的高性能一站式平台，其目的是对于海量数据的管 理变得简单和直观，为数据管理者、数据开发者、数据消费者、数据维护者 提供全面高效的数据资产管控环境，实现数据的配置化接入、标准化处理与 治理，统一存储和服务共享。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处于产品 研发阶段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民生服务平台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8,617,703.64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运用微服务技术、</w:t>
            </w:r>
            <w:r>
              <w:rPr>
                <w:rFonts w:ascii="Times New Roman" w:eastAsia="Times New Roman" w:hAnsi="Times New Roman" w:cs="Times New Roman"/>
                <w:color w:val="000000"/>
                <w:spacing w:val="0"/>
                <w:w w:val="100"/>
                <w:position w:val="0"/>
              </w:rPr>
              <w:t>API</w:t>
            </w:r>
            <w:r>
              <w:rPr>
                <w:color w:val="000000"/>
                <w:spacing w:val="0"/>
                <w:w w:val="100"/>
                <w:position w:val="0"/>
              </w:rPr>
              <w:t>网关技术、服务管理技术、数据治理技术，面向各类 终端应用输出政府统一的各类服务性平台。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处于产品 研发阶段</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一体化侦查平台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1,301,495.60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w:t>
            </w:r>
            <w:r>
              <w:rPr>
                <w:rFonts w:ascii="Times New Roman" w:eastAsia="Times New Roman" w:hAnsi="Times New Roman" w:cs="Times New Roman"/>
                <w:color w:val="000000"/>
                <w:spacing w:val="0"/>
                <w:w w:val="100"/>
                <w:position w:val="0"/>
              </w:rPr>
              <w:t>"</w:t>
            </w:r>
            <w:r>
              <w:rPr>
                <w:color w:val="000000"/>
                <w:spacing w:val="0"/>
                <w:w w:val="100"/>
                <w:position w:val="0"/>
              </w:rPr>
              <w:t>智慧无限，警务常新</w:t>
            </w:r>
            <w:r>
              <w:rPr>
                <w:rFonts w:ascii="Times New Roman" w:eastAsia="Times New Roman" w:hAnsi="Times New Roman" w:cs="Times New Roman"/>
                <w:color w:val="000000"/>
                <w:spacing w:val="0"/>
                <w:w w:val="100"/>
                <w:position w:val="0"/>
              </w:rPr>
              <w:t>"</w:t>
            </w:r>
            <w:r>
              <w:rPr>
                <w:color w:val="000000"/>
                <w:spacing w:val="0"/>
                <w:w w:val="100"/>
                <w:position w:val="0"/>
              </w:rPr>
              <w:t>要求，采用新技术、新思路、新手段，聚焦侦查 办案，重新理清侦查业务，全面涵盖打、防、管、控四个维度，重新梳理工 作痛点，重塑侦查警务流程，提质增效，形成大数据驱动、协作高效、成本 节约的新侦查打击模式，打造智慧新侦查控制性工程，全面提升系统智能化 应用水平。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处于产品 研发阶段</w:t>
            </w:r>
          </w:p>
        </w:tc>
      </w:tr>
    </w:tbl>
    <w:p>
      <w:pPr>
        <w:widowControl w:val="0"/>
        <w:spacing w:after="119" w:line="1" w:lineRule="exact"/>
      </w:pPr>
    </w:p>
    <w:p>
      <w:pPr>
        <w:pStyle w:val="Style44"/>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公司将内部研究开发项目的支出，区分为研究阶段支出和开发阶段支出。</w:t>
      </w:r>
    </w:p>
    <w:p>
      <w:pPr>
        <w:pStyle w:val="Style4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研究阶段的支出，于发生时计入当期损益。</w:t>
      </w:r>
    </w:p>
    <w:p>
      <w:pPr>
        <w:pStyle w:val="Style44"/>
        <w:keepNext w:val="0"/>
        <w:keepLines w:val="0"/>
        <w:widowControl w:val="0"/>
        <w:shd w:val="clear" w:color="auto" w:fill="auto"/>
        <w:bidi w:val="0"/>
        <w:spacing w:before="0" w:after="180" w:line="467" w:lineRule="exact"/>
        <w:ind w:left="0" w:right="0" w:firstLine="42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4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公司研究开发项目在满足上述条件，通过技术可行性及经济可行性研究，形成项目立项后，进入开发 阶段。</w:t>
      </w:r>
    </w:p>
    <w:p>
      <w:pPr>
        <w:pStyle w:val="Style44"/>
        <w:keepNext w:val="0"/>
        <w:keepLines w:val="0"/>
        <w:widowControl w:val="0"/>
        <w:shd w:val="clear" w:color="auto" w:fill="auto"/>
        <w:bidi w:val="0"/>
        <w:spacing w:before="0" w:after="420" w:line="473" w:lineRule="exact"/>
        <w:ind w:left="0" w:right="0" w:firstLine="440"/>
        <w:jc w:val="left"/>
      </w:pPr>
      <w:r>
        <w:rPr>
          <w:color w:val="000000"/>
          <w:spacing w:val="0"/>
          <w:w w:val="100"/>
          <w:position w:val="0"/>
        </w:rPr>
        <w:t>己资本化的开发阶段的支出在资产负债表上列示为开发支出，自该项目达到预定可使用状态之日转为 无形资产。</w:t>
      </w:r>
    </w:p>
    <w:p>
      <w:pPr>
        <w:pStyle w:val="Style32"/>
        <w:keepNext/>
        <w:keepLines/>
        <w:widowControl w:val="0"/>
        <w:shd w:val="clear" w:color="auto" w:fill="auto"/>
        <w:bidi w:val="0"/>
        <w:spacing w:before="0" w:after="120" w:line="494"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1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2,719,694,136.97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2,283,599,445.39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2,422,103,914.74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1,887,463,526.87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297,590,222.23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396,135,918.52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535,195,220.40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984,611,148.69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727,863,512.11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878,361,452.84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-192,668,291.71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106,249,695.85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107,099,329.51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84,141,045.00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139,120,719.42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68,679,636.30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-32,021,389.91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15,461,408.70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72,355,741.88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518,203,323.84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-86.04%</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经营活动产生的现金流量净额较去年同期减少24.88%，主要是由于本年公司经营规模扩大，采购量增 加，采购付款总额上升以及上年度承兑汇票款本期到期支付金额增加所致。</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投资活动产生的现金流量净额较去年同期减少</w:t>
      </w:r>
      <w:r>
        <w:rPr>
          <w:color w:val="000000"/>
          <w:spacing w:val="0"/>
          <w:w w:val="100"/>
          <w:position w:val="0"/>
        </w:rPr>
        <w:t xml:space="preserve">281. </w:t>
      </w:r>
      <w:r>
        <w:rPr>
          <w:color w:val="000000"/>
          <w:spacing w:val="0"/>
          <w:w w:val="100"/>
          <w:position w:val="0"/>
        </w:rPr>
        <w:t>34%，主要是由于报告期累计定期存款收回较去年 同期减少及支付美桐二期基金投资款所致。</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筹资活动产生的现金流量净额较去年同期减少</w:t>
      </w:r>
      <w:r>
        <w:rPr>
          <w:color w:val="000000"/>
          <w:spacing w:val="0"/>
          <w:w w:val="100"/>
          <w:position w:val="0"/>
        </w:rPr>
        <w:t xml:space="preserve">307. </w:t>
      </w:r>
      <w:r>
        <w:rPr>
          <w:color w:val="000000"/>
          <w:spacing w:val="0"/>
          <w:w w:val="100"/>
          <w:position w:val="0"/>
        </w:rPr>
        <w:t>11%，主要是由于2019年公司实施新一期股权激励， 2020年收到股权激励投资款较2019年少以及本年现金股利分派金额较上年度增加所致。</w:t>
      </w:r>
    </w:p>
    <w:p>
      <w:pPr>
        <w:pStyle w:val="Style44"/>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现金及现金等价物净增加额较去年同期减少86.04%，主要是由于经营活动产生的现金流量净额较去年 同期减少24.88%，投资活动产生的现金流量净额较去年同期减少281.34%，筹资活动产生的现金流量净额 较去年同期减少</w:t>
      </w:r>
      <w:r>
        <w:rPr>
          <w:color w:val="000000"/>
          <w:spacing w:val="0"/>
          <w:w w:val="100"/>
          <w:position w:val="0"/>
        </w:rPr>
        <w:t xml:space="preserve">307. </w:t>
      </w:r>
      <w:r>
        <w:rPr>
          <w:color w:val="000000"/>
          <w:spacing w:val="0"/>
          <w:w w:val="100"/>
          <w:position w:val="0"/>
        </w:rPr>
        <w:t>11%综合所致。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420" w:line="469" w:lineRule="exact"/>
        <w:ind w:left="0" w:right="0" w:firstLine="440"/>
        <w:jc w:val="left"/>
      </w:pPr>
      <w:r>
        <w:rPr>
          <w:color w:val="000000"/>
          <w:spacing w:val="0"/>
          <w:w w:val="100"/>
          <w:position w:val="0"/>
        </w:rPr>
        <w:t>经营活动产生的现金流量与本年度净利润存在差异的原因主要是：本年公司业务范围变化，应收款项</w:t>
        <w:br w:type="page"/>
      </w:r>
      <w:r>
        <w:rPr>
          <w:color w:val="000000"/>
          <w:spacing w:val="0"/>
          <w:w w:val="100"/>
          <w:position w:val="0"/>
        </w:rPr>
        <w:t>增加，采购付款总额上升以及上年度承兑汇票款本期到期支付金额增加所致。</w:t>
      </w:r>
    </w:p>
    <w:p>
      <w:pPr>
        <w:pStyle w:val="Style27"/>
        <w:keepNext/>
        <w:keepLines/>
        <w:widowControl w:val="0"/>
        <w:shd w:val="clear" w:color="auto" w:fill="auto"/>
        <w:bidi w:val="0"/>
        <w:spacing w:before="0" w:after="34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、非主营业务情况</w:t>
      </w:r>
      <w:bookmarkEnd w:id="166"/>
      <w:bookmarkEnd w:id="167"/>
      <w:bookmarkEnd w:id="16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8"/>
        <w:gridCol w:w="1416"/>
        <w:gridCol w:w="4114"/>
        <w:gridCol w:w="163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4,594,297.52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主要是由于权益法核算的参股子公司盈利所致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35,334,153.51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主要是根据公司会计估计政策计提存货减值所致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306,158.50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按约定罚没收入及处置废品收入所致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4,658,290.41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主要是由于公司捐赠及报废资产损失所致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35,870,913.10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往来款项预期信用损失准备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、资产及负债状况分析</w:t>
      </w:r>
      <w:bookmarkEnd w:id="170"/>
      <w:bookmarkEnd w:id="171"/>
      <w:bookmarkEnd w:id="173"/>
    </w:p>
    <w:p>
      <w:pPr>
        <w:pStyle w:val="Style32"/>
        <w:keepNext/>
        <w:keepLines/>
        <w:widowControl w:val="0"/>
        <w:shd w:val="clear" w:color="auto" w:fill="auto"/>
        <w:bidi w:val="0"/>
        <w:spacing w:before="0" w:after="34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421"/>
        <w:gridCol w:w="850"/>
        <w:gridCol w:w="1416"/>
        <w:gridCol w:w="850"/>
        <w:gridCol w:w="850"/>
        <w:gridCol w:w="32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1,228,809,181.32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1,165,028,886.98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货币资金占总资产比重较年初下降主要 是由于本期公司货币资金增长小于总资 产增长幅度所致，但货币资金总额较年 初上升</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747,113,863.16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648,579,501.99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应收账款占总资产比重较年初略有上升 主要公司营业收入总额上升，应收账款 总额增加所致</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563,066,334.23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436,676,432.39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存货占总资产较年初比重上升主要为公 司发出商品尚未结转金额增加所致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256,077.37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25,009,233.56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20,661,440.39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长期股权投资占总资产比重较年初增 加，主要是由于</w:t>
            </w:r>
            <w:r>
              <w:rPr>
                <w:rFonts w:ascii="Times New Roman" w:eastAsia="Times New Roman" w:hAnsi="Times New Roman" w:cs="Times New Roman"/>
                <w:color w:val="000000"/>
                <w:spacing w:val="0"/>
                <w:w w:val="100"/>
                <w:position w:val="0"/>
              </w:rPr>
              <w:t>2020</w:t>
            </w:r>
            <w:r>
              <w:rPr>
                <w:color w:val="000000"/>
                <w:spacing w:val="0"/>
                <w:w w:val="100"/>
                <w:position w:val="0"/>
              </w:rPr>
              <w:t>年权益法核算的参 股公司盈利及支付安徽华图参股投资款 所致</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442,139,781.73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387,910,370.69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固定资产占总资产比重较年初增加，主</w:t>
            </w:r>
          </w:p>
        </w:tc>
      </w:tr>
    </w:tbl>
    <w:p>
      <w:pPr>
        <w:widowControl w:val="0"/>
        <w:spacing w:line="1" w:lineRule="exact"/>
      </w:pPr>
      <w:r>
        <w:br w:type="page"/>
      </w:r>
    </w:p>
    <w:tbl>
      <w:tblPr>
        <w:tblOverlap w:val="never"/>
        <w:jc w:val="center"/>
        <w:tblLayout w:type="fixed"/>
      </w:tblPr>
      <w:tblGrid>
        <w:gridCol w:w="998"/>
        <w:gridCol w:w="1421"/>
        <w:gridCol w:w="850"/>
        <w:gridCol w:w="1416"/>
        <w:gridCol w:w="850"/>
        <w:gridCol w:w="850"/>
        <w:gridCol w:w="3202"/>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要是由于报告期西安办公楼交房转固所 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6,964,949.36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在建工程占总资产比重较年初增加，主 要是由于公司办公室装修增加所致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1,000,551.07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短期借款主要为报告期公司增加了防疫 专项贷款所致</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20,590,763.78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15,461,984.57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长期借款总额及占总资产比例较年初有 所上升主要是由于公司新增西安房产贷 款所致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219,813,244.78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148,199,715.14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合同资产占总资产比重较年初增加，主 要是由于公司业务收入增加，按合同约 定尚未到收款期项目金额增加所致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362,850,551.52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383,528,353.61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其他权益工具投资占总资产比重较年初 下降，主要是由于公司参股公司中新赛 克股价下跌以及本报告期公司处置部分 中新赛克股份所致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166,738,658.04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63,074,689.62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无形资产占总资产比重较年初上升主要 是由于公司部分开发支出达到预定可使 用状态转为无形资产所致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26,650,513.38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84,954,299.51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开发支出占总资产比重较年初下降主要 是由于公司部分开发支出达到预定可使 用状态转为无形资产所致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889,993.18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50,231,805.84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其他非流动资产占总资产比重较年初下 降主要是由于期末公司待认证、待抵扣 增值税增加所致</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286"/>
        <w:gridCol w:w="994"/>
        <w:gridCol w:w="1416"/>
        <w:gridCol w:w="850"/>
        <w:gridCol w:w="1133"/>
        <w:gridCol w:w="1282"/>
        <w:gridCol w:w="418"/>
        <w:gridCol w:w="1219"/>
      </w:tblGrid>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27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vMerge/>
            <w:tcBorders>
              <w:left w:val="single" w:sz="4"/>
              <w:right w:val="single" w:sz="4"/>
            </w:tcBorders>
            <w:shd w:val="clear" w:color="auto" w:fill="D4D4D4"/>
            <w:vAlign w:val="center"/>
          </w:tcPr>
          <w:p>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383,528,353.61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-51,631,048.09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49,046,754.00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362,850,551.52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383,528,353.61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-51,631,048.09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49,046,754.00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362,850,551.52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383,528,353.61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-51,631,048.09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49,046,754.00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362,850,551.52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0" w:line="48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p>
      <w:pPr>
        <w:pStyle w:val="Style44"/>
        <w:keepNext w:val="0"/>
        <w:keepLines w:val="0"/>
        <w:widowControl w:val="0"/>
        <w:shd w:val="clear" w:color="auto" w:fill="auto"/>
        <w:tabs>
          <w:tab w:pos="974" w:val="left"/>
        </w:tabs>
        <w:bidi w:val="0"/>
        <w:spacing w:before="0" w:after="0" w:line="470" w:lineRule="exact"/>
        <w:ind w:left="0" w:right="0" w:firstLine="620"/>
        <w:jc w:val="both"/>
      </w:pPr>
      <w:bookmarkStart w:id="186" w:name="bookmark186"/>
      <w:r>
        <w:rPr>
          <w:color w:val="000000"/>
          <w:spacing w:val="0"/>
          <w:w w:val="100"/>
          <w:position w:val="0"/>
        </w:rPr>
        <w:t>1</w:t>
      </w:r>
      <w:bookmarkEnd w:id="186"/>
      <w:r>
        <w:rPr>
          <w:color w:val="000000"/>
          <w:spacing w:val="0"/>
          <w:w w:val="100"/>
          <w:position w:val="0"/>
        </w:rPr>
        <w:t>、</w:t>
        <w:tab/>
        <w:t xml:space="preserve">其他货币资金期末余额中保函保证金8, 733, </w:t>
      </w:r>
      <w:r>
        <w:rPr>
          <w:color w:val="000000"/>
          <w:spacing w:val="0"/>
          <w:w w:val="100"/>
          <w:position w:val="0"/>
        </w:rPr>
        <w:t xml:space="preserve">112. </w:t>
      </w:r>
      <w:r>
        <w:rPr>
          <w:color w:val="000000"/>
          <w:spacing w:val="0"/>
          <w:w w:val="100"/>
          <w:position w:val="0"/>
        </w:rPr>
        <w:t>21元、承兑保证金</w:t>
      </w:r>
      <w:r>
        <w:rPr>
          <w:color w:val="000000"/>
          <w:spacing w:val="0"/>
          <w:w w:val="100"/>
          <w:position w:val="0"/>
        </w:rPr>
        <w:t>8,936,876.00</w:t>
      </w:r>
      <w:r>
        <w:rPr>
          <w:color w:val="000000"/>
          <w:spacing w:val="0"/>
          <w:w w:val="100"/>
          <w:position w:val="0"/>
        </w:rPr>
        <w:t>元。</w:t>
      </w:r>
    </w:p>
    <w:p>
      <w:pPr>
        <w:pStyle w:val="Style44"/>
        <w:keepNext w:val="0"/>
        <w:keepLines w:val="0"/>
        <w:widowControl w:val="0"/>
        <w:shd w:val="clear" w:color="auto" w:fill="auto"/>
        <w:tabs>
          <w:tab w:pos="1001" w:val="left"/>
        </w:tabs>
        <w:bidi w:val="0"/>
        <w:spacing w:before="0" w:after="0" w:line="470" w:lineRule="exact"/>
        <w:ind w:left="220" w:right="0" w:firstLine="420"/>
        <w:jc w:val="left"/>
      </w:pPr>
      <w:bookmarkStart w:id="187" w:name="bookmark187"/>
      <w:r>
        <w:rPr>
          <w:color w:val="000000"/>
          <w:spacing w:val="0"/>
          <w:w w:val="100"/>
          <w:position w:val="0"/>
        </w:rPr>
        <w:t>2</w:t>
      </w:r>
      <w:bookmarkEnd w:id="187"/>
      <w:r>
        <w:rPr>
          <w:color w:val="000000"/>
          <w:spacing w:val="0"/>
          <w:w w:val="100"/>
          <w:position w:val="0"/>
        </w:rPr>
        <w:t>、</w:t>
        <w:tab/>
        <w:t xml:space="preserve">2018年11月，本集团与中国农业银行股份有限公司厦门思明支行签订了借款合同，借款金额 </w:t>
      </w:r>
      <w:r>
        <w:rPr>
          <w:color w:val="000000"/>
          <w:spacing w:val="0"/>
          <w:w w:val="100"/>
          <w:position w:val="0"/>
        </w:rPr>
        <w:t>18,631,080.00</w:t>
      </w:r>
      <w:r>
        <w:rPr>
          <w:color w:val="000000"/>
          <w:spacing w:val="0"/>
          <w:w w:val="100"/>
          <w:position w:val="0"/>
        </w:rPr>
        <w:t>元，以本集团1,900万元的定期存款为质押物，借款目的用于购置西安办公楼。借款期限： 10年，还款方式：按月等额本息还款。利率：</w:t>
      </w:r>
      <w:r>
        <w:rPr>
          <w:color w:val="000000"/>
          <w:spacing w:val="0"/>
          <w:w w:val="100"/>
          <w:position w:val="0"/>
        </w:rPr>
        <w:t>LPR</w:t>
      </w:r>
      <w:r>
        <w:rPr>
          <w:color w:val="000000"/>
          <w:spacing w:val="0"/>
          <w:w w:val="100"/>
          <w:position w:val="0"/>
        </w:rPr>
        <w:t>加</w:t>
      </w:r>
      <w:r>
        <w:rPr>
          <w:color w:val="000000"/>
          <w:spacing w:val="0"/>
          <w:w w:val="100"/>
          <w:position w:val="0"/>
        </w:rPr>
        <w:t>59bp。</w:t>
      </w:r>
      <w:r>
        <w:rPr>
          <w:color w:val="000000"/>
          <w:spacing w:val="0"/>
          <w:w w:val="100"/>
          <w:position w:val="0"/>
        </w:rPr>
        <w:t>本合同担保方式为定期存款质押，原定期存 单到期，本公司与中国农业银行股份有限公司厦门思明支行于2020年12月31日签订了编号为</w:t>
      </w:r>
    </w:p>
    <w:p>
      <w:pPr>
        <w:pStyle w:val="Style44"/>
        <w:keepNext w:val="0"/>
        <w:keepLines w:val="0"/>
        <w:widowControl w:val="0"/>
        <w:shd w:val="clear" w:color="auto" w:fill="auto"/>
        <w:bidi w:val="0"/>
        <w:spacing w:before="0" w:after="0" w:line="470" w:lineRule="exact"/>
        <w:ind w:left="220" w:right="0" w:firstLine="0"/>
        <w:jc w:val="both"/>
      </w:pPr>
      <w:r>
        <w:rPr>
          <w:color w:val="000000"/>
          <w:spacing w:val="0"/>
          <w:w w:val="100"/>
          <w:position w:val="0"/>
        </w:rPr>
        <w:t>“83100420200000638”的权利质押合同，以编号为</w:t>
      </w:r>
      <w:r>
        <w:rPr>
          <w:color w:val="000000"/>
          <w:spacing w:val="0"/>
          <w:w w:val="100"/>
          <w:position w:val="0"/>
        </w:rPr>
        <w:t>“02-000261905</w:t>
      </w:r>
      <w:r>
        <w:rPr>
          <w:color w:val="000000"/>
          <w:spacing w:val="0"/>
          <w:w w:val="100"/>
          <w:position w:val="0"/>
        </w:rPr>
        <w:t>”的定期存单</w:t>
      </w:r>
      <w:r>
        <w:rPr>
          <w:color w:val="000000"/>
          <w:spacing w:val="0"/>
          <w:w w:val="100"/>
          <w:position w:val="0"/>
        </w:rPr>
        <w:t>1,900.00</w:t>
      </w:r>
      <w:r>
        <w:rPr>
          <w:color w:val="000000"/>
          <w:spacing w:val="0"/>
          <w:w w:val="100"/>
          <w:position w:val="0"/>
        </w:rPr>
        <w:t>万元作为质 押物。</w:t>
      </w:r>
    </w:p>
    <w:p>
      <w:pPr>
        <w:pStyle w:val="Style44"/>
        <w:keepNext w:val="0"/>
        <w:keepLines w:val="0"/>
        <w:widowControl w:val="0"/>
        <w:shd w:val="clear" w:color="auto" w:fill="auto"/>
        <w:bidi w:val="0"/>
        <w:spacing w:before="0" w:after="440" w:line="470" w:lineRule="exact"/>
        <w:ind w:left="220" w:right="0" w:firstLine="420"/>
        <w:jc w:val="both"/>
      </w:pPr>
      <w:r>
        <w:rPr>
          <w:color w:val="000000"/>
          <w:spacing w:val="0"/>
          <w:w w:val="100"/>
          <w:position w:val="0"/>
        </w:rPr>
        <w:t xml:space="preserve">2020年6月，本集团与中国农业银行股份有限公司厦门思明支行签订了编号为“83010420200000059” 的借款合同，借款本金8, </w:t>
      </w:r>
      <w:r>
        <w:rPr>
          <w:color w:val="000000"/>
          <w:spacing w:val="0"/>
          <w:w w:val="100"/>
          <w:position w:val="0"/>
        </w:rPr>
        <w:t>000,000.00</w:t>
      </w:r>
      <w:r>
        <w:rPr>
          <w:color w:val="000000"/>
          <w:spacing w:val="0"/>
          <w:w w:val="100"/>
          <w:position w:val="0"/>
        </w:rPr>
        <w:t>元，借款目的用于购置西安办公楼。借款期限：10年，还款方式： 按月等额本息还款，利率：</w:t>
      </w:r>
      <w:r>
        <w:rPr>
          <w:color w:val="000000"/>
          <w:spacing w:val="0"/>
          <w:w w:val="100"/>
          <w:position w:val="0"/>
        </w:rPr>
        <w:t>LPR</w:t>
      </w:r>
      <w:r>
        <w:rPr>
          <w:color w:val="000000"/>
          <w:spacing w:val="0"/>
          <w:w w:val="100"/>
          <w:position w:val="0"/>
        </w:rPr>
        <w:t>减</w:t>
      </w:r>
      <w:r>
        <w:rPr>
          <w:color w:val="000000"/>
          <w:spacing w:val="0"/>
          <w:w w:val="100"/>
          <w:position w:val="0"/>
        </w:rPr>
        <w:t>21bp。</w:t>
      </w:r>
      <w:r>
        <w:rPr>
          <w:color w:val="000000"/>
          <w:spacing w:val="0"/>
          <w:w w:val="100"/>
          <w:position w:val="0"/>
        </w:rPr>
        <w:t>本合同担保方式为定期存款质押，原定期存单到期，本公司与 中国农业银行股份有限公司厦门思明支行于2020年12月31日签订了编号为“83100420200000637”的权 利质押合同，以编号为</w:t>
      </w:r>
      <w:r>
        <w:rPr>
          <w:color w:val="000000"/>
          <w:spacing w:val="0"/>
          <w:w w:val="100"/>
          <w:position w:val="0"/>
        </w:rPr>
        <w:t>“02-000261906</w:t>
      </w:r>
      <w:r>
        <w:rPr>
          <w:color w:val="000000"/>
          <w:spacing w:val="0"/>
          <w:w w:val="100"/>
          <w:position w:val="0"/>
        </w:rPr>
        <w:t>”的定期存单</w:t>
      </w:r>
      <w:r>
        <w:rPr>
          <w:color w:val="000000"/>
          <w:spacing w:val="0"/>
          <w:w w:val="100"/>
          <w:position w:val="0"/>
        </w:rPr>
        <w:t>1,000.00</w:t>
      </w:r>
      <w:r>
        <w:rPr>
          <w:color w:val="000000"/>
          <w:spacing w:val="0"/>
          <w:w w:val="100"/>
          <w:position w:val="0"/>
        </w:rPr>
        <w:t>万元作为质押物。</w:t>
      </w:r>
    </w:p>
    <w:p>
      <w:pPr>
        <w:pStyle w:val="Style27"/>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2"/>
        <w:keepNext/>
        <w:keepLines/>
        <w:widowControl w:val="0"/>
        <w:shd w:val="clear" w:color="auto" w:fill="auto"/>
        <w:bidi w:val="0"/>
        <w:spacing w:before="0" w:after="120" w:line="48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101,752,272.73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63,854,625.40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8"/>
        <w:gridCol w:w="523"/>
        <w:gridCol w:w="715"/>
        <w:gridCol w:w="619"/>
        <w:gridCol w:w="619"/>
        <w:gridCol w:w="619"/>
        <w:gridCol w:w="619"/>
        <w:gridCol w:w="614"/>
        <w:gridCol w:w="730"/>
        <w:gridCol w:w="456"/>
        <w:gridCol w:w="691"/>
        <w:gridCol w:w="691"/>
        <w:gridCol w:w="691"/>
        <w:gridCol w:w="672"/>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安徽华 图信息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智慧司 法等领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朱少武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智慧司 法等领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已完成 工商登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301,776.</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info.co</w:t>
            </w:r>
          </w:p>
        </w:tc>
      </w:tr>
    </w:tbl>
    <w:p>
      <w:pPr>
        <w:widowControl w:val="0"/>
        <w:spacing w:line="1" w:lineRule="exact"/>
      </w:pPr>
      <w:r>
        <w:br w:type="page"/>
      </w:r>
    </w:p>
    <w:tbl>
      <w:tblPr>
        <w:tblOverlap w:val="never"/>
        <w:jc w:val="center"/>
        <w:tblLayout w:type="fixed"/>
      </w:tblPr>
      <w:tblGrid>
        <w:gridCol w:w="667"/>
        <w:gridCol w:w="658"/>
        <w:gridCol w:w="523"/>
        <w:gridCol w:w="715"/>
        <w:gridCol w:w="619"/>
        <w:gridCol w:w="619"/>
        <w:gridCol w:w="619"/>
        <w:gridCol w:w="619"/>
        <w:gridCol w:w="614"/>
        <w:gridCol w:w="730"/>
        <w:gridCol w:w="456"/>
        <w:gridCol w:w="691"/>
        <w:gridCol w:w="691"/>
        <w:gridCol w:w="691"/>
        <w:gridCol w:w="672"/>
      </w:tblGrid>
      <w:tr>
        <w:trPr>
          <w:trHeight w:val="16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域的信 息化建 设与服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域的信 息化建 设与服 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记并全 部到资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m.cn</w:t>
            </w:r>
            <w:r>
              <w:rPr>
                <w:rFonts w:ascii="Times New Roman" w:eastAsia="Times New Roman" w:hAnsi="Times New Roman" w:cs="Times New Roman"/>
                <w:color w:val="000000"/>
                <w:spacing w:val="0"/>
                <w:w w:val="100"/>
                <w:position w:val="0"/>
              </w:rPr>
              <w:t>（</w:t>
            </w:r>
            <w:r>
              <w:rPr>
                <w:color w:val="000000"/>
                <w:spacing w:val="0"/>
                <w:w w:val="100"/>
                <w:position w:val="0"/>
              </w:rPr>
              <w:t>公</w:t>
            </w:r>
          </w:p>
          <w:p>
            <w:pPr>
              <w:pStyle w:val="Style2"/>
              <w:keepNext w:val="0"/>
              <w:keepLines w:val="0"/>
              <w:widowControl w:val="0"/>
              <w:shd w:val="clear" w:color="auto" w:fill="auto"/>
              <w:bidi w:val="0"/>
              <w:spacing w:before="0" w:after="80" w:line="312" w:lineRule="exact"/>
              <w:ind w:left="140" w:right="0" w:firstLine="0"/>
              <w:jc w:val="left"/>
            </w:pPr>
            <w:r>
              <w:rPr>
                <w:color w:val="000000"/>
                <w:spacing w:val="0"/>
                <w:w w:val="100"/>
                <w:position w:val="0"/>
              </w:rPr>
              <w:t>告编 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2019-15</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tc>
      </w:tr>
      <w:tr>
        <w:trPr>
          <w:trHeight w:val="30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info.co</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m.cn</w:t>
            </w:r>
            <w:r>
              <w:rPr>
                <w:rFonts w:ascii="Times New Roman" w:eastAsia="Times New Roman" w:hAnsi="Times New Roman" w:cs="Times New Roman"/>
                <w:color w:val="000000"/>
                <w:spacing w:val="0"/>
                <w:w w:val="100"/>
                <w:position w:val="0"/>
              </w:rPr>
              <w:t>（</w:t>
            </w:r>
            <w:r>
              <w:rPr>
                <w:color w:val="000000"/>
                <w:spacing w:val="0"/>
                <w:w w:val="100"/>
                <w:position w:val="0"/>
              </w:rPr>
              <w:t>公</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亚榕安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1,093,41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告编</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2350 </w:t>
            </w:r>
            <w:r>
              <w:rPr>
                <w:color w:val="000000"/>
                <w:spacing w:val="0"/>
                <w:w w:val="100"/>
                <w:position w:val="0"/>
              </w:rPr>
              <w:t>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2018-71</w:t>
            </w: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infO.co</w:t>
            </w: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亚秦安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m.cn</w:t>
            </w:r>
            <w:r>
              <w:rPr>
                <w:rFonts w:ascii="Times New Roman" w:eastAsia="Times New Roman" w:hAnsi="Times New Roman" w:cs="Times New Roman"/>
                <w:color w:val="000000"/>
                <w:spacing w:val="0"/>
                <w:w w:val="100"/>
                <w:position w:val="0"/>
              </w:rPr>
              <w:t>（</w:t>
            </w:r>
            <w:r>
              <w:rPr>
                <w:color w:val="000000"/>
                <w:spacing w:val="0"/>
                <w:w w:val="100"/>
                <w:position w:val="0"/>
              </w:rPr>
              <w:t>公</w:t>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r>
              <w:rPr>
                <w:rFonts w:ascii="Times New Roman" w:eastAsia="Times New Roman" w:hAnsi="Times New Roman" w:cs="Times New Roman"/>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infO.co</w:t>
            </w:r>
          </w:p>
        </w:tc>
      </w:tr>
      <w:tr>
        <w:trPr>
          <w:trHeight w:val="38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亚川安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27,160.1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m.cn</w:t>
            </w:r>
            <w:r>
              <w:rPr>
                <w:rFonts w:ascii="Times New Roman" w:eastAsia="Times New Roman" w:hAnsi="Times New Roman" w:cs="Times New Roman"/>
                <w:color w:val="000000"/>
                <w:spacing w:val="0"/>
                <w:w w:val="100"/>
                <w:position w:val="0"/>
              </w:rPr>
              <w:t>（</w:t>
            </w:r>
            <w:r>
              <w:rPr>
                <w:color w:val="000000"/>
                <w:spacing w:val="0"/>
                <w:w w:val="100"/>
                <w:position w:val="0"/>
              </w:rPr>
              <w:t>公</w:t>
            </w:r>
          </w:p>
        </w:tc>
      </w:tr>
      <w:tr>
        <w:trPr>
          <w:trHeight w:val="17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告编</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瑞智能</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2,098,66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造</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造</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敏独资</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柏顺科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智能制</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尚未到 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281.19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造</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敏独资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造</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 美桐贰 期股权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infO.co</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m.cn</w:t>
            </w:r>
            <w:r>
              <w:rPr>
                <w:rFonts w:ascii="Times New Roman" w:eastAsia="Times New Roman" w:hAnsi="Times New Roman" w:cs="Times New Roman"/>
                <w:color w:val="000000"/>
                <w:spacing w:val="0"/>
                <w:w w:val="100"/>
                <w:position w:val="0"/>
              </w:rPr>
              <w:t>（</w:t>
            </w:r>
            <w:r>
              <w:rPr>
                <w:color w:val="000000"/>
                <w:spacing w:val="0"/>
                <w:w w:val="100"/>
                <w:position w:val="0"/>
              </w:rPr>
              <w:t>公</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-1,563,9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告编</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金合伙</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资</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9-04</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企业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8000 </w:t>
            </w:r>
            <w:r>
              <w:rPr>
                <w:color w:val="000000"/>
                <w:spacing w:val="0"/>
                <w:w w:val="100"/>
                <w:position w:val="0"/>
              </w:rPr>
              <w:t>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2019-80</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7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667"/>
        <w:gridCol w:w="658"/>
        <w:gridCol w:w="523"/>
        <w:gridCol w:w="715"/>
        <w:gridCol w:w="619"/>
        <w:gridCol w:w="619"/>
        <w:gridCol w:w="619"/>
        <w:gridCol w:w="619"/>
        <w:gridCol w:w="614"/>
        <w:gridCol w:w="730"/>
        <w:gridCol w:w="456"/>
        <w:gridCol w:w="691"/>
        <w:gridCol w:w="691"/>
        <w:gridCol w:w="691"/>
        <w:gridCol w:w="672"/>
      </w:tblGrid>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厦门美 亚中敏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智能制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677,272.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魏鹏及 厦门佰 敏丰信 息科技 合伙企 业（有 限合 伙）等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智能制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本报告 期出资 </w:t>
            </w:r>
            <w:r>
              <w:rPr>
                <w:rFonts w:ascii="Times New Roman" w:eastAsia="Times New Roman" w:hAnsi="Times New Roman" w:cs="Times New Roman"/>
                <w:color w:val="000000"/>
                <w:spacing w:val="0"/>
                <w:w w:val="100"/>
                <w:position w:val="0"/>
              </w:rPr>
              <w:t xml:space="preserve">67.73 </w:t>
            </w:r>
            <w:r>
              <w:rPr>
                <w:color w:val="000000"/>
                <w:spacing w:val="0"/>
                <w:w w:val="100"/>
                <w:position w:val="0"/>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9,646,22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亚亿安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厦门环 亚众智 科技合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期出资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27.5 </w:t>
            </w:r>
            <w:r>
              <w:rPr>
                <w:color w:val="000000"/>
                <w:spacing w:val="0"/>
                <w:w w:val="100"/>
                <w:position w:val="0"/>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技有限 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福建大 田柏科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网络与 信息安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后生仔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网络与 信息安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295,689.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全开发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建）实</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德汇司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电子数</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348,484.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法鉴定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据鉴定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德汇独</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据鉴定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新信息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340,027.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美银智</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中检美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中检美</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到资</w:t>
            </w: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308,536.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门）科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亚（北</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全开发</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京）独</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101,752,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17,705,4</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44" w:hRule="exact"/>
        </w:trPr>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272.73</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43.25</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right w:val="single" w:sz="4"/>
            </w:tcBorders>
            <w:shd w:val="clear" w:color="auto" w:fill="D4D4D4"/>
            <w:vAlign w:val="top"/>
          </w:tcPr>
          <w:p>
            <w:pPr/>
          </w:p>
        </w:tc>
      </w:tr>
    </w:tbl>
    <w:p>
      <w:pPr>
        <w:pStyle w:val="Style44"/>
        <w:keepNext w:val="0"/>
        <w:keepLines w:val="0"/>
        <w:widowControl w:val="0"/>
        <w:shd w:val="clear" w:color="auto" w:fill="auto"/>
        <w:bidi w:val="0"/>
        <w:spacing w:before="0" w:after="0" w:line="240" w:lineRule="auto"/>
        <w:ind w:left="0" w:right="0" w:firstLine="540"/>
        <w:jc w:val="left"/>
      </w:pPr>
      <w:bookmarkStart w:id="200" w:name="bookmark200"/>
      <w:r>
        <w:rPr>
          <w:color w:val="000000"/>
          <w:spacing w:val="0"/>
          <w:w w:val="100"/>
          <w:position w:val="0"/>
        </w:rPr>
        <w:t>（</w:t>
      </w:r>
      <w:bookmarkEnd w:id="200"/>
      <w:r>
        <w:rPr>
          <w:color w:val="000000"/>
          <w:spacing w:val="0"/>
          <w:w w:val="100"/>
          <w:position w:val="0"/>
        </w:rPr>
        <w:t>1）设立腾瑞智能</w:t>
      </w:r>
    </w:p>
    <w:p>
      <w:pPr>
        <w:pStyle w:val="Style44"/>
        <w:keepNext w:val="0"/>
        <w:keepLines w:val="0"/>
        <w:widowControl w:val="0"/>
        <w:shd w:val="clear" w:color="auto" w:fill="auto"/>
        <w:bidi w:val="0"/>
        <w:spacing w:before="0" w:after="0" w:line="408" w:lineRule="exact"/>
        <w:ind w:left="0" w:right="0" w:firstLine="420"/>
        <w:jc w:val="left"/>
      </w:pPr>
      <w:r>
        <w:rPr>
          <w:color w:val="000000"/>
          <w:spacing w:val="0"/>
          <w:w w:val="100"/>
          <w:position w:val="0"/>
        </w:rPr>
        <w:t>2020年2月26日，子公司美亚中敏独资设立腾瑞智能，注册资本为</w:t>
      </w:r>
      <w:r>
        <w:rPr>
          <w:color w:val="000000"/>
          <w:spacing w:val="0"/>
          <w:w w:val="100"/>
          <w:position w:val="0"/>
        </w:rPr>
        <w:t>1,000.00</w:t>
      </w:r>
      <w:r>
        <w:rPr>
          <w:color w:val="000000"/>
          <w:spacing w:val="0"/>
          <w:w w:val="100"/>
          <w:position w:val="0"/>
        </w:rPr>
        <w:t>万元。截止2020年12月31 日，公司已出资400万元。</w:t>
      </w:r>
    </w:p>
    <w:p>
      <w:pPr>
        <w:pStyle w:val="Style44"/>
        <w:keepNext w:val="0"/>
        <w:keepLines w:val="0"/>
        <w:widowControl w:val="0"/>
        <w:shd w:val="clear" w:color="auto" w:fill="auto"/>
        <w:bidi w:val="0"/>
        <w:spacing w:before="0" w:after="0" w:line="408" w:lineRule="exact"/>
        <w:ind w:left="0" w:right="0" w:firstLine="420"/>
        <w:jc w:val="left"/>
      </w:pPr>
      <w:bookmarkStart w:id="201" w:name="bookmark201"/>
      <w:r>
        <w:rPr>
          <w:color w:val="000000"/>
          <w:spacing w:val="0"/>
          <w:w w:val="100"/>
          <w:position w:val="0"/>
        </w:rPr>
        <w:t>（</w:t>
      </w:r>
      <w:bookmarkEnd w:id="201"/>
      <w:r>
        <w:rPr>
          <w:color w:val="000000"/>
          <w:spacing w:val="0"/>
          <w:w w:val="100"/>
          <w:position w:val="0"/>
        </w:rPr>
        <w:t>2）设立司法鉴定所</w:t>
      </w:r>
    </w:p>
    <w:p>
      <w:pPr>
        <w:pStyle w:val="Style44"/>
        <w:keepNext w:val="0"/>
        <w:keepLines w:val="0"/>
        <w:widowControl w:val="0"/>
        <w:shd w:val="clear" w:color="auto" w:fill="auto"/>
        <w:bidi w:val="0"/>
        <w:spacing w:before="0" w:after="0" w:line="408" w:lineRule="exact"/>
        <w:ind w:left="0" w:right="0" w:firstLine="420"/>
        <w:jc w:val="left"/>
      </w:pPr>
      <w:r>
        <w:rPr>
          <w:color w:val="000000"/>
          <w:spacing w:val="0"/>
          <w:w w:val="100"/>
          <w:position w:val="0"/>
        </w:rPr>
        <w:t>2020年3月27日，子公司珠海新德汇独资设立司法鉴定所，注册资本为</w:t>
      </w:r>
      <w:r>
        <w:rPr>
          <w:color w:val="000000"/>
          <w:spacing w:val="0"/>
          <w:w w:val="100"/>
          <w:position w:val="0"/>
        </w:rPr>
        <w:t>100.00</w:t>
      </w:r>
      <w:r>
        <w:rPr>
          <w:color w:val="000000"/>
          <w:spacing w:val="0"/>
          <w:w w:val="100"/>
          <w:position w:val="0"/>
        </w:rPr>
        <w:t>万元。截止2020年 12月31日，公司尚未出资。</w:t>
      </w:r>
    </w:p>
    <w:p>
      <w:pPr>
        <w:pStyle w:val="Style44"/>
        <w:keepNext w:val="0"/>
        <w:keepLines w:val="0"/>
        <w:widowControl w:val="0"/>
        <w:shd w:val="clear" w:color="auto" w:fill="auto"/>
        <w:tabs>
          <w:tab w:pos="870" w:val="left"/>
        </w:tabs>
        <w:bidi w:val="0"/>
        <w:spacing w:before="0" w:after="0" w:line="409" w:lineRule="exact"/>
        <w:ind w:left="0" w:right="0" w:firstLine="440"/>
        <w:jc w:val="both"/>
      </w:pPr>
      <w:bookmarkStart w:id="202" w:name="bookmark202"/>
      <w:r>
        <w:rPr>
          <w:color w:val="000000"/>
          <w:spacing w:val="0"/>
          <w:w w:val="100"/>
          <w:position w:val="0"/>
        </w:rPr>
        <w:t>（</w:t>
      </w:r>
      <w:bookmarkEnd w:id="202"/>
      <w:r>
        <w:rPr>
          <w:color w:val="000000"/>
          <w:spacing w:val="0"/>
          <w:w w:val="100"/>
          <w:position w:val="0"/>
        </w:rPr>
        <w:t>3）</w:t>
        <w:tab/>
        <w:t>设立腾柏顺科技</w:t>
      </w:r>
    </w:p>
    <w:p>
      <w:pPr>
        <w:pStyle w:val="Style44"/>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2020年3月31日，子公司美亚中敏独资设立腾柏顺科技，注册资本为</w:t>
      </w:r>
      <w:r>
        <w:rPr>
          <w:color w:val="000000"/>
          <w:spacing w:val="0"/>
          <w:w w:val="100"/>
          <w:position w:val="0"/>
        </w:rPr>
        <w:t>1,000.00</w:t>
      </w:r>
      <w:r>
        <w:rPr>
          <w:color w:val="000000"/>
          <w:spacing w:val="0"/>
          <w:w w:val="100"/>
          <w:position w:val="0"/>
        </w:rPr>
        <w:t>万元。截止2020年 12月31日，公司尚未出资。</w:t>
      </w:r>
    </w:p>
    <w:p>
      <w:pPr>
        <w:pStyle w:val="Style44"/>
        <w:keepNext w:val="0"/>
        <w:keepLines w:val="0"/>
        <w:widowControl w:val="0"/>
        <w:shd w:val="clear" w:color="auto" w:fill="auto"/>
        <w:tabs>
          <w:tab w:pos="870" w:val="left"/>
        </w:tabs>
        <w:bidi w:val="0"/>
        <w:spacing w:before="0" w:after="0" w:line="409" w:lineRule="exact"/>
        <w:ind w:left="0" w:right="0" w:firstLine="440"/>
        <w:jc w:val="both"/>
      </w:pPr>
      <w:bookmarkStart w:id="203" w:name="bookmark203"/>
      <w:r>
        <w:rPr>
          <w:color w:val="000000"/>
          <w:spacing w:val="0"/>
          <w:w w:val="100"/>
          <w:position w:val="0"/>
        </w:rPr>
        <w:t>（</w:t>
      </w:r>
      <w:bookmarkEnd w:id="203"/>
      <w:r>
        <w:rPr>
          <w:color w:val="000000"/>
          <w:spacing w:val="0"/>
          <w:w w:val="100"/>
          <w:position w:val="0"/>
        </w:rPr>
        <w:t>4）</w:t>
        <w:tab/>
        <w:t>设立澳门美新</w:t>
      </w:r>
    </w:p>
    <w:p>
      <w:pPr>
        <w:pStyle w:val="Style44"/>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2020年8月19日，本公司与子公司美银智投共同设立澳门美新，注册资本为</w:t>
      </w:r>
      <w:r>
        <w:rPr>
          <w:color w:val="000000"/>
          <w:spacing w:val="0"/>
          <w:w w:val="100"/>
          <w:position w:val="0"/>
        </w:rPr>
        <w:t>50.00</w:t>
      </w:r>
      <w:r>
        <w:rPr>
          <w:color w:val="000000"/>
          <w:spacing w:val="0"/>
          <w:w w:val="100"/>
          <w:position w:val="0"/>
        </w:rPr>
        <w:t>万元澳门币，其 中本公司持股90.00%，美银智投持股10.00%。截止2020年12月31日，公司尚未出资。</w:t>
      </w:r>
    </w:p>
    <w:p>
      <w:pPr>
        <w:pStyle w:val="Style44"/>
        <w:keepNext w:val="0"/>
        <w:keepLines w:val="0"/>
        <w:widowControl w:val="0"/>
        <w:shd w:val="clear" w:color="auto" w:fill="auto"/>
        <w:tabs>
          <w:tab w:pos="870" w:val="left"/>
        </w:tabs>
        <w:bidi w:val="0"/>
        <w:spacing w:before="0" w:after="0" w:line="409" w:lineRule="exact"/>
        <w:ind w:left="0" w:right="0" w:firstLine="440"/>
        <w:jc w:val="both"/>
      </w:pPr>
      <w:bookmarkStart w:id="204" w:name="bookmark204"/>
      <w:r>
        <w:rPr>
          <w:color w:val="000000"/>
          <w:spacing w:val="0"/>
          <w:w w:val="100"/>
          <w:position w:val="0"/>
        </w:rPr>
        <w:t>（</w:t>
      </w:r>
      <w:bookmarkEnd w:id="204"/>
      <w:r>
        <w:rPr>
          <w:color w:val="000000"/>
          <w:spacing w:val="0"/>
          <w:w w:val="100"/>
          <w:position w:val="0"/>
        </w:rPr>
        <w:t>5）</w:t>
        <w:tab/>
        <w:t>设立中检美亚（厦门）</w:t>
      </w:r>
    </w:p>
    <w:p>
      <w:pPr>
        <w:pStyle w:val="Style44"/>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2020年9月22日，子公司中检美亚（北京）独资设立中检美亚（厦门），注册资本为</w:t>
      </w:r>
      <w:r>
        <w:rPr>
          <w:color w:val="000000"/>
          <w:spacing w:val="0"/>
          <w:w w:val="100"/>
          <w:position w:val="0"/>
        </w:rPr>
        <w:t>1,000.00</w:t>
      </w:r>
      <w:r>
        <w:rPr>
          <w:color w:val="000000"/>
          <w:spacing w:val="0"/>
          <w:w w:val="100"/>
          <w:position w:val="0"/>
        </w:rPr>
        <w:t>万元。 截止2020年12月31日，公司已出资100万元。</w:t>
      </w:r>
    </w:p>
    <w:p>
      <w:pPr>
        <w:pStyle w:val="Style44"/>
        <w:keepNext w:val="0"/>
        <w:keepLines w:val="0"/>
        <w:widowControl w:val="0"/>
        <w:shd w:val="clear" w:color="auto" w:fill="auto"/>
        <w:tabs>
          <w:tab w:pos="870" w:val="left"/>
        </w:tabs>
        <w:bidi w:val="0"/>
        <w:spacing w:before="0" w:after="0" w:line="409" w:lineRule="exact"/>
        <w:ind w:left="0" w:right="0" w:firstLine="440"/>
        <w:jc w:val="both"/>
      </w:pPr>
      <w:bookmarkStart w:id="205" w:name="bookmark205"/>
      <w:r>
        <w:rPr>
          <w:color w:val="000000"/>
          <w:spacing w:val="0"/>
          <w:w w:val="100"/>
          <w:position w:val="0"/>
        </w:rPr>
        <w:t>（</w:t>
      </w:r>
      <w:bookmarkEnd w:id="205"/>
      <w:r>
        <w:rPr>
          <w:color w:val="000000"/>
          <w:spacing w:val="0"/>
          <w:w w:val="100"/>
          <w:position w:val="0"/>
        </w:rPr>
        <w:t>6）</w:t>
        <w:tab/>
        <w:t>设立大田柏科</w:t>
      </w:r>
    </w:p>
    <w:p>
      <w:pPr>
        <w:pStyle w:val="Style44"/>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2020年10月23日，本公司与后生仔（福建）实业有限公司共同设立大田柏科，注册资本为1, </w:t>
      </w:r>
      <w:r>
        <w:rPr>
          <w:color w:val="000000"/>
          <w:spacing w:val="0"/>
          <w:w w:val="100"/>
          <w:position w:val="0"/>
        </w:rPr>
        <w:t xml:space="preserve">000. </w:t>
      </w:r>
      <w:r>
        <w:rPr>
          <w:color w:val="000000"/>
          <w:spacing w:val="0"/>
          <w:w w:val="100"/>
          <w:position w:val="0"/>
        </w:rPr>
        <w:t>00 万元，其中本公司持股80.00%，后生仔（福建）实业有限公司持股20.00%。截止2020年12月31日，公 司已出资80万元。</w:t>
      </w:r>
    </w:p>
    <w:p>
      <w:pPr>
        <w:pStyle w:val="Style44"/>
        <w:keepNext w:val="0"/>
        <w:keepLines w:val="0"/>
        <w:widowControl w:val="0"/>
        <w:shd w:val="clear" w:color="auto" w:fill="auto"/>
        <w:tabs>
          <w:tab w:pos="910" w:val="left"/>
        </w:tabs>
        <w:bidi w:val="0"/>
        <w:spacing w:before="0" w:after="480" w:line="409" w:lineRule="exact"/>
        <w:ind w:left="0" w:right="0" w:firstLine="440"/>
        <w:jc w:val="both"/>
      </w:pPr>
      <w:bookmarkStart w:id="206" w:name="bookmark206"/>
      <w:r>
        <w:rPr>
          <w:color w:val="000000"/>
          <w:spacing w:val="0"/>
          <w:w w:val="100"/>
          <w:position w:val="0"/>
        </w:rPr>
        <w:t>（</w:t>
      </w:r>
      <w:bookmarkEnd w:id="206"/>
      <w:r>
        <w:rPr>
          <w:color w:val="000000"/>
          <w:spacing w:val="0"/>
          <w:w w:val="100"/>
          <w:position w:val="0"/>
        </w:rPr>
        <w:t>7）</w:t>
        <w:tab/>
        <w:t>公司前期注册或投资参股的公司，本期公司共出资</w:t>
      </w:r>
      <w:r>
        <w:rPr>
          <w:color w:val="000000"/>
          <w:spacing w:val="0"/>
          <w:w w:val="100"/>
          <w:position w:val="0"/>
        </w:rPr>
        <w:t>9,595.23</w:t>
      </w:r>
      <w:r>
        <w:rPr>
          <w:color w:val="000000"/>
          <w:spacing w:val="0"/>
          <w:w w:val="100"/>
          <w:position w:val="0"/>
        </w:rPr>
        <w:t>万元。其中：美亚榕安</w:t>
      </w:r>
      <w:r>
        <w:rPr>
          <w:color w:val="000000"/>
          <w:spacing w:val="0"/>
          <w:w w:val="100"/>
          <w:position w:val="0"/>
        </w:rPr>
        <w:t>800.00</w:t>
      </w:r>
      <w:r>
        <w:rPr>
          <w:color w:val="000000"/>
          <w:spacing w:val="0"/>
          <w:w w:val="100"/>
          <w:position w:val="0"/>
        </w:rPr>
        <w:t>万元, 陕西美亚秦安</w:t>
      </w:r>
      <w:r>
        <w:rPr>
          <w:color w:val="000000"/>
          <w:spacing w:val="0"/>
          <w:w w:val="100"/>
          <w:position w:val="0"/>
        </w:rPr>
        <w:t>200.00</w:t>
      </w:r>
      <w:r>
        <w:rPr>
          <w:color w:val="000000"/>
          <w:spacing w:val="0"/>
          <w:w w:val="100"/>
          <w:position w:val="0"/>
        </w:rPr>
        <w:t>万元，美亚中敏</w:t>
      </w:r>
      <w:r>
        <w:rPr>
          <w:color w:val="000000"/>
          <w:spacing w:val="0"/>
          <w:w w:val="100"/>
          <w:position w:val="0"/>
        </w:rPr>
        <w:t>67.73</w:t>
      </w:r>
      <w:r>
        <w:rPr>
          <w:color w:val="000000"/>
          <w:spacing w:val="0"/>
          <w:w w:val="100"/>
          <w:position w:val="0"/>
        </w:rPr>
        <w:t>万元，美亚亿安</w:t>
      </w:r>
      <w:r>
        <w:rPr>
          <w:color w:val="000000"/>
          <w:spacing w:val="0"/>
          <w:w w:val="100"/>
          <w:position w:val="0"/>
        </w:rPr>
        <w:t>27.50</w:t>
      </w:r>
      <w:r>
        <w:rPr>
          <w:color w:val="000000"/>
          <w:spacing w:val="0"/>
          <w:w w:val="100"/>
          <w:position w:val="0"/>
        </w:rPr>
        <w:t>万元，安徽华图</w:t>
      </w:r>
      <w:r>
        <w:rPr>
          <w:color w:val="000000"/>
          <w:spacing w:val="0"/>
          <w:w w:val="100"/>
          <w:position w:val="0"/>
        </w:rPr>
        <w:t>100.00</w:t>
      </w:r>
      <w:r>
        <w:rPr>
          <w:color w:val="000000"/>
          <w:spacing w:val="0"/>
          <w:w w:val="100"/>
          <w:position w:val="0"/>
        </w:rPr>
        <w:t>万元，美亚川 安400万元，厦门市美桐贰期股权投资基金合伙企业（有限合伙）8000万元。</w:t>
      </w:r>
    </w:p>
    <w:p>
      <w:pPr>
        <w:pStyle w:val="Style32"/>
        <w:keepNext/>
        <w:keepLines/>
        <w:widowControl w:val="0"/>
        <w:shd w:val="clear" w:color="auto" w:fill="auto"/>
        <w:tabs>
          <w:tab w:pos="378" w:val="left"/>
        </w:tabs>
        <w:bidi w:val="0"/>
        <w:spacing w:before="0" w:after="180" w:line="427"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w:t>
        <w:tab/>
        <w:t>报告期内正在进行的重大的非股权投资情况</w:t>
      </w:r>
      <w:bookmarkEnd w:id="207"/>
      <w:bookmarkEnd w:id="208"/>
      <w:bookmarkEnd w:id="21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80" w:line="427"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4</w:t>
      </w:r>
      <w:bookmarkEnd w:id="213"/>
      <w:r>
        <w:rPr>
          <w:color w:val="000000"/>
          <w:spacing w:val="0"/>
          <w:w w:val="100"/>
          <w:position w:val="0"/>
        </w:rPr>
        <w:t>、</w:t>
        <w:tab/>
        <w:t>以公允价值计量的金融资产</w:t>
      </w:r>
      <w:bookmarkEnd w:id="211"/>
      <w:bookmarkEnd w:id="212"/>
      <w:bookmarkEnd w:id="214"/>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6"/>
        <w:gridCol w:w="1272"/>
        <w:gridCol w:w="710"/>
        <w:gridCol w:w="1277"/>
        <w:gridCol w:w="1133"/>
        <w:gridCol w:w="1138"/>
        <w:gridCol w:w="1272"/>
        <w:gridCol w:w="1238"/>
        <w:gridCol w:w="97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本期公 允价值 变动损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28,637,648.14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-51,926,208.72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49,046,754.00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1,246,504.35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177,839,711.28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超募资金投 资中新赛克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75,010,840.24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170,215,648.14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-51,631,048.09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49,046,754.00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1,246,504.35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362,850,551.52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215" w:name="bookmark21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、募集资金使用情况</w:t>
      </w:r>
      <w:bookmarkEnd w:id="215"/>
    </w:p>
    <w:p>
      <w:pPr>
        <w:widowControl w:val="0"/>
        <w:spacing w:after="339" w:line="1" w:lineRule="exact"/>
      </w:pPr>
    </w:p>
    <w:p>
      <w:pPr>
        <w:pStyle w:val="Style2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75"/>
        <w:keepNext/>
        <w:keepLines/>
        <w:widowControl w:val="0"/>
        <w:numPr>
          <w:ilvl w:val="0"/>
          <w:numId w:val="3"/>
        </w:numPr>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募集资金总体使用情况</w:t>
      </w:r>
      <w:bookmarkEnd w:id="216"/>
      <w:bookmarkEnd w:id="217"/>
      <w:bookmarkEnd w:id="21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701"/>
        <w:gridCol w:w="706"/>
        <w:gridCol w:w="706"/>
        <w:gridCol w:w="994"/>
        <w:gridCol w:w="850"/>
        <w:gridCol w:w="854"/>
        <w:gridCol w:w="850"/>
        <w:gridCol w:w="710"/>
        <w:gridCol w:w="1555"/>
        <w:gridCol w:w="787"/>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尚未使用募集资金 用途及去向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49,640.74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尚未使用的募集资 金存储于专户中， 将用于支付的研发 大楼相关税费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49,640.74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499.86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499.86</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截至2020年12月31日，公司募集资金累计直接投入募投项目49, </w:t>
            </w:r>
            <w:r>
              <w:rPr>
                <w:color w:val="000000"/>
                <w:spacing w:val="0"/>
                <w:w w:val="100"/>
                <w:position w:val="0"/>
              </w:rPr>
              <w:t xml:space="preserve">640. </w:t>
            </w:r>
            <w:r>
              <w:rPr>
                <w:color w:val="000000"/>
                <w:spacing w:val="0"/>
                <w:w w:val="100"/>
                <w:position w:val="0"/>
              </w:rPr>
              <w:t>74万元，尚未使用的金额为</w:t>
            </w:r>
            <w:r>
              <w:rPr>
                <w:color w:val="000000"/>
                <w:spacing w:val="0"/>
                <w:w w:val="100"/>
                <w:position w:val="0"/>
              </w:rPr>
              <w:t xml:space="preserve">499. </w:t>
            </w:r>
            <w:r>
              <w:rPr>
                <w:color w:val="000000"/>
                <w:spacing w:val="0"/>
                <w:w w:val="100"/>
                <w:position w:val="0"/>
              </w:rPr>
              <w:t>86万元，尚未使 用的募集资金存储于专户中，将用于支付的研发大楼相关税费。</w:t>
            </w:r>
          </w:p>
        </w:tc>
      </w:tr>
    </w:tbl>
    <w:p>
      <w:pPr>
        <w:widowControl w:val="0"/>
        <w:spacing w:after="299" w:line="1" w:lineRule="exact"/>
      </w:pPr>
    </w:p>
    <w:p>
      <w:pPr>
        <w:pStyle w:val="Style75"/>
        <w:keepNext/>
        <w:keepLines/>
        <w:widowControl w:val="0"/>
        <w:numPr>
          <w:ilvl w:val="0"/>
          <w:numId w:val="3"/>
        </w:numPr>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募集资金承诺项目情况</w:t>
      </w:r>
      <w:bookmarkEnd w:id="220"/>
      <w:bookmarkEnd w:id="221"/>
      <w:bookmarkEnd w:id="22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426"/>
        <w:gridCol w:w="706"/>
        <w:gridCol w:w="710"/>
        <w:gridCol w:w="850"/>
        <w:gridCol w:w="571"/>
        <w:gridCol w:w="850"/>
        <w:gridCol w:w="850"/>
        <w:gridCol w:w="850"/>
        <w:gridCol w:w="850"/>
        <w:gridCol w:w="710"/>
        <w:gridCol w:w="475"/>
        <w:gridCol w:w="739"/>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 超募资金投向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 告期 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320"/>
              <w:jc w:val="left"/>
            </w:pP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电子数据取证产 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网络信息安全产 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电子数据鉴定及 知识产权保护服 务等项目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16,477.8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节余募集资金永 久补充流动资金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16,744.8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16,684.34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95,293.7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追加投资建设超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426"/>
        <w:gridCol w:w="706"/>
        <w:gridCol w:w="710"/>
        <w:gridCol w:w="850"/>
        <w:gridCol w:w="571"/>
        <w:gridCol w:w="850"/>
        <w:gridCol w:w="850"/>
        <w:gridCol w:w="850"/>
        <w:gridCol w:w="850"/>
        <w:gridCol w:w="710"/>
        <w:gridCol w:w="475"/>
        <w:gridCol w:w="739"/>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算中心（云计算）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电子数据公证云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购买研发大楼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16,468.6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收购新德汇公司 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17,271.4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电子数据公证云 项目节余募集资 金永久补充流动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对深圳市中新赛 克科技股份有限 公司进行增资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补充流动资金（如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超募资金投向小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33,705.9</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33,456.26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32,956.4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17,390.4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50,450.8</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49,640.74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6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 或预计收益的情 况和原因（分具体 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）网络信息安全产品项目效益未达到预期主要原因是：随着互联网的发展，特别是大数据和互联网</w:t>
            </w:r>
            <w:r>
              <w:rPr>
                <w:rFonts w:ascii="Times New Roman" w:eastAsia="Times New Roman" w:hAnsi="Times New Roman" w:cs="Times New Roman"/>
                <w:color w:val="000000"/>
                <w:spacing w:val="0"/>
                <w:w w:val="100"/>
                <w:position w:val="0"/>
              </w:rPr>
              <w:t>+</w:t>
            </w:r>
            <w:r>
              <w:rPr>
                <w:color w:val="000000"/>
                <w:spacing w:val="0"/>
                <w:w w:val="100"/>
                <w:position w:val="0"/>
              </w:rPr>
              <w:t>概 念的提出，政府部门也逐渐地开始接受向社会购买服务产品。公司网络信息安全产品项目由单一的产品 销售向</w:t>
            </w:r>
            <w:r>
              <w:rPr>
                <w:rFonts w:ascii="Times New Roman" w:eastAsia="Times New Roman" w:hAnsi="Times New Roman" w:cs="Times New Roman"/>
                <w:color w:val="000000"/>
                <w:spacing w:val="0"/>
                <w:w w:val="100"/>
                <w:position w:val="0"/>
              </w:rPr>
              <w:t>“</w:t>
            </w:r>
            <w:r>
              <w:rPr>
                <w:color w:val="000000"/>
                <w:spacing w:val="0"/>
                <w:w w:val="100"/>
                <w:position w:val="0"/>
              </w:rPr>
              <w:t>小产品、大服务</w:t>
            </w:r>
            <w:r>
              <w:rPr>
                <w:rFonts w:ascii="Times New Roman" w:eastAsia="Times New Roman" w:hAnsi="Times New Roman" w:cs="Times New Roman"/>
                <w:color w:val="000000"/>
                <w:spacing w:val="0"/>
                <w:w w:val="100"/>
                <w:position w:val="0"/>
              </w:rPr>
              <w:t>”</w:t>
            </w:r>
            <w:r>
              <w:rPr>
                <w:color w:val="000000"/>
                <w:spacing w:val="0"/>
                <w:w w:val="100"/>
                <w:position w:val="0"/>
              </w:rPr>
              <w:t>的战略方向推进，研发和销售从过去的产品形态向互联网服务转变，目前虽有 客户开始逐渐转向购买服务，但数据服务和互联网信息服务都尚处在市场培育阶段，市场对新生的商业 形式和服务模式的认可需要一定的适应过程，在短期内尚未能实现规模效益，因此短期内将对公司的网 络信息安全产品项目收益造成一定的影响。公司通过与各子公司之间业务、渠道、研发等资源进行协调， 促进了这块业务的集团整体效益的提升，降低了该影响。</w:t>
            </w:r>
          </w:p>
          <w:p>
            <w:pPr>
              <w:pStyle w:val="Style2"/>
              <w:keepNext w:val="0"/>
              <w:keepLines w:val="0"/>
              <w:widowControl w:val="0"/>
              <w:shd w:val="clear" w:color="auto" w:fill="auto"/>
              <w:tabs>
                <w:tab w:pos="456"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超募</w:t>
            </w:r>
            <w:r>
              <w:rPr>
                <w:rFonts w:ascii="Times New Roman" w:eastAsia="Times New Roman" w:hAnsi="Times New Roman" w:cs="Times New Roman"/>
                <w:color w:val="000000"/>
                <w:spacing w:val="0"/>
                <w:w w:val="100"/>
                <w:position w:val="0"/>
              </w:rPr>
              <w:t>-</w:t>
            </w:r>
            <w:r>
              <w:rPr>
                <w:color w:val="000000"/>
                <w:spacing w:val="0"/>
                <w:w w:val="100"/>
                <w:position w:val="0"/>
              </w:rPr>
              <w:t>公证云项目效益未达到预期主要原因是：需求层面上，电子数据存证服务属于事前法律风险 防范类产品，于用户而言是一种成本投入，而非典型的刚性服务需求，因此我们仍需要持续不断地进行 市场宣传与教育，培育用户使用习惯。此外，基于云服务客单价不高的特点，需要用户数量累积到一定 程度才能体现较大规模收益，而且目前市场存在低价竞争的状况，这都在一定程度上制约了该服务的拓 展。即便如此，在报告期内存证云也已在金融、物流、保险、知识产权保护等领域积累了一批优质客户， 且证据报告也在各地司法实践中获得认可。随着国家法律法规对电子证据审查规范性要求的提出及各行 业对业务操作合规性等政策的出台，如《最高人民法院关于民事诉讼证据的若干规定》及银保监会《关 于规范互联网保险销售行为可回溯管理的通知》，电子数据存证已成为线上线下行为规范及可回溯管 理必不可少的一部分。这些都将进一步促进电子数据存证业务需求，未来电子数据存证市场仍将保持高 速发展态势。</w:t>
            </w:r>
          </w:p>
          <w:p>
            <w:pPr>
              <w:pStyle w:val="Style2"/>
              <w:keepNext w:val="0"/>
              <w:keepLines w:val="0"/>
              <w:widowControl w:val="0"/>
              <w:shd w:val="clear" w:color="auto" w:fill="auto"/>
              <w:tabs>
                <w:tab w:pos="446"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研发大楼产权事项：由于东海火炬科技园是由厦门火炬集团有限公司（厦门市属直管国有企业集 团，以下简称</w:t>
            </w:r>
            <w:r>
              <w:rPr>
                <w:rFonts w:ascii="Calibri" w:eastAsia="Calibri" w:hAnsi="Calibri" w:cs="Calibri"/>
                <w:color w:val="000000"/>
                <w:spacing w:val="0"/>
                <w:w w:val="100"/>
                <w:position w:val="0"/>
                <w:sz w:val="18"/>
                <w:szCs w:val="18"/>
              </w:rPr>
              <w:t>“</w:t>
            </w:r>
            <w:r>
              <w:rPr>
                <w:color w:val="000000"/>
                <w:spacing w:val="0"/>
                <w:w w:val="100"/>
                <w:position w:val="0"/>
              </w:rPr>
              <w:t>火炬集团</w:t>
            </w:r>
            <w:r>
              <w:rPr>
                <w:rFonts w:ascii="Calibri" w:eastAsia="Calibri" w:hAnsi="Calibri" w:cs="Calibri"/>
                <w:color w:val="000000"/>
                <w:spacing w:val="0"/>
                <w:w w:val="100"/>
                <w:position w:val="0"/>
                <w:sz w:val="18"/>
                <w:szCs w:val="18"/>
              </w:rPr>
              <w:t>”</w:t>
            </w:r>
            <w:r>
              <w:rPr>
                <w:color w:val="000000"/>
                <w:spacing w:val="0"/>
                <w:w w:val="100"/>
                <w:position w:val="0"/>
              </w:rPr>
              <w:t>）</w:t>
            </w:r>
            <w:r>
              <w:rPr>
                <w:color w:val="000000"/>
                <w:spacing w:val="0"/>
                <w:w w:val="100"/>
                <w:position w:val="0"/>
              </w:rPr>
              <w:t>承建的科技园，火炬集团处于办理园区产权证审批程序过程中，目前公司正 积极配合火炬集团办理产权证。</w:t>
            </w:r>
          </w:p>
        </w:tc>
      </w:tr>
    </w:tbl>
    <w:p>
      <w:pPr>
        <w:widowControl w:val="0"/>
        <w:spacing w:line="1" w:lineRule="exact"/>
      </w:pPr>
      <w:r>
        <w:br w:type="page"/>
      </w:r>
    </w:p>
    <w:tbl>
      <w:tblPr>
        <w:tblOverlap w:val="never"/>
        <w:jc w:val="center"/>
        <w:tblLayout w:type="fixed"/>
      </w:tblPr>
      <w:tblGrid>
        <w:gridCol w:w="1426"/>
        <w:gridCol w:w="816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 重大变化的情况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超募资金的金额、 用途及使用进展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52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超募资金的金额、用途及使用进展情况：为合理利用好超募资金，公司制定了超募资金使用计划：①使 用超募资金人民币</w:t>
            </w:r>
            <w:r>
              <w:rPr>
                <w:rFonts w:ascii="Times New Roman" w:eastAsia="Times New Roman" w:hAnsi="Times New Roman" w:cs="Times New Roman"/>
                <w:color w:val="000000"/>
                <w:spacing w:val="0"/>
                <w:w w:val="100"/>
                <w:position w:val="0"/>
              </w:rPr>
              <w:t>1,363.15</w:t>
            </w:r>
            <w:r>
              <w:rPr>
                <w:color w:val="000000"/>
                <w:spacing w:val="0"/>
                <w:w w:val="100"/>
                <w:position w:val="0"/>
              </w:rPr>
              <w:t>万元投资建设电子数据公证云项目；②使用超募资金人民币</w:t>
            </w:r>
            <w:r>
              <w:rPr>
                <w:rFonts w:ascii="Times New Roman" w:eastAsia="Times New Roman" w:hAnsi="Times New Roman" w:cs="Times New Roman"/>
                <w:color w:val="000000"/>
                <w:spacing w:val="0"/>
                <w:w w:val="100"/>
                <w:position w:val="0"/>
              </w:rPr>
              <w:t>3,012.49</w:t>
            </w:r>
            <w:r>
              <w:rPr>
                <w:color w:val="000000"/>
                <w:spacing w:val="0"/>
                <w:w w:val="100"/>
                <w:position w:val="0"/>
              </w:rPr>
              <w:t>万元追 加投资建设超算中心（云计算中心）项目；③使用超募资金人民币</w:t>
            </w:r>
            <w:r>
              <w:rPr>
                <w:rFonts w:ascii="Times New Roman" w:eastAsia="Times New Roman" w:hAnsi="Times New Roman" w:cs="Times New Roman"/>
                <w:color w:val="000000"/>
                <w:spacing w:val="0"/>
                <w:w w:val="100"/>
                <w:position w:val="0"/>
              </w:rPr>
              <w:t>16,468.61</w:t>
            </w:r>
            <w:r>
              <w:rPr>
                <w:color w:val="000000"/>
                <w:spacing w:val="0"/>
                <w:w w:val="100"/>
                <w:position w:val="0"/>
              </w:rPr>
              <w:t>万元购买大楼用于建设研 发生产中心项目，该项目经公司</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年度股东大会审议通过，目前大楼已交房。④永久性补充流动资金 </w:t>
            </w:r>
            <w:r>
              <w:rPr>
                <w:rFonts w:ascii="Times New Roman" w:eastAsia="Times New Roman" w:hAnsi="Times New Roman" w:cs="Times New Roman"/>
                <w:color w:val="000000"/>
                <w:spacing w:val="0"/>
                <w:w w:val="100"/>
                <w:position w:val="0"/>
              </w:rPr>
              <w:t>5000</w:t>
            </w:r>
            <w:r>
              <w:rPr>
                <w:color w:val="000000"/>
                <w:spacing w:val="0"/>
                <w:w w:val="100"/>
                <w:position w:val="0"/>
              </w:rPr>
              <w:t>万元，该议案经</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年度股东大会审议通过后实施，目前</w:t>
            </w:r>
            <w:r>
              <w:rPr>
                <w:rFonts w:ascii="Times New Roman" w:eastAsia="Times New Roman" w:hAnsi="Times New Roman" w:cs="Times New Roman"/>
                <w:color w:val="000000"/>
                <w:spacing w:val="0"/>
                <w:w w:val="100"/>
                <w:position w:val="0"/>
              </w:rPr>
              <w:t>5000</w:t>
            </w:r>
            <w:r>
              <w:rPr>
                <w:color w:val="000000"/>
                <w:spacing w:val="0"/>
                <w:w w:val="100"/>
                <w:position w:val="0"/>
              </w:rPr>
              <w:t>万元超募资金已补充为流动资金。</w:t>
            </w:r>
          </w:p>
          <w:p>
            <w:pPr>
              <w:pStyle w:val="Style2"/>
              <w:keepNext w:val="0"/>
              <w:keepLines w:val="0"/>
              <w:widowControl w:val="0"/>
              <w:numPr>
                <w:ilvl w:val="0"/>
                <w:numId w:val="5"/>
              </w:numPr>
              <w:shd w:val="clear" w:color="auto" w:fill="auto"/>
              <w:tabs>
                <w:tab w:pos="187" w:val="left"/>
              </w:tabs>
              <w:bidi w:val="0"/>
              <w:spacing w:before="0" w:after="0" w:line="310" w:lineRule="exact"/>
              <w:ind w:left="0" w:right="0" w:firstLine="0"/>
              <w:jc w:val="both"/>
            </w:pPr>
            <w:r>
              <w:rPr>
                <w:color w:val="000000"/>
                <w:spacing w:val="0"/>
                <w:w w:val="100"/>
                <w:position w:val="0"/>
              </w:rPr>
              <w:t>使用超募资金人民币</w:t>
            </w:r>
            <w:r>
              <w:rPr>
                <w:rFonts w:ascii="Times New Roman" w:eastAsia="Times New Roman" w:hAnsi="Times New Roman" w:cs="Times New Roman"/>
                <w:color w:val="000000"/>
                <w:spacing w:val="0"/>
                <w:w w:val="100"/>
                <w:position w:val="0"/>
              </w:rPr>
              <w:t>5854.8</w:t>
            </w:r>
            <w:r>
              <w:rPr>
                <w:color w:val="000000"/>
                <w:spacing w:val="0"/>
                <w:w w:val="100"/>
                <w:position w:val="0"/>
              </w:rPr>
              <w:t>万元，收购珠海新德汇公司</w:t>
            </w:r>
            <w:r>
              <w:rPr>
                <w:rFonts w:ascii="Times New Roman" w:eastAsia="Times New Roman" w:hAnsi="Times New Roman" w:cs="Times New Roman"/>
                <w:color w:val="000000"/>
                <w:spacing w:val="0"/>
                <w:w w:val="100"/>
                <w:position w:val="0"/>
              </w:rPr>
              <w:t>51%</w:t>
            </w:r>
            <w:r>
              <w:rPr>
                <w:color w:val="000000"/>
                <w:spacing w:val="0"/>
                <w:w w:val="100"/>
                <w:position w:val="0"/>
              </w:rPr>
              <w:t>股权，该项目已完成工商变更登记手续。</w:t>
            </w:r>
          </w:p>
          <w:p>
            <w:pPr>
              <w:pStyle w:val="Style2"/>
              <w:keepNext w:val="0"/>
              <w:keepLines w:val="0"/>
              <w:widowControl w:val="0"/>
              <w:numPr>
                <w:ilvl w:val="0"/>
                <w:numId w:val="5"/>
              </w:numPr>
              <w:shd w:val="clear" w:color="auto" w:fill="auto"/>
              <w:tabs>
                <w:tab w:pos="178"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日公司召开第二届董事会第二十二次（临时）会议审议通过《关于对深圳市中新赛克 科技股份有限公司进行增资的议案》公司使用剩余超募资金及利息，部分自有资金合计</w:t>
            </w:r>
            <w:r>
              <w:rPr>
                <w:rFonts w:ascii="Times New Roman" w:eastAsia="Times New Roman" w:hAnsi="Times New Roman" w:cs="Times New Roman"/>
                <w:color w:val="000000"/>
                <w:spacing w:val="0"/>
                <w:w w:val="100"/>
                <w:position w:val="0"/>
              </w:rPr>
              <w:t>4,898.135</w:t>
            </w:r>
            <w:r>
              <w:rPr>
                <w:color w:val="000000"/>
                <w:spacing w:val="0"/>
                <w:w w:val="100"/>
                <w:position w:val="0"/>
              </w:rPr>
              <w:t>万元 对中新赛克进行溢价增资，增资完成后，公司持有中新赛克</w:t>
            </w:r>
            <w:r>
              <w:rPr>
                <w:rFonts w:ascii="Times New Roman" w:eastAsia="Times New Roman" w:hAnsi="Times New Roman" w:cs="Times New Roman"/>
                <w:color w:val="000000"/>
                <w:spacing w:val="0"/>
                <w:w w:val="100"/>
                <w:position w:val="0"/>
              </w:rPr>
              <w:t>4.1%</w:t>
            </w:r>
            <w:r>
              <w:rPr>
                <w:color w:val="000000"/>
                <w:spacing w:val="0"/>
                <w:w w:val="100"/>
                <w:position w:val="0"/>
              </w:rPr>
              <w:t>股权。截止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已使用超募资金及利息</w:t>
            </w:r>
            <w:r>
              <w:rPr>
                <w:rFonts w:ascii="Times New Roman" w:eastAsia="Times New Roman" w:hAnsi="Times New Roman" w:cs="Times New Roman"/>
                <w:color w:val="000000"/>
                <w:spacing w:val="0"/>
                <w:w w:val="100"/>
                <w:position w:val="0"/>
              </w:rPr>
              <w:t>4072.283</w:t>
            </w:r>
            <w:r>
              <w:rPr>
                <w:color w:val="000000"/>
                <w:spacing w:val="0"/>
                <w:w w:val="100"/>
                <w:position w:val="0"/>
              </w:rPr>
              <w:t>万元（其中利息</w:t>
            </w:r>
            <w:r>
              <w:rPr>
                <w:rFonts w:ascii="Times New Roman" w:eastAsia="Times New Roman" w:hAnsi="Times New Roman" w:cs="Times New Roman"/>
                <w:color w:val="000000"/>
                <w:spacing w:val="0"/>
                <w:w w:val="100"/>
                <w:position w:val="0"/>
              </w:rPr>
              <w:t>2065.34</w:t>
            </w:r>
            <w:r>
              <w:rPr>
                <w:color w:val="000000"/>
                <w:spacing w:val="0"/>
                <w:w w:val="100"/>
                <w:position w:val="0"/>
              </w:rPr>
              <w:t>万元）及自有资金</w:t>
            </w:r>
            <w:r>
              <w:rPr>
                <w:rFonts w:ascii="Times New Roman" w:eastAsia="Times New Roman" w:hAnsi="Times New Roman" w:cs="Times New Roman"/>
                <w:color w:val="000000"/>
                <w:spacing w:val="0"/>
                <w:w w:val="100"/>
                <w:position w:val="0"/>
              </w:rPr>
              <w:t>825.852</w:t>
            </w:r>
            <w:r>
              <w:rPr>
                <w:color w:val="000000"/>
                <w:spacing w:val="0"/>
                <w:w w:val="100"/>
                <w:position w:val="0"/>
              </w:rPr>
              <w:t>万元支付中新赛克 增资款。此后，超募资金未发生其他新的进展情况。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募集资金投资项 目实施地点变更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 目实施方式调整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 目先期投入及置 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5"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在首次公开发行股票募集资金到位之前，为保障募集资金投资项目的顺利进行，公司已使用自筹资金投 入部分募集资金投资项目的前期建设。截至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日止，公司以自筹资金预先投入募投项目累 计金额为</w:t>
            </w:r>
            <w:r>
              <w:rPr>
                <w:rFonts w:ascii="Times New Roman" w:eastAsia="Times New Roman" w:hAnsi="Times New Roman" w:cs="Times New Roman"/>
                <w:color w:val="000000"/>
                <w:spacing w:val="0"/>
                <w:w w:val="100"/>
                <w:position w:val="0"/>
              </w:rPr>
              <w:t>64,759,485.59</w:t>
            </w:r>
            <w:r>
              <w:rPr>
                <w:color w:val="000000"/>
                <w:spacing w:val="0"/>
                <w:w w:val="100"/>
                <w:position w:val="0"/>
              </w:rPr>
              <w:t>元，其中向中国工商银行股份有限公司厦门东区支行借款</w:t>
            </w:r>
            <w:r>
              <w:rPr>
                <w:rFonts w:ascii="Times New Roman" w:eastAsia="Times New Roman" w:hAnsi="Times New Roman" w:cs="Times New Roman"/>
                <w:color w:val="000000"/>
                <w:spacing w:val="0"/>
                <w:w w:val="100"/>
                <w:position w:val="0"/>
              </w:rPr>
              <w:t>761.00</w:t>
            </w:r>
            <w:r>
              <w:rPr>
                <w:color w:val="000000"/>
                <w:spacing w:val="0"/>
                <w:w w:val="100"/>
                <w:position w:val="0"/>
              </w:rPr>
              <w:t>万元，其余为 公司自有资金。为提高资金利用率，降低财务成本，公司第一届董事会第十二次会议审议通过了《关于 使用募集资金置换公司预先已投入募集资金投资项目的自筹资金》的议案，拟置换人民币</w:t>
            </w:r>
            <w:r>
              <w:rPr>
                <w:rFonts w:ascii="Times New Roman" w:eastAsia="Times New Roman" w:hAnsi="Times New Roman" w:cs="Times New Roman"/>
                <w:color w:val="000000"/>
                <w:spacing w:val="0"/>
                <w:w w:val="100"/>
                <w:position w:val="0"/>
              </w:rPr>
              <w:t xml:space="preserve">64,759,485.59 </w:t>
            </w:r>
            <w:r>
              <w:rPr>
                <w:color w:val="000000"/>
                <w:spacing w:val="0"/>
                <w:w w:val="100"/>
                <w:position w:val="0"/>
              </w:rPr>
              <w:t>元。天健正信会计师事务所有限公司对公司前期以自筹资金投入募集资金投资项目的情况进行了专项审 核，并出具了天健正信审（</w:t>
            </w:r>
            <w:r>
              <w:rPr>
                <w:rFonts w:ascii="Times New Roman" w:eastAsia="Times New Roman" w:hAnsi="Times New Roman" w:cs="Times New Roman"/>
                <w:color w:val="000000"/>
                <w:spacing w:val="0"/>
                <w:w w:val="100"/>
                <w:position w:val="0"/>
              </w:rPr>
              <w:t>2011</w:t>
            </w:r>
            <w:r>
              <w:rPr>
                <w:color w:val="000000"/>
                <w:spacing w:val="0"/>
                <w:w w:val="100"/>
                <w:position w:val="0"/>
              </w:rPr>
              <w:t>）专字第</w:t>
            </w:r>
            <w:r>
              <w:rPr>
                <w:rFonts w:ascii="Times New Roman" w:eastAsia="Times New Roman" w:hAnsi="Times New Roman" w:cs="Times New Roman"/>
                <w:color w:val="000000"/>
                <w:spacing w:val="0"/>
                <w:w w:val="100"/>
                <w:position w:val="0"/>
              </w:rPr>
              <w:t>020621</w:t>
            </w:r>
            <w:r>
              <w:rPr>
                <w:color w:val="000000"/>
                <w:spacing w:val="0"/>
                <w:w w:val="100"/>
                <w:position w:val="0"/>
              </w:rPr>
              <w:t>号《关于厦门市美亚柏科信息股份有限公司以自筹资金 预先投入募投项目的鉴证报告》。监事会和独立董事发表了同意意见，履行了必要的审批程序。保荐机 构国信证券股份有限公司进行了核查，对公司本次以募集资金置换预先已投入募集资金投资项目的自筹 资金事项发表无异议核查意见。以上事项公司已于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日在深圳证券交易所进行公告。截止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日，公司已办理完募集资金置换手续。除此之外，截止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日，公司没有发 生使用募集资金置换先期投入的情况。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 暂时补充流动资 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994"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日电子数据取证产品项目、网络信息安全产品项目，超募资金投资电子数据公证 云项目均已达到预定可使用状态，公司对上述三个项目实施结项；三个项目承诺投资总额</w:t>
            </w:r>
            <w:r>
              <w:rPr>
                <w:rFonts w:ascii="Times New Roman" w:eastAsia="Times New Roman" w:hAnsi="Times New Roman" w:cs="Times New Roman"/>
                <w:color w:val="000000"/>
                <w:spacing w:val="0"/>
                <w:w w:val="100"/>
                <w:position w:val="0"/>
              </w:rPr>
              <w:t>14,648.06</w:t>
            </w:r>
            <w:r>
              <w:rPr>
                <w:color w:val="000000"/>
                <w:spacing w:val="0"/>
                <w:w w:val="100"/>
                <w:position w:val="0"/>
              </w:rPr>
              <w:t>万 元，项目累计投入资金</w:t>
            </w:r>
            <w:r>
              <w:rPr>
                <w:rFonts w:ascii="Times New Roman" w:eastAsia="Times New Roman" w:hAnsi="Times New Roman" w:cs="Times New Roman"/>
                <w:color w:val="000000"/>
                <w:spacing w:val="0"/>
                <w:w w:val="100"/>
                <w:position w:val="0"/>
              </w:rPr>
              <w:t>14,500.45</w:t>
            </w:r>
            <w:r>
              <w:rPr>
                <w:color w:val="000000"/>
                <w:spacing w:val="0"/>
                <w:w w:val="100"/>
                <w:position w:val="0"/>
              </w:rPr>
              <w:t>万元，结余募集资金</w:t>
            </w:r>
            <w:r>
              <w:rPr>
                <w:rFonts w:ascii="Times New Roman" w:eastAsia="Times New Roman" w:hAnsi="Times New Roman" w:cs="Times New Roman"/>
                <w:color w:val="000000"/>
                <w:spacing w:val="0"/>
                <w:w w:val="100"/>
                <w:position w:val="0"/>
              </w:rPr>
              <w:t>147.61</w:t>
            </w:r>
            <w:r>
              <w:rPr>
                <w:color w:val="000000"/>
                <w:spacing w:val="0"/>
                <w:w w:val="100"/>
                <w:position w:val="0"/>
              </w:rPr>
              <w:t>万元（不含利息收入），其中：电子数据取</w:t>
            </w:r>
          </w:p>
        </w:tc>
      </w:tr>
    </w:tbl>
    <w:p>
      <w:pPr>
        <w:widowControl w:val="0"/>
        <w:spacing w:line="1" w:lineRule="exact"/>
      </w:pPr>
      <w:r>
        <w:br w:type="page"/>
      </w:r>
    </w:p>
    <w:tbl>
      <w:tblPr>
        <w:tblOverlap w:val="never"/>
        <w:jc w:val="center"/>
        <w:tblLayout w:type="fixed"/>
      </w:tblPr>
      <w:tblGrid>
        <w:gridCol w:w="1426"/>
        <w:gridCol w:w="8160"/>
      </w:tblGrid>
      <w:tr>
        <w:trPr>
          <w:trHeight w:val="50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证产品项目节余资金</w:t>
            </w:r>
            <w:r>
              <w:rPr>
                <w:rFonts w:ascii="Times New Roman" w:eastAsia="Times New Roman" w:hAnsi="Times New Roman" w:cs="Times New Roman"/>
                <w:color w:val="000000"/>
                <w:spacing w:val="0"/>
                <w:w w:val="100"/>
                <w:position w:val="0"/>
              </w:rPr>
              <w:t>53.67</w:t>
            </w:r>
            <w:r>
              <w:rPr>
                <w:color w:val="000000"/>
                <w:spacing w:val="0"/>
                <w:w w:val="100"/>
                <w:position w:val="0"/>
              </w:rPr>
              <w:t>万元；网络信息安全产品项目结余资金</w:t>
            </w:r>
            <w:r>
              <w:rPr>
                <w:rFonts w:ascii="Times New Roman" w:eastAsia="Times New Roman" w:hAnsi="Times New Roman" w:cs="Times New Roman"/>
                <w:color w:val="000000"/>
                <w:spacing w:val="0"/>
                <w:w w:val="100"/>
                <w:position w:val="0"/>
              </w:rPr>
              <w:t>32.87</w:t>
            </w:r>
            <w:r>
              <w:rPr>
                <w:color w:val="000000"/>
                <w:spacing w:val="0"/>
                <w:w w:val="100"/>
                <w:position w:val="0"/>
              </w:rPr>
              <w:t>万元；电子数据公证云项目节 余资金</w:t>
            </w:r>
            <w:r>
              <w:rPr>
                <w:rFonts w:ascii="Times New Roman" w:eastAsia="Times New Roman" w:hAnsi="Times New Roman" w:cs="Times New Roman"/>
                <w:color w:val="000000"/>
                <w:spacing w:val="0"/>
                <w:w w:val="100"/>
                <w:position w:val="0"/>
              </w:rPr>
              <w:t>61.07</w:t>
            </w:r>
            <w:r>
              <w:rPr>
                <w:color w:val="000000"/>
                <w:spacing w:val="0"/>
                <w:w w:val="100"/>
                <w:position w:val="0"/>
              </w:rPr>
              <w:t>万元；结余金额占承诺投资募集资金的</w:t>
            </w:r>
            <w:r>
              <w:rPr>
                <w:rFonts w:ascii="Times New Roman" w:eastAsia="Times New Roman" w:hAnsi="Times New Roman" w:cs="Times New Roman"/>
                <w:color w:val="000000"/>
                <w:spacing w:val="0"/>
                <w:w w:val="100"/>
                <w:position w:val="0"/>
              </w:rPr>
              <w:t>1.01%</w:t>
            </w:r>
            <w:r>
              <w:rPr>
                <w:color w:val="000000"/>
                <w:spacing w:val="0"/>
                <w:w w:val="100"/>
                <w:position w:val="0"/>
              </w:rPr>
              <w:t>,不存在重大差异。上述三个项目募集资金 结余主要原因为公司充分结合自身的技术优势、经验及现有的设备配置，在资源充分利用的前提下，对 项目环节进行优化，减少了部分设备采购。截止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日公司已办理完上述三个项目结余资金 及利息永久补充公司流动资金，并注销相关募集资金专项账户手续。截止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日电子数据 鉴定及互联网知识产权保护等服务项目、超募资金追加投资超算中心（云计算）项目已达预定可使用状 态，公司拟对这两个项目实施结项，两个项目承诺投资总额</w:t>
            </w:r>
            <w:r>
              <w:rPr>
                <w:rFonts w:ascii="Times New Roman" w:eastAsia="Times New Roman" w:hAnsi="Times New Roman" w:cs="Times New Roman"/>
                <w:color w:val="000000"/>
                <w:spacing w:val="0"/>
                <w:w w:val="100"/>
                <w:position w:val="0"/>
              </w:rPr>
              <w:t>6,472.44</w:t>
            </w:r>
            <w:r>
              <w:rPr>
                <w:color w:val="000000"/>
                <w:spacing w:val="0"/>
                <w:w w:val="100"/>
                <w:position w:val="0"/>
              </w:rPr>
              <w:t>万元，项目累计投入资金</w:t>
            </w:r>
            <w:r>
              <w:rPr>
                <w:rFonts w:ascii="Times New Roman" w:eastAsia="Times New Roman" w:hAnsi="Times New Roman" w:cs="Times New Roman"/>
                <w:color w:val="000000"/>
                <w:spacing w:val="0"/>
                <w:w w:val="100"/>
                <w:position w:val="0"/>
              </w:rPr>
              <w:t xml:space="preserve">6,162.19 </w:t>
            </w:r>
            <w:r>
              <w:rPr>
                <w:color w:val="000000"/>
                <w:spacing w:val="0"/>
                <w:w w:val="100"/>
                <w:position w:val="0"/>
              </w:rPr>
              <w:t>万元，结余募集资金</w:t>
            </w:r>
            <w:r>
              <w:rPr>
                <w:rFonts w:ascii="Times New Roman" w:eastAsia="Times New Roman" w:hAnsi="Times New Roman" w:cs="Times New Roman"/>
                <w:color w:val="000000"/>
                <w:spacing w:val="0"/>
                <w:w w:val="100"/>
                <w:position w:val="0"/>
              </w:rPr>
              <w:t>310.25</w:t>
            </w:r>
            <w:r>
              <w:rPr>
                <w:color w:val="000000"/>
                <w:spacing w:val="0"/>
                <w:w w:val="100"/>
                <w:position w:val="0"/>
              </w:rPr>
              <w:t>万元，结余金额占承诺投资募集资金的</w:t>
            </w:r>
            <w:r>
              <w:rPr>
                <w:rFonts w:ascii="Times New Roman" w:eastAsia="Times New Roman" w:hAnsi="Times New Roman" w:cs="Times New Roman"/>
                <w:color w:val="000000"/>
                <w:spacing w:val="0"/>
                <w:w w:val="100"/>
                <w:position w:val="0"/>
              </w:rPr>
              <w:t>4.79%</w:t>
            </w:r>
            <w:r>
              <w:rPr>
                <w:color w:val="000000"/>
                <w:spacing w:val="0"/>
                <w:w w:val="100"/>
                <w:position w:val="0"/>
              </w:rPr>
              <w:t xml:space="preserve">，实际投入金额与计划投入金 额不存在重大差异。电子数据鉴定及互联网知识产权保护等服务项目结余金额占承诺投资募集资金的 </w:t>
            </w:r>
            <w:r>
              <w:rPr>
                <w:rFonts w:ascii="Times New Roman" w:eastAsia="Times New Roman" w:hAnsi="Times New Roman" w:cs="Times New Roman"/>
                <w:color w:val="000000"/>
                <w:spacing w:val="0"/>
                <w:w w:val="100"/>
                <w:position w:val="0"/>
              </w:rPr>
              <w:t>1.75%</w:t>
            </w:r>
            <w:r>
              <w:rPr>
                <w:color w:val="000000"/>
                <w:spacing w:val="0"/>
                <w:w w:val="100"/>
                <w:position w:val="0"/>
              </w:rPr>
              <w:t>不存在重大差异。结余主要原因是由于公司充分结合自身的技术优势，经验及现有的设备配置， 在资源充分利用的前提下，对项目环节进行优化，减少了部分设备采购。超募资金追加投资超算中心（云 计算）项目结余主要原因是由于北方机房是固有机房，合作单位在线路接入方面无法实现我们的要求， 公司通过技术发展以及产品的架构优化，在厦门主机房内实现相关目标，缩小了北方机房的投入。公司 对项目建设前期和过程严格控制，加上自主建设节省了资金投入，结余了项目预备费。公司第二届董事 会第二十次会议决议同意将上述两个项目结余募集资金及利息，转入超募资金账户管理。截止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日公司已办理完上述两个项目结余资金及利息转入超募资金账户管理。</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将主要用于已列入使用计划，但尚未支付的研发大楼相关税费。</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14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w:t>
      </w:r>
      <w:bookmarkEnd w:id="22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4"/>
      <w:bookmarkEnd w:id="225"/>
      <w:bookmarkEnd w:id="22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22" w:val="left"/>
        </w:tabs>
        <w:bidi w:val="0"/>
        <w:spacing w:before="0" w:after="34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六</w:t>
      </w:r>
      <w:bookmarkEnd w:id="230"/>
      <w:r>
        <w:rPr>
          <w:color w:val="000000"/>
          <w:spacing w:val="0"/>
          <w:w w:val="100"/>
          <w:position w:val="0"/>
          <w:sz w:val="24"/>
          <w:szCs w:val="24"/>
        </w:rPr>
        <w:t>、</w:t>
        <w:tab/>
        <w:t>重大资产和股权出售</w:t>
      </w:r>
      <w:bookmarkEnd w:id="228"/>
      <w:bookmarkEnd w:id="229"/>
      <w:bookmarkEnd w:id="231"/>
    </w:p>
    <w:p>
      <w:pPr>
        <w:pStyle w:val="Style32"/>
        <w:keepNext/>
        <w:keepLines/>
        <w:widowControl w:val="0"/>
        <w:shd w:val="clear" w:color="auto" w:fill="auto"/>
        <w:tabs>
          <w:tab w:pos="407" w:val="left"/>
        </w:tabs>
        <w:bidi w:val="0"/>
        <w:spacing w:before="0" w:after="34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出售重大资产情况</w:t>
      </w:r>
      <w:bookmarkEnd w:id="232"/>
      <w:bookmarkEnd w:id="233"/>
      <w:bookmarkEnd w:id="23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7" w:val="left"/>
        </w:tabs>
        <w:bidi w:val="0"/>
        <w:spacing w:before="0" w:after="34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出售重大股权情况</w:t>
      </w:r>
      <w:bookmarkEnd w:id="236"/>
      <w:bookmarkEnd w:id="237"/>
      <w:bookmarkEnd w:id="23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w:t>
        <w:tab/>
        <w:t>主要控股参股公司分析</w:t>
      </w:r>
      <w:bookmarkEnd w:id="240"/>
      <w:bookmarkEnd w:id="241"/>
      <w:bookmarkEnd w:id="24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82"/>
        <w:gridCol w:w="710"/>
        <w:gridCol w:w="2126"/>
        <w:gridCol w:w="850"/>
        <w:gridCol w:w="850"/>
        <w:gridCol w:w="994"/>
        <w:gridCol w:w="994"/>
        <w:gridCol w:w="850"/>
        <w:gridCol w:w="93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厦门市美亚柏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科信息安全研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致力于电子数据鉴定及信 息网络安全技术的研究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137,802,8</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69,572,156.</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73,908,842.</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10,617,70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12,069,584.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珠海市新德汇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政法行业领先的数据采集、 清洗、共享、分析和研判的 产品与服务提供商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841,949,5</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327,736,774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600,778,271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85,070,26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76,322,587.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国内领先的涉税数据分析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359,808,3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251,243,232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309,106,601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70,586,62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61,418,792.</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解决方案提供商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国内领先的特种装备制造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30,018,80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131,681,2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52,644,119.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237,542,013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15,879,94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14,242,182.</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及服务提供商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04.15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公共安全行业视频检索、分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32,785,41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5,655,164.7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10,778,022.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-4,015,408.</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析、检查产品及服务提供商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厦门安胜网络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国内领先的网络安全产品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148,324,8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58,916,614.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101,593,469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19,631,344.</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及服务提供商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68.13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厦门美亚商鼎 信息科技有限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市场监管行业大数据智能 化及技术服务支撑领域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28,782,70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23,087,227.</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15,892,043.</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5,297,777.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5,287,126.8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07"/>
        <w:gridCol w:w="1555"/>
        <w:gridCol w:w="532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 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常熟腾瑞智能科技有限公司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建设自主生产线，解决创新产品的设计定型和产品加工组装周期长 以及龙头产品的知识产权保护等的问题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厦门腾柏顺科技有限公司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建立美亚中敏的智能装备研发实验室和智能硬件研发生产基地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广东新德汇司法鉴定所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有利于公司拓展广东区域电子数据鉴定业务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澳门美新信息技术有限公司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有利于公司拓展澳门地区业务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有利于公司整合市监业务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福建大田柏科信息科技有限公司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有利于公司拓展区域业务</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44"/>
        <w:keepNext w:val="0"/>
        <w:keepLines w:val="0"/>
        <w:widowControl w:val="0"/>
        <w:shd w:val="clear" w:color="auto" w:fill="auto"/>
        <w:bidi w:val="0"/>
        <w:spacing w:before="0" w:after="0" w:line="485" w:lineRule="exact"/>
        <w:ind w:left="0" w:right="0" w:firstLine="420"/>
        <w:jc w:val="left"/>
      </w:pPr>
      <w:r>
        <w:rPr>
          <w:color w:val="000000"/>
          <w:spacing w:val="0"/>
          <w:w w:val="100"/>
          <w:position w:val="0"/>
        </w:rPr>
        <w:t>•全资子公司美亚信息安全研究所：2020年实现销售收入</w:t>
      </w:r>
      <w:r>
        <w:rPr>
          <w:color w:val="000000"/>
          <w:spacing w:val="0"/>
          <w:w w:val="100"/>
          <w:position w:val="0"/>
        </w:rPr>
        <w:t>7,390.88</w:t>
      </w:r>
      <w:r>
        <w:rPr>
          <w:color w:val="000000"/>
          <w:spacing w:val="0"/>
          <w:w w:val="100"/>
          <w:position w:val="0"/>
        </w:rPr>
        <w:t>万元，较上年度下降30%，净利润</w:t>
      </w:r>
    </w:p>
    <w:p>
      <w:pPr>
        <w:pStyle w:val="Style44"/>
        <w:keepNext w:val="0"/>
        <w:keepLines w:val="0"/>
        <w:widowControl w:val="0"/>
        <w:shd w:val="clear" w:color="auto" w:fill="auto"/>
        <w:bidi w:val="0"/>
        <w:spacing w:before="0" w:after="0" w:line="485" w:lineRule="exact"/>
        <w:ind w:left="0" w:right="0" w:firstLine="0"/>
        <w:jc w:val="left"/>
      </w:pPr>
      <w:r>
        <w:rPr>
          <w:color w:val="000000"/>
          <w:spacing w:val="0"/>
          <w:w w:val="100"/>
          <w:position w:val="0"/>
        </w:rPr>
        <w:t xml:space="preserve">1,206. </w:t>
      </w:r>
      <w:r>
        <w:rPr>
          <w:color w:val="000000"/>
          <w:spacing w:val="0"/>
          <w:w w:val="100"/>
          <w:position w:val="0"/>
        </w:rPr>
        <w:t>96万元，较上年度下降72.21%。美亚信息安全研究所收入和利润下降主要是由于与母公司业务整合, 本年平台类业务收入减少，且部分订单尚未达收入确认条件所致。</w:t>
      </w:r>
    </w:p>
    <w:p>
      <w:pPr>
        <w:pStyle w:val="Style44"/>
        <w:keepNext w:val="0"/>
        <w:keepLines w:val="0"/>
        <w:widowControl w:val="0"/>
        <w:shd w:val="clear" w:color="auto" w:fill="auto"/>
        <w:bidi w:val="0"/>
        <w:spacing w:before="0" w:after="0" w:line="480" w:lineRule="exact"/>
        <w:ind w:left="0" w:right="0" w:firstLine="420"/>
        <w:jc w:val="left"/>
      </w:pPr>
      <w:r>
        <w:rPr>
          <w:color w:val="000000"/>
          <w:spacing w:val="0"/>
          <w:w w:val="100"/>
          <w:position w:val="0"/>
        </w:rPr>
        <w:t xml:space="preserve">•全资子公司新德汇：2020年实现销售收入60, </w:t>
      </w:r>
      <w:r>
        <w:rPr>
          <w:color w:val="000000"/>
          <w:spacing w:val="0"/>
          <w:w w:val="100"/>
          <w:position w:val="0"/>
        </w:rPr>
        <w:t xml:space="preserve">077. </w:t>
      </w:r>
      <w:r>
        <w:rPr>
          <w:color w:val="000000"/>
          <w:spacing w:val="0"/>
          <w:w w:val="100"/>
          <w:position w:val="0"/>
        </w:rPr>
        <w:t>83万元，较上年度增长23.48%，实现净利润</w:t>
      </w:r>
    </w:p>
    <w:p>
      <w:pPr>
        <w:pStyle w:val="Style44"/>
        <w:keepNext w:val="0"/>
        <w:keepLines w:val="0"/>
        <w:widowControl w:val="0"/>
        <w:shd w:val="clear" w:color="auto" w:fill="auto"/>
        <w:bidi w:val="0"/>
        <w:spacing w:before="0" w:after="100" w:line="480" w:lineRule="exact"/>
        <w:ind w:left="0" w:right="0" w:firstLine="0"/>
        <w:jc w:val="left"/>
      </w:pPr>
      <w:r>
        <w:rPr>
          <w:color w:val="000000"/>
          <w:spacing w:val="0"/>
          <w:w w:val="100"/>
          <w:position w:val="0"/>
        </w:rPr>
        <w:t xml:space="preserve">7,632. </w:t>
      </w:r>
      <w:r>
        <w:rPr>
          <w:color w:val="000000"/>
          <w:spacing w:val="0"/>
          <w:w w:val="100"/>
          <w:position w:val="0"/>
        </w:rPr>
        <w:t>26万元，较上年度增长29.59%。新德汇收入和利润增长主要是由于加强与母公司在大数据智能化业 务和刑侦等新行业的业务协同，整体收入保持较快增长。</w:t>
      </w:r>
    </w:p>
    <w:p>
      <w:pPr>
        <w:pStyle w:val="Style44"/>
        <w:keepNext w:val="0"/>
        <w:keepLines w:val="0"/>
        <w:widowControl w:val="0"/>
        <w:shd w:val="clear" w:color="auto" w:fill="auto"/>
        <w:bidi w:val="0"/>
        <w:spacing w:before="0" w:after="0" w:line="478" w:lineRule="exact"/>
        <w:ind w:left="0" w:right="0" w:firstLine="520"/>
        <w:jc w:val="both"/>
      </w:pPr>
      <w:r>
        <w:rPr>
          <w:color w:val="000000"/>
          <w:spacing w:val="0"/>
          <w:w w:val="100"/>
          <w:position w:val="0"/>
        </w:rPr>
        <w:t>•全资子公司江苏税软：2020年实现销售收入</w:t>
      </w:r>
      <w:r>
        <w:rPr>
          <w:color w:val="000000"/>
          <w:spacing w:val="0"/>
          <w:w w:val="100"/>
          <w:position w:val="0"/>
        </w:rPr>
        <w:t>30,910.66</w:t>
      </w:r>
      <w:r>
        <w:rPr>
          <w:color w:val="000000"/>
          <w:spacing w:val="0"/>
          <w:w w:val="100"/>
          <w:position w:val="0"/>
        </w:rPr>
        <w:t xml:space="preserve">万元，较上年度增长43.22%，实现净利润 </w:t>
      </w:r>
      <w:r>
        <w:rPr>
          <w:color w:val="000000"/>
          <w:spacing w:val="0"/>
          <w:w w:val="100"/>
          <w:position w:val="0"/>
        </w:rPr>
        <w:t xml:space="preserve">6,141. </w:t>
      </w:r>
      <w:r>
        <w:rPr>
          <w:color w:val="000000"/>
          <w:spacing w:val="0"/>
          <w:w w:val="100"/>
          <w:position w:val="0"/>
        </w:rPr>
        <w:t>88万元，较上年度增长11.69%。江苏税软收入利润较上年度增长主要是公司积极拓展税务稽查指挥 的信息化市场，并取得较好效果，使得公司在税务细分市场业务保持较快的增长。</w:t>
      </w:r>
    </w:p>
    <w:p>
      <w:pPr>
        <w:pStyle w:val="Style44"/>
        <w:keepNext w:val="0"/>
        <w:keepLines w:val="0"/>
        <w:widowControl w:val="0"/>
        <w:shd w:val="clear" w:color="auto" w:fill="auto"/>
        <w:bidi w:val="0"/>
        <w:spacing w:before="0" w:after="420" w:line="480" w:lineRule="exact"/>
        <w:ind w:left="0" w:right="0" w:firstLine="520"/>
        <w:jc w:val="both"/>
      </w:pPr>
      <w:r>
        <w:rPr>
          <w:color w:val="000000"/>
          <w:spacing w:val="0"/>
          <w:w w:val="100"/>
          <w:position w:val="0"/>
        </w:rPr>
        <w:t>•控股子公司美亚中敏：2020年实现销售收入</w:t>
      </w:r>
      <w:r>
        <w:rPr>
          <w:color w:val="000000"/>
          <w:spacing w:val="0"/>
          <w:w w:val="100"/>
          <w:position w:val="0"/>
        </w:rPr>
        <w:t>23,754.2</w:t>
      </w:r>
      <w:r>
        <w:rPr>
          <w:color w:val="000000"/>
          <w:spacing w:val="0"/>
          <w:w w:val="100"/>
          <w:position w:val="0"/>
        </w:rPr>
        <w:t xml:space="preserve">万元，较上年度增长17.19%，实现净利润 </w:t>
      </w:r>
      <w:r>
        <w:rPr>
          <w:color w:val="000000"/>
          <w:spacing w:val="0"/>
          <w:w w:val="100"/>
          <w:position w:val="0"/>
        </w:rPr>
        <w:t xml:space="preserve">1,424. </w:t>
      </w:r>
      <w:r>
        <w:rPr>
          <w:color w:val="000000"/>
          <w:spacing w:val="0"/>
          <w:w w:val="100"/>
          <w:position w:val="0"/>
        </w:rPr>
        <w:t>22万元，较上年度增长43.17%。美亚中敏收入和利润增长主要是由于公司加强客户拓展并加强供应 链管理，使得收入和利润较上年度有明显增长。</w:t>
      </w:r>
    </w:p>
    <w:p>
      <w:pPr>
        <w:pStyle w:val="Style27"/>
        <w:keepNext/>
        <w:keepLines/>
        <w:widowControl w:val="0"/>
        <w:shd w:val="clear" w:color="auto" w:fill="auto"/>
        <w:tabs>
          <w:tab w:pos="487" w:val="left"/>
        </w:tabs>
        <w:bidi w:val="0"/>
        <w:spacing w:before="0" w:after="36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sz w:val="24"/>
          <w:szCs w:val="24"/>
        </w:rPr>
        <w:t>八</w:t>
      </w:r>
      <w:bookmarkEnd w:id="246"/>
      <w:r>
        <w:rPr>
          <w:color w:val="000000"/>
          <w:spacing w:val="0"/>
          <w:w w:val="100"/>
          <w:position w:val="0"/>
          <w:sz w:val="24"/>
          <w:szCs w:val="24"/>
        </w:rPr>
        <w:t>、</w:t>
        <w:tab/>
        <w:t>公司控制的结构化主体情况</w:t>
      </w:r>
      <w:bookmarkEnd w:id="244"/>
      <w:bookmarkEnd w:id="245"/>
      <w:bookmarkEnd w:id="24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shd w:val="clear" w:color="auto" w:fill="auto"/>
        <w:tabs>
          <w:tab w:pos="487" w:val="left"/>
        </w:tabs>
        <w:bidi w:val="0"/>
        <w:spacing w:before="0" w:after="360" w:line="240" w:lineRule="auto"/>
        <w:ind w:left="0" w:right="0" w:firstLine="0"/>
        <w:jc w:val="both"/>
      </w:pPr>
      <w:bookmarkStart w:id="248" w:name="bookmark248"/>
      <w:r>
        <w:rPr>
          <w:b/>
          <w:bCs/>
          <w:color w:val="000000"/>
          <w:spacing w:val="0"/>
          <w:w w:val="100"/>
          <w:position w:val="0"/>
          <w:sz w:val="24"/>
          <w:szCs w:val="24"/>
        </w:rPr>
        <w:t>九</w:t>
      </w:r>
      <w:bookmarkEnd w:id="248"/>
      <w:r>
        <w:rPr>
          <w:b/>
          <w:bCs/>
          <w:color w:val="000000"/>
          <w:spacing w:val="0"/>
          <w:w w:val="100"/>
          <w:position w:val="0"/>
          <w:sz w:val="24"/>
          <w:szCs w:val="24"/>
        </w:rPr>
        <w:t>、</w:t>
        <w:tab/>
        <w:t>公司未来发展的展望</w:t>
      </w:r>
    </w:p>
    <w:p>
      <w:pPr>
        <w:pStyle w:val="Style44"/>
        <w:keepNext w:val="0"/>
        <w:keepLines w:val="0"/>
        <w:widowControl w:val="0"/>
        <w:shd w:val="clear" w:color="auto" w:fill="auto"/>
        <w:bidi w:val="0"/>
        <w:spacing w:before="0" w:after="0" w:line="240" w:lineRule="auto"/>
        <w:ind w:left="0" w:right="0" w:firstLine="0"/>
        <w:jc w:val="both"/>
      </w:pPr>
      <w:bookmarkStart w:id="249" w:name="bookmark249"/>
      <w:r>
        <w:rPr>
          <w:b/>
          <w:bCs/>
          <w:color w:val="000000"/>
          <w:spacing w:val="0"/>
          <w:w w:val="100"/>
          <w:position w:val="0"/>
        </w:rPr>
        <w:t>（</w:t>
      </w:r>
      <w:bookmarkEnd w:id="249"/>
      <w:r>
        <w:rPr>
          <w:b/>
          <w:bCs/>
          <w:color w:val="000000"/>
          <w:spacing w:val="0"/>
          <w:w w:val="100"/>
          <w:position w:val="0"/>
        </w:rPr>
        <w:t>一）行业竞争格局和趋势</w:t>
      </w:r>
    </w:p>
    <w:p>
      <w:pPr>
        <w:pStyle w:val="Style44"/>
        <w:keepNext w:val="0"/>
        <w:keepLines w:val="0"/>
        <w:widowControl w:val="0"/>
        <w:shd w:val="clear" w:color="auto" w:fill="auto"/>
        <w:bidi w:val="0"/>
        <w:spacing w:before="0" w:after="0" w:line="471" w:lineRule="exact"/>
        <w:ind w:left="0" w:right="0" w:firstLine="520"/>
        <w:jc w:val="both"/>
      </w:pPr>
      <w:bookmarkStart w:id="250" w:name="bookmark250"/>
      <w:r>
        <w:rPr>
          <w:b/>
          <w:bCs/>
          <w:color w:val="000000"/>
          <w:spacing w:val="0"/>
          <w:w w:val="100"/>
          <w:position w:val="0"/>
        </w:rPr>
        <w:t>1</w:t>
      </w:r>
      <w:bookmarkEnd w:id="250"/>
      <w:r>
        <w:rPr>
          <w:b/>
          <w:bCs/>
          <w:color w:val="000000"/>
          <w:spacing w:val="0"/>
          <w:w w:val="100"/>
          <w:position w:val="0"/>
        </w:rPr>
        <w:t>、数字化发展：</w:t>
      </w:r>
      <w:r>
        <w:rPr>
          <w:color w:val="000000"/>
          <w:spacing w:val="0"/>
          <w:w w:val="100"/>
          <w:position w:val="0"/>
        </w:rPr>
        <w:t>2021年3月12日，第十三届全国人民代表大会第四次会议表决通过了《中华人民共和 国国民经济和社会发展第十四个五年规划和2035年远景目标纲要》，提出要推进网络强国建设，加快建设 数字经济、数字社会、数字政府，以数字化转型整体驱动生产方式、生活方式和治理方式变革。明确了未 来数字经济七大重点产业为云计算、大数据、物联网、工业互联网、区块链、人工智能、虚拟现实和增强 现实。明确提出要提高数字政府建设水平，将数字技术广泛应用于政府管理服务，推动政府治理流程再造 和模式优化，不断提高决策科学性和服务效率。</w:t>
      </w:r>
    </w:p>
    <w:p>
      <w:pPr>
        <w:pStyle w:val="Style44"/>
        <w:keepNext w:val="0"/>
        <w:keepLines w:val="0"/>
        <w:widowControl w:val="0"/>
        <w:shd w:val="clear" w:color="auto" w:fill="auto"/>
        <w:bidi w:val="0"/>
        <w:spacing w:before="0" w:after="100" w:line="475" w:lineRule="exact"/>
        <w:ind w:left="0" w:right="0" w:firstLine="520"/>
        <w:jc w:val="both"/>
      </w:pPr>
      <w:r>
        <w:rPr>
          <w:color w:val="000000"/>
          <w:spacing w:val="0"/>
          <w:w w:val="100"/>
          <w:position w:val="0"/>
        </w:rPr>
        <w:t>2020年8月21日，国务院国资委正式印发《关于加快推进国有企业数字化转型工作的通知》（以下简 称“通知”），就推动国有企业数字化转型给出全面部署。公司作为央企控股企业，国内电子数据取证行 业龙头和公安大数据领先企业、网络空间安全及大数据智能化等领域专家，可以全面发挥和输出自身的技 术和资源优势，为产业发展赋能。</w:t>
      </w:r>
    </w:p>
    <w:tbl>
      <w:tblPr>
        <w:tblOverlap w:val="never"/>
        <w:jc w:val="center"/>
        <w:tblLayout w:type="fixed"/>
      </w:tblPr>
      <w:tblGrid>
        <w:gridCol w:w="1387"/>
        <w:gridCol w:w="3686"/>
        <w:gridCol w:w="4795"/>
      </w:tblGrid>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《关于加快推进国有企业数字化转型工作的通知》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公司技术及资源优势</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rPr>
              <w:t>通知</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rPr>
              <w:t>指出主要内容</w:t>
            </w:r>
          </w:p>
        </w:tc>
        <w:tc>
          <w:tcPr>
            <w:vMerge/>
            <w:tcBorders>
              <w:left w:val="single" w:sz="4"/>
              <w:right w:val="single" w:sz="4"/>
            </w:tcBorders>
            <w:shd w:val="clear" w:color="auto" w:fill="FFFFFF"/>
            <w:vAlign w:val="center"/>
          </w:tcPr>
          <w:p>
            <w:pPr/>
          </w:p>
        </w:tc>
      </w:tr>
      <w:tr>
        <w:trPr>
          <w:trHeight w:val="28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大数据 中台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要建设基础数字技术平台。运用</w:t>
            </w:r>
            <w:r>
              <w:rPr>
                <w:color w:val="000000"/>
                <w:spacing w:val="0"/>
                <w:w w:val="100"/>
                <w:position w:val="0"/>
              </w:rPr>
              <w:t>5G、</w:t>
            </w:r>
            <w:r>
              <w:rPr>
                <w:color w:val="000000"/>
                <w:spacing w:val="0"/>
                <w:w w:val="100"/>
                <w:position w:val="0"/>
              </w:rPr>
              <w:t>云计算、 区块链、人工智能、数字挛生、北斗通信等 新一代信息技术，探索构建适应企业业务特 点和发展需求的“数据中台”''业务中台” 等新型</w:t>
            </w:r>
            <w:r>
              <w:rPr>
                <w:color w:val="000000"/>
                <w:spacing w:val="0"/>
                <w:w w:val="100"/>
                <w:position w:val="0"/>
              </w:rPr>
              <w:t>IT</w:t>
            </w:r>
            <w:r>
              <w:rPr>
                <w:color w:val="000000"/>
                <w:spacing w:val="0"/>
                <w:w w:val="100"/>
                <w:position w:val="0"/>
              </w:rPr>
              <w:t>架构模式，建设敏捷高效可复用的 新一代数字技术基础设施，加快形成集团级 数字技术赋能平台，提升核心架构自主研发 水平，为业务数字化创新提供高效数据及一 体化服务支撑。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公司深耕公安大数据信息化业务多年，已积累了丰富的经 验。2020年7月，公司发布自主研发的“乾坤”大数据操作 系统，该系统是公司在公安大数据中台的成功经验之上， 打造的行业级产品，能够为更多行业客户提供全方位大数 据综合解决方案。</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要加快集团数据治理体系建设，明确数据治</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公司在数据治理已有成熟的解决方案，其中，“乾坤”大</w:t>
            </w:r>
          </w:p>
        </w:tc>
      </w:tr>
    </w:tbl>
    <w:p>
      <w:pPr>
        <w:widowControl w:val="0"/>
        <w:spacing w:line="1" w:lineRule="exact"/>
      </w:pPr>
      <w:r>
        <w:br w:type="page"/>
      </w:r>
    </w:p>
    <w:tbl>
      <w:tblPr>
        <w:tblOverlap w:val="never"/>
        <w:jc w:val="center"/>
        <w:tblLayout w:type="fixed"/>
      </w:tblPr>
      <w:tblGrid>
        <w:gridCol w:w="1387"/>
        <w:gridCol w:w="3686"/>
        <w:gridCol w:w="4795"/>
      </w:tblGrid>
      <w:tr>
        <w:trPr>
          <w:trHeight w:val="18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治理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理归口管理部门，加强数据标准化、元数据 和主数据管理工作，定期评估数据治理能力 成熟度。加快大数据平台建设，创新数据融 合分析与共享交换机制。强化业务场景数据 建模，深入挖掘数据价值，提升数据洞察能 力。</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数据治理平台是公司大数据产品体系的核心基础平台，入 选福建省2020年度数字经济优秀应用技术、产品和解决方 案。</w:t>
            </w:r>
          </w:p>
        </w:tc>
      </w:tr>
      <w:tr>
        <w:trPr>
          <w:trHeight w:val="3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安全 防护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要提升安全防护水平。建设态势感知平台， 加强平台、系统、数据等安全管理。使用安 全可靠的设备设施、工具软件、信息系统和 服务平台，提升本质安全。建设漏洞库、病 毒库、威胁信息库等网络安全基础资源库， 加强安全资源储备。搭建测试验证环境，强 化安全检测评估，开展攻防演练，加快培养 专业人才队伍。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公司已建立安全态势感知系统，该系统基于大数据安全分 析机制，帮助企业建设安全监控和防御体系，并以可视化 的界面呈现，实现网络基础信息调查和采集、网络安全数 据汇聚与大数据预警。</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在企业数据安全方面，推出“企业智慧风控大数据平台”， 可帮助企业全面、智能地管理企业大数据，智能发现、处 置内部风险，以大数据科技手段为企业内审工作赋新能， 从而帮助企业创造价值。</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在网络安全人才培养方面，通过美亚柏科信息安全学院， 为各类政法机关、高校、企业提供专业的电子数据取证及 网络信息安全教学培训和技术服务。</w:t>
            </w:r>
          </w:p>
        </w:tc>
      </w:tr>
      <w:tr>
        <w:trPr>
          <w:trHeight w:val="18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行业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要推进产业体系生态化。推动供应链、产业 链上下游企业间数据贯通、资源共享和业务 协同，提升产业链资源优化配置和动态协调 水平。加强跨界合作创新，与内外部生态合 作伙伴共同探索形成融合、共生、互补、互 利的合作模式和商业模式。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公司一直以来致力于构建良好的行业生态。为促进各生态 合作伙伴之间的合作交流，公司每年都发起召开“智会”， 与合作伙伴从项目互动、技术互动、资本互动三方面出发， 形成技术合作、资源互补、业务协同。</w:t>
            </w:r>
          </w:p>
        </w:tc>
      </w:tr>
      <w:tr>
        <w:trPr>
          <w:trHeight w:val="21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新基建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要充分发挥国有企业新基建主力军优势，积 极开展</w:t>
            </w:r>
            <w:r>
              <w:rPr>
                <w:color w:val="000000"/>
                <w:spacing w:val="0"/>
                <w:w w:val="100"/>
                <w:position w:val="0"/>
              </w:rPr>
              <w:t>5G、</w:t>
            </w:r>
            <w:r>
              <w:rPr>
                <w:color w:val="000000"/>
                <w:spacing w:val="0"/>
                <w:w w:val="100"/>
                <w:position w:val="0"/>
              </w:rPr>
              <w:t>工业互联网、人工智能等新型基 础设施投资和建设，形成经济增长新动力。 带动产业链上下游及各行业开展新型基础设 施的应用投资，丰富应用场景，拓展应用效 能，加快形成赋能数字化转型、助力数字经 济发展的基础设施体系。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针对“新基建”所强调的网络安全保障问题，推出成熟的 安全整体解决方案。</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智能</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要以智能制造为主攻方向，全面提升企业研 发、设计和生产的智能化水平。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智能装备制造是公司四大主营业务之一。</w:t>
            </w:r>
          </w:p>
        </w:tc>
      </w:tr>
      <w:tr>
        <w:trPr>
          <w:trHeight w:val="18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智慧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要突出重点，打造行业数字化转型示范样板。 推动数字化与建造全业务链的深度融合，助 力智慧城市建设。</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公司基于大数据技术优势和多年的行业积累，从公安大数 据延伸到城市大数据，再到如今的城市大脑，为建设新型 智慧城市已形成了一定的积累。通过公司四大技术和产品 方向，加强各类技术的融合应用，以“城市大脑”战略赋 能新经济发展，推进新型智慧城市建设，为国有企业数字 化转型贡献自己的智慧和力量。</w:t>
            </w:r>
          </w:p>
        </w:tc>
      </w:tr>
    </w:tbl>
    <w:p>
      <w:pPr>
        <w:pStyle w:val="Style44"/>
        <w:keepNext w:val="0"/>
        <w:keepLines w:val="0"/>
        <w:widowControl w:val="0"/>
        <w:shd w:val="clear" w:color="auto" w:fill="auto"/>
        <w:bidi w:val="0"/>
        <w:spacing w:before="0" w:after="0" w:line="474" w:lineRule="exact"/>
        <w:ind w:left="0" w:right="0" w:firstLine="520"/>
        <w:jc w:val="left"/>
      </w:pPr>
      <w:bookmarkStart w:id="251" w:name="bookmark251"/>
      <w:r>
        <w:rPr>
          <w:b/>
          <w:bCs/>
          <w:color w:val="000000"/>
          <w:spacing w:val="0"/>
          <w:w w:val="100"/>
          <w:position w:val="0"/>
        </w:rPr>
        <w:t>2</w:t>
      </w:r>
      <w:bookmarkEnd w:id="251"/>
      <w:r>
        <w:rPr>
          <w:b/>
          <w:bCs/>
          <w:color w:val="000000"/>
          <w:spacing w:val="0"/>
          <w:w w:val="100"/>
          <w:position w:val="0"/>
        </w:rPr>
        <w:t>、大数据：</w:t>
      </w:r>
      <w:r>
        <w:rPr>
          <w:color w:val="000000"/>
          <w:spacing w:val="0"/>
          <w:w w:val="100"/>
          <w:position w:val="0"/>
        </w:rPr>
        <w:t xml:space="preserve">《中华人民共和国国民经济和社会发展第十四个五年规划和2035年远景目标纲要》指出， 要“推进公安大数据智能化平台建设”，“加快构建全国一体化大数据中心体系，强化算力统筹智能调度, 建设若干国家枢纽节点和大数据中心集群”，“建立健全国家公共数据资源体系，确保公共数据安全，推 进数据跨部门、跨层级、跨地区汇聚融合和深度利用。加快构建数字技术辅助政府决策机制，提高基于高 </w:t>
      </w:r>
      <w:r>
        <w:rPr>
          <w:color w:val="000000"/>
          <w:spacing w:val="0"/>
          <w:w w:val="100"/>
          <w:position w:val="0"/>
        </w:rPr>
        <w:t>频大数据精准动态监测预测预警水平。强化数字技术在公共卫生、自然灾害、事故灾难、社会安全等突发 公共事件应对中的运用，全面提升预警和应急处置能力。”</w:t>
      </w:r>
    </w:p>
    <w:p>
      <w:pPr>
        <w:pStyle w:val="Style44"/>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根据大数据产业生态联盟发布的《2020中国大数据产业发展白皮书》，随着</w:t>
      </w:r>
      <w:r>
        <w:rPr>
          <w:color w:val="000000"/>
          <w:spacing w:val="0"/>
          <w:w w:val="100"/>
          <w:position w:val="0"/>
        </w:rPr>
        <w:t>5G</w:t>
      </w:r>
      <w:r>
        <w:rPr>
          <w:color w:val="000000"/>
          <w:spacing w:val="0"/>
          <w:w w:val="100"/>
          <w:position w:val="0"/>
        </w:rPr>
        <w:t xml:space="preserve">和物联网的发展，业界 对更为高效、绿色的数据中心和云计算基础设施的需求越发升高，大数据基础层持续保持高速增长，预计 2020年整体规模将达到6, </w:t>
      </w:r>
      <w:r>
        <w:rPr>
          <w:color w:val="000000"/>
          <w:spacing w:val="0"/>
          <w:w w:val="100"/>
          <w:position w:val="0"/>
        </w:rPr>
        <w:t>670.2</w:t>
      </w:r>
      <w:r>
        <w:rPr>
          <w:color w:val="000000"/>
          <w:spacing w:val="0"/>
          <w:w w:val="100"/>
          <w:position w:val="0"/>
        </w:rPr>
        <w:t>亿元，到2022年将突破万亿元，持续促进传统产业转型升级，激发经济增 长活力，助力新型智慧城市和数字经济建设。</w:t>
      </w:r>
    </w:p>
    <w:p>
      <w:pPr>
        <w:pStyle w:val="Style41"/>
        <w:keepNext w:val="0"/>
        <w:keepLines w:val="0"/>
        <w:widowControl w:val="0"/>
        <w:shd w:val="clear" w:color="auto" w:fill="auto"/>
        <w:bidi w:val="0"/>
        <w:spacing w:before="0" w:after="0" w:line="240" w:lineRule="auto"/>
        <w:ind w:left="1018" w:right="0" w:firstLine="0"/>
        <w:jc w:val="left"/>
        <w:rPr>
          <w:sz w:val="18"/>
          <w:szCs w:val="18"/>
        </w:rPr>
      </w:pPr>
      <w:r>
        <w:rPr>
          <w:rFonts w:ascii="Courier New" w:eastAsia="Courier New" w:hAnsi="Courier New" w:cs="Courier New"/>
          <w:b/>
          <w:bCs/>
          <w:spacing w:val="0"/>
          <w:w w:val="100"/>
          <w:position w:val="0"/>
          <w:sz w:val="18"/>
          <w:szCs w:val="18"/>
        </w:rPr>
        <w:t>2017-2022</w:t>
      </w:r>
      <w:r>
        <w:rPr>
          <w:spacing w:val="0"/>
          <w:w w:val="100"/>
          <w:position w:val="0"/>
          <w:sz w:val="18"/>
          <w:szCs w:val="18"/>
        </w:rPr>
        <w:t>年中国大数据产业规划及预测</w:t>
      </w:r>
    </w:p>
    <w:p>
      <w:pPr>
        <w:widowControl w:val="0"/>
        <w:jc w:val="center"/>
        <w:rPr>
          <w:sz w:val="2"/>
          <w:szCs w:val="2"/>
        </w:rPr>
      </w:pPr>
      <w:r>
        <w:drawing>
          <wp:inline>
            <wp:extent cx="3730625" cy="118872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9"/>
                    <a:stretch/>
                  </pic:blipFill>
                  <pic:spPr>
                    <a:xfrm>
                      <a:ext cx="3730625" cy="1188720"/>
                    </a:xfrm>
                    <a:prstGeom prst="rect"/>
                  </pic:spPr>
                </pic:pic>
              </a:graphicData>
            </a:graphic>
          </wp:inline>
        </w:drawing>
      </w:r>
    </w:p>
    <w:p>
      <w:pPr>
        <w:pStyle w:val="Style41"/>
        <w:keepNext w:val="0"/>
        <w:keepLines w:val="0"/>
        <w:widowControl w:val="0"/>
        <w:shd w:val="clear" w:color="auto" w:fill="auto"/>
        <w:tabs>
          <w:tab w:pos="1200" w:val="left"/>
          <w:tab w:pos="2122" w:val="left"/>
          <w:tab w:pos="3038" w:val="left"/>
          <w:tab w:pos="3936" w:val="left"/>
          <w:tab w:pos="4853" w:val="left"/>
        </w:tabs>
        <w:bidi w:val="0"/>
        <w:spacing w:before="0" w:after="0" w:line="240" w:lineRule="auto"/>
        <w:ind w:left="288" w:right="0" w:firstLine="0"/>
        <w:jc w:val="left"/>
        <w:rPr>
          <w:sz w:val="14"/>
          <w:szCs w:val="14"/>
        </w:rPr>
      </w:pPr>
      <w:r>
        <w:rPr>
          <w:rFonts w:ascii="Times New Roman" w:eastAsia="Times New Roman" w:hAnsi="Times New Roman" w:cs="Times New Roman"/>
          <w:b/>
          <w:bCs/>
          <w:color w:val="6D6D6D"/>
          <w:spacing w:val="0"/>
          <w:w w:val="100"/>
          <w:position w:val="0"/>
          <w:sz w:val="14"/>
          <w:szCs w:val="14"/>
        </w:rPr>
        <w:t>2017</w:t>
        <w:tab/>
        <w:t>2018</w:t>
        <w:tab/>
        <w:t>2019</w:t>
        <w:tab/>
        <w:t>2020</w:t>
        <w:tab/>
        <w:t>202 1</w:t>
        <w:tab/>
        <w:t>2022</w:t>
      </w:r>
    </w:p>
    <w:p>
      <w:pPr>
        <w:pStyle w:val="Style41"/>
        <w:keepNext w:val="0"/>
        <w:keepLines w:val="0"/>
        <w:widowControl w:val="0"/>
        <w:shd w:val="clear" w:color="auto" w:fill="auto"/>
        <w:tabs>
          <w:tab w:leader="hyphen" w:pos="1622" w:val="left"/>
        </w:tabs>
        <w:bidi w:val="0"/>
        <w:spacing w:before="0" w:after="0" w:line="240" w:lineRule="auto"/>
        <w:ind w:left="0" w:right="0" w:firstLine="0"/>
        <w:jc w:val="center"/>
        <w:rPr>
          <w:sz w:val="12"/>
          <w:szCs w:val="12"/>
        </w:rPr>
      </w:pPr>
      <w:r>
        <w:rPr>
          <w:color w:val="5081BA"/>
          <w:spacing w:val="0"/>
          <w:w w:val="100"/>
          <w:position w:val="0"/>
          <w:sz w:val="12"/>
          <w:szCs w:val="12"/>
        </w:rPr>
        <w:t>^规模</w:t>
      </w:r>
      <w:r>
        <w:rPr>
          <w:color w:val="999999"/>
          <w:spacing w:val="0"/>
          <w:w w:val="100"/>
          <w:position w:val="0"/>
          <w:sz w:val="12"/>
          <w:szCs w:val="12"/>
        </w:rPr>
        <w:t xml:space="preserve">（亿元） </w:t>
      </w:r>
      <w:r>
        <w:rPr>
          <w:color w:val="C0504E"/>
          <w:spacing w:val="0"/>
          <w:w w:val="100"/>
          <w:position w:val="0"/>
          <w:sz w:val="12"/>
          <w:szCs w:val="12"/>
        </w:rPr>
        <w:tab/>
      </w:r>
      <w:r>
        <w:rPr>
          <w:color w:val="999999"/>
          <w:spacing w:val="0"/>
          <w:w w:val="100"/>
          <w:position w:val="0"/>
          <w:sz w:val="12"/>
          <w:szCs w:val="12"/>
        </w:rPr>
        <w:t>增长率</w:t>
      </w:r>
    </w:p>
    <w:p>
      <w:pPr>
        <w:widowControl w:val="0"/>
        <w:spacing w:after="59" w:line="1" w:lineRule="exact"/>
      </w:pPr>
    </w:p>
    <w:p>
      <w:pPr>
        <w:pStyle w:val="Style29"/>
        <w:keepNext w:val="0"/>
        <w:keepLines w:val="0"/>
        <w:widowControl w:val="0"/>
        <w:shd w:val="clear" w:color="auto" w:fill="auto"/>
        <w:bidi w:val="0"/>
        <w:spacing w:before="0" w:after="0" w:line="471" w:lineRule="exact"/>
        <w:ind w:left="0" w:right="0" w:firstLine="0"/>
        <w:jc w:val="right"/>
      </w:pPr>
      <w:r>
        <w:rPr>
          <w:color w:val="000000"/>
          <w:spacing w:val="0"/>
          <w:w w:val="100"/>
          <w:position w:val="0"/>
        </w:rPr>
        <w:t>数据来源：大数据产业生态联盟发布的《2020中国大数据产业发展白皮书》</w:t>
      </w:r>
    </w:p>
    <w:p>
      <w:pPr>
        <w:pStyle w:val="Style44"/>
        <w:keepNext w:val="0"/>
        <w:keepLines w:val="0"/>
        <w:widowControl w:val="0"/>
        <w:shd w:val="clear" w:color="auto" w:fill="auto"/>
        <w:bidi w:val="0"/>
        <w:spacing w:before="0" w:after="0" w:line="471" w:lineRule="exact"/>
        <w:ind w:left="0" w:right="0" w:firstLine="0"/>
        <w:jc w:val="center"/>
      </w:pPr>
      <w:r>
        <w:rPr>
          <w:b/>
          <w:bCs/>
          <w:color w:val="000000"/>
          <w:spacing w:val="0"/>
          <w:w w:val="100"/>
          <w:position w:val="0"/>
        </w:rPr>
        <w:t xml:space="preserve">图5 </w:t>
      </w:r>
      <w:r>
        <w:rPr>
          <w:b/>
          <w:bCs/>
          <w:color w:val="000000"/>
          <w:spacing w:val="0"/>
          <w:w w:val="100"/>
          <w:position w:val="0"/>
        </w:rPr>
        <w:t>2017-2022</w:t>
      </w:r>
      <w:r>
        <w:rPr>
          <w:b/>
          <w:bCs/>
          <w:color w:val="000000"/>
          <w:spacing w:val="0"/>
          <w:w w:val="100"/>
          <w:position w:val="0"/>
        </w:rPr>
        <w:t>年中国大数据产业规划及预测</w:t>
      </w:r>
    </w:p>
    <w:p>
      <w:pPr>
        <w:pStyle w:val="Style44"/>
        <w:keepNext w:val="0"/>
        <w:keepLines w:val="0"/>
        <w:widowControl w:val="0"/>
        <w:shd w:val="clear" w:color="auto" w:fill="auto"/>
        <w:bidi w:val="0"/>
        <w:spacing w:before="0" w:after="0" w:line="471" w:lineRule="exact"/>
        <w:ind w:left="0" w:right="0" w:firstLine="440"/>
        <w:jc w:val="both"/>
      </w:pPr>
      <w:bookmarkStart w:id="252" w:name="bookmark252"/>
      <w:r>
        <w:rPr>
          <w:b/>
          <w:bCs/>
          <w:color w:val="000000"/>
          <w:spacing w:val="0"/>
          <w:w w:val="100"/>
          <w:position w:val="0"/>
        </w:rPr>
        <w:t>3</w:t>
      </w:r>
      <w:bookmarkEnd w:id="252"/>
      <w:r>
        <w:rPr>
          <w:b/>
          <w:bCs/>
          <w:color w:val="000000"/>
          <w:spacing w:val="0"/>
          <w:w w:val="100"/>
          <w:position w:val="0"/>
        </w:rPr>
        <w:t>、网络安全：</w:t>
      </w:r>
      <w:r>
        <w:rPr>
          <w:color w:val="000000"/>
          <w:spacing w:val="0"/>
          <w:w w:val="100"/>
          <w:position w:val="0"/>
        </w:rPr>
        <w:t>《中华人民共和国国民经济和社会发展第十四个五年规划和2035年远景目标纲要》指 出，要“加强网络安全基础设施建设，强化跨领域网络安全信息共享和工作协同，提升网络安全威胁发现、 监测预警、应急指挥、攻击溯源能力，加强网络安全关键技术研发，加快人工智能安全技术创新，提升网 络安全产业综合竞争力”，“加强涉及国家利益、商业秘密、个人隐私的数据保护，加快推进数据安全、 个人信息保护等领域基础性立法，强化数据资源全生命周期安全保护。完善适用于大数据环境下的数据分 类分级保护制度。加强数据安全评估，推动数据跨境安全有序流动”。数字化社会，数据安全网络安全将 成为影响国家安全的重大要素。</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根据中国信通院于2020年9月发布的《中国网络安全技术与企业发展研究报告（2020年》，当前，网 络安全等级保护</w:t>
      </w:r>
      <w:r>
        <w:rPr>
          <w:color w:val="000000"/>
          <w:spacing w:val="0"/>
          <w:w w:val="100"/>
          <w:position w:val="0"/>
        </w:rPr>
        <w:t>2.0</w:t>
      </w:r>
      <w:r>
        <w:rPr>
          <w:color w:val="000000"/>
          <w:spacing w:val="0"/>
          <w:w w:val="100"/>
          <w:position w:val="0"/>
        </w:rPr>
        <w:t>和《中华人民共和国密码法》等法律规范相继正式实施，推动产业发展的规划指南陆 续出台落地，新型基础设施建设相关政策的推出与工程项目建设也在不断加速。全面推进的网络安全政策 规范与“新基建”进程，在提高网络安全合规要求、完善产品和服务支撑体系的同时，也将催生新应用与 新业态，为网络安全的产业发展持续释放红利。随着我国网络安全政策法规的逐步推进、产业生态日益完 善和安全需求的深化演进，我国网络安全产业发展进入快车道。</w:t>
      </w:r>
    </w:p>
    <w:p>
      <w:pPr>
        <w:pStyle w:val="Style44"/>
        <w:keepNext w:val="0"/>
        <w:keepLines w:val="0"/>
        <w:widowControl w:val="0"/>
        <w:shd w:val="clear" w:color="auto" w:fill="auto"/>
        <w:bidi w:val="0"/>
        <w:spacing w:before="0" w:after="240" w:line="475" w:lineRule="exact"/>
        <w:ind w:left="0" w:right="0" w:firstLine="440"/>
        <w:jc w:val="both"/>
      </w:pPr>
      <w:r>
        <w:rPr>
          <w:color w:val="000000"/>
          <w:spacing w:val="0"/>
          <w:w w:val="100"/>
          <w:position w:val="0"/>
        </w:rPr>
        <w:t>2020年6月，中国网络空间安全协会发布了《2020年中国网络安全产业统计报告》，在2017年至2019 年期间，2018年网络安全市场规模年复合增长率为28.98%,达到历史最高。随着市场规模基数的扩大，预</w:t>
        <w:br w:type="page"/>
      </w:r>
      <w:r>
        <w:rPr>
          <w:color w:val="000000"/>
          <w:spacing w:val="0"/>
          <w:w w:val="100"/>
          <w:position w:val="0"/>
        </w:rPr>
        <w:t xml:space="preserve">计增长率未来会有所下降，尤其是受新冠疫情影响，2020年网络安全市场规模增速进一步放缓。但在未来 </w:t>
      </w:r>
      <w:r>
        <w:rPr>
          <w:color w:val="000000"/>
          <w:spacing w:val="0"/>
          <w:w w:val="100"/>
          <w:position w:val="0"/>
        </w:rPr>
        <w:t xml:space="preserve">五年内保持平均20%的增长速度仍是大概率事件，依此预计，到2023年，中国网络安全市场规模将突破千 </w:t>
      </w:r>
      <w:r>
        <w:rPr>
          <w:color w:val="000000"/>
          <w:spacing w:val="0"/>
          <w:w w:val="100"/>
          <w:position w:val="0"/>
        </w:rPr>
        <w:t>亿元。</w:t>
      </w:r>
    </w:p>
    <w:p>
      <w:pPr>
        <w:pStyle w:val="Style41"/>
        <w:keepNext w:val="0"/>
        <w:keepLines w:val="0"/>
        <w:widowControl w:val="0"/>
        <w:shd w:val="clear" w:color="auto" w:fill="auto"/>
        <w:bidi w:val="0"/>
        <w:spacing w:before="0" w:after="0" w:line="240" w:lineRule="auto"/>
        <w:ind w:left="2006" w:right="0" w:firstLine="0"/>
        <w:jc w:val="left"/>
        <w:rPr>
          <w:sz w:val="16"/>
          <w:szCs w:val="16"/>
        </w:rPr>
      </w:pPr>
      <w:r>
        <w:rPr>
          <w:rFonts w:ascii="Times New Roman" w:eastAsia="Times New Roman" w:hAnsi="Times New Roman" w:cs="Times New Roman"/>
          <w:b/>
          <w:bCs/>
          <w:color w:val="928B72"/>
          <w:spacing w:val="0"/>
          <w:w w:val="100"/>
          <w:position w:val="0"/>
          <w:sz w:val="16"/>
          <w:szCs w:val="16"/>
        </w:rPr>
        <w:t>2016-2025</w:t>
      </w:r>
      <w:r>
        <w:rPr>
          <w:rFonts w:ascii="SimSun" w:eastAsia="SimSun" w:hAnsi="SimSun" w:cs="SimSun"/>
          <w:color w:val="999999"/>
          <w:spacing w:val="0"/>
          <w:w w:val="100"/>
          <w:position w:val="0"/>
          <w:sz w:val="16"/>
          <w:szCs w:val="16"/>
        </w:rPr>
        <w:t>年国内网络安全市场规模</w:t>
      </w:r>
    </w:p>
    <w:p>
      <w:pPr>
        <w:pStyle w:val="Style4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999999"/>
          <w:spacing w:val="0"/>
          <w:w w:val="100"/>
          <w:position w:val="0"/>
          <w:sz w:val="16"/>
          <w:szCs w:val="16"/>
        </w:rPr>
        <w:t>单位：亿元</w:t>
      </w:r>
    </w:p>
    <w:p>
      <w:pPr>
        <w:widowControl w:val="0"/>
        <w:jc w:val="right"/>
        <w:rPr>
          <w:sz w:val="2"/>
          <w:szCs w:val="2"/>
        </w:rPr>
      </w:pPr>
      <w:r>
        <w:drawing>
          <wp:inline>
            <wp:extent cx="3694430" cy="18834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1"/>
                    <a:stretch/>
                  </pic:blipFill>
                  <pic:spPr>
                    <a:xfrm>
                      <a:ext cx="3694430" cy="1883410"/>
                    </a:xfrm>
                    <a:prstGeom prst="rect"/>
                  </pic:spPr>
                </pic:pic>
              </a:graphicData>
            </a:graphic>
          </wp:inline>
        </w:drawing>
      </w:r>
    </w:p>
    <w:p>
      <w:pPr>
        <w:pStyle w:val="Style41"/>
        <w:keepNext w:val="0"/>
        <w:keepLines w:val="0"/>
        <w:widowControl w:val="0"/>
        <w:shd w:val="clear" w:color="auto" w:fill="auto"/>
        <w:bidi w:val="0"/>
        <w:spacing w:before="0" w:after="0" w:line="240" w:lineRule="auto"/>
        <w:ind w:left="2434" w:right="0" w:firstLine="0"/>
        <w:jc w:val="left"/>
        <w:rPr>
          <w:sz w:val="16"/>
          <w:szCs w:val="16"/>
        </w:rPr>
      </w:pPr>
      <w:r>
        <w:rPr>
          <w:rFonts w:ascii="SimSun" w:eastAsia="SimSun" w:hAnsi="SimSun" w:cs="SimSun"/>
          <w:color w:val="000000"/>
          <w:spacing w:val="0"/>
          <w:w w:val="100"/>
          <w:position w:val="0"/>
          <w:sz w:val="16"/>
          <w:szCs w:val="16"/>
        </w:rPr>
        <w:t>数据来源：中国网络空间安全协会《</w:t>
      </w:r>
      <w:r>
        <w:rPr>
          <w:rFonts w:ascii="Times New Roman" w:eastAsia="Times New Roman" w:hAnsi="Times New Roman" w:cs="Times New Roman"/>
          <w:b/>
          <w:bCs/>
          <w:color w:val="000000"/>
          <w:spacing w:val="0"/>
          <w:w w:val="100"/>
          <w:position w:val="0"/>
          <w:sz w:val="16"/>
          <w:szCs w:val="16"/>
        </w:rPr>
        <w:t>2020</w:t>
      </w:r>
      <w:r>
        <w:rPr>
          <w:rFonts w:ascii="SimSun" w:eastAsia="SimSun" w:hAnsi="SimSun" w:cs="SimSun"/>
          <w:color w:val="000000"/>
          <w:spacing w:val="0"/>
          <w:w w:val="100"/>
          <w:position w:val="0"/>
          <w:sz w:val="16"/>
          <w:szCs w:val="16"/>
        </w:rPr>
        <w:t>年中国网络安全产业统计报告》</w:t>
      </w:r>
    </w:p>
    <w:p>
      <w:pPr>
        <w:widowControl w:val="0"/>
        <w:spacing w:after="139" w:line="1" w:lineRule="exact"/>
      </w:pPr>
    </w:p>
    <w:p>
      <w:pPr>
        <w:pStyle w:val="Style44"/>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 xml:space="preserve">图6 </w:t>
      </w:r>
      <w:r>
        <w:rPr>
          <w:b/>
          <w:bCs/>
          <w:color w:val="000000"/>
          <w:spacing w:val="0"/>
          <w:w w:val="100"/>
          <w:position w:val="0"/>
        </w:rPr>
        <w:t>2016-2025</w:t>
      </w:r>
      <w:r>
        <w:rPr>
          <w:b/>
          <w:bCs/>
          <w:color w:val="000000"/>
          <w:spacing w:val="0"/>
          <w:w w:val="100"/>
          <w:position w:val="0"/>
        </w:rPr>
        <w:t>年国内网络安全市场规模</w:t>
      </w:r>
    </w:p>
    <w:p>
      <w:pPr>
        <w:pStyle w:val="Style4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 xml:space="preserve">根据赛迪顾问于2019年2月发布的《2019年中国网络安全发展白皮书》，预测2021年大数据安全行业 </w:t>
      </w:r>
      <w:r>
        <w:rPr>
          <w:color w:val="000000"/>
          <w:spacing w:val="0"/>
          <w:w w:val="100"/>
          <w:position w:val="0"/>
        </w:rPr>
        <w:t>的收入总规模将达到</w:t>
      </w:r>
      <w:r>
        <w:rPr>
          <w:color w:val="000000"/>
          <w:spacing w:val="0"/>
          <w:w w:val="100"/>
          <w:position w:val="0"/>
        </w:rPr>
        <w:t>69.74</w:t>
      </w:r>
      <w:r>
        <w:rPr>
          <w:color w:val="000000"/>
          <w:spacing w:val="0"/>
          <w:w w:val="100"/>
          <w:position w:val="0"/>
        </w:rPr>
        <w:t>亿元。</w:t>
      </w:r>
    </w:p>
    <w:p>
      <w:pPr>
        <w:pStyle w:val="Style41"/>
        <w:keepNext w:val="0"/>
        <w:keepLines w:val="0"/>
        <w:widowControl w:val="0"/>
        <w:shd w:val="clear" w:color="auto" w:fill="auto"/>
        <w:bidi w:val="0"/>
        <w:spacing w:before="0" w:after="0" w:line="240" w:lineRule="auto"/>
        <w:ind w:left="1157" w:right="0" w:firstLine="0"/>
        <w:jc w:val="left"/>
      </w:pPr>
      <w:r>
        <w:rPr>
          <w:rFonts w:ascii="Times New Roman" w:eastAsia="Times New Roman" w:hAnsi="Times New Roman" w:cs="Times New Roman"/>
          <w:b/>
          <w:bCs/>
          <w:color w:val="6D6D6D"/>
          <w:spacing w:val="0"/>
          <w:w w:val="100"/>
          <w:position w:val="0"/>
          <w:sz w:val="14"/>
          <w:szCs w:val="14"/>
        </w:rPr>
        <w:t>2016-2021</w:t>
      </w:r>
      <w:r>
        <w:rPr>
          <w:color w:val="6D6D6D"/>
          <w:spacing w:val="0"/>
          <w:w w:val="100"/>
          <w:position w:val="0"/>
        </w:rPr>
        <w:t>年中国大数据安全市场规模与增长</w:t>
      </w:r>
    </w:p>
    <w:p>
      <w:pPr>
        <w:widowControl w:val="0"/>
        <w:jc w:val="center"/>
        <w:rPr>
          <w:sz w:val="2"/>
          <w:szCs w:val="2"/>
        </w:rPr>
      </w:pPr>
      <w:r>
        <w:drawing>
          <wp:inline>
            <wp:extent cx="3121025" cy="121285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3"/>
                    <a:stretch/>
                  </pic:blipFill>
                  <pic:spPr>
                    <a:xfrm>
                      <a:ext cx="3121025" cy="1212850"/>
                    </a:xfrm>
                    <a:prstGeom prst="rect"/>
                  </pic:spPr>
                </pic:pic>
              </a:graphicData>
            </a:graphic>
          </wp:inline>
        </w:drawing>
      </w:r>
    </w:p>
    <w:p>
      <w:pPr>
        <w:pStyle w:val="Style4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图7 2016年</w:t>
      </w:r>
      <w:r>
        <w:rPr>
          <w:rFonts w:ascii="SimSun" w:eastAsia="SimSun" w:hAnsi="SimSun" w:cs="SimSun"/>
          <w:b/>
          <w:bCs/>
          <w:color w:val="000000"/>
          <w:spacing w:val="0"/>
          <w:w w:val="100"/>
          <w:position w:val="0"/>
          <w:sz w:val="20"/>
          <w:szCs w:val="20"/>
        </w:rPr>
        <w:t>-2022</w:t>
      </w:r>
      <w:r>
        <w:rPr>
          <w:rFonts w:ascii="SimSun" w:eastAsia="SimSun" w:hAnsi="SimSun" w:cs="SimSun"/>
          <w:b/>
          <w:bCs/>
          <w:color w:val="000000"/>
          <w:spacing w:val="0"/>
          <w:w w:val="100"/>
          <w:position w:val="0"/>
          <w:sz w:val="20"/>
          <w:szCs w:val="20"/>
        </w:rPr>
        <w:t>年中国大数据安全市场规模与增长</w:t>
      </w:r>
    </w:p>
    <w:p>
      <w:pPr>
        <w:widowControl w:val="0"/>
        <w:spacing w:after="239" w:line="1" w:lineRule="exact"/>
      </w:pPr>
    </w:p>
    <w:p>
      <w:pPr>
        <w:pStyle w:val="Style44"/>
        <w:keepNext w:val="0"/>
        <w:keepLines w:val="0"/>
        <w:widowControl w:val="0"/>
        <w:shd w:val="clear" w:color="auto" w:fill="auto"/>
        <w:bidi w:val="0"/>
        <w:spacing w:before="0" w:after="300" w:line="240" w:lineRule="auto"/>
        <w:ind w:left="0" w:right="0" w:firstLine="440"/>
        <w:jc w:val="left"/>
      </w:pPr>
      <w:bookmarkStart w:id="253" w:name="bookmark253"/>
      <w:r>
        <w:rPr>
          <w:b/>
          <w:bCs/>
          <w:color w:val="000000"/>
          <w:spacing w:val="0"/>
          <w:w w:val="100"/>
          <w:position w:val="0"/>
        </w:rPr>
        <w:t>4</w:t>
      </w:r>
      <w:bookmarkEnd w:id="253"/>
      <w:r>
        <w:rPr>
          <w:b/>
          <w:bCs/>
          <w:color w:val="000000"/>
          <w:spacing w:val="0"/>
          <w:w w:val="100"/>
          <w:position w:val="0"/>
        </w:rPr>
        <w:t>、电子数据取证：</w:t>
      </w:r>
      <w:r>
        <w:rPr>
          <w:color w:val="000000"/>
          <w:spacing w:val="0"/>
          <w:w w:val="100"/>
          <w:position w:val="0"/>
        </w:rPr>
        <w:t xml:space="preserve">根据智研咨询发布的《2017-2023年中国电子数据取证行业市场运营态势及发展前 </w:t>
      </w:r>
      <w:r>
        <w:rPr>
          <w:color w:val="000000"/>
          <w:spacing w:val="0"/>
          <w:w w:val="100"/>
          <w:position w:val="0"/>
        </w:rPr>
        <w:t>景预测报告》，预测2020年电子数据取证规模达到</w:t>
      </w:r>
      <w:r>
        <w:rPr>
          <w:color w:val="000000"/>
          <w:spacing w:val="0"/>
          <w:w w:val="100"/>
          <w:position w:val="0"/>
        </w:rPr>
        <w:t>22.99</w:t>
      </w:r>
      <w:r>
        <w:rPr>
          <w:color w:val="000000"/>
          <w:spacing w:val="0"/>
          <w:w w:val="100"/>
          <w:position w:val="0"/>
        </w:rPr>
        <w:t>亿(2020公司电子数据取证销售收入</w:t>
      </w:r>
      <w:r>
        <w:rPr>
          <w:color w:val="000000"/>
          <w:spacing w:val="0"/>
          <w:w w:val="100"/>
          <w:position w:val="0"/>
        </w:rPr>
        <w:t>10.37</w:t>
      </w:r>
      <w:r>
        <w:rPr>
          <w:color w:val="000000"/>
          <w:spacing w:val="0"/>
          <w:w w:val="100"/>
          <w:position w:val="0"/>
        </w:rPr>
        <w:t xml:space="preserve">亿，按 </w:t>
      </w:r>
      <w:r>
        <w:rPr>
          <w:color w:val="000000"/>
          <w:spacing w:val="0"/>
          <w:w w:val="100"/>
          <w:position w:val="0"/>
        </w:rPr>
        <w:t>预测规模，市场占有率约45.11%),预测2023年中国电子数据取证市场规模达到</w:t>
      </w:r>
      <w:r>
        <w:rPr>
          <w:color w:val="000000"/>
          <w:spacing w:val="0"/>
          <w:w w:val="100"/>
          <w:position w:val="0"/>
        </w:rPr>
        <w:t>35.6</w:t>
      </w:r>
      <w:r>
        <w:rPr>
          <w:color w:val="000000"/>
          <w:spacing w:val="0"/>
          <w:w w:val="100"/>
          <w:position w:val="0"/>
        </w:rPr>
        <w:t>2亿元。</w:t>
      </w:r>
    </w:p>
    <w:p>
      <w:pPr>
        <w:pStyle w:val="Style4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13131"/>
          <w:spacing w:val="0"/>
          <w:w w:val="100"/>
          <w:position w:val="0"/>
          <w:sz w:val="11"/>
          <w:szCs w:val="11"/>
        </w:rPr>
        <w:t>2017-2023</w:t>
      </w:r>
      <w:r>
        <w:rPr>
          <w:color w:val="495F69"/>
          <w:spacing w:val="0"/>
          <w:w w:val="100"/>
          <w:position w:val="0"/>
          <w:sz w:val="12"/>
          <w:szCs w:val="12"/>
        </w:rPr>
        <w:t>年电</w:t>
      </w:r>
      <w:r>
        <w:rPr>
          <w:color w:val="313131"/>
          <w:spacing w:val="0"/>
          <w:w w:val="100"/>
          <w:position w:val="0"/>
          <w:sz w:val="12"/>
          <w:szCs w:val="12"/>
        </w:rPr>
        <w:t>了致据取</w:t>
      </w:r>
      <w:r>
        <w:rPr>
          <w:color w:val="495F69"/>
          <w:spacing w:val="0"/>
          <w:w w:val="100"/>
          <w:position w:val="0"/>
          <w:sz w:val="12"/>
          <w:szCs w:val="12"/>
        </w:rPr>
        <w:t>证市场爆模预测</w:t>
      </w:r>
    </w:p>
    <w:p>
      <w:pPr>
        <w:widowControl w:val="0"/>
        <w:jc w:val="center"/>
        <w:rPr>
          <w:sz w:val="2"/>
          <w:szCs w:val="2"/>
        </w:rPr>
      </w:pPr>
      <w:r>
        <w:drawing>
          <wp:inline>
            <wp:extent cx="2566670" cy="1085215"/>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5"/>
                    <a:stretch/>
                  </pic:blipFill>
                  <pic:spPr>
                    <a:xfrm>
                      <a:ext cx="2566670" cy="1085215"/>
                    </a:xfrm>
                    <a:prstGeom prst="rect"/>
                  </pic:spPr>
                </pic:pic>
              </a:graphicData>
            </a:graphic>
          </wp:inline>
        </w:drawing>
      </w:r>
    </w:p>
    <w:p>
      <w:pPr>
        <w:pStyle w:val="Style41"/>
        <w:keepNext w:val="0"/>
        <w:keepLines w:val="0"/>
        <w:widowControl w:val="0"/>
        <w:shd w:val="clear" w:color="auto" w:fill="auto"/>
        <w:bidi w:val="0"/>
        <w:spacing w:before="0" w:after="0" w:line="240" w:lineRule="auto"/>
        <w:ind w:left="1344" w:right="0" w:firstLine="0"/>
        <w:jc w:val="left"/>
        <w:rPr>
          <w:sz w:val="8"/>
          <w:szCs w:val="8"/>
        </w:rPr>
      </w:pPr>
      <w:r>
        <w:rPr>
          <w:rFonts w:ascii="Arial" w:eastAsia="Arial" w:hAnsi="Arial" w:cs="Arial"/>
          <w:color w:val="8E6666"/>
          <w:spacing w:val="0"/>
          <w:w w:val="100"/>
          <w:position w:val="0"/>
          <w:sz w:val="8"/>
          <w:szCs w:val="8"/>
        </w:rPr>
        <w:t>•</w:t>
      </w:r>
      <w:r>
        <w:rPr>
          <w:color w:val="8E6666"/>
          <w:spacing w:val="0"/>
          <w:w w:val="100"/>
          <w:position w:val="0"/>
          <w:sz w:val="8"/>
          <w:szCs w:val="8"/>
        </w:rPr>
        <w:t>登</w:t>
      </w:r>
      <w:r>
        <w:rPr>
          <w:color w:val="999999"/>
          <w:spacing w:val="0"/>
          <w:w w:val="100"/>
          <w:position w:val="0"/>
          <w:sz w:val="8"/>
          <w:szCs w:val="8"/>
        </w:rPr>
        <w:t>田上于整证市场貌很：</w:t>
      </w:r>
      <w:r>
        <w:rPr>
          <w:color w:val="B0B0B0"/>
          <w:spacing w:val="0"/>
          <w:w w:val="100"/>
          <w:position w:val="0"/>
          <w:sz w:val="8"/>
          <w:szCs w:val="8"/>
        </w:rPr>
        <w:t>亿元</w:t>
      </w:r>
    </w:p>
    <w:p>
      <w:pPr>
        <w:pStyle w:val="Style41"/>
        <w:keepNext w:val="0"/>
        <w:keepLines w:val="0"/>
        <w:widowControl w:val="0"/>
        <w:shd w:val="clear" w:color="auto" w:fill="auto"/>
        <w:bidi w:val="0"/>
        <w:spacing w:before="0" w:after="0" w:line="240" w:lineRule="auto"/>
        <w:ind w:left="3014" w:right="0" w:firstLine="0"/>
        <w:jc w:val="left"/>
        <w:rPr>
          <w:sz w:val="12"/>
          <w:szCs w:val="12"/>
        </w:rPr>
      </w:pPr>
      <w:r>
        <w:rPr>
          <w:color w:val="928B72"/>
          <w:spacing w:val="0"/>
          <w:w w:val="100"/>
          <w:position w:val="0"/>
          <w:sz w:val="12"/>
          <w:szCs w:val="12"/>
        </w:rPr>
        <w:t>成料来源；</w:t>
      </w:r>
      <w:r>
        <w:rPr>
          <w:rFonts w:ascii="Arial" w:eastAsia="Arial" w:hAnsi="Arial" w:cs="Arial"/>
          <w:b/>
          <w:bCs/>
          <w:color w:val="928B72"/>
          <w:spacing w:val="0"/>
          <w:w w:val="100"/>
          <w:position w:val="0"/>
          <w:sz w:val="11"/>
          <w:szCs w:val="11"/>
        </w:rPr>
        <w:t>r?</w:t>
      </w:r>
      <w:r>
        <w:rPr>
          <w:color w:val="928B72"/>
          <w:spacing w:val="0"/>
          <w:w w:val="100"/>
          <w:position w:val="0"/>
          <w:sz w:val="12"/>
          <w:szCs w:val="12"/>
        </w:rPr>
        <w:t>研咨祯整理</w:t>
      </w:r>
      <w:r>
        <w:br w:type="page"/>
      </w:r>
    </w:p>
    <w:p>
      <w:pPr>
        <w:pStyle w:val="Style44"/>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 xml:space="preserve">图8 </w:t>
      </w:r>
      <w:r>
        <w:rPr>
          <w:b/>
          <w:bCs/>
          <w:color w:val="000000"/>
          <w:spacing w:val="0"/>
          <w:w w:val="100"/>
          <w:position w:val="0"/>
        </w:rPr>
        <w:t>2017-2023</w:t>
      </w:r>
      <w:r>
        <w:rPr>
          <w:b/>
          <w:bCs/>
          <w:color w:val="000000"/>
          <w:spacing w:val="0"/>
          <w:w w:val="100"/>
          <w:position w:val="0"/>
        </w:rPr>
        <w:t>年电子数据取证市场规模预测</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根据美国纽约</w:t>
      </w:r>
      <w:r>
        <w:rPr>
          <w:color w:val="000000"/>
          <w:spacing w:val="0"/>
          <w:w w:val="100"/>
          <w:position w:val="0"/>
        </w:rPr>
        <w:t>TMR（Transparency Market Research</w:t>
      </w:r>
      <w:r>
        <w:rPr>
          <w:color w:val="000000"/>
          <w:spacing w:val="0"/>
          <w:w w:val="100"/>
          <w:position w:val="0"/>
        </w:rPr>
        <w:t xml:space="preserve">）研究机构的电子取证市场行业报告：全球电子 </w:t>
      </w:r>
      <w:r>
        <w:rPr>
          <w:color w:val="000000"/>
          <w:spacing w:val="0"/>
          <w:w w:val="100"/>
          <w:position w:val="0"/>
        </w:rPr>
        <w:t>数据取证2016年市场规模接近</w:t>
      </w:r>
      <w:r>
        <w:rPr>
          <w:color w:val="000000"/>
          <w:spacing w:val="0"/>
          <w:w w:val="100"/>
          <w:position w:val="0"/>
        </w:rPr>
        <w:t>28.7</w:t>
      </w:r>
      <w:r>
        <w:rPr>
          <w:color w:val="000000"/>
          <w:spacing w:val="0"/>
          <w:w w:val="100"/>
          <w:position w:val="0"/>
        </w:rPr>
        <w:t>亿美金，预计2025年可达到</w:t>
      </w:r>
      <w:r>
        <w:rPr>
          <w:color w:val="000000"/>
          <w:spacing w:val="0"/>
          <w:w w:val="100"/>
          <w:position w:val="0"/>
        </w:rPr>
        <w:t>66.5</w:t>
      </w:r>
      <w:r>
        <w:rPr>
          <w:color w:val="000000"/>
          <w:spacing w:val="0"/>
          <w:w w:val="100"/>
          <w:position w:val="0"/>
        </w:rPr>
        <w:t xml:space="preserve">亿美金规模。在全球市场分布上，美国 </w:t>
      </w:r>
      <w:r>
        <w:rPr>
          <w:color w:val="000000"/>
          <w:spacing w:val="0"/>
          <w:w w:val="100"/>
          <w:position w:val="0"/>
        </w:rPr>
        <w:t>世界领先，欧洲紧随其后，亚太地区快速发展并将在未来持续贡献可观收入。</w:t>
      </w:r>
    </w:p>
    <w:p>
      <w:pPr>
        <w:pStyle w:val="Style44"/>
        <w:keepNext w:val="0"/>
        <w:keepLines w:val="0"/>
        <w:widowControl w:val="0"/>
        <w:shd w:val="clear" w:color="auto" w:fill="auto"/>
        <w:bidi w:val="0"/>
        <w:spacing w:before="0" w:after="220" w:line="240" w:lineRule="auto"/>
        <w:ind w:left="0" w:right="0" w:firstLine="440"/>
        <w:jc w:val="left"/>
      </w:pPr>
      <w:bookmarkStart w:id="254" w:name="bookmark254"/>
      <w:r>
        <w:rPr>
          <w:b/>
          <w:bCs/>
          <w:color w:val="000000"/>
          <w:spacing w:val="0"/>
          <w:w w:val="100"/>
          <w:position w:val="0"/>
        </w:rPr>
        <w:t>5</w:t>
      </w:r>
      <w:bookmarkEnd w:id="254"/>
      <w:r>
        <w:rPr>
          <w:b/>
          <w:bCs/>
          <w:color w:val="000000"/>
          <w:spacing w:val="0"/>
          <w:w w:val="100"/>
          <w:position w:val="0"/>
        </w:rPr>
        <w:t>、人工智能：</w:t>
      </w:r>
      <w:r>
        <w:rPr>
          <w:color w:val="000000"/>
          <w:spacing w:val="0"/>
          <w:w w:val="100"/>
          <w:position w:val="0"/>
        </w:rPr>
        <w:t xml:space="preserve">《中华人民共和国国民经济和社会发展第十四个五年规划和2035年远景目标纲要》指 </w:t>
      </w:r>
      <w:r>
        <w:rPr>
          <w:color w:val="000000"/>
          <w:spacing w:val="0"/>
          <w:w w:val="100"/>
          <w:position w:val="0"/>
        </w:rPr>
        <w:t xml:space="preserve">出，要“加强原创性引领性科技攻关”，“瞄准人工智能、量子信息、集成电路、生命健康、脑科学、 </w:t>
      </w:r>
      <w:r>
        <w:rPr>
          <w:color w:val="000000"/>
          <w:spacing w:val="0"/>
          <w:w w:val="100"/>
          <w:position w:val="0"/>
        </w:rPr>
        <w:t xml:space="preserve">生物育种、空天科技、深地深海等前沿领域，实施一批具有前瞻性、战略性的国家重大科技项目”。人工 </w:t>
      </w:r>
      <w:r>
        <w:rPr>
          <w:color w:val="000000"/>
          <w:spacing w:val="0"/>
          <w:w w:val="100"/>
          <w:position w:val="0"/>
        </w:rPr>
        <w:t>智能在十四五规划中位于科技前沿领域的首位。</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根据艾瑞咨询发布的《2020年中国人工智能产业研究报告》，2020年中国人工智能市场主要客户来 </w:t>
      </w:r>
      <w:r>
        <w:rPr>
          <w:color w:val="000000"/>
          <w:spacing w:val="0"/>
          <w:w w:val="100"/>
          <w:position w:val="0"/>
        </w:rPr>
        <w:t>自政府城市治理和运营（公安、交警、城市运营、政务、交运管理、国土资源、监所、环保等），互联网</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与金融行业也位居前列。2020年，人工智能产业规模预计超过1,500亿元，到2025年预计超过4,500亿元。</w:t>
      </w:r>
    </w:p>
    <w:p>
      <w:pPr>
        <w:widowControl w:val="0"/>
        <w:spacing w:line="1" w:lineRule="exact"/>
      </w:pPr>
      <w:r>
        <w:drawing>
          <wp:anchor distT="63500" distB="304800" distL="0" distR="0" simplePos="0" relativeHeight="125829394" behindDoc="0" locked="0" layoutInCell="1" allowOverlap="1">
            <wp:simplePos x="0" y="0"/>
            <wp:positionH relativeFrom="page">
              <wp:posOffset>985520</wp:posOffset>
            </wp:positionH>
            <wp:positionV relativeFrom="paragraph">
              <wp:posOffset>63500</wp:posOffset>
            </wp:positionV>
            <wp:extent cx="2639695" cy="2030095"/>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7"/>
                    <a:stretch/>
                  </pic:blipFill>
                  <pic:spPr>
                    <a:xfrm>
                      <a:ext cx="2639695" cy="203009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1771650</wp:posOffset>
                </wp:positionH>
                <wp:positionV relativeFrom="paragraph">
                  <wp:posOffset>78740</wp:posOffset>
                </wp:positionV>
                <wp:extent cx="1173480" cy="179705"/>
                <wp:wrapNone/>
                <wp:docPr id="61" name="Shape 61"/>
                <a:graphic xmlns:a="http://schemas.openxmlformats.org/drawingml/2006/main">
                  <a:graphicData uri="http://schemas.microsoft.com/office/word/2010/wordprocessingShape">
                    <wps:wsp>
                      <wps:cNvSpPr txBox="1"/>
                      <wps:spPr>
                        <a:xfrm>
                          <a:ext cx="1173480" cy="17970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spacing w:val="0"/>
                                <w:w w:val="100"/>
                                <w:position w:val="0"/>
                                <w:sz w:val="20"/>
                                <w:szCs w:val="20"/>
                              </w:rPr>
                              <w:t>2019.202</w:t>
                            </w:r>
                            <w:r>
                              <w:rPr>
                                <w:spacing w:val="0"/>
                                <w:w w:val="100"/>
                                <w:position w:val="0"/>
                                <w:sz w:val="22"/>
                                <w:szCs w:val="22"/>
                              </w:rPr>
                              <w:t>炸帼灯酸咄赡</w:t>
                            </w:r>
                          </w:p>
                        </w:txbxContent>
                      </wps:txbx>
                      <wps:bodyPr lIns="0" tIns="0" rIns="0" bIns="0">
                        <a:noAutoFit/>
                      </wps:bodyPr>
                    </wps:wsp>
                  </a:graphicData>
                </a:graphic>
              </wp:anchor>
            </w:drawing>
          </mc:Choice>
          <mc:Fallback>
            <w:pict>
              <v:shape id="_x0000_s1087" type="#_x0000_t202" style="position:absolute;margin-left:139.5pt;margin-top:6.2000000000000002pt;width:92.400000000000006pt;height:14.15pt;z-index:25165774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spacing w:val="0"/>
                          <w:w w:val="100"/>
                          <w:position w:val="0"/>
                          <w:sz w:val="20"/>
                          <w:szCs w:val="20"/>
                        </w:rPr>
                        <w:t>2019.202</w:t>
                      </w:r>
                      <w:r>
                        <w:rPr>
                          <w:spacing w:val="0"/>
                          <w:w w:val="100"/>
                          <w:position w:val="0"/>
                          <w:sz w:val="22"/>
                          <w:szCs w:val="22"/>
                        </w:rPr>
                        <w:t>炸帼灯酸咄赡</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1186815</wp:posOffset>
                </wp:positionH>
                <wp:positionV relativeFrom="paragraph">
                  <wp:posOffset>2233930</wp:posOffset>
                </wp:positionV>
                <wp:extent cx="2279650" cy="161290"/>
                <wp:wrapNone/>
                <wp:docPr id="63" name="Shape 63"/>
                <a:graphic xmlns:a="http://schemas.openxmlformats.org/drawingml/2006/main">
                  <a:graphicData uri="http://schemas.microsoft.com/office/word/2010/wordprocessingShape">
                    <wps:wsp>
                      <wps:cNvSpPr txBox="1"/>
                      <wps:spPr>
                        <a:xfrm>
                          <a:ext cx="227965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图9 2020年中国人工智能市场行业份额</w:t>
                            </w:r>
                          </w:p>
                        </w:txbxContent>
                      </wps:txbx>
                      <wps:bodyPr lIns="0" tIns="0" rIns="0" bIns="0">
                        <a:noAutoFit/>
                      </wps:bodyPr>
                    </wps:wsp>
                  </a:graphicData>
                </a:graphic>
              </wp:anchor>
            </w:drawing>
          </mc:Choice>
          <mc:Fallback>
            <w:pict>
              <v:shape id="_x0000_s1089" type="#_x0000_t202" style="position:absolute;margin-left:93.450000000000003pt;margin-top:175.90000000000001pt;width:179.5pt;height:12.700000000000001pt;z-index:25165774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图9 2020年中国人工智能市场行业份额</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1985010</wp:posOffset>
                </wp:positionH>
                <wp:positionV relativeFrom="paragraph">
                  <wp:posOffset>895350</wp:posOffset>
                </wp:positionV>
                <wp:extent cx="511810" cy="243840"/>
                <wp:wrapNone/>
                <wp:docPr id="65" name="Shape 65"/>
                <a:graphic xmlns:a="http://schemas.openxmlformats.org/drawingml/2006/main">
                  <a:graphicData uri="http://schemas.microsoft.com/office/word/2010/wordprocessingShape">
                    <wps:wsp>
                      <wps:cNvSpPr txBox="1"/>
                      <wps:spPr>
                        <a:xfrm>
                          <a:ext cx="511810" cy="24384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6D6D6D"/>
                                <w:spacing w:val="0"/>
                                <w:w w:val="100"/>
                                <w:position w:val="0"/>
                                <w:sz w:val="18"/>
                                <w:szCs w:val="18"/>
                              </w:rPr>
                              <w:t>9200.8</w:t>
                            </w:r>
                          </w:p>
                          <w:p>
                            <w:pPr>
                              <w:pStyle w:val="Style41"/>
                              <w:keepNext w:val="0"/>
                              <w:keepLines w:val="0"/>
                              <w:widowControl w:val="0"/>
                              <w:shd w:val="clear" w:color="auto" w:fill="auto"/>
                              <w:tabs>
                                <w:tab w:pos="523" w:val="left"/>
                              </w:tabs>
                              <w:bidi w:val="0"/>
                              <w:spacing w:before="0" w:after="0" w:line="240" w:lineRule="auto"/>
                              <w:ind w:left="0" w:right="0" w:firstLine="0"/>
                              <w:jc w:val="right"/>
                              <w:rPr>
                                <w:sz w:val="18"/>
                                <w:szCs w:val="18"/>
                              </w:rPr>
                            </w:pPr>
                            <w:r>
                              <w:rPr>
                                <w:rFonts w:ascii="SimSun" w:eastAsia="SimSun" w:hAnsi="SimSun" w:cs="SimSun"/>
                                <w:color w:val="6D6D6D"/>
                                <w:spacing w:val="0"/>
                                <w:w w:val="100"/>
                                <w:position w:val="0"/>
                                <w:sz w:val="18"/>
                                <w:szCs w:val="18"/>
                              </w:rPr>
                              <w:t>7442.1</w:t>
                              <w:tab/>
                            </w:r>
                            <w:r>
                              <w:rPr>
                                <w:rFonts w:ascii="SimSun" w:eastAsia="SimSun" w:hAnsi="SimSun" w:cs="SimSun"/>
                                <w:color w:val="20C6F0"/>
                                <w:spacing w:val="0"/>
                                <w:w w:val="100"/>
                                <w:position w:val="0"/>
                                <w:sz w:val="18"/>
                                <w:szCs w:val="18"/>
                              </w:rPr>
                              <w:t>_</w:t>
                            </w:r>
                          </w:p>
                        </w:txbxContent>
                      </wps:txbx>
                      <wps:bodyPr lIns="0" tIns="0" rIns="0" bIns="0">
                        <a:noAutoFit/>
                      </wps:bodyPr>
                    </wps:wsp>
                  </a:graphicData>
                </a:graphic>
              </wp:anchor>
            </w:drawing>
          </mc:Choice>
          <mc:Fallback>
            <w:pict>
              <v:shape id="_x0000_s1091" type="#_x0000_t202" style="position:absolute;margin-left:156.30000000000001pt;margin-top:70.5pt;width:40.300000000000004pt;height:19.199999999999999pt;z-index:25165775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6D6D6D"/>
                          <w:spacing w:val="0"/>
                          <w:w w:val="100"/>
                          <w:position w:val="0"/>
                          <w:sz w:val="18"/>
                          <w:szCs w:val="18"/>
                        </w:rPr>
                        <w:t>9200.8</w:t>
                      </w:r>
                    </w:p>
                    <w:p>
                      <w:pPr>
                        <w:pStyle w:val="Style41"/>
                        <w:keepNext w:val="0"/>
                        <w:keepLines w:val="0"/>
                        <w:widowControl w:val="0"/>
                        <w:shd w:val="clear" w:color="auto" w:fill="auto"/>
                        <w:tabs>
                          <w:tab w:pos="523" w:val="left"/>
                        </w:tabs>
                        <w:bidi w:val="0"/>
                        <w:spacing w:before="0" w:after="0" w:line="240" w:lineRule="auto"/>
                        <w:ind w:left="0" w:right="0" w:firstLine="0"/>
                        <w:jc w:val="right"/>
                        <w:rPr>
                          <w:sz w:val="18"/>
                          <w:szCs w:val="18"/>
                        </w:rPr>
                      </w:pPr>
                      <w:r>
                        <w:rPr>
                          <w:rFonts w:ascii="SimSun" w:eastAsia="SimSun" w:hAnsi="SimSun" w:cs="SimSun"/>
                          <w:color w:val="6D6D6D"/>
                          <w:spacing w:val="0"/>
                          <w:w w:val="100"/>
                          <w:position w:val="0"/>
                          <w:sz w:val="18"/>
                          <w:szCs w:val="18"/>
                        </w:rPr>
                        <w:t>7442.1</w:t>
                        <w:tab/>
                      </w:r>
                      <w:r>
                        <w:rPr>
                          <w:rFonts w:ascii="SimSun" w:eastAsia="SimSun" w:hAnsi="SimSun" w:cs="SimSun"/>
                          <w:color w:val="20C6F0"/>
                          <w:spacing w:val="0"/>
                          <w:w w:val="100"/>
                          <w:position w:val="0"/>
                          <w:sz w:val="18"/>
                          <w:szCs w:val="18"/>
                        </w:rPr>
                        <w:t>_</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1332865</wp:posOffset>
                </wp:positionH>
                <wp:positionV relativeFrom="paragraph">
                  <wp:posOffset>1139190</wp:posOffset>
                </wp:positionV>
                <wp:extent cx="521335" cy="426720"/>
                <wp:wrapNone/>
                <wp:docPr id="67" name="Shape 67"/>
                <a:graphic xmlns:a="http://schemas.openxmlformats.org/drawingml/2006/main">
                  <a:graphicData uri="http://schemas.microsoft.com/office/word/2010/wordprocessingShape">
                    <wps:wsp>
                      <wps:cNvSpPr txBox="1"/>
                      <wps:spPr>
                        <a:xfrm>
                          <a:ext cx="521335" cy="426720"/>
                        </a:xfrm>
                        <a:prstGeom prst="rect"/>
                        <a:noFill/>
                      </wps:spPr>
                      <wps:txbx>
                        <w:txbxContent>
                          <w:p>
                            <w:pPr>
                              <w:pStyle w:val="Style41"/>
                              <w:keepNext w:val="0"/>
                              <w:keepLines w:val="0"/>
                              <w:widowControl w:val="0"/>
                              <w:shd w:val="clear" w:color="auto" w:fill="auto"/>
                              <w:bidi w:val="0"/>
                              <w:spacing w:before="0" w:after="60" w:line="240" w:lineRule="auto"/>
                              <w:ind w:left="0" w:right="0" w:firstLine="540"/>
                              <w:jc w:val="left"/>
                              <w:rPr>
                                <w:sz w:val="18"/>
                                <w:szCs w:val="18"/>
                              </w:rPr>
                            </w:pPr>
                            <w:r>
                              <w:rPr>
                                <w:rFonts w:ascii="SimSun" w:eastAsia="SimSun" w:hAnsi="SimSun" w:cs="SimSun"/>
                                <w:spacing w:val="0"/>
                                <w:w w:val="100"/>
                                <w:position w:val="0"/>
                                <w:sz w:val="18"/>
                                <w:szCs w:val="18"/>
                              </w:rPr>
                              <w:t>5725.7</w:t>
                            </w:r>
                          </w:p>
                          <w:p>
                            <w:pPr>
                              <w:pStyle w:val="Style41"/>
                              <w:keepNext w:val="0"/>
                              <w:keepLines w:val="0"/>
                              <w:widowControl w:val="0"/>
                              <w:shd w:val="clear" w:color="auto" w:fill="auto"/>
                              <w:tabs>
                                <w:tab w:pos="523" w:val="left"/>
                              </w:tabs>
                              <w:bidi w:val="0"/>
                              <w:spacing w:before="0" w:after="60" w:line="240" w:lineRule="auto"/>
                              <w:ind w:left="0" w:right="0" w:firstLine="0"/>
                              <w:jc w:val="left"/>
                              <w:rPr>
                                <w:sz w:val="18"/>
                                <w:szCs w:val="18"/>
                              </w:rPr>
                            </w:pPr>
                            <w:r>
                              <w:rPr>
                                <w:rFonts w:ascii="SimSun" w:eastAsia="SimSun" w:hAnsi="SimSun" w:cs="SimSun"/>
                                <w:spacing w:val="0"/>
                                <w:w w:val="100"/>
                                <w:position w:val="0"/>
                                <w:sz w:val="18"/>
                                <w:szCs w:val="18"/>
                              </w:rPr>
                              <w:t>3821.5</w:t>
                              <w:tab/>
                            </w:r>
                            <w:r>
                              <w:rPr>
                                <w:rFonts w:ascii="SimSun" w:eastAsia="SimSun" w:hAnsi="SimSun" w:cs="SimSun"/>
                                <w:color w:val="20C6F0"/>
                                <w:spacing w:val="0"/>
                                <w:w w:val="100"/>
                                <w:position w:val="0"/>
                                <w:sz w:val="18"/>
                                <w:szCs w:val="18"/>
                              </w:rPr>
                              <w:t>|</w:t>
                            </w:r>
                          </w:p>
                          <w:p>
                            <w:pPr>
                              <w:pStyle w:val="Style41"/>
                              <w:keepNext w:val="0"/>
                              <w:keepLines w:val="0"/>
                              <w:widowControl w:val="0"/>
                              <w:shd w:val="clear" w:color="auto" w:fill="auto"/>
                              <w:bidi w:val="0"/>
                              <w:spacing w:before="0" w:after="60" w:line="240" w:lineRule="auto"/>
                              <w:ind w:left="0" w:right="0" w:firstLine="0"/>
                              <w:jc w:val="left"/>
                              <w:rPr>
                                <w:sz w:val="18"/>
                                <w:szCs w:val="18"/>
                              </w:rPr>
                            </w:pPr>
                            <w:r>
                              <w:rPr>
                                <w:rFonts w:ascii="SimSun" w:eastAsia="SimSun" w:hAnsi="SimSun" w:cs="SimSun"/>
                                <w:color w:val="20C6F0"/>
                                <w:spacing w:val="0"/>
                                <w:w w:val="100"/>
                                <w:position w:val="0"/>
                                <w:sz w:val="18"/>
                                <w:szCs w:val="18"/>
                              </w:rPr>
                              <w:t xml:space="preserve">■ </w:t>
                            </w:r>
                            <w:r>
                              <w:rPr>
                                <w:rFonts w:ascii="SimSun" w:eastAsia="SimSun" w:hAnsi="SimSun" w:cs="SimSun"/>
                                <w:spacing w:val="0"/>
                                <w:w w:val="100"/>
                                <w:position w:val="0"/>
                                <w:sz w:val="18"/>
                                <w:szCs w:val="18"/>
                              </w:rPr>
                              <w:t>1512</w:t>
                            </w:r>
                          </w:p>
                        </w:txbxContent>
                      </wps:txbx>
                      <wps:bodyPr lIns="0" tIns="0" rIns="0" bIns="0">
                        <a:noAutoFit/>
                      </wps:bodyPr>
                    </wps:wsp>
                  </a:graphicData>
                </a:graphic>
              </wp:anchor>
            </w:drawing>
          </mc:Choice>
          <mc:Fallback>
            <w:pict>
              <v:shape id="_x0000_s1093" type="#_x0000_t202" style="position:absolute;margin-left:104.95pt;margin-top:89.700000000000003pt;width:41.050000000000004pt;height:33.600000000000001pt;z-index:251657753;mso-wrap-distance-left:0;mso-wrap-distance-right:0;mso-position-horizontal-relative:page" filled="f" stroked="f">
                <v:textbox inset="0,0,0,0">
                  <w:txbxContent>
                    <w:p>
                      <w:pPr>
                        <w:pStyle w:val="Style41"/>
                        <w:keepNext w:val="0"/>
                        <w:keepLines w:val="0"/>
                        <w:widowControl w:val="0"/>
                        <w:shd w:val="clear" w:color="auto" w:fill="auto"/>
                        <w:bidi w:val="0"/>
                        <w:spacing w:before="0" w:after="60" w:line="240" w:lineRule="auto"/>
                        <w:ind w:left="0" w:right="0" w:firstLine="540"/>
                        <w:jc w:val="left"/>
                        <w:rPr>
                          <w:sz w:val="18"/>
                          <w:szCs w:val="18"/>
                        </w:rPr>
                      </w:pPr>
                      <w:r>
                        <w:rPr>
                          <w:rFonts w:ascii="SimSun" w:eastAsia="SimSun" w:hAnsi="SimSun" w:cs="SimSun"/>
                          <w:spacing w:val="0"/>
                          <w:w w:val="100"/>
                          <w:position w:val="0"/>
                          <w:sz w:val="18"/>
                          <w:szCs w:val="18"/>
                        </w:rPr>
                        <w:t>5725.7</w:t>
                      </w:r>
                    </w:p>
                    <w:p>
                      <w:pPr>
                        <w:pStyle w:val="Style41"/>
                        <w:keepNext w:val="0"/>
                        <w:keepLines w:val="0"/>
                        <w:widowControl w:val="0"/>
                        <w:shd w:val="clear" w:color="auto" w:fill="auto"/>
                        <w:tabs>
                          <w:tab w:pos="523" w:val="left"/>
                        </w:tabs>
                        <w:bidi w:val="0"/>
                        <w:spacing w:before="0" w:after="60" w:line="240" w:lineRule="auto"/>
                        <w:ind w:left="0" w:right="0" w:firstLine="0"/>
                        <w:jc w:val="left"/>
                        <w:rPr>
                          <w:sz w:val="18"/>
                          <w:szCs w:val="18"/>
                        </w:rPr>
                      </w:pPr>
                      <w:r>
                        <w:rPr>
                          <w:rFonts w:ascii="SimSun" w:eastAsia="SimSun" w:hAnsi="SimSun" w:cs="SimSun"/>
                          <w:spacing w:val="0"/>
                          <w:w w:val="100"/>
                          <w:position w:val="0"/>
                          <w:sz w:val="18"/>
                          <w:szCs w:val="18"/>
                        </w:rPr>
                        <w:t>3821.5</w:t>
                        <w:tab/>
                      </w:r>
                      <w:r>
                        <w:rPr>
                          <w:rFonts w:ascii="SimSun" w:eastAsia="SimSun" w:hAnsi="SimSun" w:cs="SimSun"/>
                          <w:color w:val="20C6F0"/>
                          <w:spacing w:val="0"/>
                          <w:w w:val="100"/>
                          <w:position w:val="0"/>
                          <w:sz w:val="18"/>
                          <w:szCs w:val="18"/>
                        </w:rPr>
                        <w:t>|</w:t>
                      </w:r>
                    </w:p>
                    <w:p>
                      <w:pPr>
                        <w:pStyle w:val="Style41"/>
                        <w:keepNext w:val="0"/>
                        <w:keepLines w:val="0"/>
                        <w:widowControl w:val="0"/>
                        <w:shd w:val="clear" w:color="auto" w:fill="auto"/>
                        <w:bidi w:val="0"/>
                        <w:spacing w:before="0" w:after="60" w:line="240" w:lineRule="auto"/>
                        <w:ind w:left="0" w:right="0" w:firstLine="0"/>
                        <w:jc w:val="left"/>
                        <w:rPr>
                          <w:sz w:val="18"/>
                          <w:szCs w:val="18"/>
                        </w:rPr>
                      </w:pPr>
                      <w:r>
                        <w:rPr>
                          <w:rFonts w:ascii="SimSun" w:eastAsia="SimSun" w:hAnsi="SimSun" w:cs="SimSun"/>
                          <w:color w:val="20C6F0"/>
                          <w:spacing w:val="0"/>
                          <w:w w:val="100"/>
                          <w:position w:val="0"/>
                          <w:sz w:val="18"/>
                          <w:szCs w:val="18"/>
                        </w:rPr>
                        <w:t xml:space="preserve">■ </w:t>
                      </w:r>
                      <w:r>
                        <w:rPr>
                          <w:rFonts w:ascii="SimSun" w:eastAsia="SimSun" w:hAnsi="SimSun" w:cs="SimSun"/>
                          <w:spacing w:val="0"/>
                          <w:w w:val="100"/>
                          <w:position w:val="0"/>
                          <w:sz w:val="18"/>
                          <w:szCs w:val="18"/>
                        </w:rPr>
                        <w:t>1512</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1180465</wp:posOffset>
                </wp:positionH>
                <wp:positionV relativeFrom="paragraph">
                  <wp:posOffset>395605</wp:posOffset>
                </wp:positionV>
                <wp:extent cx="1039495" cy="149225"/>
                <wp:wrapNone/>
                <wp:docPr id="69" name="Shape 69"/>
                <a:graphic xmlns:a="http://schemas.openxmlformats.org/drawingml/2006/main">
                  <a:graphicData uri="http://schemas.microsoft.com/office/word/2010/wordprocessingShape">
                    <wps:wsp>
                      <wps:cNvSpPr txBox="1"/>
                      <wps:spPr>
                        <a:xfrm>
                          <a:ext cx="103949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6D6D6D"/>
                                <w:spacing w:val="0"/>
                                <w:w w:val="100"/>
                                <w:position w:val="0"/>
                                <w:sz w:val="18"/>
                                <w:szCs w:val="18"/>
                              </w:rPr>
                              <w:t>郁-2025轼</w:t>
                            </w:r>
                            <w:r>
                              <w:rPr>
                                <w:rFonts w:ascii="SimSun" w:eastAsia="SimSun" w:hAnsi="SimSun" w:cs="SimSun"/>
                                <w:color w:val="928B72"/>
                                <w:spacing w:val="0"/>
                                <w:w w:val="100"/>
                                <w:position w:val="0"/>
                                <w:sz w:val="18"/>
                                <w:szCs w:val="18"/>
                              </w:rPr>
                              <w:t>［醯沏</w:t>
                            </w:r>
                            <w:r>
                              <w:rPr>
                                <w:rFonts w:ascii="SimSun" w:eastAsia="SimSun" w:hAnsi="SimSun" w:cs="SimSun"/>
                                <w:color w:val="A0A955"/>
                                <w:spacing w:val="0"/>
                                <w:w w:val="100"/>
                                <w:position w:val="0"/>
                                <w:sz w:val="18"/>
                                <w:szCs w:val="18"/>
                              </w:rPr>
                              <w:t>鼬</w:t>
                            </w:r>
                            <w:r>
                              <w:rPr>
                                <w:rFonts w:ascii="SimSun" w:eastAsia="SimSun" w:hAnsi="SimSun" w:cs="SimSun"/>
                                <w:color w:val="928B72"/>
                                <w:spacing w:val="0"/>
                                <w:w w:val="100"/>
                                <w:position w:val="0"/>
                                <w:sz w:val="18"/>
                                <w:szCs w:val="18"/>
                              </w:rPr>
                              <w:t>GR26</w:t>
                            </w:r>
                            <w:r>
                              <w:rPr>
                                <w:rFonts w:ascii="SimSun" w:eastAsia="SimSun" w:hAnsi="SimSun" w:cs="SimSun"/>
                                <w:color w:val="C2D547"/>
                                <w:spacing w:val="0"/>
                                <w:w w:val="100"/>
                                <w:position w:val="0"/>
                                <w:sz w:val="18"/>
                                <w:szCs w:val="18"/>
                              </w:rPr>
                              <w:t>.腮</w:t>
                            </w:r>
                          </w:p>
                        </w:txbxContent>
                      </wps:txbx>
                      <wps:bodyPr lIns="0" tIns="0" rIns="0" bIns="0">
                        <a:noAutoFit/>
                      </wps:bodyPr>
                    </wps:wsp>
                  </a:graphicData>
                </a:graphic>
              </wp:anchor>
            </w:drawing>
          </mc:Choice>
          <mc:Fallback>
            <w:pict>
              <v:shape id="_x0000_s1095" type="#_x0000_t202" style="position:absolute;margin-left:92.950000000000003pt;margin-top:31.150000000000002pt;width:81.850000000000009pt;height:11.75pt;z-index:251657755;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6D6D6D"/>
                          <w:spacing w:val="0"/>
                          <w:w w:val="100"/>
                          <w:position w:val="0"/>
                          <w:sz w:val="18"/>
                          <w:szCs w:val="18"/>
                        </w:rPr>
                        <w:t>郁-2025轼</w:t>
                      </w:r>
                      <w:r>
                        <w:rPr>
                          <w:rFonts w:ascii="SimSun" w:eastAsia="SimSun" w:hAnsi="SimSun" w:cs="SimSun"/>
                          <w:color w:val="928B72"/>
                          <w:spacing w:val="0"/>
                          <w:w w:val="100"/>
                          <w:position w:val="0"/>
                          <w:sz w:val="18"/>
                          <w:szCs w:val="18"/>
                        </w:rPr>
                        <w:t>［醯沏</w:t>
                      </w:r>
                      <w:r>
                        <w:rPr>
                          <w:rFonts w:ascii="SimSun" w:eastAsia="SimSun" w:hAnsi="SimSun" w:cs="SimSun"/>
                          <w:color w:val="A0A955"/>
                          <w:spacing w:val="0"/>
                          <w:w w:val="100"/>
                          <w:position w:val="0"/>
                          <w:sz w:val="18"/>
                          <w:szCs w:val="18"/>
                        </w:rPr>
                        <w:t>鼬</w:t>
                      </w:r>
                      <w:r>
                        <w:rPr>
                          <w:rFonts w:ascii="SimSun" w:eastAsia="SimSun" w:hAnsi="SimSun" w:cs="SimSun"/>
                          <w:color w:val="928B72"/>
                          <w:spacing w:val="0"/>
                          <w:w w:val="100"/>
                          <w:position w:val="0"/>
                          <w:sz w:val="18"/>
                          <w:szCs w:val="18"/>
                        </w:rPr>
                        <w:t>GR26</w:t>
                      </w:r>
                      <w:r>
                        <w:rPr>
                          <w:rFonts w:ascii="SimSun" w:eastAsia="SimSun" w:hAnsi="SimSun" w:cs="SimSun"/>
                          <w:color w:val="C2D547"/>
                          <w:spacing w:val="0"/>
                          <w:w w:val="100"/>
                          <w:position w:val="0"/>
                          <w:sz w:val="18"/>
                          <w:szCs w:val="18"/>
                        </w:rPr>
                        <w:t>.腮</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1180465</wp:posOffset>
                </wp:positionH>
                <wp:positionV relativeFrom="paragraph">
                  <wp:posOffset>566420</wp:posOffset>
                </wp:positionV>
                <wp:extent cx="1139825" cy="149225"/>
                <wp:wrapNone/>
                <wp:docPr id="71" name="Shape 71"/>
                <a:graphic xmlns:a="http://schemas.openxmlformats.org/drawingml/2006/main">
                  <a:graphicData uri="http://schemas.microsoft.com/office/word/2010/wordprocessingShape">
                    <wps:wsp>
                      <wps:cNvSpPr txBox="1"/>
                      <wps:spPr>
                        <a:xfrm>
                          <a:ext cx="113982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6D6D6D"/>
                                <w:spacing w:val="0"/>
                                <w:w w:val="100"/>
                                <w:position w:val="0"/>
                                <w:sz w:val="18"/>
                                <w:szCs w:val="18"/>
                              </w:rPr>
                              <w:t>201北峋</w:t>
                            </w:r>
                            <w:r>
                              <w:rPr>
                                <w:rFonts w:ascii="SimSun" w:eastAsia="SimSun" w:hAnsi="SimSun" w:cs="SimSun"/>
                                <w:color w:val="6B959C"/>
                                <w:spacing w:val="0"/>
                                <w:w w:val="100"/>
                                <w:position w:val="0"/>
                                <w:sz w:val="18"/>
                                <w:szCs w:val="18"/>
                              </w:rPr>
                              <w:t>皿醐</w:t>
                            </w:r>
                            <w:r>
                              <w:rPr>
                                <w:rFonts w:ascii="SimSun" w:eastAsia="SimSun" w:hAnsi="SimSun" w:cs="SimSun"/>
                                <w:color w:val="33C5ED"/>
                                <w:spacing w:val="0"/>
                                <w:w w:val="100"/>
                                <w:position w:val="0"/>
                                <w:sz w:val="18"/>
                                <w:szCs w:val="18"/>
                              </w:rPr>
                              <w:t>瞬曲</w:t>
                            </w:r>
                            <w:r>
                              <w:rPr>
                                <w:rFonts w:ascii="SimSun" w:eastAsia="SimSun" w:hAnsi="SimSun" w:cs="SimSun"/>
                                <w:color w:val="928B72"/>
                                <w:spacing w:val="0"/>
                                <w:w w:val="100"/>
                                <w:position w:val="0"/>
                                <w:sz w:val="18"/>
                                <w:szCs w:val="18"/>
                              </w:rPr>
                              <w:t xml:space="preserve">GR </w:t>
                            </w:r>
                            <w:r>
                              <w:rPr>
                                <w:rFonts w:ascii="SimSun" w:eastAsia="SimSun" w:hAnsi="SimSun" w:cs="SimSun"/>
                                <w:color w:val="33C5ED"/>
                                <w:spacing w:val="0"/>
                                <w:w w:val="100"/>
                                <w:position w:val="0"/>
                                <w:sz w:val="18"/>
                                <w:szCs w:val="18"/>
                              </w:rPr>
                              <w:t>27.8%</w:t>
                            </w:r>
                          </w:p>
                        </w:txbxContent>
                      </wps:txbx>
                      <wps:bodyPr lIns="0" tIns="0" rIns="0" bIns="0">
                        <a:noAutoFit/>
                      </wps:bodyPr>
                    </wps:wsp>
                  </a:graphicData>
                </a:graphic>
              </wp:anchor>
            </w:drawing>
          </mc:Choice>
          <mc:Fallback>
            <w:pict>
              <v:shape id="_x0000_s1097" type="#_x0000_t202" style="position:absolute;margin-left:92.950000000000003pt;margin-top:44.600000000000001pt;width:89.75pt;height:11.75pt;z-index:251657757;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6D6D6D"/>
                          <w:spacing w:val="0"/>
                          <w:w w:val="100"/>
                          <w:position w:val="0"/>
                          <w:sz w:val="18"/>
                          <w:szCs w:val="18"/>
                        </w:rPr>
                        <w:t>201北峋</w:t>
                      </w:r>
                      <w:r>
                        <w:rPr>
                          <w:rFonts w:ascii="SimSun" w:eastAsia="SimSun" w:hAnsi="SimSun" w:cs="SimSun"/>
                          <w:color w:val="6B959C"/>
                          <w:spacing w:val="0"/>
                          <w:w w:val="100"/>
                          <w:position w:val="0"/>
                          <w:sz w:val="18"/>
                          <w:szCs w:val="18"/>
                        </w:rPr>
                        <w:t>皿醐</w:t>
                      </w:r>
                      <w:r>
                        <w:rPr>
                          <w:rFonts w:ascii="SimSun" w:eastAsia="SimSun" w:hAnsi="SimSun" w:cs="SimSun"/>
                          <w:color w:val="33C5ED"/>
                          <w:spacing w:val="0"/>
                          <w:w w:val="100"/>
                          <w:position w:val="0"/>
                          <w:sz w:val="18"/>
                          <w:szCs w:val="18"/>
                        </w:rPr>
                        <w:t>瞬曲</w:t>
                      </w:r>
                      <w:r>
                        <w:rPr>
                          <w:rFonts w:ascii="SimSun" w:eastAsia="SimSun" w:hAnsi="SimSun" w:cs="SimSun"/>
                          <w:color w:val="928B72"/>
                          <w:spacing w:val="0"/>
                          <w:w w:val="100"/>
                          <w:position w:val="0"/>
                          <w:sz w:val="18"/>
                          <w:szCs w:val="18"/>
                        </w:rPr>
                        <w:t xml:space="preserve">GR </w:t>
                      </w:r>
                      <w:r>
                        <w:rPr>
                          <w:rFonts w:ascii="SimSun" w:eastAsia="SimSun" w:hAnsi="SimSun" w:cs="SimSun"/>
                          <w:color w:val="33C5ED"/>
                          <w:spacing w:val="0"/>
                          <w:w w:val="100"/>
                          <w:position w:val="0"/>
                          <w:sz w:val="18"/>
                          <w:szCs w:val="18"/>
                        </w:rPr>
                        <w:t>27.8%</w:t>
                      </w:r>
                    </w:p>
                  </w:txbxContent>
                </v:textbox>
                <w10:wrap anchorx="page"/>
              </v:shape>
            </w:pict>
          </mc:Fallback>
        </mc:AlternateContent>
      </w:r>
      <w:r>
        <mc:AlternateContent>
          <mc:Choice Requires="wps">
            <w:drawing>
              <wp:anchor distT="1946910" distB="317500" distL="0" distR="0" simplePos="0" relativeHeight="125829395" behindDoc="0" locked="0" layoutInCell="1" allowOverlap="1">
                <wp:simplePos x="0" y="0"/>
                <wp:positionH relativeFrom="page">
                  <wp:posOffset>1537335</wp:posOffset>
                </wp:positionH>
                <wp:positionV relativeFrom="paragraph">
                  <wp:posOffset>1946910</wp:posOffset>
                </wp:positionV>
                <wp:extent cx="1591310" cy="130810"/>
                <wp:wrapTopAndBottom/>
                <wp:docPr id="73" name="Shape 73"/>
                <a:graphic xmlns:a="http://schemas.openxmlformats.org/drawingml/2006/main">
                  <a:graphicData uri="http://schemas.microsoft.com/office/word/2010/wordprocessingShape">
                    <wps:wsp>
                      <wps:cNvSpPr txBox="1"/>
                      <wps:spPr>
                        <a:xfrm>
                          <a:ext cx="1591310" cy="130810"/>
                        </a:xfrm>
                        <a:prstGeom prst="rect"/>
                        <a:noFill/>
                      </wps:spPr>
                      <wps:txbx>
                        <w:txbxContent>
                          <w:p>
                            <w:pPr>
                              <w:widowControl w:val="0"/>
                            </w:pPr>
                          </w:p>
                        </w:txbxContent>
                      </wps:txbx>
                      <wps:bodyPr wrap="none" lIns="0" tIns="0" rIns="0" bIns="0">
                        <a:noAutoFit/>
                      </wps:bodyPr>
                    </wps:wsp>
                  </a:graphicData>
                </a:graphic>
              </wp:anchor>
            </w:drawing>
          </mc:Choice>
          <mc:Fallback>
            <w:pict>
              <v:shape id="_x0000_s1099" type="#_x0000_t202" style="position:absolute;margin-left:121.05pt;margin-top:153.30000000000001pt;width:125.3pt;height:10.300000000000001pt;z-index:-125829358;mso-wrap-distance-left:0;mso-wrap-distance-top:153.30000000000001pt;mso-wrap-distance-right:0;mso-wrap-distance-bottom:25.pt;mso-position-horizontal-relative:page" filled="f" stroked="f">
                <v:textbox inset="0,0,0,0">
                  <w:txbxContent>
                    <w:p>
                      <w:pPr>
                        <w:widowControl w:val="0"/>
                      </w:pPr>
                    </w:p>
                  </w:txbxContent>
                </v:textbox>
                <w10:wrap type="topAndBottom" anchorx="page"/>
              </v:shape>
            </w:pict>
          </mc:Fallback>
        </mc:AlternateContent>
      </w:r>
      <w:r>
        <w:drawing>
          <wp:anchor distT="203835" distB="304800" distL="0" distR="0" simplePos="0" relativeHeight="125829397" behindDoc="0" locked="0" layoutInCell="1" allowOverlap="1">
            <wp:simplePos x="0" y="0"/>
            <wp:positionH relativeFrom="page">
              <wp:posOffset>3960495</wp:posOffset>
            </wp:positionH>
            <wp:positionV relativeFrom="paragraph">
              <wp:posOffset>203835</wp:posOffset>
            </wp:positionV>
            <wp:extent cx="2749550" cy="188976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39"/>
                    <a:stretch/>
                  </pic:blipFill>
                  <pic:spPr>
                    <a:xfrm>
                      <a:ext cx="2749550" cy="188976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4185920</wp:posOffset>
                </wp:positionH>
                <wp:positionV relativeFrom="paragraph">
                  <wp:posOffset>2233930</wp:posOffset>
                </wp:positionV>
                <wp:extent cx="2414270" cy="161290"/>
                <wp:wrapNone/>
                <wp:docPr id="77" name="Shape 77"/>
                <a:graphic xmlns:a="http://schemas.openxmlformats.org/drawingml/2006/main">
                  <a:graphicData uri="http://schemas.microsoft.com/office/word/2010/wordprocessingShape">
                    <wps:wsp>
                      <wps:cNvSpPr txBox="1"/>
                      <wps:spPr>
                        <a:xfrm>
                          <a:ext cx="241427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图10 </w:t>
                            </w:r>
                            <w:r>
                              <w:rPr>
                                <w:rFonts w:ascii="SimSun" w:eastAsia="SimSun" w:hAnsi="SimSun" w:cs="SimSun"/>
                                <w:color w:val="000000"/>
                                <w:spacing w:val="0"/>
                                <w:w w:val="100"/>
                                <w:position w:val="0"/>
                                <w:sz w:val="20"/>
                                <w:szCs w:val="20"/>
                              </w:rPr>
                              <w:t>2019-2025</w:t>
                            </w:r>
                            <w:r>
                              <w:rPr>
                                <w:rFonts w:ascii="SimSun" w:eastAsia="SimSun" w:hAnsi="SimSun" w:cs="SimSun"/>
                                <w:color w:val="000000"/>
                                <w:spacing w:val="0"/>
                                <w:w w:val="100"/>
                                <w:position w:val="0"/>
                                <w:sz w:val="20"/>
                                <w:szCs w:val="20"/>
                              </w:rPr>
                              <w:t>年中国人工智能产业规模</w:t>
                            </w:r>
                          </w:p>
                        </w:txbxContent>
                      </wps:txbx>
                      <wps:bodyPr lIns="0" tIns="0" rIns="0" bIns="0">
                        <a:noAutoFit/>
                      </wps:bodyPr>
                    </wps:wsp>
                  </a:graphicData>
                </a:graphic>
              </wp:anchor>
            </w:drawing>
          </mc:Choice>
          <mc:Fallback>
            <w:pict>
              <v:shape id="_x0000_s1103" type="#_x0000_t202" style="position:absolute;margin-left:329.60000000000002pt;margin-top:175.90000000000001pt;width:190.09999999999999pt;height:12.700000000000001pt;z-index:25165775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图10 </w:t>
                      </w:r>
                      <w:r>
                        <w:rPr>
                          <w:rFonts w:ascii="SimSun" w:eastAsia="SimSun" w:hAnsi="SimSun" w:cs="SimSun"/>
                          <w:color w:val="000000"/>
                          <w:spacing w:val="0"/>
                          <w:w w:val="100"/>
                          <w:position w:val="0"/>
                          <w:sz w:val="20"/>
                          <w:szCs w:val="20"/>
                        </w:rPr>
                        <w:t>2019-2025</w:t>
                      </w:r>
                      <w:r>
                        <w:rPr>
                          <w:rFonts w:ascii="SimSun" w:eastAsia="SimSun" w:hAnsi="SimSun" w:cs="SimSun"/>
                          <w:color w:val="000000"/>
                          <w:spacing w:val="0"/>
                          <w:w w:val="100"/>
                          <w:position w:val="0"/>
                          <w:sz w:val="20"/>
                          <w:szCs w:val="20"/>
                        </w:rPr>
                        <w:t>年中国人工智能产业规模</w:t>
                      </w:r>
                    </w:p>
                  </w:txbxContent>
                </v:textbox>
                <w10:wrap anchorx="page"/>
              </v:shape>
            </w:pict>
          </mc:Fallback>
        </mc:AlternateContent>
      </w:r>
    </w:p>
    <w:p>
      <w:pPr>
        <w:pStyle w:val="Style44"/>
        <w:keepNext w:val="0"/>
        <w:keepLines w:val="0"/>
        <w:widowControl w:val="0"/>
        <w:shd w:val="clear" w:color="auto" w:fill="auto"/>
        <w:bidi w:val="0"/>
        <w:spacing w:before="0" w:after="220" w:line="240" w:lineRule="auto"/>
        <w:ind w:left="0" w:right="0" w:firstLine="420"/>
        <w:jc w:val="left"/>
      </w:pPr>
      <w:bookmarkStart w:id="255" w:name="bookmark255"/>
      <w:r>
        <w:rPr>
          <w:b/>
          <w:bCs/>
          <w:color w:val="000000"/>
          <w:spacing w:val="0"/>
          <w:w w:val="100"/>
          <w:position w:val="0"/>
        </w:rPr>
        <w:t>（</w:t>
      </w:r>
      <w:bookmarkEnd w:id="255"/>
      <w:r>
        <w:rPr>
          <w:b/>
          <w:bCs/>
          <w:color w:val="000000"/>
          <w:spacing w:val="0"/>
          <w:w w:val="100"/>
          <w:position w:val="0"/>
        </w:rPr>
        <w:t>二）公司战略</w:t>
      </w:r>
    </w:p>
    <w:p>
      <w:pPr>
        <w:pStyle w:val="Style44"/>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 xml:space="preserve">公司制定了美亚柏科十四五战略发展规划，未来五年，公司总体战略目标是：以国投集团和国投智能 </w:t>
      </w:r>
      <w:r>
        <w:rPr>
          <w:color w:val="000000"/>
          <w:spacing w:val="0"/>
          <w:w w:val="100"/>
          <w:position w:val="0"/>
        </w:rPr>
        <w:t xml:space="preserve">战略规划为指引，以服务国家网络强国战略为己任，将公司打造为国内一流的网络空间安全与社会治理的 </w:t>
      </w:r>
      <w:r>
        <w:rPr>
          <w:color w:val="000000"/>
          <w:spacing w:val="0"/>
          <w:w w:val="100"/>
          <w:position w:val="0"/>
        </w:rPr>
        <w:t xml:space="preserve">国家队，初步构建世界一流大数据企业为目标。公司力争在大数据智能化和网络空间安全两个领域突破拓 </w:t>
      </w:r>
      <w:r>
        <w:rPr>
          <w:color w:val="000000"/>
          <w:spacing w:val="0"/>
          <w:w w:val="100"/>
          <w:position w:val="0"/>
        </w:rPr>
        <w:t xml:space="preserve">展，做到“三个领”：力争成为全球电子数据取证领域领航者，力争成为公安大数据智能化与新型智慧城 </w:t>
      </w:r>
      <w:r>
        <w:rPr>
          <w:color w:val="000000"/>
          <w:spacing w:val="0"/>
          <w:w w:val="100"/>
          <w:position w:val="0"/>
        </w:rPr>
        <w:t>市建设运营领域领跑者，力争成为网络空间安全领域领先者。</w:t>
      </w:r>
    </w:p>
    <w:p>
      <w:pPr>
        <w:pStyle w:val="Style44"/>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 xml:space="preserve">为确保公司战略落地，围绕公司四大产品线、八大行业板块，布局全国八大基地开展业务。其中四大 </w:t>
      </w:r>
      <w:r>
        <w:rPr>
          <w:color w:val="000000"/>
          <w:spacing w:val="0"/>
          <w:w w:val="100"/>
          <w:position w:val="0"/>
        </w:rPr>
        <w:t xml:space="preserve">产品线：包括两大主航道大数据智能化和网络空间安全，以及网络开源情报和智能装备制造。八大行业板 </w:t>
      </w:r>
      <w:r>
        <w:rPr>
          <w:color w:val="000000"/>
          <w:spacing w:val="0"/>
          <w:w w:val="100"/>
          <w:position w:val="0"/>
        </w:rPr>
        <w:t xml:space="preserve">块：包括公安行业、政法行业、行政管理、军工行业、大型企事业、国际市场、支撑产业和投资并购。8 </w:t>
      </w:r>
      <w:r>
        <w:rPr>
          <w:color w:val="000000"/>
          <w:spacing w:val="0"/>
          <w:w w:val="100"/>
          <w:position w:val="0"/>
        </w:rPr>
        <w:t>大基地包含4大战略型基地和4大业务型基地。</w:t>
      </w:r>
    </w:p>
    <w:p>
      <w:pPr>
        <w:pStyle w:val="Style44"/>
        <w:keepNext w:val="0"/>
        <w:keepLines w:val="0"/>
        <w:widowControl w:val="0"/>
        <w:shd w:val="clear" w:color="auto" w:fill="auto"/>
        <w:bidi w:val="0"/>
        <w:spacing w:before="0" w:after="0" w:line="470" w:lineRule="exact"/>
        <w:ind w:left="0" w:right="0" w:firstLine="320"/>
        <w:jc w:val="both"/>
      </w:pPr>
      <w:bookmarkStart w:id="256" w:name="bookmark256"/>
      <w:r>
        <w:rPr>
          <w:b/>
          <w:bCs/>
          <w:color w:val="000000"/>
          <w:spacing w:val="0"/>
          <w:w w:val="100"/>
          <w:position w:val="0"/>
        </w:rPr>
        <w:t>（</w:t>
      </w:r>
      <w:bookmarkEnd w:id="256"/>
      <w:r>
        <w:rPr>
          <w:b/>
          <w:bCs/>
          <w:color w:val="000000"/>
          <w:spacing w:val="0"/>
          <w:w w:val="100"/>
          <w:position w:val="0"/>
        </w:rPr>
        <w:t>三）2021年重点工作计划</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2021年进一步落实公司十四五战略发展规划，继续巩固电子数据取证行业的领航地位，奠定和加强在 公安大数据的领跑地位。通过加强企业管理、持续创新、业务拓展，风险管控等促进公司提质增效及高质 量发展。</w:t>
      </w:r>
    </w:p>
    <w:p>
      <w:pPr>
        <w:pStyle w:val="Style44"/>
        <w:keepNext w:val="0"/>
        <w:keepLines w:val="0"/>
        <w:widowControl w:val="0"/>
        <w:shd w:val="clear" w:color="auto" w:fill="auto"/>
        <w:bidi w:val="0"/>
        <w:spacing w:before="0" w:after="0" w:line="470" w:lineRule="exact"/>
        <w:ind w:left="0" w:right="0" w:firstLine="440"/>
        <w:jc w:val="both"/>
      </w:pPr>
      <w:bookmarkStart w:id="257" w:name="bookmark257"/>
      <w:r>
        <w:rPr>
          <w:b/>
          <w:bCs/>
          <w:color w:val="000000"/>
          <w:spacing w:val="0"/>
          <w:w w:val="100"/>
          <w:position w:val="0"/>
        </w:rPr>
        <w:t>1</w:t>
      </w:r>
      <w:bookmarkEnd w:id="257"/>
      <w:r>
        <w:rPr>
          <w:b/>
          <w:bCs/>
          <w:color w:val="000000"/>
          <w:spacing w:val="0"/>
          <w:w w:val="100"/>
          <w:position w:val="0"/>
        </w:rPr>
        <w:t>、坚持创新发展，加快推进转型升级</w:t>
      </w:r>
    </w:p>
    <w:p>
      <w:pPr>
        <w:pStyle w:val="Style44"/>
        <w:keepNext w:val="0"/>
        <w:keepLines w:val="0"/>
        <w:widowControl w:val="0"/>
        <w:shd w:val="clear" w:color="auto" w:fill="auto"/>
        <w:tabs>
          <w:tab w:pos="957" w:val="left"/>
        </w:tabs>
        <w:bidi w:val="0"/>
        <w:spacing w:before="0" w:after="0" w:line="470"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1）</w:t>
        <w:tab/>
        <w:t>确保“十四五”战略规划落地。组织落实“十四五战略规划”重点工作，继续完善总体规划、 专项规划、重点规划，提高规划的科学性、系统性，加强规划宣贯，确保各单位准确把握规划内容。通过 识别重点工作、制定分解任务、定期跟踪执行、列入相关考核等举措，全面推进，细化资源配置、实施路 径、考核机制，提高规划落地的可行性。</w:t>
      </w:r>
    </w:p>
    <w:p>
      <w:pPr>
        <w:pStyle w:val="Style44"/>
        <w:keepNext w:val="0"/>
        <w:keepLines w:val="0"/>
        <w:widowControl w:val="0"/>
        <w:shd w:val="clear" w:color="auto" w:fill="auto"/>
        <w:tabs>
          <w:tab w:pos="957" w:val="left"/>
        </w:tabs>
        <w:bidi w:val="0"/>
        <w:spacing w:before="0" w:after="0" w:line="470" w:lineRule="exact"/>
        <w:ind w:left="0" w:right="0" w:firstLine="440"/>
        <w:jc w:val="both"/>
      </w:pPr>
      <w:bookmarkStart w:id="259" w:name="bookmark259"/>
      <w:r>
        <w:rPr>
          <w:color w:val="000000"/>
          <w:spacing w:val="0"/>
          <w:w w:val="100"/>
          <w:position w:val="0"/>
        </w:rPr>
        <w:t>（</w:t>
      </w:r>
      <w:bookmarkEnd w:id="259"/>
      <w:r>
        <w:rPr>
          <w:color w:val="000000"/>
          <w:spacing w:val="0"/>
          <w:w w:val="100"/>
          <w:position w:val="0"/>
        </w:rPr>
        <w:t>2）</w:t>
        <w:tab/>
        <w:t>坚持创新发展，加厚技术积累。强化创新主体意识，持续加强创新能力建设，加大研发投入， 发挥好大数据与智能平台研究院、电子数据取证与智能装备研究院、开源情报与应用研究院，新型智慧城 市事业部、网络空间安全事业部的作用。助力“卡脖子”技术攻关，聚焦关键核心技术，加大攻关力度， 保持创新发展。</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大数据智能化：以城市级或区县级大数据中台项目为试验田，基于城市公共安全平台积累的数据和能 力，整合乾坤大数据操作系统的技术能力，通过</w:t>
      </w:r>
      <w:r>
        <w:rPr>
          <w:color w:val="000000"/>
          <w:spacing w:val="0"/>
          <w:w w:val="100"/>
          <w:position w:val="0"/>
        </w:rPr>
        <w:t>1-2</w:t>
      </w:r>
      <w:r>
        <w:rPr>
          <w:color w:val="000000"/>
          <w:spacing w:val="0"/>
          <w:w w:val="100"/>
          <w:position w:val="0"/>
        </w:rPr>
        <w:t>年的业务沉淀与产品打磨，形成成熟、可复制推广的 城市大数据中台产品体系。</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网络空间安全：以大数据智能化项目为基础，依托大数据智能化的核心技术，发展新网络空间安全板 块。公司电子数据取证已进入取证</w:t>
      </w:r>
      <w:r>
        <w:rPr>
          <w:color w:val="000000"/>
          <w:spacing w:val="0"/>
          <w:w w:val="100"/>
          <w:position w:val="0"/>
        </w:rPr>
        <w:t xml:space="preserve">3. </w:t>
      </w:r>
      <w:r>
        <w:rPr>
          <w:color w:val="000000"/>
          <w:spacing w:val="0"/>
          <w:w w:val="100"/>
          <w:position w:val="0"/>
        </w:rPr>
        <w:t>0阶段，在此基础上，公司不断拓宽网络安全的大航道，依托公司大 数据信息化局部领先的行业优势，从网络安全大数据拓展到城市网络安全，基于公安的“零信任体系”走 向新一代政企信息安全，研发新一代网络大数据安全产品，实现由事后调查向事中审计及事前防护推进， 打造网络空间安全防护体系。</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网络开源情报：基于大数据中台，实现从采集、刻画、应对及评估为一体的产品体系，形成有效的业 务闭环。对标国内智库一流企业，建立高端智库解决方案，实现面向市场推出精准网络舆情平台及服务。</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智能装备：围绕智能装备和智能制造，基于公司人工智能等技术优势，实现设计到制造的全流程信息 化、自动化，提升柔性制造能力，应对多样化、定制化的需求。</w:t>
      </w:r>
    </w:p>
    <w:p>
      <w:pPr>
        <w:pStyle w:val="Style44"/>
        <w:keepNext w:val="0"/>
        <w:keepLines w:val="0"/>
        <w:widowControl w:val="0"/>
        <w:shd w:val="clear" w:color="auto" w:fill="auto"/>
        <w:tabs>
          <w:tab w:pos="916" w:val="left"/>
        </w:tabs>
        <w:bidi w:val="0"/>
        <w:spacing w:before="0" w:after="0" w:line="470" w:lineRule="exact"/>
        <w:ind w:left="0" w:right="0" w:firstLine="440"/>
        <w:jc w:val="both"/>
      </w:pPr>
      <w:bookmarkStart w:id="260" w:name="bookmark260"/>
      <w:r>
        <w:rPr>
          <w:color w:val="000000"/>
          <w:spacing w:val="0"/>
          <w:w w:val="100"/>
          <w:position w:val="0"/>
        </w:rPr>
        <w:t>（</w:t>
      </w:r>
      <w:bookmarkEnd w:id="260"/>
      <w:r>
        <w:rPr>
          <w:color w:val="000000"/>
          <w:spacing w:val="0"/>
          <w:w w:val="100"/>
          <w:position w:val="0"/>
        </w:rPr>
        <w:t>3）</w:t>
        <w:tab/>
        <w:t>积极开展新的业务板块，推动区域做大做强。</w:t>
      </w:r>
    </w:p>
    <w:p>
      <w:pPr>
        <w:pStyle w:val="Style44"/>
        <w:keepNext w:val="0"/>
        <w:keepLines w:val="0"/>
        <w:widowControl w:val="0"/>
        <w:shd w:val="clear" w:color="auto" w:fill="auto"/>
        <w:bidi w:val="0"/>
        <w:spacing w:before="0" w:after="0" w:line="470" w:lineRule="exact"/>
        <w:ind w:left="0" w:right="0" w:firstLine="540"/>
        <w:jc w:val="both"/>
      </w:pPr>
      <w:r>
        <w:rPr>
          <w:color w:val="000000"/>
          <w:spacing w:val="0"/>
          <w:w w:val="100"/>
          <w:position w:val="0"/>
        </w:rPr>
        <w:t xml:space="preserve">拓展新业务板块：巩固电子取证行业的龙头地位，继续提升大数据产品的市场占有率，大力发展新 网络空间安全和新型智慧城市两大板块。从服务各级司法机关、监察部门打击犯罪，提供电子数据取证产 品和服务，公安大数据信息化及网络信息安全解决方案；到能力延伸到行政管理部门，用大数据、人工智 能等技术优势，协助网络空间安全和社会治理，建立以大数据智能化为目标的城市网络空间安全大脑，服 </w:t>
      </w:r>
      <w:r>
        <w:rPr>
          <w:color w:val="000000"/>
          <w:spacing w:val="0"/>
          <w:w w:val="100"/>
          <w:position w:val="0"/>
        </w:rPr>
        <w:t>务于新型智慧城市的建设。发挥大数据及人工智能技术及资源优势，为大中型企事业单位提供网络安全解 决方案，为更广大的社会公众提供便民服务。业务领域由各级司法机关延伸到至监察委、军工、企业、行 政执法管理部门等。</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做大做强区域：做强北京和厦门双总部，以总部向基地辐射，通过加强八大基地建设，业务地域从全 国、行业和区域销售模式，向本地化销售发展转变。公司八大基地分为战略型基地、业务性基地，战略型 基地是以投入为导向，开拓创新；业务型基地是发展业务，服务辐射片区。从而实现做强区域，做大省份, 做深地市，做细区县的目标。</w:t>
      </w:r>
    </w:p>
    <w:p>
      <w:pPr>
        <w:pStyle w:val="Style44"/>
        <w:keepNext w:val="0"/>
        <w:keepLines w:val="0"/>
        <w:widowControl w:val="0"/>
        <w:shd w:val="clear" w:color="auto" w:fill="auto"/>
        <w:bidi w:val="0"/>
        <w:spacing w:before="0" w:after="0" w:line="468" w:lineRule="exact"/>
        <w:ind w:left="0" w:right="0" w:firstLine="440"/>
        <w:jc w:val="left"/>
      </w:pPr>
      <w:bookmarkStart w:id="261" w:name="bookmark261"/>
      <w:r>
        <w:rPr>
          <w:color w:val="000000"/>
          <w:spacing w:val="0"/>
          <w:w w:val="100"/>
          <w:position w:val="0"/>
        </w:rPr>
        <w:t>（</w:t>
      </w:r>
      <w:bookmarkEnd w:id="261"/>
      <w:r>
        <w:rPr>
          <w:color w:val="000000"/>
          <w:spacing w:val="0"/>
          <w:w w:val="100"/>
          <w:position w:val="0"/>
        </w:rPr>
        <w:t>4）大力培养后备干部，形成梯队。制定人才激励政策，吸引和吸收更多高端人才，着力培养、引 进科技领军人才。借鉴国投管理人才经验，制定《集团干部管理办法》，对职责权限、职数管理、任职资 格、选拔晋升程度等方面进行明确规定。通过制定一系列行之有效的干部培养计划，运用形式多样的工作 方法和授课方法，培养各层级的干部队伍，为公司实现8848战略计划提供干部和人才保障。依托美亚柏科 干校，组织设立“高研班”，拟开设“中青班”，加强高层后备人才的选拨培养，使干部年轻化。持续 推动人才交流和轮岗，培养业务骨干和干部的综合能力。</w:t>
      </w:r>
    </w:p>
    <w:p>
      <w:pPr>
        <w:pStyle w:val="Style44"/>
        <w:keepNext w:val="0"/>
        <w:keepLines w:val="0"/>
        <w:widowControl w:val="0"/>
        <w:shd w:val="clear" w:color="auto" w:fill="auto"/>
        <w:tabs>
          <w:tab w:pos="753" w:val="left"/>
        </w:tabs>
        <w:bidi w:val="0"/>
        <w:spacing w:before="0" w:after="0" w:line="468" w:lineRule="exact"/>
        <w:ind w:left="0" w:right="0" w:firstLine="440"/>
        <w:jc w:val="left"/>
      </w:pPr>
      <w:bookmarkStart w:id="262" w:name="bookmark262"/>
      <w:r>
        <w:rPr>
          <w:b/>
          <w:bCs/>
          <w:color w:val="000000"/>
          <w:spacing w:val="0"/>
          <w:w w:val="100"/>
          <w:position w:val="0"/>
        </w:rPr>
        <w:t>2</w:t>
      </w:r>
      <w:bookmarkEnd w:id="262"/>
      <w:r>
        <w:rPr>
          <w:b/>
          <w:bCs/>
          <w:color w:val="000000"/>
          <w:spacing w:val="0"/>
          <w:w w:val="100"/>
          <w:position w:val="0"/>
        </w:rPr>
        <w:t>、</w:t>
        <w:tab/>
        <w:t>坚持提质增效，着力提升发展质量</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继续加强技术管理委员会、营销管理委员会、行业管理委员会、业务支撑委员会和运营管理委员会五 大委员会管理，梳理各委员会特性及职责，做好集团化管理，实现资源复用，提升效率，减少浪费。通过 开展“两金压降”、“瘦身健体”等活动，严控成本费用，提质增效。通过信息化手段化提高公司的生产 经营效率，降低运营风险和成本，提高公司的整体管理水平和持续经营的能力。</w:t>
      </w:r>
    </w:p>
    <w:p>
      <w:pPr>
        <w:pStyle w:val="Style44"/>
        <w:keepNext w:val="0"/>
        <w:keepLines w:val="0"/>
        <w:widowControl w:val="0"/>
        <w:shd w:val="clear" w:color="auto" w:fill="auto"/>
        <w:tabs>
          <w:tab w:pos="753" w:val="left"/>
        </w:tabs>
        <w:bidi w:val="0"/>
        <w:spacing w:before="0" w:after="0" w:line="468" w:lineRule="exact"/>
        <w:ind w:left="0" w:right="0" w:firstLine="440"/>
        <w:jc w:val="left"/>
      </w:pPr>
      <w:bookmarkStart w:id="263" w:name="bookmark263"/>
      <w:r>
        <w:rPr>
          <w:b/>
          <w:bCs/>
          <w:color w:val="000000"/>
          <w:spacing w:val="0"/>
          <w:w w:val="100"/>
          <w:position w:val="0"/>
        </w:rPr>
        <w:t>3</w:t>
      </w:r>
      <w:bookmarkEnd w:id="263"/>
      <w:r>
        <w:rPr>
          <w:b/>
          <w:bCs/>
          <w:color w:val="000000"/>
          <w:spacing w:val="0"/>
          <w:w w:val="100"/>
          <w:position w:val="0"/>
        </w:rPr>
        <w:t>、</w:t>
        <w:tab/>
        <w:t>坚持以党的政治建设为统领，加强党的建设</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以习近平新时代中国特色社会主义思想和党的十九大、十九届四中全会、五中全会精神为指导，认真 贯彻党中央、国投党组和上级党委的指示精神，坚持全面从严治党，坚持党建与生产经营深度融合，坚持 创新方法路径提高党建工作质量，充分发挥党委在推动公司高质量发展中的政治领导作用、党支部的战斗 堡垒作用、党员的先锋模范作用，切实推进党建与经营管理深度融合有效落实。</w:t>
      </w:r>
    </w:p>
    <w:p>
      <w:pPr>
        <w:pStyle w:val="Style44"/>
        <w:keepNext w:val="0"/>
        <w:keepLines w:val="0"/>
        <w:widowControl w:val="0"/>
        <w:shd w:val="clear" w:color="auto" w:fill="auto"/>
        <w:bidi w:val="0"/>
        <w:spacing w:before="0" w:after="0" w:line="468" w:lineRule="exact"/>
        <w:ind w:left="0" w:right="0" w:firstLine="440"/>
        <w:jc w:val="left"/>
      </w:pPr>
      <w:bookmarkStart w:id="264" w:name="bookmark264"/>
      <w:r>
        <w:rPr>
          <w:b/>
          <w:bCs/>
          <w:color w:val="000000"/>
          <w:spacing w:val="0"/>
          <w:w w:val="100"/>
          <w:position w:val="0"/>
        </w:rPr>
        <w:t>（</w:t>
      </w:r>
      <w:bookmarkEnd w:id="264"/>
      <w:r>
        <w:rPr>
          <w:b/>
          <w:bCs/>
          <w:color w:val="000000"/>
          <w:spacing w:val="0"/>
          <w:w w:val="100"/>
          <w:position w:val="0"/>
        </w:rPr>
        <w:t>四）可能面对的风险及措施</w:t>
      </w:r>
    </w:p>
    <w:p>
      <w:pPr>
        <w:pStyle w:val="Style44"/>
        <w:keepNext w:val="0"/>
        <w:keepLines w:val="0"/>
        <w:widowControl w:val="0"/>
        <w:shd w:val="clear" w:color="auto" w:fill="auto"/>
        <w:tabs>
          <w:tab w:pos="731" w:val="left"/>
        </w:tabs>
        <w:bidi w:val="0"/>
        <w:spacing w:before="0" w:after="0" w:line="468" w:lineRule="exact"/>
        <w:ind w:left="0" w:right="0" w:firstLine="440"/>
        <w:jc w:val="left"/>
      </w:pPr>
      <w:bookmarkStart w:id="265" w:name="bookmark265"/>
      <w:r>
        <w:rPr>
          <w:color w:val="000000"/>
          <w:spacing w:val="0"/>
          <w:w w:val="100"/>
          <w:position w:val="0"/>
        </w:rPr>
        <w:t>1</w:t>
      </w:r>
      <w:bookmarkEnd w:id="265"/>
      <w:r>
        <w:rPr>
          <w:color w:val="000000"/>
          <w:spacing w:val="0"/>
          <w:w w:val="100"/>
          <w:position w:val="0"/>
        </w:rPr>
        <w:t>、</w:t>
        <w:tab/>
        <w:t>经营效益风险：新冠疫情对公司前期业务的正常开展产生了一定影响，政府及客户节奏放缓，原 有商机订单延后、已建项目延迟验收等，公司复工复产后一方面积极与客户推进现有商机的落地，一方面 加快订单的实施进度，促进项目的完结验收；开展“开源节流、瘦身健体、提质增效”、“全面预算” 等管理活动，增强内部发展活力和综合实力，积极应对新冠疫情带来的不利影响。</w:t>
      </w:r>
    </w:p>
    <w:p>
      <w:pPr>
        <w:pStyle w:val="Style44"/>
        <w:keepNext w:val="0"/>
        <w:keepLines w:val="0"/>
        <w:widowControl w:val="0"/>
        <w:shd w:val="clear" w:color="auto" w:fill="auto"/>
        <w:tabs>
          <w:tab w:pos="731" w:val="left"/>
        </w:tabs>
        <w:bidi w:val="0"/>
        <w:spacing w:before="0" w:after="0" w:line="468" w:lineRule="exact"/>
        <w:ind w:left="0" w:right="0" w:firstLine="440"/>
        <w:jc w:val="left"/>
      </w:pPr>
      <w:bookmarkStart w:id="266" w:name="bookmark266"/>
      <w:r>
        <w:rPr>
          <w:color w:val="000000"/>
          <w:spacing w:val="0"/>
          <w:w w:val="100"/>
          <w:position w:val="0"/>
        </w:rPr>
        <w:t>2</w:t>
      </w:r>
      <w:bookmarkEnd w:id="266"/>
      <w:r>
        <w:rPr>
          <w:color w:val="000000"/>
          <w:spacing w:val="0"/>
          <w:w w:val="100"/>
          <w:position w:val="0"/>
        </w:rPr>
        <w:t>、</w:t>
        <w:tab/>
        <w:t xml:space="preserve">商誉减值风险：2015年公司通过发行股份购买资产的方式购买江苏税软100%股权和新德汇49%股权， 在公司合并资产负债表中形成较大金额的商誉。江苏税软和新德汇的业绩承诺已全部完成。根据《企业会 </w:t>
      </w:r>
      <w:r>
        <w:rPr>
          <w:color w:val="000000"/>
          <w:spacing w:val="0"/>
          <w:w w:val="100"/>
          <w:position w:val="0"/>
        </w:rPr>
        <w:t>计准则》规定，本次交易形成的商誉不作摊销处理，但需在未来每年年终进行减值测试。如果江苏税软和 新德汇未来经营状况恶化，则存在商誉减值的风险，从而对公司当期损益造成不利影响。为了减少商誉减 值风险，公司主要采取的管理措施如下：1）加强母子公司资源整合，在市场渠道和产品研发上，加强资 源管理和1+1〉2的协同整合，提升子公司产品竞争力；2）维护核心人员稳定：通过签订劳动合同、竞业协 议、保密协议等措施保障人员稳定；将公司的股权激励计划等人才激励措施，覆盖到子公司核心员工；3） 经营管理：公司每年将目标责任书和绩效考核指标分解到子公司，年终根据业绩的完成程度给予相应的激 励，公司也从总部派驻核心财务骨干常驻子公司，担任子公司财务负责人，协助子公司负责人进行经营管 理，同时将子公司管理层纳入到公司管理体系中，让子公司管理层和核心人员均有权参与公司管理。通过 公司与子公司在经营管理、技术研发、市场拓展等方面的资源共享和协同合作，保持公司及各子公司的持 续竞争力，尽量降低商誉对公司未来业绩的影响。</w:t>
      </w:r>
    </w:p>
    <w:p>
      <w:pPr>
        <w:pStyle w:val="Style44"/>
        <w:keepNext w:val="0"/>
        <w:keepLines w:val="0"/>
        <w:widowControl w:val="0"/>
        <w:shd w:val="clear" w:color="auto" w:fill="auto"/>
        <w:tabs>
          <w:tab w:pos="739" w:val="left"/>
        </w:tabs>
        <w:bidi w:val="0"/>
        <w:spacing w:before="0" w:after="0" w:line="470" w:lineRule="exact"/>
        <w:ind w:left="0" w:right="0" w:firstLine="440"/>
        <w:jc w:val="both"/>
      </w:pPr>
      <w:bookmarkStart w:id="267" w:name="bookmark267"/>
      <w:r>
        <w:rPr>
          <w:color w:val="000000"/>
          <w:spacing w:val="0"/>
          <w:w w:val="100"/>
          <w:position w:val="0"/>
        </w:rPr>
        <w:t>3</w:t>
      </w:r>
      <w:bookmarkEnd w:id="267"/>
      <w:r>
        <w:rPr>
          <w:color w:val="000000"/>
          <w:spacing w:val="0"/>
          <w:w w:val="100"/>
          <w:position w:val="0"/>
        </w:rPr>
        <w:t>、</w:t>
        <w:tab/>
        <w:t>应收账款和合同资产净额过高的风险：报告期末，公司应收账款和合同资产净额合计</w:t>
      </w:r>
      <w:r>
        <w:rPr>
          <w:color w:val="000000"/>
          <w:spacing w:val="0"/>
          <w:w w:val="100"/>
          <w:position w:val="0"/>
        </w:rPr>
        <w:t>96,692.7</w:t>
      </w:r>
      <w:r>
        <w:rPr>
          <w:color w:val="000000"/>
          <w:spacing w:val="0"/>
          <w:w w:val="100"/>
          <w:position w:val="0"/>
        </w:rPr>
        <w:t>1万 元，占公司总资产的比例为20.82%。主要是因为公司主要客户为司法机关和行政执法部门，该类客户的采 购及付款审批周期较长，因而导致公司应收账款及合同资产净额较高，并且随着公司平台类项目的销售收 入比重不断增加，单个业务合同金额增大，实施周期较长，项目付款进度相应较长，应收账款及合同资产 的账期和绝对值也可能会相应上升。对此，公司实行了清产核资“暖春”行动，加强应收账款催收及降低 非正常存货。</w:t>
      </w:r>
    </w:p>
    <w:p>
      <w:pPr>
        <w:pStyle w:val="Style44"/>
        <w:keepNext w:val="0"/>
        <w:keepLines w:val="0"/>
        <w:widowControl w:val="0"/>
        <w:shd w:val="clear" w:color="auto" w:fill="auto"/>
        <w:tabs>
          <w:tab w:pos="739" w:val="left"/>
        </w:tabs>
        <w:bidi w:val="0"/>
        <w:spacing w:before="0" w:after="0" w:line="470" w:lineRule="exact"/>
        <w:ind w:left="0" w:right="0" w:firstLine="440"/>
        <w:jc w:val="both"/>
      </w:pPr>
      <w:bookmarkStart w:id="268" w:name="bookmark268"/>
      <w:r>
        <w:rPr>
          <w:color w:val="000000"/>
          <w:spacing w:val="0"/>
          <w:w w:val="100"/>
          <w:position w:val="0"/>
        </w:rPr>
        <w:t>4</w:t>
      </w:r>
      <w:bookmarkEnd w:id="268"/>
      <w:r>
        <w:rPr>
          <w:color w:val="000000"/>
          <w:spacing w:val="0"/>
          <w:w w:val="100"/>
          <w:position w:val="0"/>
        </w:rPr>
        <w:t>、</w:t>
        <w:tab/>
        <w:t>市场风险：公司积极布局及扩宽大数据智能化、网络空间安全等行业赛道，市场前景可观，但每 个行业赛道国内都有企业涉及，市场竞争日趋激烈。公司将立足于公司大数据、电子数据取证及人工智能 技术及行业优势，加大研发投入及相关技术人才的储备，研制适应新形势要求的新产品，保持产品先进性; 对前期投放市场的产品，考虑到培育市场的难度，公司将在市场培育前进行整体规划，详细制定营销战略, 积极利用积累的客户资源，达到“以旧带新”，确保产品得以顺利进入市场。</w:t>
      </w:r>
    </w:p>
    <w:p>
      <w:pPr>
        <w:pStyle w:val="Style44"/>
        <w:keepNext w:val="0"/>
        <w:keepLines w:val="0"/>
        <w:widowControl w:val="0"/>
        <w:shd w:val="clear" w:color="auto" w:fill="auto"/>
        <w:tabs>
          <w:tab w:pos="739" w:val="left"/>
        </w:tabs>
        <w:bidi w:val="0"/>
        <w:spacing w:before="0" w:after="440" w:line="470" w:lineRule="exact"/>
        <w:ind w:left="0" w:right="0" w:firstLine="440"/>
        <w:jc w:val="both"/>
      </w:pPr>
      <w:bookmarkStart w:id="269" w:name="bookmark269"/>
      <w:r>
        <w:rPr>
          <w:color w:val="000000"/>
          <w:spacing w:val="0"/>
          <w:w w:val="100"/>
          <w:position w:val="0"/>
        </w:rPr>
        <w:t>5</w:t>
      </w:r>
      <w:bookmarkEnd w:id="269"/>
      <w:r>
        <w:rPr>
          <w:color w:val="000000"/>
          <w:spacing w:val="0"/>
          <w:w w:val="100"/>
          <w:position w:val="0"/>
        </w:rPr>
        <w:t>、</w:t>
        <w:tab/>
        <w:t>季节性风险：公司产品销售收入在上、下半年具有不均衡的特点，因为公司产品主要销售给司法 机关、行政执法部门等，这些客户的普遍特点是：上半年制定计划、预算审批，下半年实施和验收。公司 将持续加大售前的进度引导以及阶段验收等方式，尽量降低第四季度集中和不确定性的影响。</w:t>
      </w:r>
    </w:p>
    <w:p>
      <w:pPr>
        <w:pStyle w:val="Style27"/>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r>
        <w:rPr>
          <w:color w:val="000000"/>
          <w:spacing w:val="0"/>
          <w:w w:val="100"/>
          <w:position w:val="0"/>
          <w:sz w:val="24"/>
          <w:szCs w:val="24"/>
        </w:rPr>
        <w:t>十、接待调研、沟通、采访等活动登记表</w:t>
      </w:r>
      <w:bookmarkEnd w:id="270"/>
      <w:bookmarkEnd w:id="271"/>
      <w:bookmarkEnd w:id="272"/>
    </w:p>
    <w:p>
      <w:pPr>
        <w:pStyle w:val="Style32"/>
        <w:keepNext/>
        <w:keepLines/>
        <w:widowControl w:val="0"/>
        <w:shd w:val="clear" w:color="auto" w:fill="auto"/>
        <w:bidi w:val="0"/>
        <w:spacing w:before="0" w:after="120" w:line="48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、报告期内接待调研、沟通、采访等活动登记表</w:t>
      </w:r>
      <w:bookmarkEnd w:id="273"/>
      <w:bookmarkEnd w:id="274"/>
      <w:bookmarkEnd w:id="276"/>
    </w:p>
    <w:p>
      <w:pPr>
        <w:pStyle w:val="Style36"/>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850"/>
        <w:gridCol w:w="1133"/>
        <w:gridCol w:w="710"/>
        <w:gridCol w:w="2789"/>
        <w:gridCol w:w="1296"/>
        <w:gridCol w:w="181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bl>
    <w:p>
      <w:pPr>
        <w:widowControl w:val="0"/>
        <w:spacing w:line="1" w:lineRule="exact"/>
      </w:pPr>
      <w:r>
        <w:br w:type="page"/>
      </w:r>
    </w:p>
    <w:tbl>
      <w:tblPr>
        <w:tblOverlap w:val="never"/>
        <w:jc w:val="center"/>
        <w:tblLayout w:type="fixed"/>
      </w:tblPr>
      <w:tblGrid>
        <w:gridCol w:w="998"/>
        <w:gridCol w:w="850"/>
        <w:gridCol w:w="1133"/>
        <w:gridCol w:w="710"/>
        <w:gridCol w:w="2789"/>
        <w:gridCol w:w="1296"/>
        <w:gridCol w:w="1810"/>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4D4D4"/>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光大证券、弘德基金、新华基金等</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公司经营现状 及产品情况，未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日投资者 关系活动记录表》</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厦门总 部、北京 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华创证券、人保养老、汇添富基金 等</w:t>
            </w:r>
            <w:r>
              <w:rPr>
                <w:rFonts w:ascii="Times New Roman" w:eastAsia="Times New Roman" w:hAnsi="Times New Roman" w:cs="Times New Roman"/>
                <w:color w:val="000000"/>
                <w:spacing w:val="0"/>
                <w:w w:val="100"/>
                <w:position w:val="0"/>
              </w:rPr>
              <w:t>18</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公司经营现状 及产品情况，未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日投资者 关系活动记录表》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泓德基金、光大证券、国信证券、 交银施罗德基金等</w:t>
            </w:r>
            <w:r>
              <w:rPr>
                <w:rFonts w:ascii="Times New Roman" w:eastAsia="Times New Roman" w:hAnsi="Times New Roman" w:cs="Times New Roman"/>
                <w:color w:val="000000"/>
                <w:spacing w:val="0"/>
                <w:w w:val="100"/>
                <w:position w:val="0"/>
              </w:rPr>
              <w:t>105</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年业 绩预告情况，未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22</w:t>
            </w:r>
            <w:r>
              <w:rPr>
                <w:color w:val="000000"/>
                <w:spacing w:val="0"/>
                <w:w w:val="100"/>
                <w:position w:val="0"/>
              </w:rPr>
              <w:t>日投资 者关系活动记录表》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南方基金、华安基金等</w:t>
            </w:r>
            <w:r>
              <w:rPr>
                <w:rFonts w:ascii="Times New Roman" w:eastAsia="Times New Roman" w:hAnsi="Times New Roman" w:cs="Times New Roman"/>
                <w:color w:val="000000"/>
                <w:spacing w:val="0"/>
                <w:w w:val="100"/>
                <w:position w:val="0"/>
              </w:rPr>
              <w:t>6</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年业 绩预告情况，未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22</w:t>
            </w:r>
            <w:r>
              <w:rPr>
                <w:color w:val="000000"/>
                <w:spacing w:val="0"/>
                <w:w w:val="100"/>
                <w:position w:val="0"/>
              </w:rPr>
              <w:t>日投资 者关系活动记录表》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新时代证券、建信基金、中欧基金、 交银施罗德基金等</w:t>
            </w:r>
            <w:r>
              <w:rPr>
                <w:rFonts w:ascii="Times New Roman" w:eastAsia="Times New Roman" w:hAnsi="Times New Roman" w:cs="Times New Roman"/>
                <w:color w:val="000000"/>
                <w:spacing w:val="0"/>
                <w:w w:val="100"/>
                <w:position w:val="0"/>
              </w:rPr>
              <w:t>289</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年业 绩预告情况，公 司复工复产情 况等；未提供相 关资料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日投资者关系活 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东方证券、长江证券、博道基金、 嘉实基金、平安基金等</w:t>
            </w:r>
            <w:r>
              <w:rPr>
                <w:rFonts w:ascii="Times New Roman" w:eastAsia="Times New Roman" w:hAnsi="Times New Roman" w:cs="Times New Roman"/>
                <w:color w:val="000000"/>
                <w:spacing w:val="0"/>
                <w:w w:val="100"/>
                <w:position w:val="0"/>
              </w:rPr>
              <w:t>90</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年年 报情况交流；未 提供相关资料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日投 资者关系活动记录表》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兴业证券、东方基金、工银瑞信基 金等</w:t>
            </w:r>
            <w:r>
              <w:rPr>
                <w:rFonts w:ascii="Times New Roman" w:eastAsia="Times New Roman" w:hAnsi="Times New Roman" w:cs="Times New Roman"/>
                <w:color w:val="000000"/>
                <w:spacing w:val="0"/>
                <w:w w:val="100"/>
                <w:position w:val="0"/>
              </w:rPr>
              <w:t>43</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年年 报情况交流；未 提供相关资料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日投 资者关系活动记录表》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申万宏源证券、中金公司、中信建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投等</w:t>
            </w:r>
            <w:r>
              <w:rPr>
                <w:rFonts w:ascii="Times New Roman" w:eastAsia="Times New Roman" w:hAnsi="Times New Roman" w:cs="Times New Roman"/>
                <w:color w:val="000000"/>
                <w:spacing w:val="0"/>
                <w:w w:val="100"/>
                <w:position w:val="0"/>
              </w:rPr>
              <w:t>54</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年半 年报情况交流； 未提供相关资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巨潮资讯网，</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300188 </w:t>
            </w:r>
            <w:r>
              <w:rPr>
                <w:color w:val="000000"/>
                <w:spacing w:val="0"/>
                <w:w w:val="100"/>
                <w:position w:val="0"/>
              </w:rPr>
              <w:t>美亚柏科调研活动信</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息 </w:t>
            </w:r>
            <w:r>
              <w:rPr>
                <w:rFonts w:ascii="Times New Roman" w:eastAsia="Times New Roman" w:hAnsi="Times New Roman" w:cs="Times New Roman"/>
                <w:color w:val="000000"/>
                <w:spacing w:val="0"/>
                <w:w w:val="100"/>
                <w:position w:val="0"/>
              </w:rPr>
              <w:t>20200828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交银施罗德基金、泓德基金、中欧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基金等</w:t>
            </w:r>
            <w:r>
              <w:rPr>
                <w:rFonts w:ascii="Times New Roman" w:eastAsia="Times New Roman" w:hAnsi="Times New Roman" w:cs="Times New Roman"/>
                <w:color w:val="000000"/>
                <w:spacing w:val="0"/>
                <w:w w:val="100"/>
                <w:position w:val="0"/>
              </w:rPr>
              <w:t>71</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年半 年报情况交流； 未提供相关资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日投资者关系 活动记录表》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中银证券、中信产业基金、中金公 司等</w:t>
            </w:r>
            <w:r>
              <w:rPr>
                <w:rFonts w:ascii="Times New Roman" w:eastAsia="Times New Roman" w:hAnsi="Times New Roman" w:cs="Times New Roman"/>
                <w:color w:val="000000"/>
                <w:spacing w:val="0"/>
                <w:w w:val="100"/>
                <w:position w:val="0"/>
              </w:rPr>
              <w:t>150</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年前</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三季度业绩预 告情况交流；未</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提供相关资料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日投资 者关系活动记录表》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厦门总部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兴银基金、西部利得基金、银华基 金等</w:t>
            </w:r>
            <w:r>
              <w:rPr>
                <w:rFonts w:ascii="Times New Roman" w:eastAsia="Times New Roman" w:hAnsi="Times New Roman" w:cs="Times New Roman"/>
                <w:color w:val="000000"/>
                <w:spacing w:val="0"/>
                <w:w w:val="100"/>
                <w:position w:val="0"/>
              </w:rPr>
              <w:t>48</w:t>
            </w:r>
            <w:r>
              <w:rPr>
                <w:color w:val="000000"/>
                <w:spacing w:val="0"/>
                <w:w w:val="100"/>
                <w:position w:val="0"/>
              </w:rPr>
              <w:t>名投资者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年前</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三季度业绩预 告情况交流；未</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提供相关资料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日投资 者关系活动记录表》</w:t>
            </w:r>
          </w:p>
        </w:tc>
      </w:tr>
    </w:tbl>
    <w:p>
      <w:pPr>
        <w:widowControl w:val="0"/>
        <w:spacing w:line="1" w:lineRule="exact"/>
      </w:pPr>
      <w:r>
        <w:br w:type="page"/>
      </w:r>
    </w:p>
    <w:tbl>
      <w:tblPr>
        <w:tblOverlap w:val="never"/>
        <w:jc w:val="center"/>
        <w:tblLayout w:type="fixed"/>
      </w:tblPr>
      <w:tblGrid>
        <w:gridCol w:w="998"/>
        <w:gridCol w:w="850"/>
        <w:gridCol w:w="1133"/>
        <w:gridCol w:w="710"/>
        <w:gridCol w:w="2789"/>
        <w:gridCol w:w="1296"/>
        <w:gridCol w:w="181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中金公司、长盛基金、中欧基金等</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公司经营现状 及产品情况，未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日投资者关系 活动记录表》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长信基金、中信证券、泽泉投资等</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r>
              <w:rPr>
                <w:color w:val="000000"/>
                <w:spacing w:val="0"/>
                <w:w w:val="100"/>
                <w:position w:val="0"/>
              </w:rPr>
              <w:t>名投资者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年三 季报情况交流； 未提供相关资 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日投资者关系 活动记录表》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厦门总部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中银基金、诺德基金等</w:t>
            </w:r>
            <w:r>
              <w:rPr>
                <w:rFonts w:ascii="Times New Roman" w:eastAsia="Times New Roman" w:hAnsi="Times New Roman" w:cs="Times New Roman"/>
                <w:color w:val="000000"/>
                <w:spacing w:val="0"/>
                <w:w w:val="100"/>
                <w:position w:val="0"/>
              </w:rPr>
              <w:t>12</w:t>
            </w:r>
            <w:r>
              <w:rPr>
                <w:color w:val="000000"/>
                <w:spacing w:val="0"/>
                <w:w w:val="100"/>
                <w:position w:val="0"/>
              </w:rPr>
              <w:t>名投资者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公司经营现状 及产品情况，未 提供资料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日投资者关系 活动记录表》</w:t>
            </w:r>
          </w:p>
        </w:tc>
      </w:tr>
    </w:tbl>
    <w:p>
      <w:pPr>
        <w:sectPr>
          <w:footnotePr>
            <w:pos w:val="pageBottom"/>
            <w:numFmt w:val="decimal"/>
            <w:numRestart w:val="continuous"/>
          </w:footnotePr>
          <w:pgSz w:w="11900" w:h="16840"/>
          <w:pgMar w:top="1254" w:right="1001" w:bottom="1369" w:left="1017" w:header="0" w:footer="3" w:gutter="0"/>
          <w:cols w:space="720"/>
          <w:noEndnote/>
          <w:rtlGutter w:val="0"/>
          <w:docGrid w:linePitch="360"/>
        </w:sectPr>
      </w:pPr>
    </w:p>
    <w:p>
      <w:pPr>
        <w:pStyle w:val="Style17"/>
        <w:keepNext/>
        <w:keepLines/>
        <w:widowControl w:val="0"/>
        <w:shd w:val="clear" w:color="auto" w:fill="auto"/>
        <w:bidi w:val="0"/>
        <w:spacing w:before="620" w:line="240" w:lineRule="auto"/>
        <w:ind w:left="0" w:right="0" w:firstLine="0"/>
        <w:jc w:val="center"/>
      </w:pPr>
      <w:bookmarkStart w:id="277" w:name="bookmark277"/>
      <w:bookmarkStart w:id="278" w:name="bookmark278"/>
      <w:bookmarkStart w:id="279" w:name="bookmark279"/>
      <w:r>
        <w:rPr>
          <w:color w:val="000000"/>
          <w:spacing w:val="0"/>
          <w:w w:val="100"/>
          <w:position w:val="0"/>
        </w:rPr>
        <w:t>第五节重要事项</w:t>
      </w:r>
      <w:bookmarkEnd w:id="277"/>
      <w:bookmarkEnd w:id="278"/>
      <w:bookmarkEnd w:id="279"/>
    </w:p>
    <w:p>
      <w:pPr>
        <w:pStyle w:val="Style27"/>
        <w:keepNext/>
        <w:keepLines/>
        <w:widowControl w:val="0"/>
        <w:shd w:val="clear" w:color="auto" w:fill="auto"/>
        <w:bidi w:val="0"/>
        <w:spacing w:before="0" w:after="360" w:line="240" w:lineRule="auto"/>
        <w:ind w:left="0" w:right="0" w:firstLine="0"/>
        <w:jc w:val="both"/>
      </w:pPr>
      <w:bookmarkStart w:id="280" w:name="bookmark280"/>
      <w:bookmarkStart w:id="281" w:name="bookmark281"/>
      <w:bookmarkStart w:id="282" w:name="bookmark282"/>
      <w:bookmarkStart w:id="283" w:name="bookmark283"/>
      <w:bookmarkStart w:id="284" w:name="bookmark284"/>
      <w:r>
        <w:rPr>
          <w:color w:val="000000"/>
          <w:spacing w:val="0"/>
          <w:w w:val="100"/>
          <w:position w:val="0"/>
          <w:sz w:val="24"/>
          <w:szCs w:val="24"/>
        </w:rPr>
        <w:t>一</w:t>
      </w:r>
      <w:bookmarkEnd w:id="283"/>
      <w:r>
        <w:rPr>
          <w:color w:val="000000"/>
          <w:spacing w:val="0"/>
          <w:w w:val="100"/>
          <w:position w:val="0"/>
          <w:sz w:val="24"/>
          <w:szCs w:val="24"/>
        </w:rPr>
        <w:t>、公司普通股利润分配及资本公积金转增股本情况</w:t>
      </w:r>
      <w:bookmarkEnd w:id="281"/>
      <w:bookmarkEnd w:id="282"/>
      <w:bookmarkEnd w:id="284"/>
      <w:bookmarkEnd w:id="280"/>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报告期内，公司董事会根据2019年度盈利情况及《公司章程》有关规定，在充分听取各方意见基础上 制定了公司2019年度利润分配方案。公司2019年利润分配方案为：以公司总股本805,211,317股为基数向 全体股东每10股派发现金股利</w:t>
      </w:r>
      <w:r>
        <w:rPr>
          <w:color w:val="000000"/>
          <w:spacing w:val="0"/>
          <w:w w:val="100"/>
          <w:position w:val="0"/>
        </w:rPr>
        <w:t>0.9</w:t>
      </w:r>
      <w:r>
        <w:rPr>
          <w:color w:val="000000"/>
          <w:spacing w:val="0"/>
          <w:w w:val="100"/>
          <w:position w:val="0"/>
        </w:rPr>
        <w:t>元人民币（含税），合计派发现金红利人民币</w:t>
      </w:r>
      <w:r>
        <w:rPr>
          <w:color w:val="000000"/>
          <w:spacing w:val="0"/>
          <w:w w:val="100"/>
          <w:position w:val="0"/>
        </w:rPr>
        <w:t>72,469,018.53</w:t>
      </w:r>
      <w:r>
        <w:rPr>
          <w:color w:val="000000"/>
          <w:spacing w:val="0"/>
          <w:w w:val="100"/>
          <w:position w:val="0"/>
        </w:rPr>
        <w:t xml:space="preserve">元。2020年 4月21日召开的2019年度股东大会审议通过了《2019年度利润分配预案》；2020年6月4日公司完成了2019 年度利润权益分派的实施。公司实施的2019年度利润分配方案符合《公司章程》及公司《未来三年 </w:t>
      </w:r>
      <w:r>
        <w:rPr>
          <w:color w:val="000000"/>
          <w:spacing w:val="0"/>
          <w:w w:val="100"/>
          <w:position w:val="0"/>
        </w:rPr>
        <w:t>（2018-2020</w:t>
      </w:r>
      <w:r>
        <w:rPr>
          <w:color w:val="000000"/>
          <w:spacing w:val="0"/>
          <w:w w:val="100"/>
          <w:position w:val="0"/>
        </w:rPr>
        <w:t>年）股东回报规划》等的相关规定，符合股东大会的决议，分红标准和比例明确，决策程序 符合规定。独立董事尽职履责并发挥了应有的作用，中小股东具有充分表达意见和诉求的机会，其合法权 益得到了充分地保护。</w:t>
      </w:r>
    </w:p>
    <w:tbl>
      <w:tblPr>
        <w:tblOverlap w:val="never"/>
        <w:jc w:val="center"/>
        <w:tblLayout w:type="fixed"/>
      </w:tblPr>
      <w:tblGrid>
        <w:gridCol w:w="6667"/>
        <w:gridCol w:w="2918"/>
      </w:tblGrid>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246"/>
        <w:gridCol w:w="433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806,726,815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104,874,485.95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104,874,485.95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963,184,286.90</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813" w:val="left"/>
        </w:tabs>
        <w:bidi w:val="0"/>
        <w:spacing w:before="0" w:after="0" w:line="413" w:lineRule="exact"/>
        <w:ind w:left="0" w:right="0" w:firstLine="0"/>
        <w:jc w:val="left"/>
      </w:pPr>
      <w:r>
        <w:rPr>
          <w:color w:val="000000"/>
          <w:spacing w:val="0"/>
          <w:w w:val="100"/>
          <w:position w:val="0"/>
        </w:rPr>
        <w:t>现金分红总额（含其他方式）占利润分配总额的比例</w:t>
        <w:tab/>
      </w:r>
      <w:r>
        <w:rPr>
          <w:rFonts w:ascii="Times New Roman" w:eastAsia="Times New Roman" w:hAnsi="Times New Roman" w:cs="Times New Roman"/>
          <w:color w:val="000000"/>
          <w:spacing w:val="0"/>
          <w:w w:val="100"/>
          <w:position w:val="0"/>
        </w:rPr>
        <w:t>100.00%</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center"/>
      </w:pPr>
      <w:r>
        <w:rPr>
          <w:color w:val="000000"/>
          <w:spacing w:val="0"/>
          <w:w w:val="100"/>
          <w:position w:val="0"/>
        </w:rPr>
        <w:t>本次现金分红情况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b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66" w:lineRule="exact"/>
        <w:ind w:left="0" w:right="0" w:firstLine="0"/>
        <w:jc w:val="left"/>
      </w:pPr>
      <w:r>
        <w:rPr>
          <w:color w:val="000000"/>
          <w:spacing w:val="0"/>
          <w:w w:val="100"/>
          <w:position w:val="0"/>
        </w:rPr>
        <w:t xml:space="preserve">经中证天通会计师事务所（特殊普通合伙）审计，公司2020年度实现归属于母公司所有者净利润374, 620, </w:t>
      </w:r>
      <w:r>
        <w:rPr>
          <w:color w:val="000000"/>
          <w:spacing w:val="0"/>
          <w:w w:val="100"/>
          <w:position w:val="0"/>
        </w:rPr>
        <w:t>968.32</w:t>
      </w:r>
      <w:r>
        <w:rPr>
          <w:color w:val="000000"/>
          <w:spacing w:val="0"/>
          <w:w w:val="100"/>
          <w:position w:val="0"/>
        </w:rPr>
        <w:t xml:space="preserve">元，母 公司实现净利润275, 618, </w:t>
      </w:r>
      <w:r>
        <w:rPr>
          <w:color w:val="000000"/>
          <w:spacing w:val="0"/>
          <w:w w:val="100"/>
          <w:position w:val="0"/>
        </w:rPr>
        <w:t xml:space="preserve">998. </w:t>
      </w:r>
      <w:r>
        <w:rPr>
          <w:color w:val="000000"/>
          <w:spacing w:val="0"/>
          <w:w w:val="100"/>
          <w:position w:val="0"/>
        </w:rPr>
        <w:t>05元，提取10%法定盈余公积</w:t>
      </w:r>
      <w:r>
        <w:rPr>
          <w:color w:val="000000"/>
          <w:spacing w:val="0"/>
          <w:w w:val="100"/>
          <w:position w:val="0"/>
        </w:rPr>
        <w:t>27,561,899.81</w:t>
      </w:r>
      <w:r>
        <w:rPr>
          <w:color w:val="000000"/>
          <w:spacing w:val="0"/>
          <w:w w:val="100"/>
          <w:position w:val="0"/>
        </w:rPr>
        <w:t xml:space="preserve">元，当年实现的母公司可供分配利润为 </w:t>
      </w:r>
      <w:r>
        <w:rPr>
          <w:color w:val="000000"/>
          <w:spacing w:val="0"/>
          <w:w w:val="100"/>
          <w:position w:val="0"/>
        </w:rPr>
        <w:t>248,057,098.24</w:t>
      </w:r>
      <w:r>
        <w:rPr>
          <w:color w:val="000000"/>
          <w:spacing w:val="0"/>
          <w:w w:val="100"/>
          <w:position w:val="0"/>
        </w:rPr>
        <w:t xml:space="preserve">元，加期初未分配利润753, 280, </w:t>
      </w:r>
      <w:r>
        <w:rPr>
          <w:color w:val="000000"/>
          <w:spacing w:val="0"/>
          <w:w w:val="100"/>
          <w:position w:val="0"/>
        </w:rPr>
        <w:t xml:space="preserve">486. </w:t>
      </w:r>
      <w:r>
        <w:rPr>
          <w:color w:val="000000"/>
          <w:spacing w:val="0"/>
          <w:w w:val="100"/>
          <w:position w:val="0"/>
        </w:rPr>
        <w:t xml:space="preserve">93元及本年其他综合收益结转留存收益34, 315, </w:t>
      </w:r>
      <w:r>
        <w:rPr>
          <w:color w:val="000000"/>
          <w:spacing w:val="0"/>
          <w:w w:val="100"/>
          <w:position w:val="0"/>
        </w:rPr>
        <w:t xml:space="preserve">720. </w:t>
      </w:r>
      <w:r>
        <w:rPr>
          <w:color w:val="000000"/>
          <w:spacing w:val="0"/>
          <w:w w:val="100"/>
          <w:position w:val="0"/>
        </w:rPr>
        <w:t xml:space="preserve">26扣减2020 年已发2019年度现金股利72,469, </w:t>
      </w:r>
      <w:r>
        <w:rPr>
          <w:color w:val="000000"/>
          <w:spacing w:val="0"/>
          <w:w w:val="100"/>
          <w:position w:val="0"/>
        </w:rPr>
        <w:t xml:space="preserve">018. </w:t>
      </w:r>
      <w:r>
        <w:rPr>
          <w:color w:val="000000"/>
          <w:spacing w:val="0"/>
          <w:w w:val="100"/>
          <w:position w:val="0"/>
        </w:rPr>
        <w:t>53元，年末累计可供分配利润为</w:t>
      </w:r>
      <w:r>
        <w:rPr>
          <w:color w:val="000000"/>
          <w:spacing w:val="0"/>
          <w:w w:val="100"/>
          <w:position w:val="0"/>
        </w:rPr>
        <w:t>963,184,286.90</w:t>
      </w:r>
      <w:r>
        <w:rPr>
          <w:color w:val="000000"/>
          <w:spacing w:val="0"/>
          <w:w w:val="100"/>
          <w:position w:val="0"/>
        </w:rPr>
        <w:t>元。</w:t>
      </w:r>
    </w:p>
    <w:p>
      <w:pPr>
        <w:pStyle w:val="Style29"/>
        <w:keepNext w:val="0"/>
        <w:keepLines w:val="0"/>
        <w:widowControl w:val="0"/>
        <w:shd w:val="clear" w:color="auto" w:fill="auto"/>
        <w:bidi w:val="0"/>
        <w:spacing w:before="0" w:after="0" w:line="43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44"/>
        <w:keepNext w:val="0"/>
        <w:keepLines w:val="0"/>
        <w:widowControl w:val="0"/>
        <w:shd w:val="clear" w:color="auto" w:fill="auto"/>
        <w:tabs>
          <w:tab w:pos="786" w:val="left"/>
        </w:tabs>
        <w:bidi w:val="0"/>
        <w:spacing w:before="0" w:after="0" w:line="480" w:lineRule="exact"/>
        <w:ind w:left="0" w:right="0" w:firstLine="440"/>
        <w:jc w:val="left"/>
      </w:pPr>
      <w:bookmarkStart w:id="285" w:name="bookmark285"/>
      <w:r>
        <w:rPr>
          <w:color w:val="000000"/>
          <w:spacing w:val="0"/>
          <w:w w:val="100"/>
          <w:position w:val="0"/>
        </w:rPr>
        <w:t>1</w:t>
      </w:r>
      <w:bookmarkEnd w:id="285"/>
      <w:r>
        <w:rPr>
          <w:color w:val="000000"/>
          <w:spacing w:val="0"/>
          <w:w w:val="100"/>
          <w:position w:val="0"/>
        </w:rPr>
        <w:t>、</w:t>
        <w:tab/>
        <w:t>2018年利润分配方案：以公司总股本794,832,809股为基数向全体股东每10股派发现金股利</w:t>
      </w:r>
      <w:r>
        <w:rPr>
          <w:color w:val="000000"/>
          <w:spacing w:val="0"/>
          <w:w w:val="100"/>
          <w:position w:val="0"/>
        </w:rPr>
        <w:t>0.8</w:t>
      </w:r>
      <w:r>
        <w:rPr>
          <w:color w:val="000000"/>
          <w:spacing w:val="0"/>
          <w:w w:val="100"/>
          <w:position w:val="0"/>
        </w:rPr>
        <w:t xml:space="preserve">元 人民币（含税），合计派发现金红利人民币63,586, </w:t>
      </w:r>
      <w:r>
        <w:rPr>
          <w:color w:val="000000"/>
          <w:spacing w:val="0"/>
          <w:w w:val="100"/>
          <w:position w:val="0"/>
        </w:rPr>
        <w:t>624.72</w:t>
      </w:r>
      <w:r>
        <w:rPr>
          <w:color w:val="000000"/>
          <w:spacing w:val="0"/>
          <w:w w:val="100"/>
          <w:position w:val="0"/>
        </w:rPr>
        <w:t>元。</w:t>
      </w:r>
    </w:p>
    <w:p>
      <w:pPr>
        <w:pStyle w:val="Style44"/>
        <w:keepNext w:val="0"/>
        <w:keepLines w:val="0"/>
        <w:widowControl w:val="0"/>
        <w:shd w:val="clear" w:color="auto" w:fill="auto"/>
        <w:tabs>
          <w:tab w:pos="790" w:val="left"/>
        </w:tabs>
        <w:bidi w:val="0"/>
        <w:spacing w:before="0" w:after="0" w:line="480" w:lineRule="exact"/>
        <w:ind w:left="0" w:right="0" w:firstLine="440"/>
        <w:jc w:val="left"/>
      </w:pPr>
      <w:bookmarkStart w:id="286" w:name="bookmark286"/>
      <w:r>
        <w:rPr>
          <w:color w:val="000000"/>
          <w:spacing w:val="0"/>
          <w:w w:val="100"/>
          <w:position w:val="0"/>
        </w:rPr>
        <w:t>2</w:t>
      </w:r>
      <w:bookmarkEnd w:id="286"/>
      <w:r>
        <w:rPr>
          <w:color w:val="000000"/>
          <w:spacing w:val="0"/>
          <w:w w:val="100"/>
          <w:position w:val="0"/>
        </w:rPr>
        <w:t>、</w:t>
        <w:tab/>
        <w:t>2019年利润分配方案：以公司总股本805,211,317股为基数向全体股东每10股派发现金股利</w:t>
      </w:r>
      <w:r>
        <w:rPr>
          <w:color w:val="000000"/>
          <w:spacing w:val="0"/>
          <w:w w:val="100"/>
          <w:position w:val="0"/>
        </w:rPr>
        <w:t>0.9</w:t>
      </w:r>
      <w:r>
        <w:rPr>
          <w:color w:val="000000"/>
          <w:spacing w:val="0"/>
          <w:w w:val="100"/>
          <w:position w:val="0"/>
        </w:rPr>
        <w:t xml:space="preserve">元 人民币（含税），合计派发现金红利人民币72,469, </w:t>
      </w:r>
      <w:r>
        <w:rPr>
          <w:color w:val="000000"/>
          <w:spacing w:val="0"/>
          <w:w w:val="100"/>
          <w:position w:val="0"/>
        </w:rPr>
        <w:t>018.53</w:t>
      </w:r>
      <w:r>
        <w:rPr>
          <w:color w:val="000000"/>
          <w:spacing w:val="0"/>
          <w:w w:val="100"/>
          <w:position w:val="0"/>
        </w:rPr>
        <w:t>元。</w:t>
      </w:r>
    </w:p>
    <w:p>
      <w:pPr>
        <w:pStyle w:val="Style44"/>
        <w:keepNext w:val="0"/>
        <w:keepLines w:val="0"/>
        <w:widowControl w:val="0"/>
        <w:shd w:val="clear" w:color="auto" w:fill="auto"/>
        <w:tabs>
          <w:tab w:pos="795" w:val="left"/>
        </w:tabs>
        <w:bidi w:val="0"/>
        <w:spacing w:before="0" w:after="0" w:line="480" w:lineRule="exact"/>
        <w:ind w:left="0" w:right="0" w:firstLine="440"/>
        <w:jc w:val="left"/>
      </w:pPr>
      <w:bookmarkStart w:id="287" w:name="bookmark287"/>
      <w:r>
        <w:rPr>
          <w:color w:val="000000"/>
          <w:spacing w:val="0"/>
          <w:w w:val="100"/>
          <w:position w:val="0"/>
        </w:rPr>
        <w:t>3</w:t>
      </w:r>
      <w:bookmarkEnd w:id="287"/>
      <w:r>
        <w:rPr>
          <w:color w:val="000000"/>
          <w:spacing w:val="0"/>
          <w:w w:val="100"/>
          <w:position w:val="0"/>
        </w:rPr>
        <w:t>、</w:t>
        <w:tab/>
        <w:t>2020年利润分配方案：以公司总股本806,726,815股为基数向全体股东每10股派发现金股利1</w:t>
      </w:r>
      <w:r>
        <w:rPr>
          <w:color w:val="000000"/>
          <w:spacing w:val="0"/>
          <w:w w:val="100"/>
          <w:position w:val="0"/>
        </w:rPr>
        <w:t>.3</w:t>
      </w:r>
      <w:r>
        <w:rPr>
          <w:color w:val="000000"/>
          <w:spacing w:val="0"/>
          <w:w w:val="100"/>
          <w:position w:val="0"/>
        </w:rPr>
        <w:t>元 人民币（含税），合计派发现金红利人民币</w:t>
      </w:r>
      <w:r>
        <w:rPr>
          <w:color w:val="000000"/>
          <w:spacing w:val="0"/>
          <w:w w:val="100"/>
          <w:position w:val="0"/>
        </w:rPr>
        <w:t>104,874,485.95</w:t>
      </w:r>
      <w:r>
        <w:rPr>
          <w:color w:val="000000"/>
          <w:spacing w:val="0"/>
          <w:w w:val="100"/>
          <w:position w:val="0"/>
        </w:rPr>
        <w:t>元。</w:t>
      </w:r>
    </w:p>
    <w:p>
      <w:pPr>
        <w:pStyle w:val="Style29"/>
        <w:keepNext w:val="0"/>
        <w:keepLines w:val="0"/>
        <w:widowControl w:val="0"/>
        <w:shd w:val="clear" w:color="auto" w:fill="auto"/>
        <w:bidi w:val="0"/>
        <w:spacing w:before="0" w:after="140" w:line="439"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2"/>
        <w:gridCol w:w="1282"/>
        <w:gridCol w:w="1411"/>
        <w:gridCol w:w="864"/>
        <w:gridCol w:w="1267"/>
        <w:gridCol w:w="1272"/>
        <w:gridCol w:w="1358"/>
      </w:tblGrid>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 式（如回 购股份） 现金分红 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（含其他方式） 占合并报表中归 属于上市公司普 通股股东的净利 润的比率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104,874,485.95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374,620,968.32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104,874,485.95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72,469,018.53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289,675,573.16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72,469,018.53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63,586,624.72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303,214,679.83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63,586,624.72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20.97%</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二</w:t>
      </w:r>
      <w:bookmarkEnd w:id="290"/>
      <w:r>
        <w:rPr>
          <w:color w:val="000000"/>
          <w:spacing w:val="0"/>
          <w:w w:val="100"/>
          <w:position w:val="0"/>
          <w:sz w:val="24"/>
          <w:szCs w:val="24"/>
        </w:rPr>
        <w:t>、承诺事项履行情况</w:t>
      </w:r>
      <w:bookmarkEnd w:id="288"/>
      <w:bookmarkEnd w:id="289"/>
      <w:bookmarkEnd w:id="291"/>
    </w:p>
    <w:p>
      <w:pPr>
        <w:pStyle w:val="Style32"/>
        <w:keepNext/>
        <w:keepLines/>
        <w:widowControl w:val="0"/>
        <w:shd w:val="clear" w:color="auto" w:fill="auto"/>
        <w:bidi w:val="0"/>
        <w:spacing w:before="0" w:after="360" w:line="322" w:lineRule="exact"/>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、公司实际控制人、股东、关联方、收购人以及公司等承诺相关方在报告期内履行完毕及截至报告期末 尚未履行完毕的承诺事项</w:t>
      </w:r>
      <w:bookmarkEnd w:id="292"/>
      <w:bookmarkEnd w:id="293"/>
      <w:bookmarkEnd w:id="295"/>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998"/>
        <w:gridCol w:w="850"/>
        <w:gridCol w:w="710"/>
        <w:gridCol w:w="4536"/>
        <w:gridCol w:w="854"/>
        <w:gridCol w:w="850"/>
        <w:gridCol w:w="78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289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郭永芳、 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日起至《股份转让协议》生效之日起</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年期限届满之日止，承诺人减少美亚柏科的股份合计不得 超过</w:t>
            </w:r>
            <w:r>
              <w:rPr>
                <w:rFonts w:ascii="Times New Roman" w:eastAsia="Times New Roman" w:hAnsi="Times New Roman" w:cs="Times New Roman"/>
                <w:color w:val="000000"/>
                <w:spacing w:val="0"/>
                <w:w w:val="100"/>
                <w:position w:val="0"/>
              </w:rPr>
              <w:t>39,741,641</w:t>
            </w:r>
            <w:r>
              <w:rPr>
                <w:color w:val="000000"/>
                <w:spacing w:val="0"/>
                <w:w w:val="100"/>
                <w:position w:val="0"/>
              </w:rPr>
              <w:t>股（占《股份转让协议》签署日美亚柏科 总股本的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（承诺人之间的股份转移不计入减少的股份 和比例），如美亚柏科以累计未分配利润派发股票红利（仅 限送红股）或者以资本公积金或盈余公积金转增股本，则 可转让的股份数量相应进行增加，经过增加后的可转让股 份为：承诺人持有的美亚柏科</w:t>
            </w:r>
            <w:r>
              <w:rPr>
                <w:rFonts w:ascii="Times New Roman" w:eastAsia="Times New Roman" w:hAnsi="Times New Roman" w:cs="Times New Roman"/>
                <w:color w:val="000000"/>
                <w:spacing w:val="0"/>
                <w:w w:val="100"/>
                <w:position w:val="0"/>
              </w:rPr>
              <w:t>39,741,641</w:t>
            </w:r>
            <w:r>
              <w:rPr>
                <w:color w:val="000000"/>
                <w:spacing w:val="0"/>
                <w:w w:val="100"/>
                <w:position w:val="0"/>
              </w:rPr>
              <w:t>股股份与该等股 份所分得或增加持有的新增股份之和）。</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7891"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郭永芳、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 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、承诺美亚柏科在现有经营方针、计划、模式及经营团 队的基础上继续经营，提高核心产品市场占有率，保持电 子数据取证行业龙头地位，并承诺美亚柏科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2020</w:t>
            </w:r>
            <w:r>
              <w:rPr>
                <w:color w:val="000000"/>
                <w:spacing w:val="0"/>
                <w:w w:val="100"/>
                <w:position w:val="0"/>
              </w:rPr>
              <w:t>年度和</w:t>
            </w:r>
            <w:r>
              <w:rPr>
                <w:rFonts w:ascii="Times New Roman" w:eastAsia="Times New Roman" w:hAnsi="Times New Roman" w:cs="Times New Roman"/>
                <w:color w:val="000000"/>
                <w:spacing w:val="0"/>
                <w:w w:val="100"/>
                <w:position w:val="0"/>
              </w:rPr>
              <w:t>2021</w:t>
            </w:r>
            <w:r>
              <w:rPr>
                <w:color w:val="000000"/>
                <w:spacing w:val="0"/>
                <w:w w:val="100"/>
                <w:position w:val="0"/>
              </w:rPr>
              <w:t>年度三个年度累计实现的扣除非经常性 损益后的净利润（指美亚柏科经审计的合并财务报表范围 内归属于母公司所有者的扣除非经常性损益后的净利润， 员工股权激励费用以及现有商誉因中国会计政策的变更 所需进行的摊销，应给予加回；如果是实际经营期间出现 的承诺人不可预见且不能控制的因素导致上述净利润减 少</w:t>
            </w:r>
            <w:r>
              <w:rPr>
                <w:rFonts w:ascii="Times New Roman" w:eastAsia="Times New Roman" w:hAnsi="Times New Roman" w:cs="Times New Roman"/>
                <w:color w:val="000000"/>
                <w:spacing w:val="0"/>
                <w:w w:val="100"/>
                <w:position w:val="0"/>
              </w:rPr>
              <w:t>500</w:t>
            </w:r>
            <w:r>
              <w:rPr>
                <w:color w:val="000000"/>
                <w:spacing w:val="0"/>
                <w:w w:val="100"/>
                <w:position w:val="0"/>
              </w:rPr>
              <w:t>万元以上（含</w:t>
            </w:r>
            <w:r>
              <w:rPr>
                <w:rFonts w:ascii="Times New Roman" w:eastAsia="Times New Roman" w:hAnsi="Times New Roman" w:cs="Times New Roman"/>
                <w:color w:val="000000"/>
                <w:spacing w:val="0"/>
                <w:w w:val="100"/>
                <w:position w:val="0"/>
              </w:rPr>
              <w:t>500</w:t>
            </w:r>
            <w:r>
              <w:rPr>
                <w:color w:val="000000"/>
                <w:spacing w:val="0"/>
                <w:w w:val="100"/>
                <w:position w:val="0"/>
              </w:rPr>
              <w:t>万元），经国投智能书面同意并 认可之后，可以给予加回。以下简称</w:t>
            </w:r>
            <w:r>
              <w:rPr>
                <w:rFonts w:ascii="Times New Roman" w:eastAsia="Times New Roman" w:hAnsi="Times New Roman" w:cs="Times New Roman"/>
                <w:color w:val="000000"/>
                <w:spacing w:val="0"/>
                <w:w w:val="100"/>
                <w:position w:val="0"/>
              </w:rPr>
              <w:t>"</w:t>
            </w:r>
            <w:r>
              <w:rPr>
                <w:color w:val="000000"/>
                <w:spacing w:val="0"/>
                <w:w w:val="100"/>
                <w:position w:val="0"/>
              </w:rPr>
              <w:t>扣非净利润</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不低 于</w:t>
            </w:r>
            <w:r>
              <w:rPr>
                <w:rFonts w:ascii="Times New Roman" w:eastAsia="Times New Roman" w:hAnsi="Times New Roman" w:cs="Times New Roman"/>
                <w:color w:val="000000"/>
                <w:spacing w:val="0"/>
                <w:w w:val="100"/>
                <w:position w:val="0"/>
              </w:rPr>
              <w:t>9.03</w:t>
            </w:r>
            <w:r>
              <w:rPr>
                <w:color w:val="000000"/>
                <w:spacing w:val="0"/>
                <w:w w:val="100"/>
                <w:position w:val="0"/>
              </w:rPr>
              <w:t>亿元（以下简称</w:t>
            </w:r>
            <w:r>
              <w:rPr>
                <w:rFonts w:ascii="Times New Roman" w:eastAsia="Times New Roman" w:hAnsi="Times New Roman" w:cs="Times New Roman"/>
                <w:color w:val="000000"/>
                <w:spacing w:val="0"/>
                <w:w w:val="100"/>
                <w:position w:val="0"/>
              </w:rPr>
              <w:t>"</w:t>
            </w:r>
            <w:r>
              <w:rPr>
                <w:color w:val="000000"/>
                <w:spacing w:val="0"/>
                <w:w w:val="100"/>
                <w:position w:val="0"/>
              </w:rPr>
              <w:t>承诺累计扣非净利润数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 诺美亚柏科财务报告的编制应符合《企业会计准则》及其 他法律、法规、规章和规范性文件的规定及上市公司财务 报告编制规范、标准和指引，美亚柏科应当保持会计政策、 会计估计的连续和稳定，不得任意变更会计政策、会计估 计。美亚柏科在</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年度和</w:t>
            </w:r>
            <w:r>
              <w:rPr>
                <w:rFonts w:ascii="Times New Roman" w:eastAsia="Times New Roman" w:hAnsi="Times New Roman" w:cs="Times New Roman"/>
                <w:color w:val="000000"/>
                <w:spacing w:val="0"/>
                <w:w w:val="100"/>
                <w:position w:val="0"/>
              </w:rPr>
              <w:t>2021</w:t>
            </w:r>
            <w:r>
              <w:rPr>
                <w:color w:val="000000"/>
                <w:spacing w:val="0"/>
                <w:w w:val="100"/>
                <w:position w:val="0"/>
              </w:rPr>
              <w:t>年度三个年 度累计实现的实际扣非净利润数（以下简称''实际累计扣 非净利润数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低于承诺累计扣非净利润数的，承诺人同 意以现金方式对国投智能进行补偿，现金补偿金额</w:t>
            </w:r>
            <w:r>
              <w:rPr>
                <w:rFonts w:ascii="Times New Roman" w:eastAsia="Times New Roman" w:hAnsi="Times New Roman" w:cs="Times New Roman"/>
                <w:color w:val="000000"/>
                <w:spacing w:val="0"/>
                <w:w w:val="100"/>
                <w:position w:val="0"/>
              </w:rPr>
              <w:t>=</w:t>
            </w:r>
            <w:r>
              <w:rPr>
                <w:color w:val="000000"/>
                <w:spacing w:val="0"/>
                <w:w w:val="100"/>
                <w:position w:val="0"/>
              </w:rPr>
              <w:t>（承 诺累计扣非净利润数一实际累计扣非净利润数）</w:t>
            </w:r>
            <w:r>
              <w:rPr>
                <w:rFonts w:ascii="Times New Roman" w:eastAsia="Times New Roman" w:hAnsi="Times New Roman" w:cs="Times New Roman"/>
                <w:color w:val="000000"/>
                <w:spacing w:val="0"/>
                <w:w w:val="100"/>
                <w:position w:val="0"/>
              </w:rPr>
              <w:t>+</w:t>
            </w:r>
            <w:r>
              <w:rPr>
                <w:color w:val="000000"/>
                <w:spacing w:val="0"/>
                <w:w w:val="100"/>
                <w:position w:val="0"/>
              </w:rPr>
              <w:t>承诺累 计扣非净利润数</w:t>
            </w:r>
            <w:r>
              <w:rPr>
                <w:rFonts w:ascii="Times New Roman" w:eastAsia="Times New Roman" w:hAnsi="Times New Roman" w:cs="Times New Roman"/>
                <w:color w:val="000000"/>
                <w:spacing w:val="0"/>
                <w:w w:val="100"/>
                <w:position w:val="0"/>
              </w:rPr>
              <w:t>x</w:t>
            </w:r>
            <w:r>
              <w:rPr>
                <w:color w:val="000000"/>
                <w:spacing w:val="0"/>
                <w:w w:val="100"/>
                <w:position w:val="0"/>
              </w:rPr>
              <w:t xml:space="preserve">承诺人实收股份转让价款。国投智能在 </w:t>
            </w:r>
            <w:r>
              <w:rPr>
                <w:rFonts w:ascii="Times New Roman" w:eastAsia="Times New Roman" w:hAnsi="Times New Roman" w:cs="Times New Roman"/>
                <w:color w:val="000000"/>
                <w:spacing w:val="0"/>
                <w:w w:val="100"/>
                <w:position w:val="0"/>
              </w:rPr>
              <w:t>2021</w:t>
            </w:r>
            <w:r>
              <w:rPr>
                <w:color w:val="000000"/>
                <w:spacing w:val="0"/>
                <w:w w:val="100"/>
                <w:position w:val="0"/>
              </w:rPr>
              <w:t>年度的年度报告披露后，以书面方式通知转让方履行 业绩补偿义务，承诺人于收到书面通知后的</w:t>
            </w:r>
            <w:r>
              <w:rPr>
                <w:rFonts w:ascii="Times New Roman" w:eastAsia="Times New Roman" w:hAnsi="Times New Roman" w:cs="Times New Roman"/>
                <w:color w:val="000000"/>
                <w:spacing w:val="0"/>
                <w:w w:val="100"/>
                <w:position w:val="0"/>
              </w:rPr>
              <w:t>30</w:t>
            </w:r>
            <w:r>
              <w:rPr>
                <w:color w:val="000000"/>
                <w:spacing w:val="0"/>
                <w:w w:val="100"/>
                <w:position w:val="0"/>
              </w:rPr>
              <w:t>个工作日 内完成业绩补偿事项。</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的年度报 告披露后 </w:t>
            </w:r>
            <w:r>
              <w:rPr>
                <w:rFonts w:ascii="Times New Roman" w:eastAsia="Times New Roman" w:hAnsi="Times New Roman" w:cs="Times New Roman"/>
                <w:color w:val="000000"/>
                <w:spacing w:val="0"/>
                <w:w w:val="100"/>
                <w:position w:val="0"/>
              </w:rPr>
              <w:t>30</w:t>
            </w:r>
            <w:r>
              <w:rPr>
                <w:color w:val="000000"/>
                <w:spacing w:val="0"/>
                <w:w w:val="100"/>
                <w:position w:val="0"/>
              </w:rPr>
              <w:t>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4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郭永芳、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日起至下述孰早时间止：（</w:t>
            </w:r>
            <w:r>
              <w:rPr>
                <w:rFonts w:ascii="Times New Roman" w:eastAsia="Times New Roman" w:hAnsi="Times New Roman" w:cs="Times New Roman"/>
                <w:color w:val="000000"/>
                <w:spacing w:val="0"/>
                <w:w w:val="100"/>
                <w:position w:val="0"/>
              </w:rPr>
              <w:t>1</w:t>
            </w:r>
            <w:r>
              <w:rPr>
                <w:color w:val="000000"/>
                <w:spacing w:val="0"/>
                <w:w w:val="100"/>
                <w:position w:val="0"/>
              </w:rPr>
              <w:t>）国投智 能仅通过其所持有的有表决权的股份成为美亚柏科第一 大股东且获得美亚柏科实际控制权之日；（</w:t>
            </w:r>
            <w:r>
              <w:rPr>
                <w:rFonts w:ascii="Times New Roman" w:eastAsia="Times New Roman" w:hAnsi="Times New Roman" w:cs="Times New Roman"/>
                <w:color w:val="000000"/>
                <w:spacing w:val="0"/>
                <w:w w:val="100"/>
                <w:position w:val="0"/>
              </w:rPr>
              <w:t>2</w:t>
            </w:r>
            <w:r>
              <w:rPr>
                <w:color w:val="000000"/>
                <w:spacing w:val="0"/>
                <w:w w:val="100"/>
                <w:position w:val="0"/>
              </w:rPr>
              <w:t>）自《股份转 让协议》生效之日起</w:t>
            </w:r>
            <w:r>
              <w:rPr>
                <w:rFonts w:ascii="Times New Roman" w:eastAsia="Times New Roman" w:hAnsi="Times New Roman" w:cs="Times New Roman"/>
                <w:color w:val="000000"/>
                <w:spacing w:val="0"/>
                <w:w w:val="100"/>
                <w:position w:val="0"/>
              </w:rPr>
              <w:t>5</w:t>
            </w:r>
            <w:r>
              <w:rPr>
                <w:color w:val="000000"/>
                <w:spacing w:val="0"/>
                <w:w w:val="100"/>
                <w:position w:val="0"/>
              </w:rPr>
              <w:t>年期限届满之日，承诺人将尽全力 协助国投智能按照《股份转让协议》及其他有关安排维持 美亚柏科的实际控制权并全力协助国投智能增持美亚柏 科有表决权股份以进一步巩固国投智能在美亚柏科中的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起至下述 孰早时间 止：⑴ 国投智能 仅通过其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505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实际控制权。在国投智能通过有表决权股份取得美亚柏科 的实际控制权之后，承诺人将在法定范围内协助国投智能 维持其对美亚柏科的实际控制权，承诺人不会以任何方式 自主或协助任何第三方谋求对美亚柏科的实际控制权。未 经国投智能事先书面同意，承诺人不可以任何方式直接或 间接增持美亚柏科的股份。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所持有的 有表决权 的股份成 为美亚柏 科第一大 股东且获 得美亚柏 科实际控 制权之 日；（</w:t>
            </w:r>
            <w:r>
              <w:rPr>
                <w:rFonts w:ascii="Times New Roman" w:eastAsia="Times New Roman" w:hAnsi="Times New Roman" w:cs="Times New Roman"/>
                <w:color w:val="000000"/>
                <w:spacing w:val="0"/>
                <w:w w:val="100"/>
                <w:position w:val="0"/>
              </w:rPr>
              <w:t>2</w:t>
            </w:r>
            <w:r>
              <w:rPr>
                <w:color w:val="000000"/>
                <w:spacing w:val="0"/>
                <w:w w:val="100"/>
                <w:position w:val="0"/>
              </w:rPr>
              <w:t>） 自《股份 转让协 议》生效 之日起</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年期限届 满之日。</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苏学武、 韦玉荣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日起至下述孰早时间止：（</w:t>
            </w:r>
            <w:r>
              <w:rPr>
                <w:rFonts w:ascii="Times New Roman" w:eastAsia="Times New Roman" w:hAnsi="Times New Roman" w:cs="Times New Roman"/>
                <w:color w:val="000000"/>
                <w:spacing w:val="0"/>
                <w:w w:val="100"/>
                <w:position w:val="0"/>
              </w:rPr>
              <w:t>1</w:t>
            </w:r>
            <w:r>
              <w:rPr>
                <w:color w:val="000000"/>
                <w:spacing w:val="0"/>
                <w:w w:val="100"/>
                <w:position w:val="0"/>
              </w:rPr>
              <w:t>）国投智 能仅通过其所持有的有表决权的股份成为美亚柏科第一 大股东且获得美亚柏科实际控制权之日；（</w:t>
            </w:r>
            <w:r>
              <w:rPr>
                <w:rFonts w:ascii="Times New Roman" w:eastAsia="Times New Roman" w:hAnsi="Times New Roman" w:cs="Times New Roman"/>
                <w:color w:val="000000"/>
                <w:spacing w:val="0"/>
                <w:w w:val="100"/>
                <w:position w:val="0"/>
              </w:rPr>
              <w:t>2</w:t>
            </w:r>
            <w:r>
              <w:rPr>
                <w:color w:val="000000"/>
                <w:spacing w:val="0"/>
                <w:w w:val="100"/>
                <w:position w:val="0"/>
              </w:rPr>
              <w:t>）自《股份转 让协议》生效之日起</w:t>
            </w:r>
            <w:r>
              <w:rPr>
                <w:rFonts w:ascii="Times New Roman" w:eastAsia="Times New Roman" w:hAnsi="Times New Roman" w:cs="Times New Roman"/>
                <w:color w:val="000000"/>
                <w:spacing w:val="0"/>
                <w:w w:val="100"/>
                <w:position w:val="0"/>
              </w:rPr>
              <w:t>5</w:t>
            </w:r>
            <w:r>
              <w:rPr>
                <w:color w:val="000000"/>
                <w:spacing w:val="0"/>
                <w:w w:val="100"/>
                <w:position w:val="0"/>
              </w:rPr>
              <w:t>年期限届满之日，承诺人将尽全力 协助国投智能按照《股份转让协议》及其他有关安排维持 美亚柏科的实际控制权并全力协助国投智能增持美亚柏 科有表决权股份以进一步巩固国投智能在美亚柏科中的 实际控制权。除《股份转让协议》或承诺人已签署的书面 文件（如有）明确规定的合同义务以外，前述协助或其他 安排的履行不应损害承诺人自身的公平利益。</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起至下述 孰早时间 止：⑴ 国投智能 仅通过其 所持有的 有表决权 的股份成 为美亚柏 科第一大 股东且获 得美亚柏 科实际控 制权之 日；（</w:t>
            </w:r>
            <w:r>
              <w:rPr>
                <w:rFonts w:ascii="Times New Roman" w:eastAsia="Times New Roman" w:hAnsi="Times New Roman" w:cs="Times New Roman"/>
                <w:color w:val="000000"/>
                <w:spacing w:val="0"/>
                <w:w w:val="100"/>
                <w:position w:val="0"/>
              </w:rPr>
              <w:t>2</w:t>
            </w:r>
            <w:r>
              <w:rPr>
                <w:color w:val="000000"/>
                <w:spacing w:val="0"/>
                <w:w w:val="100"/>
                <w:position w:val="0"/>
              </w:rPr>
              <w:t>） 自《股份 转让协 议》生效 之日起</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年期限届 满之日。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滕达、申 强、苏学 武、韦玉 荣、吴鸿 伟、张雪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、本人承诺在职期间，遵守法律、行政法规和公司章 程的规定，严格遵守公司内部的规章制度。本人已与美亚 柏科签署了《劳动合同》，并承诺自《股份转让协议》项 下所约定的标的股份过户之日起三年内不从美亚柏科离 职（本人在美亚柏科及其子公司之间进行调动的除外）。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69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峰、蔡志 评、栾江 霞、张乃 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若因特殊原因，导致本人无法履行上述承诺，本人将与国 投智能提前沟通，在违反承诺的行为发生前取得国投智能 书面谅解。在取得国投智能书面谅解后，不视为本人违反 承诺。</w:t>
            </w:r>
            <w:r>
              <w:rPr>
                <w:rFonts w:ascii="Times New Roman" w:eastAsia="Times New Roman" w:hAnsi="Times New Roman" w:cs="Times New Roman"/>
                <w:color w:val="000000"/>
                <w:spacing w:val="0"/>
                <w:w w:val="100"/>
                <w:position w:val="0"/>
              </w:rPr>
              <w:t>2</w:t>
            </w:r>
            <w:r>
              <w:rPr>
                <w:color w:val="000000"/>
                <w:spacing w:val="0"/>
                <w:w w:val="100"/>
                <w:position w:val="0"/>
              </w:rPr>
              <w:t>、本人承诺（</w:t>
            </w:r>
            <w:r>
              <w:rPr>
                <w:rFonts w:ascii="Times New Roman" w:eastAsia="Times New Roman" w:hAnsi="Times New Roman" w:cs="Times New Roman"/>
                <w:color w:val="000000"/>
                <w:spacing w:val="0"/>
                <w:w w:val="100"/>
                <w:position w:val="0"/>
              </w:rPr>
              <w:t>1</w:t>
            </w:r>
            <w:r>
              <w:rPr>
                <w:color w:val="000000"/>
                <w:spacing w:val="0"/>
                <w:w w:val="100"/>
                <w:position w:val="0"/>
              </w:rPr>
              <w:t>）在美亚柏科任职期间，不以任 何形式从事或帮助他人从事与美亚柏科构成竞争关系的 业务经营活动或其他活动；（</w:t>
            </w:r>
            <w:r>
              <w:rPr>
                <w:rFonts w:ascii="Times New Roman" w:eastAsia="Times New Roman" w:hAnsi="Times New Roman" w:cs="Times New Roman"/>
                <w:color w:val="000000"/>
                <w:spacing w:val="0"/>
                <w:w w:val="100"/>
                <w:position w:val="0"/>
              </w:rPr>
              <w:t>2</w:t>
            </w:r>
            <w:r>
              <w:rPr>
                <w:color w:val="000000"/>
                <w:spacing w:val="0"/>
                <w:w w:val="100"/>
                <w:position w:val="0"/>
              </w:rPr>
              <w:t>）在从美亚柏科离职后两年 内，不得直接或间接从事与美亚柏科构成竞争关系的业务 或者在与美亚柏科构成竞争关系的企业中担任职务或为 其提供咨询、顾问等服务。本人已与美亚柏科签署了《保 密及竞业限制协议》，并将切实履行该协议项下的竞业限 制义务。</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日期间， 本人减少所持有的美亚柏科的股份不得超过本人在《股份 转让协议》项下所约定的标的股份过户之后所持有的美亚 柏科股份数量的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、为进一步表明本人与美亚柏科 共创美好未来的信心，本人同意，如果本人违反以上承诺, 本人将失去股权激励计划的资格（不包含原始股和发股收 购形成的限售股），对于本人在违反承诺的行为发生时已 获授但尚未行权的股票期权和尚未解除限售的限制性股 票，美亚柏科有权注销和回购注销，回购价格为授予价格, 已行权的股票期权</w:t>
            </w:r>
            <w:r>
              <w:rPr>
                <w:rFonts w:ascii="Times New Roman" w:eastAsia="Times New Roman" w:hAnsi="Times New Roman" w:cs="Times New Roman"/>
                <w:color w:val="000000"/>
                <w:spacing w:val="0"/>
                <w:w w:val="100"/>
                <w:position w:val="0"/>
              </w:rPr>
              <w:t>/</w:t>
            </w:r>
            <w:r>
              <w:rPr>
                <w:color w:val="000000"/>
                <w:spacing w:val="0"/>
                <w:w w:val="100"/>
                <w:position w:val="0"/>
              </w:rPr>
              <w:t>已解除限售的限制性股票继续有效。如 因本人的行为给美亚柏科的经营造成损失的，本人愿意依 法向美亚柏科承担赔偿责任。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标的资产历史沿革事项的承诺</w:t>
            </w:r>
            <w:r>
              <w:rPr>
                <w:rFonts w:ascii="Times New Roman" w:eastAsia="Times New Roman" w:hAnsi="Times New Roman" w:cs="Times New Roman"/>
                <w:color w:val="000000"/>
                <w:spacing w:val="0"/>
                <w:w w:val="100"/>
                <w:position w:val="0"/>
              </w:rPr>
              <w:t>1</w:t>
            </w:r>
            <w:r>
              <w:rPr>
                <w:color w:val="000000"/>
                <w:spacing w:val="0"/>
                <w:w w:val="100"/>
                <w:position w:val="0"/>
              </w:rPr>
              <w:t>、新德汇成立于</w:t>
            </w:r>
            <w:r>
              <w:rPr>
                <w:rFonts w:ascii="Times New Roman" w:eastAsia="Times New Roman" w:hAnsi="Times New Roman" w:cs="Times New Roman"/>
                <w:color w:val="000000"/>
                <w:spacing w:val="0"/>
                <w:w w:val="100"/>
                <w:position w:val="0"/>
              </w:rPr>
              <w:t>1994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日，成立时股东为贺湘权（现已更名为贺湘荃）、 贺湘生、崔丹梅，贺湘生、贺湘荃各以现金出资</w:t>
            </w:r>
            <w:r>
              <w:rPr>
                <w:rFonts w:ascii="Times New Roman" w:eastAsia="Times New Roman" w:hAnsi="Times New Roman" w:cs="Times New Roman"/>
                <w:color w:val="000000"/>
                <w:spacing w:val="0"/>
                <w:w w:val="100"/>
                <w:position w:val="0"/>
              </w:rPr>
              <w:t>15</w:t>
            </w:r>
            <w:r>
              <w:rPr>
                <w:color w:val="000000"/>
                <w:spacing w:val="0"/>
                <w:w w:val="100"/>
                <w:position w:val="0"/>
              </w:rPr>
              <w:t>万元, 崔丹梅以房产作价出资</w:t>
            </w:r>
            <w:r>
              <w:rPr>
                <w:rFonts w:ascii="Times New Roman" w:eastAsia="Times New Roman" w:hAnsi="Times New Roman" w:cs="Times New Roman"/>
                <w:color w:val="000000"/>
                <w:spacing w:val="0"/>
                <w:w w:val="100"/>
                <w:position w:val="0"/>
              </w:rPr>
              <w:t>36</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贺湘生与苏学武签订《珠海经济特区新德汇企业有限公司 法定代表人、经营场所变更协议书》将新德汇法定代表人 由贺湘生变更为苏学武，贺湘荃作为股东在该协议书下方 签字。同时，三位原股东即将新德汇股权全部转让给苏学 武和钟鹰，苏学武、钟鹰各受让新德汇</w:t>
            </w:r>
            <w:r>
              <w:rPr>
                <w:rFonts w:ascii="Times New Roman" w:eastAsia="Times New Roman" w:hAnsi="Times New Roman" w:cs="Times New Roman"/>
                <w:color w:val="000000"/>
                <w:spacing w:val="0"/>
                <w:w w:val="100"/>
                <w:position w:val="0"/>
              </w:rPr>
              <w:t>50%</w:t>
            </w:r>
            <w:r>
              <w:rPr>
                <w:color w:val="000000"/>
                <w:spacing w:val="0"/>
                <w:w w:val="100"/>
                <w:position w:val="0"/>
              </w:rPr>
              <w:t>的股权。但相 关转股工商档案由于主管工商机关变更时遗失且年代久 远，现已无法取得。该次股权转让的转让价款已经全部由 苏学武、钟鹰付清，股权已经全部过户给苏学武、钟鹰， 交易各方没有争议。</w:t>
            </w:r>
            <w:r>
              <w:rPr>
                <w:rFonts w:ascii="Times New Roman" w:eastAsia="Times New Roman" w:hAnsi="Times New Roman" w:cs="Times New Roman"/>
                <w:color w:val="000000"/>
                <w:spacing w:val="0"/>
                <w:w w:val="100"/>
                <w:position w:val="0"/>
              </w:rPr>
              <w:t>3</w:t>
            </w:r>
            <w:r>
              <w:rPr>
                <w:color w:val="000000"/>
                <w:spacing w:val="0"/>
                <w:w w:val="100"/>
                <w:position w:val="0"/>
              </w:rPr>
              <w:t>、自受让股权至今，本人及新德汇 从未收到且亦未预见将收到任何第三方对新德汇股权的 任何权利主张或异议。</w:t>
            </w:r>
            <w:r>
              <w:rPr>
                <w:rFonts w:ascii="Times New Roman" w:eastAsia="Times New Roman" w:hAnsi="Times New Roman" w:cs="Times New Roman"/>
                <w:color w:val="000000"/>
                <w:spacing w:val="0"/>
                <w:w w:val="100"/>
                <w:position w:val="0"/>
              </w:rPr>
              <w:t>4</w:t>
            </w:r>
            <w:r>
              <w:rPr>
                <w:color w:val="000000"/>
                <w:spacing w:val="0"/>
                <w:w w:val="100"/>
                <w:position w:val="0"/>
              </w:rPr>
              <w:t>、本人承诺若新德汇及</w:t>
            </w:r>
            <w:r>
              <w:rPr>
                <w:rFonts w:ascii="Times New Roman" w:eastAsia="Times New Roman" w:hAnsi="Times New Roman" w:cs="Times New Roman"/>
                <w:color w:val="000000"/>
                <w:spacing w:val="0"/>
                <w:w w:val="100"/>
                <w:position w:val="0"/>
              </w:rPr>
              <w:t>/</w:t>
            </w:r>
            <w:r>
              <w:rPr>
                <w:color w:val="000000"/>
                <w:spacing w:val="0"/>
                <w:w w:val="100"/>
                <w:position w:val="0"/>
              </w:rPr>
              <w:t>或美亚柏 科因上述股东变更的相关资料缺失而造成受到任何损失， 本人将就该等损失向新德汇及</w:t>
            </w:r>
            <w:r>
              <w:rPr>
                <w:rFonts w:ascii="Times New Roman" w:eastAsia="Times New Roman" w:hAnsi="Times New Roman" w:cs="Times New Roman"/>
                <w:color w:val="000000"/>
                <w:spacing w:val="0"/>
                <w:w w:val="100"/>
                <w:position w:val="0"/>
              </w:rPr>
              <w:t>/</w:t>
            </w:r>
            <w:r>
              <w:rPr>
                <w:color w:val="000000"/>
                <w:spacing w:val="0"/>
                <w:w w:val="100"/>
                <w:position w:val="0"/>
              </w:rPr>
              <w:t>或美亚柏科予以及时、充分 补偿，使新德汇及美亚柏科不受损失。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0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郭永芳； 滕达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保证上市公司独立性的承诺</w:t>
            </w:r>
            <w:r>
              <w:rPr>
                <w:rFonts w:ascii="Times New Roman" w:eastAsia="Times New Roman" w:hAnsi="Times New Roman" w:cs="Times New Roman"/>
                <w:color w:val="000000"/>
                <w:spacing w:val="0"/>
                <w:w w:val="100"/>
                <w:position w:val="0"/>
              </w:rPr>
              <w:t>1</w:t>
            </w:r>
            <w:r>
              <w:rPr>
                <w:color w:val="000000"/>
                <w:spacing w:val="0"/>
                <w:w w:val="100"/>
                <w:position w:val="0"/>
              </w:rPr>
              <w:t>、本人（包括本人的一致行 动人）与公司的人员、资产、财务分开，机构、业务独立, 公司能够自主经营管理。公司最近十二个月内不存在违规 对外提供担保或者资金被本人（包括本人的一致行动人）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193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及其控制的其他企业以借款、代偿债务、代垫款项或者其 他方式占用的情形。</w:t>
            </w:r>
            <w:r>
              <w:rPr>
                <w:rFonts w:ascii="Times New Roman" w:eastAsia="Times New Roman" w:hAnsi="Times New Roman" w:cs="Times New Roman"/>
                <w:color w:val="000000"/>
                <w:spacing w:val="0"/>
                <w:w w:val="100"/>
                <w:position w:val="0"/>
              </w:rPr>
              <w:t>2</w:t>
            </w:r>
            <w:r>
              <w:rPr>
                <w:color w:val="000000"/>
                <w:spacing w:val="0"/>
                <w:w w:val="100"/>
                <w:position w:val="0"/>
              </w:rPr>
              <w:t>、在本次交易完成后，将保证美亚 柏科的人员独立性、资产独立性、财务独立性、机构独立 性和业务独立性，使之符合《上市公司重大资产重组管理 办法》第十一条第（六）项之规定和第四十三条第一款第</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（一）项之规定。</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 亚柏科信 息股份有 限公司； 郭永芳； 滕达；李 国林；申 强；卢永 华；曲晓 辉；仲丽 华；刘冬 颖；屈文 洲；吴鸿 伟；张乃 军；张雪 峰；赵庸; 葛鹏；栾 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美亚柏科及其全体董事、监事及高级管理人员：关于提 供材料真实性、准确性、完整性的承诺本公司及董事会全 体成员、监事会全体成员、全部高级管理人员保证本次交 易的信息披露和申请文件的内容真实、准确和完整，不存 在虚假记载、误导性陈述或重大遗漏，并对本次交易的信 息披露和申请文件中的虚假记载、误导性陈述或者重大遗 漏承担个别及连带的法律责任。如本次交易因涉嫌所提供 或者披露的信息存在虚假记载、误导性陈述或者重大遗 漏，被司法机关立案侦查或者被中国证监会立案调查的， 在案件调查结论明确之前，将暂停转让其在上市公司拥有 权益的股份。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4766"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郭永芳； 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、本人未直接或间接从事与美亚柏科及其下属子公司相 同或相似业务的情形。</w:t>
            </w:r>
            <w:r>
              <w:rPr>
                <w:rFonts w:ascii="Times New Roman" w:eastAsia="Times New Roman" w:hAnsi="Times New Roman" w:cs="Times New Roman"/>
                <w:color w:val="000000"/>
                <w:spacing w:val="0"/>
                <w:w w:val="100"/>
                <w:position w:val="0"/>
              </w:rPr>
              <w:t>2</w:t>
            </w:r>
            <w:r>
              <w:rPr>
                <w:color w:val="000000"/>
                <w:spacing w:val="0"/>
                <w:w w:val="100"/>
                <w:position w:val="0"/>
              </w:rPr>
              <w:t>、本人及本人直接或间接控制的 其他企业不会直接或间接经营任何与美亚柏科及其下属 子公司经营业务构成竞争或可能构成竞争的业务，亦不会 投资任何与美亚柏科及其下属子公司经营的业务构成竞 争或可能构成竞争的其他企业；如本人及本人控制的企业 与美亚柏科及其下属子公司经营的业务产生竞争，则本人 及本人控制的企业将采取停止经营产生竞争的业务的方 式，或者采取将竞争的业务纳入美亚柏科的方式，或者采 取将产生竞争的业务转让给无关联第三方等合法方式，使 本人及本人控制的企业不再从事与美亚柏科及其下属子 公司主营业务相同或类似的业务，以避免同业竞争。</w:t>
            </w:r>
            <w:r>
              <w:rPr>
                <w:rFonts w:ascii="Times New Roman" w:eastAsia="Times New Roman" w:hAnsi="Times New Roman" w:cs="Times New Roman"/>
                <w:color w:val="000000"/>
                <w:spacing w:val="0"/>
                <w:w w:val="100"/>
                <w:position w:val="0"/>
              </w:rPr>
              <w:t>3</w:t>
            </w:r>
            <w:r>
              <w:rPr>
                <w:color w:val="000000"/>
                <w:spacing w:val="0"/>
                <w:w w:val="100"/>
                <w:position w:val="0"/>
              </w:rPr>
              <w:t>、 如违反上述承诺给美亚柏科造成损失的，本人将依法作出 赔偿。</w:t>
            </w:r>
            <w:r>
              <w:rPr>
                <w:rFonts w:ascii="Times New Roman" w:eastAsia="Times New Roman" w:hAnsi="Times New Roman" w:cs="Times New Roman"/>
                <w:color w:val="000000"/>
                <w:spacing w:val="0"/>
                <w:w w:val="100"/>
                <w:position w:val="0"/>
              </w:rPr>
              <w:t>4</w:t>
            </w:r>
            <w:r>
              <w:rPr>
                <w:color w:val="000000"/>
                <w:spacing w:val="0"/>
                <w:w w:val="100"/>
                <w:position w:val="0"/>
              </w:rPr>
              <w:t>、上述承诺至本人不再作为本公司的实际控制人 满两年之日终止。</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1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安林冲； 包志翔； 陈燕；仇 宏远；郭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 业竞争、 关联交 易、资金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一、避免同业竞争的承诺</w:t>
            </w:r>
            <w:r>
              <w:rPr>
                <w:rFonts w:ascii="Times New Roman" w:eastAsia="Times New Roman" w:hAnsi="Times New Roman" w:cs="Times New Roman"/>
                <w:color w:val="000000"/>
                <w:spacing w:val="0"/>
                <w:w w:val="100"/>
                <w:position w:val="0"/>
              </w:rPr>
              <w:t>1</w:t>
            </w:r>
            <w:r>
              <w:rPr>
                <w:color w:val="000000"/>
                <w:spacing w:val="0"/>
                <w:w w:val="100"/>
                <w:position w:val="0"/>
              </w:rPr>
              <w:t>、本次重组前，本人未直接或 间接从事与美亚柏科及其下属子公司相同或相似业务的 情形。</w:t>
            </w:r>
            <w:r>
              <w:rPr>
                <w:rFonts w:ascii="Times New Roman" w:eastAsia="Times New Roman" w:hAnsi="Times New Roman" w:cs="Times New Roman"/>
                <w:color w:val="000000"/>
                <w:spacing w:val="0"/>
                <w:w w:val="100"/>
                <w:position w:val="0"/>
              </w:rPr>
              <w:t>2</w:t>
            </w:r>
            <w:r>
              <w:rPr>
                <w:color w:val="000000"/>
                <w:spacing w:val="0"/>
                <w:w w:val="100"/>
                <w:position w:val="0"/>
              </w:rPr>
              <w:t>、本次重组完成后，本人及本人直接或间接控制 的其他企业不会直接或间接经营任何与美亚柏科及其下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1004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玉智；韩 海青；黄 新；李佳; 李江；卢 晓英；任 炜；孙士 玉；王亚 明；韦玉 荣；叶树 军；张红 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属子公司经营业务构成竞争或可能构成竞争的业务，亦不 会投资任何与美亚柏科及其下属子公司经营的业务构成 竞争或可能构成竞争的其他企业；如本人及本人控制的企 业与美亚柏科及其下属子公司经营的业务产生竞争，则本 人及本人控制的企业将采取停止经营产生竞争的业务的 方式，或者采取将竞争的业务纳入美亚柏科的方式，或者 采取将产生竞争的业务转让给无关联关系第三方等合法 方式，使本人及本人控制的企业不再从事与美亚柏科及其 下属子公司主营业务相同或类似的业务，以避免同业竞 争。</w:t>
            </w:r>
            <w:r>
              <w:rPr>
                <w:rFonts w:ascii="Times New Roman" w:eastAsia="Times New Roman" w:hAnsi="Times New Roman" w:cs="Times New Roman"/>
                <w:color w:val="000000"/>
                <w:spacing w:val="0"/>
                <w:w w:val="100"/>
                <w:position w:val="0"/>
              </w:rPr>
              <w:t>3</w:t>
            </w:r>
            <w:r>
              <w:rPr>
                <w:color w:val="000000"/>
                <w:spacing w:val="0"/>
                <w:w w:val="100"/>
                <w:position w:val="0"/>
              </w:rPr>
              <w:t>、如违反上述承诺给美亚柏科造成损失的，本人将 依法作出赔偿。二、关于规范及减少关联交易的承诺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 本次重组完成后，本人及本人的关联企业与美亚柏科及其 包括目标公司在内的合并报表范围内各级控股公司将尽 可能的避免和减少关联交易。</w:t>
            </w:r>
            <w:r>
              <w:rPr>
                <w:rFonts w:ascii="Times New Roman" w:eastAsia="Times New Roman" w:hAnsi="Times New Roman" w:cs="Times New Roman"/>
                <w:color w:val="000000"/>
                <w:spacing w:val="0"/>
                <w:w w:val="100"/>
                <w:position w:val="0"/>
              </w:rPr>
              <w:t>2</w:t>
            </w:r>
            <w:r>
              <w:rPr>
                <w:color w:val="000000"/>
                <w:spacing w:val="0"/>
                <w:w w:val="100"/>
                <w:position w:val="0"/>
              </w:rPr>
              <w:t>、对于确有必要且无法避 免的关联交易，本人及本人的关联企业将遵循市场化的公 正、公平、公开的原则，按照有关法律法规、规范性文件 和章程等有关规定，履行包括回避表决等合法程序，不通 过关联关系谋求特殊的利益，不会进行任何有损美亚柏科 和美亚柏科其他股东利益、特别是中小股东利益的关联交 易。</w:t>
            </w:r>
            <w:r>
              <w:rPr>
                <w:rFonts w:ascii="Times New Roman" w:eastAsia="Times New Roman" w:hAnsi="Times New Roman" w:cs="Times New Roman"/>
                <w:color w:val="000000"/>
                <w:spacing w:val="0"/>
                <w:w w:val="100"/>
                <w:position w:val="0"/>
              </w:rPr>
              <w:t>3</w:t>
            </w:r>
            <w:r>
              <w:rPr>
                <w:color w:val="000000"/>
                <w:spacing w:val="0"/>
                <w:w w:val="100"/>
                <w:position w:val="0"/>
              </w:rPr>
              <w:t>、本人及本人的关联企业与目标公司之间资金往来 情况（如有），均发生在本次重组前，且相关资金占用款 项已于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月前全部偿还；本人及本人的关联企业 将不以任何方式违法违规占用美亚柏科及其包括目标公 司在内的合并报表范围内各级控股公司的资金、资产，亦 不要求美亚柏科及其包括目标公司在内的合并报表范围 内各级控股公司为本人及本人的关联企业进行违规担保。 </w:t>
            </w:r>
            <w:r>
              <w:rPr>
                <w:rFonts w:ascii="Times New Roman" w:eastAsia="Times New Roman" w:hAnsi="Times New Roman" w:cs="Times New Roman"/>
                <w:color w:val="000000"/>
                <w:spacing w:val="0"/>
                <w:w w:val="100"/>
                <w:position w:val="0"/>
              </w:rPr>
              <w:t>4</w:t>
            </w:r>
            <w:r>
              <w:rPr>
                <w:color w:val="000000"/>
                <w:spacing w:val="0"/>
                <w:w w:val="100"/>
                <w:position w:val="0"/>
              </w:rPr>
              <w:t>、为规范关联交易和杜绝关联方占用资金的隐患，江苏 税软已完善内控制度，且本次重组完成后江苏税软将进行 董事会改选，美亚柏科有权任命江苏税软的财务总监，江 苏税软将按照上市公司要求规范关联交易审批程序。</w:t>
            </w:r>
            <w:r>
              <w:rPr>
                <w:rFonts w:ascii="Times New Roman" w:eastAsia="Times New Roman" w:hAnsi="Times New Roman" w:cs="Times New Roman"/>
                <w:color w:val="000000"/>
                <w:spacing w:val="0"/>
                <w:w w:val="100"/>
                <w:position w:val="0"/>
              </w:rPr>
              <w:t>5</w:t>
            </w:r>
            <w:r>
              <w:rPr>
                <w:color w:val="000000"/>
                <w:spacing w:val="0"/>
                <w:w w:val="100"/>
                <w:position w:val="0"/>
              </w:rPr>
              <w:t>、 如违反上述承诺给美亚柏科造成损失的，本人将依法作出 赔偿。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邓炽成； 水军；苏 学武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一、避免同业竞争的承诺</w:t>
            </w:r>
            <w:r>
              <w:rPr>
                <w:rFonts w:ascii="Times New Roman" w:eastAsia="Times New Roman" w:hAnsi="Times New Roman" w:cs="Times New Roman"/>
                <w:color w:val="000000"/>
                <w:spacing w:val="0"/>
                <w:w w:val="100"/>
                <w:position w:val="0"/>
              </w:rPr>
              <w:t>1</w:t>
            </w:r>
            <w:r>
              <w:rPr>
                <w:color w:val="000000"/>
                <w:spacing w:val="0"/>
                <w:w w:val="100"/>
                <w:position w:val="0"/>
              </w:rPr>
              <w:t>、本次重组前，除所经营新德 汇外本人未直接或间接从事与美亚柏科及其下属子公司 相同或相似业务的情形。</w:t>
            </w:r>
            <w:r>
              <w:rPr>
                <w:rFonts w:ascii="Times New Roman" w:eastAsia="Times New Roman" w:hAnsi="Times New Roman" w:cs="Times New Roman"/>
                <w:color w:val="000000"/>
                <w:spacing w:val="0"/>
                <w:w w:val="100"/>
                <w:position w:val="0"/>
              </w:rPr>
              <w:t>2</w:t>
            </w:r>
            <w:r>
              <w:rPr>
                <w:color w:val="000000"/>
                <w:spacing w:val="0"/>
                <w:w w:val="100"/>
                <w:position w:val="0"/>
              </w:rPr>
              <w:t>、本次重组完成后，本人及本 人直接或间接控制的其他企业不会直接或间接经营任何 与美亚柏科及其下属子公司现有销售的产品线及其提供 的服务构成竞争或可能构成竞争的业务，亦不会投资任何 与美亚柏科及其下属子公司现有销售的产品线及其提供 的服务构成竞争或可能构成竞争的其他企业；如本人及本 人控制的企业与美亚柏科及其下属子公司现有销售的产 品线及其提供的服务产生竞争，则本人及本人控制的企业 将采取停止经营产生竞争的业务的方式，或者采取将竞争 的业务纳入美亚柏科的方式，或者采取将产生竞争的业务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598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转让给无关联关系第三方等合法方式，使本人及本人控制 的企业不再从事与美亚柏科及其下属子公司现有销售的 产品线及其提供的服务相同或类似的业务，以避免同业竞 争。</w:t>
            </w:r>
            <w:r>
              <w:rPr>
                <w:rFonts w:ascii="Times New Roman" w:eastAsia="Times New Roman" w:hAnsi="Times New Roman" w:cs="Times New Roman"/>
                <w:color w:val="000000"/>
                <w:spacing w:val="0"/>
                <w:w w:val="100"/>
                <w:position w:val="0"/>
              </w:rPr>
              <w:t>3</w:t>
            </w:r>
            <w:r>
              <w:rPr>
                <w:color w:val="000000"/>
                <w:spacing w:val="0"/>
                <w:w w:val="100"/>
                <w:position w:val="0"/>
              </w:rPr>
              <w:t>、如违反上述承诺给美亚柏科造成损失的，本人将 依法作出赔偿。二、关于规范及减少关联交易的承诺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 本次重组完成后，本人及本人的关联企业与美亚柏科及其 包括目标公司在内的合并报表范围内各级控股公司将尽 可能的避免和减少关联交易。</w:t>
            </w:r>
            <w:r>
              <w:rPr>
                <w:rFonts w:ascii="Times New Roman" w:eastAsia="Times New Roman" w:hAnsi="Times New Roman" w:cs="Times New Roman"/>
                <w:color w:val="000000"/>
                <w:spacing w:val="0"/>
                <w:w w:val="100"/>
                <w:position w:val="0"/>
              </w:rPr>
              <w:t>2</w:t>
            </w:r>
            <w:r>
              <w:rPr>
                <w:color w:val="000000"/>
                <w:spacing w:val="0"/>
                <w:w w:val="100"/>
                <w:position w:val="0"/>
              </w:rPr>
              <w:t>、对于确有必要且无法避 免的关联交易，本人及本人的关联企业将遵循市场化的公 正、公平、公开的原则，按照有关法律法规、规范性文件 和章程等有关规定，履行包括回避表决等合法程序，不通 过关联关系谋求特殊的利益，不会进行任何有损美亚柏科 和美亚柏科其他股东利益、特别是中小股东利益的关联交 易。</w:t>
            </w:r>
            <w:r>
              <w:rPr>
                <w:rFonts w:ascii="Times New Roman" w:eastAsia="Times New Roman" w:hAnsi="Times New Roman" w:cs="Times New Roman"/>
                <w:color w:val="000000"/>
                <w:spacing w:val="0"/>
                <w:w w:val="100"/>
                <w:position w:val="0"/>
              </w:rPr>
              <w:t>3</w:t>
            </w:r>
            <w:r>
              <w:rPr>
                <w:color w:val="000000"/>
                <w:spacing w:val="0"/>
                <w:w w:val="100"/>
                <w:position w:val="0"/>
              </w:rPr>
              <w:t>、本人及本人的关联企业将不以任何方式违法违规 占用美亚柏科及其包括目标公司在内的合并报表范围内 各级控股公司的资金、资产，亦不要求美亚柏科及其包括 目标公司在内的合并报表范围内各级控股公司为本人及 本人的关联企业进行违规担保。</w:t>
            </w:r>
            <w:r>
              <w:rPr>
                <w:rFonts w:ascii="Times New Roman" w:eastAsia="Times New Roman" w:hAnsi="Times New Roman" w:cs="Times New Roman"/>
                <w:color w:val="000000"/>
                <w:spacing w:val="0"/>
                <w:w w:val="100"/>
                <w:position w:val="0"/>
              </w:rPr>
              <w:t>4</w:t>
            </w:r>
            <w:r>
              <w:rPr>
                <w:color w:val="000000"/>
                <w:spacing w:val="0"/>
                <w:w w:val="100"/>
                <w:position w:val="0"/>
              </w:rPr>
              <w:t>、如违反上述承诺给美 亚柏科造成损失的，本人将依法作出赔偿。</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安林冲； 包志翔； 陈燕；仇 宏远；邓 炽成；郭 玉智；韩 海青；黄 新；李佳; 李江；卢 晓英；任 炜；水军； 苏学武； 孙士玉； 王亚明； 韦玉荣； 叶树军； 张红光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江苏税软及新德汇交易对方</w:t>
            </w:r>
            <w:r>
              <w:rPr>
                <w:rFonts w:ascii="Times New Roman" w:eastAsia="Times New Roman" w:hAnsi="Times New Roman" w:cs="Times New Roman"/>
                <w:color w:val="000000"/>
                <w:spacing w:val="0"/>
                <w:w w:val="100"/>
                <w:position w:val="0"/>
              </w:rPr>
              <w:t>:</w:t>
            </w:r>
            <w:r>
              <w:rPr>
                <w:color w:val="000000"/>
                <w:spacing w:val="0"/>
                <w:w w:val="100"/>
                <w:position w:val="0"/>
              </w:rPr>
              <w:t>关于提供材料真实性、准确 性、完整性的承诺本人保证所提供的信息的真实性、准确 性和完整性，不存在虚假记载、误导性陈述或重大遗漏； 本人对所提供信息的真实性、准确性和完整性承担个别和 连带的法律责任。如因提供的信息存在虚假记载、误导性 陈述或者重大遗漏，本人将依法承担赔偿责任。如本次重 组因涉嫌所提供或者披露的信息存在虚假记载、误导性陈 述或者重大遗漏，被司法机关立案侦查或者被中国证监会 立案调查的，在案件调查结论明确之前，本人将暂停转让 在上市公司拥有权益的股份。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8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郭永芳； 李国林； 申强；吴 鸿伟；张 乃军；张 雪峰；赵 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任职期间每年转让直接或间接持有的发行人股份不超过 其所持有发行人股份总数的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 其直接或间接持有的发行人股份。</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290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郭永芳； 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关于关联交易的承诺：在本人</w:t>
            </w:r>
            <w:r>
              <w:rPr>
                <w:rFonts w:ascii="Times New Roman" w:eastAsia="Times New Roman" w:hAnsi="Times New Roman" w:cs="Times New Roman"/>
                <w:color w:val="000000"/>
                <w:spacing w:val="0"/>
                <w:w w:val="100"/>
                <w:position w:val="0"/>
              </w:rPr>
              <w:t>/</w:t>
            </w:r>
            <w:r>
              <w:rPr>
                <w:color w:val="000000"/>
                <w:spacing w:val="0"/>
                <w:w w:val="100"/>
                <w:position w:val="0"/>
              </w:rPr>
              <w:t>本公司持有美亚柏科股份 期间，本人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本公司投资的全资、控股子企 业或公司将尽量避免与美亚柏科发生关联交易，如与美亚 柏科发生不可避免的关联交易，本人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 司下属全资、控股子企业或公司将严格按照《公司法》、《证 券法》、《厦门市美亚柏科信息股份有限公司章程》和《厦 门市美亚柏科信息股份有限公司关联交易管理制度》的规 定规范关联交易行为。如违反上述承诺，本人</w:t>
            </w:r>
            <w:r>
              <w:rPr>
                <w:rFonts w:ascii="Times New Roman" w:eastAsia="Times New Roman" w:hAnsi="Times New Roman" w:cs="Times New Roman"/>
                <w:color w:val="000000"/>
                <w:spacing w:val="0"/>
                <w:w w:val="100"/>
                <w:position w:val="0"/>
              </w:rPr>
              <w:t>/</w:t>
            </w:r>
            <w:r>
              <w:rPr>
                <w:color w:val="000000"/>
                <w:spacing w:val="0"/>
                <w:w w:val="100"/>
                <w:position w:val="0"/>
              </w:rPr>
              <w:t>本公司愿承 担由此产生的一切法律责任。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丛艳芬； 高峰；郭 永芳；黄 基鹏；李 国林；申 强；滕达; 吴鸿伟； 张乃军； 张雪峰； 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《避免同业竞争承诺函》承诺：</w:t>
            </w:r>
            <w:r>
              <w:rPr>
                <w:rFonts w:ascii="Times New Roman" w:eastAsia="Times New Roman" w:hAnsi="Times New Roman" w:cs="Times New Roman"/>
                <w:color w:val="000000"/>
                <w:spacing w:val="0"/>
                <w:w w:val="100"/>
                <w:position w:val="0"/>
              </w:rPr>
              <w:t>"</w:t>
            </w:r>
            <w:r>
              <w:rPr>
                <w:color w:val="000000"/>
                <w:spacing w:val="0"/>
                <w:w w:val="100"/>
                <w:position w:val="0"/>
              </w:rPr>
              <w:t>确认及保证在承诺函签 署之日前与美亚柏科不存在直接或间接的同业竞争情形； 承诺不直接或间接从事或发展与美亚柏科经营范围相同 或相类似的业务或项目，也不为自身或代表任何第三方与 美亚柏科进行直接或间接的竞争；承诺不利用从美亚柏科 获取的信息从事、直接或间接参与与美亚柏科相竞争的活 动，并承诺不进行任何损害或可能损害美亚柏科利益的其 他竞争行为；从任何第三方获得的任何商业机会与美亚柏 科所从事的业务有实质性竞争或可能有实质性竞争，将立 即通知美亚柏科，并将该商业机会让与美亚柏科；如出现 违反上述承诺与保证而导致美亚柏科或其他股东权益受 到损害的情况，承诺人将依法承担相应的赔偿责任。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 亚柏科信 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公司承诺不为公司第二期限制股票激励对象提供贷款以 及其他任何形式的财务资助，包括为其贷款提供担保。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已履行完 毕</w:t>
            </w:r>
          </w:p>
        </w:tc>
      </w:tr>
      <w:tr>
        <w:trPr>
          <w:trHeight w:val="258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葛鹏；李 滢雪；栾 江霞；苏 学武；吴 鸿伟；张 乃军；赵 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公司第二期限制性股票激励</w:t>
            </w:r>
            <w:r>
              <w:rPr>
                <w:rFonts w:ascii="Times New Roman" w:eastAsia="Times New Roman" w:hAnsi="Times New Roman" w:cs="Times New Roman"/>
                <w:color w:val="000000"/>
                <w:spacing w:val="0"/>
                <w:w w:val="100"/>
                <w:position w:val="0"/>
              </w:rPr>
              <w:t>471</w:t>
            </w:r>
            <w:r>
              <w:rPr>
                <w:color w:val="000000"/>
                <w:spacing w:val="0"/>
                <w:w w:val="100"/>
                <w:position w:val="0"/>
              </w:rPr>
              <w:t>名激励对象（包括</w:t>
            </w:r>
            <w:r>
              <w:rPr>
                <w:rFonts w:ascii="Times New Roman" w:eastAsia="Times New Roman" w:hAnsi="Times New Roman" w:cs="Times New Roman"/>
                <w:color w:val="000000"/>
                <w:spacing w:val="0"/>
                <w:w w:val="100"/>
                <w:position w:val="0"/>
              </w:rPr>
              <w:t>7</w:t>
            </w:r>
            <w:r>
              <w:rPr>
                <w:color w:val="000000"/>
                <w:spacing w:val="0"/>
                <w:w w:val="100"/>
                <w:position w:val="0"/>
              </w:rPr>
              <w:t>名董 事及高管：苏学武、葛鹏、赵庸、吴鸿伟、栾江霞、李滢 雪、张乃军）承诺：作为公司第二期限制性股票激励计划 的激励对象，承诺如因公司信息披露文件有虚假记载、误 导性陈述或者重大遗漏，导致不符合授予权益或行使权益 安排的，自相关信息披露文件被确认存在虚假记载、误导 性陈述或者重大遗漏后，将由本计划所获得的全部利益反 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已履行完 毕</w:t>
            </w:r>
          </w:p>
        </w:tc>
      </w:tr>
      <w:tr>
        <w:trPr>
          <w:trHeight w:val="227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公司第二期限制性股票激励计划预留部分</w:t>
            </w:r>
            <w:r>
              <w:rPr>
                <w:rFonts w:ascii="Times New Roman" w:eastAsia="Times New Roman" w:hAnsi="Times New Roman" w:cs="Times New Roman"/>
                <w:color w:val="000000"/>
                <w:spacing w:val="0"/>
                <w:w w:val="100"/>
                <w:position w:val="0"/>
              </w:rPr>
              <w:t>101</w:t>
            </w:r>
            <w:r>
              <w:rPr>
                <w:color w:val="000000"/>
                <w:spacing w:val="0"/>
                <w:w w:val="100"/>
                <w:position w:val="0"/>
              </w:rPr>
              <w:t>名激励对象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（包括高管张雪峰）承诺：作为公司第二期限制性股票激 励计划的激励对象，承诺如因公司信息披露文件有虚假记 载、误导性陈述或者重大遗漏，导致不符合授予权益或行 使权益安排的，自相关信息披露文件被确认存在虚假记 载、误导性陈述或者重大遗漏后，将由本计划所获得的全 部利益反还公司。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已履行完 毕</w:t>
            </w:r>
          </w:p>
        </w:tc>
      </w:tr>
      <w:tr>
        <w:trPr>
          <w:trHeight w:val="99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亚柏科信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本次限制性股票激励计划有效期为</w:t>
            </w:r>
            <w:r>
              <w:rPr>
                <w:rFonts w:ascii="Times New Roman" w:eastAsia="Times New Roman" w:hAnsi="Times New Roman" w:cs="Times New Roman"/>
                <w:color w:val="000000"/>
                <w:spacing w:val="0"/>
                <w:w w:val="100"/>
                <w:position w:val="0"/>
              </w:rPr>
              <w:t>4</w:t>
            </w:r>
            <w:r>
              <w:rPr>
                <w:color w:val="000000"/>
                <w:spacing w:val="0"/>
                <w:w w:val="100"/>
                <w:position w:val="0"/>
              </w:rPr>
              <w:t>年，自限制性股票授 予日起计，其中锁定期</w:t>
            </w:r>
            <w:r>
              <w:rPr>
                <w:rFonts w:ascii="Times New Roman" w:eastAsia="Times New Roman" w:hAnsi="Times New Roman" w:cs="Times New Roman"/>
                <w:color w:val="000000"/>
                <w:spacing w:val="0"/>
                <w:w w:val="100"/>
                <w:position w:val="0"/>
              </w:rPr>
              <w:t>1</w:t>
            </w:r>
            <w:r>
              <w:rPr>
                <w:color w:val="000000"/>
                <w:spacing w:val="0"/>
                <w:w w:val="100"/>
                <w:position w:val="0"/>
              </w:rPr>
              <w:t>年，解锁期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）自董事会 确定的限制性股票授予日起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个月内为锁定期。在锁定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998"/>
        <w:gridCol w:w="850"/>
        <w:gridCol w:w="710"/>
        <w:gridCol w:w="4536"/>
        <w:gridCol w:w="854"/>
        <w:gridCol w:w="850"/>
        <w:gridCol w:w="787"/>
      </w:tblGrid>
      <w:tr>
        <w:trPr>
          <w:trHeight w:val="442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期内，激励对象根据本计划获授的限制性股票予以锁定， 不得转让；（</w:t>
            </w:r>
            <w:r>
              <w:rPr>
                <w:rFonts w:ascii="Times New Roman" w:eastAsia="Times New Roman" w:hAnsi="Times New Roman" w:cs="Times New Roman"/>
                <w:color w:val="000000"/>
                <w:spacing w:val="0"/>
                <w:w w:val="100"/>
                <w:position w:val="0"/>
              </w:rPr>
              <w:t>2</w:t>
            </w:r>
            <w:r>
              <w:rPr>
                <w:color w:val="000000"/>
                <w:spacing w:val="0"/>
                <w:w w:val="100"/>
                <w:position w:val="0"/>
              </w:rPr>
              <w:t>）自限制性股票激励计划授予日起</w:t>
            </w:r>
            <w:r>
              <w:rPr>
                <w:rFonts w:ascii="Times New Roman" w:eastAsia="Times New Roman" w:hAnsi="Times New Roman" w:cs="Times New Roman"/>
                <w:color w:val="000000"/>
                <w:spacing w:val="0"/>
                <w:w w:val="100"/>
                <w:position w:val="0"/>
              </w:rPr>
              <w:t>12</w:t>
            </w:r>
            <w:r>
              <w:rPr>
                <w:color w:val="000000"/>
                <w:spacing w:val="0"/>
                <w:w w:val="100"/>
                <w:position w:val="0"/>
              </w:rPr>
              <w:t>个月 后，满足解锁条件的，激励对象可以申请解锁。首次授予 分三期申请解锁，分别自授予日起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 及</w:t>
            </w:r>
            <w:r>
              <w:rPr>
                <w:rFonts w:ascii="Times New Roman" w:eastAsia="Times New Roman" w:hAnsi="Times New Roman" w:cs="Times New Roman"/>
                <w:color w:val="000000"/>
                <w:spacing w:val="0"/>
                <w:w w:val="100"/>
                <w:position w:val="0"/>
              </w:rPr>
              <w:t>36</w:t>
            </w:r>
            <w:r>
              <w:rPr>
                <w:color w:val="000000"/>
                <w:spacing w:val="0"/>
                <w:w w:val="100"/>
                <w:position w:val="0"/>
              </w:rPr>
              <w:t>个月后分别申请解锁所获授限制性股票总量的</w:t>
            </w:r>
            <w:r>
              <w:rPr>
                <w:rFonts w:ascii="Times New Roman" w:eastAsia="Times New Roman" w:hAnsi="Times New Roman" w:cs="Times New Roman"/>
                <w:color w:val="000000"/>
                <w:spacing w:val="0"/>
                <w:w w:val="100"/>
                <w:position w:val="0"/>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。预留部分分两次申请解锁，分别自首次授予 日起</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个月后分别申请解锁所获授限制性股 票总量</w:t>
            </w:r>
            <w:r>
              <w:rPr>
                <w:rFonts w:ascii="Times New Roman" w:eastAsia="Times New Roman" w:hAnsi="Times New Roman" w:cs="Times New Roman"/>
                <w:color w:val="000000"/>
                <w:spacing w:val="0"/>
                <w:w w:val="100"/>
                <w:position w:val="0"/>
              </w:rPr>
              <w:t>50%</w:t>
            </w:r>
            <w:r>
              <w:rPr>
                <w:color w:val="000000"/>
                <w:spacing w:val="0"/>
                <w:w w:val="100"/>
                <w:position w:val="0"/>
              </w:rPr>
              <w:t>和</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）激励对象获授限制性股票的解锁 条件为：激励对象当年年度考核、关键事件考核两项考核 内容全部为合格。对于按照股权激励计划授予的限制性股 票，激励对象每一次申请标的股票解锁的公司业绩条件 为：以</w:t>
            </w:r>
            <w:r>
              <w:rPr>
                <w:rFonts w:ascii="Times New Roman" w:eastAsia="Times New Roman" w:hAnsi="Times New Roman" w:cs="Times New Roman"/>
                <w:color w:val="000000"/>
                <w:spacing w:val="0"/>
                <w:w w:val="100"/>
                <w:position w:val="0"/>
              </w:rPr>
              <w:t>2015</w:t>
            </w:r>
            <w:r>
              <w:rPr>
                <w:color w:val="000000"/>
                <w:spacing w:val="0"/>
                <w:w w:val="100"/>
                <w:position w:val="0"/>
              </w:rPr>
              <w:t>年度净利润为基数，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年公司每年净利润增长率不低于基准年净利润的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70%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 亚柏科信 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公司承诺不为公司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年股票期权与限制股票激励对象 提供贷款以及其他任何形式的财务资助，包括为其贷款提 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正常履行 中</w:t>
            </w:r>
          </w:p>
        </w:tc>
      </w:tr>
      <w:tr>
        <w:trPr>
          <w:trHeight w:val="258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申强、吴 鸿伟、周 成祖、蔡 志评、栾 江霞、葛 鹏、张乃 军、张雪 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年股票期权与限制股票激励计划</w:t>
            </w:r>
            <w:r>
              <w:rPr>
                <w:rFonts w:ascii="Times New Roman" w:eastAsia="Times New Roman" w:hAnsi="Times New Roman" w:cs="Times New Roman"/>
                <w:color w:val="000000"/>
                <w:spacing w:val="0"/>
                <w:w w:val="100"/>
                <w:position w:val="0"/>
              </w:rPr>
              <w:t>1233</w:t>
            </w:r>
            <w:r>
              <w:rPr>
                <w:color w:val="000000"/>
                <w:spacing w:val="0"/>
                <w:w w:val="100"/>
                <w:position w:val="0"/>
              </w:rPr>
              <w:t>名激励对 象（包括</w:t>
            </w:r>
            <w:r>
              <w:rPr>
                <w:rFonts w:ascii="Times New Roman" w:eastAsia="Times New Roman" w:hAnsi="Times New Roman" w:cs="Times New Roman"/>
                <w:color w:val="000000"/>
                <w:spacing w:val="0"/>
                <w:w w:val="100"/>
                <w:position w:val="0"/>
              </w:rPr>
              <w:t>7</w:t>
            </w:r>
            <w:r>
              <w:rPr>
                <w:color w:val="000000"/>
                <w:spacing w:val="0"/>
                <w:w w:val="100"/>
                <w:position w:val="0"/>
              </w:rPr>
              <w:t>名董事及高管：申强、吴鸿伟、周成祖、蔡志 评、栾江霞、葛鹏、张乃军、张雪峰）承诺：作为公司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年股票期权与限制股票激励计划的激励对象，承诺如因公 司信息披露文件有虚假记载、误导性陈述或者重大遗漏， 导致不符合授予权益或行使权益安排的，自相关信息披露 文件被确认存在虚假记载、误导性陈述或者重大遗漏后， 将由本计划所获得的全部利益反还公司。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540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 亚柏科信 息股份有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本激励计划有效期</w:t>
            </w:r>
            <w:r>
              <w:rPr>
                <w:rFonts w:ascii="Times New Roman" w:eastAsia="Times New Roman" w:hAnsi="Times New Roman" w:cs="Times New Roman"/>
                <w:color w:val="000000"/>
                <w:spacing w:val="0"/>
                <w:w w:val="100"/>
                <w:position w:val="0"/>
              </w:rPr>
              <w:t>4</w:t>
            </w:r>
            <w:r>
              <w:rPr>
                <w:color w:val="000000"/>
                <w:spacing w:val="0"/>
                <w:w w:val="100"/>
                <w:position w:val="0"/>
              </w:rPr>
              <w:t>年，其中锁定期</w:t>
            </w:r>
            <w:r>
              <w:rPr>
                <w:rFonts w:ascii="Times New Roman" w:eastAsia="Times New Roman" w:hAnsi="Times New Roman" w:cs="Times New Roman"/>
                <w:color w:val="000000"/>
                <w:spacing w:val="0"/>
                <w:w w:val="100"/>
                <w:position w:val="0"/>
              </w:rPr>
              <w:t>/</w:t>
            </w:r>
            <w:r>
              <w:rPr>
                <w:color w:val="000000"/>
                <w:spacing w:val="0"/>
                <w:w w:val="100"/>
                <w:position w:val="0"/>
              </w:rPr>
              <w:t>等待期</w:t>
            </w:r>
            <w:r>
              <w:rPr>
                <w:rFonts w:ascii="Times New Roman" w:eastAsia="Times New Roman" w:hAnsi="Times New Roman" w:cs="Times New Roman"/>
                <w:color w:val="000000"/>
                <w:spacing w:val="0"/>
                <w:w w:val="100"/>
                <w:position w:val="0"/>
              </w:rPr>
              <w:t>1</w:t>
            </w:r>
            <w:r>
              <w:rPr>
                <w:color w:val="000000"/>
                <w:spacing w:val="0"/>
                <w:w w:val="100"/>
                <w:position w:val="0"/>
              </w:rPr>
              <w:t>年，解锁</w:t>
            </w:r>
            <w:r>
              <w:rPr>
                <w:rFonts w:ascii="Times New Roman" w:eastAsia="Times New Roman" w:hAnsi="Times New Roman" w:cs="Times New Roman"/>
                <w:color w:val="000000"/>
                <w:spacing w:val="0"/>
                <w:w w:val="100"/>
                <w:position w:val="0"/>
              </w:rPr>
              <w:t xml:space="preserve">/ </w:t>
            </w:r>
            <w:r>
              <w:rPr>
                <w:color w:val="000000"/>
                <w:spacing w:val="0"/>
                <w:w w:val="100"/>
                <w:position w:val="0"/>
              </w:rPr>
              <w:t>行权期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）自董事会确定的限制性股票授予日起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个月内为锁定期。在锁定期，激励对象根据本计划获授的 限制性股票予以锁定，不得转让；（</w:t>
            </w:r>
            <w:r>
              <w:rPr>
                <w:rFonts w:ascii="Times New Roman" w:eastAsia="Times New Roman" w:hAnsi="Times New Roman" w:cs="Times New Roman"/>
                <w:color w:val="000000"/>
                <w:spacing w:val="0"/>
                <w:w w:val="100"/>
                <w:position w:val="0"/>
              </w:rPr>
              <w:t>2</w:t>
            </w:r>
            <w:r>
              <w:rPr>
                <w:color w:val="000000"/>
                <w:spacing w:val="0"/>
                <w:w w:val="100"/>
                <w:position w:val="0"/>
              </w:rPr>
              <w:t>）自股票期权和限制 性股票激励计划授予日起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w:t>
            </w:r>
            <w:r>
              <w:rPr>
                <w:rFonts w:ascii="Times New Roman" w:eastAsia="Times New Roman" w:hAnsi="Times New Roman" w:cs="Times New Roman"/>
                <w:color w:val="000000"/>
                <w:spacing w:val="0"/>
                <w:w w:val="100"/>
                <w:position w:val="0"/>
              </w:rPr>
              <w:t>/</w:t>
            </w:r>
            <w:r>
              <w:rPr>
                <w:color w:val="000000"/>
                <w:spacing w:val="0"/>
                <w:w w:val="100"/>
                <w:position w:val="0"/>
              </w:rPr>
              <w:t>行权条件 的，激励对象可以申请解锁</w:t>
            </w:r>
            <w:r>
              <w:rPr>
                <w:rFonts w:ascii="Times New Roman" w:eastAsia="Times New Roman" w:hAnsi="Times New Roman" w:cs="Times New Roman"/>
                <w:color w:val="000000"/>
                <w:spacing w:val="0"/>
                <w:w w:val="100"/>
                <w:position w:val="0"/>
              </w:rPr>
              <w:t>/</w:t>
            </w:r>
            <w:r>
              <w:rPr>
                <w:color w:val="000000"/>
                <w:spacing w:val="0"/>
                <w:w w:val="100"/>
                <w:position w:val="0"/>
              </w:rPr>
              <w:t>行权。首次授予分三期申请解 锁</w:t>
            </w:r>
            <w:r>
              <w:rPr>
                <w:rFonts w:ascii="Times New Roman" w:eastAsia="Times New Roman" w:hAnsi="Times New Roman" w:cs="Times New Roman"/>
                <w:color w:val="000000"/>
                <w:spacing w:val="0"/>
                <w:w w:val="100"/>
                <w:position w:val="0"/>
              </w:rPr>
              <w:t>/</w:t>
            </w:r>
            <w:r>
              <w:rPr>
                <w:color w:val="000000"/>
                <w:spacing w:val="0"/>
                <w:w w:val="100"/>
                <w:position w:val="0"/>
              </w:rPr>
              <w:t>行权，分别自授予日起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个 月后分别申请解锁</w:t>
            </w:r>
            <w:r>
              <w:rPr>
                <w:rFonts w:ascii="Times New Roman" w:eastAsia="Times New Roman" w:hAnsi="Times New Roman" w:cs="Times New Roman"/>
                <w:color w:val="000000"/>
                <w:spacing w:val="0"/>
                <w:w w:val="100"/>
                <w:position w:val="0"/>
              </w:rPr>
              <w:t>/</w:t>
            </w:r>
            <w:r>
              <w:rPr>
                <w:color w:val="000000"/>
                <w:spacing w:val="0"/>
                <w:w w:val="100"/>
                <w:position w:val="0"/>
              </w:rPr>
              <w:t>行权所获授限制性股票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股票期权总量 的</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。预留部分分两次申请解锁，分别自 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个月后分别申请解锁</w:t>
            </w:r>
            <w:r>
              <w:rPr>
                <w:rFonts w:ascii="Times New Roman" w:eastAsia="Times New Roman" w:hAnsi="Times New Roman" w:cs="Times New Roman"/>
                <w:color w:val="000000"/>
                <w:spacing w:val="0"/>
                <w:w w:val="100"/>
                <w:position w:val="0"/>
              </w:rPr>
              <w:t>/</w:t>
            </w:r>
            <w:r>
              <w:rPr>
                <w:color w:val="000000"/>
                <w:spacing w:val="0"/>
                <w:w w:val="100"/>
                <w:position w:val="0"/>
              </w:rPr>
              <w:t>行权所 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股票期权总量</w:t>
            </w:r>
            <w:r>
              <w:rPr>
                <w:rFonts w:ascii="Times New Roman" w:eastAsia="Times New Roman" w:hAnsi="Times New Roman" w:cs="Times New Roman"/>
                <w:color w:val="000000"/>
                <w:spacing w:val="0"/>
                <w:w w:val="100"/>
                <w:position w:val="0"/>
              </w:rPr>
              <w:t>50%</w:t>
            </w:r>
            <w:r>
              <w:rPr>
                <w:color w:val="000000"/>
                <w:spacing w:val="0"/>
                <w:w w:val="100"/>
                <w:position w:val="0"/>
              </w:rPr>
              <w:t>和</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）激励对 象获授限制性股票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股票期权的解锁</w:t>
            </w:r>
            <w:r>
              <w:rPr>
                <w:rFonts w:ascii="Times New Roman" w:eastAsia="Times New Roman" w:hAnsi="Times New Roman" w:cs="Times New Roman"/>
                <w:color w:val="000000"/>
                <w:spacing w:val="0"/>
                <w:w w:val="100"/>
                <w:position w:val="0"/>
              </w:rPr>
              <w:t>/</w:t>
            </w:r>
            <w:r>
              <w:rPr>
                <w:color w:val="000000"/>
                <w:spacing w:val="0"/>
                <w:w w:val="100"/>
                <w:position w:val="0"/>
              </w:rPr>
              <w:t>行权条件为：激励对 象当年年度考核、关键事件考核两项考核内容全部为合 格。对于按照股权激励计划授予的限制性股票，激励对象 每一次申请标的股票解锁的公司业绩条件为：以</w:t>
            </w:r>
            <w:r>
              <w:rPr>
                <w:rFonts w:ascii="Times New Roman" w:eastAsia="Times New Roman" w:hAnsi="Times New Roman" w:cs="Times New Roman"/>
                <w:color w:val="000000"/>
                <w:spacing w:val="0"/>
                <w:w w:val="100"/>
                <w:position w:val="0"/>
              </w:rPr>
              <w:t>2018</w:t>
            </w:r>
            <w:r>
              <w:rPr>
                <w:color w:val="000000"/>
                <w:spacing w:val="0"/>
                <w:w w:val="100"/>
                <w:position w:val="0"/>
              </w:rPr>
              <w:t>年 度净利润为基数，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年公司每年净 利润增长率不低于基准年净利润的</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tbl>
      <w:tblPr>
        <w:tblOverlap w:val="never"/>
        <w:jc w:val="center"/>
        <w:tblLayout w:type="fixed"/>
      </w:tblPr>
      <w:tblGrid>
        <w:gridCol w:w="994"/>
        <w:gridCol w:w="854"/>
        <w:gridCol w:w="710"/>
        <w:gridCol w:w="4536"/>
        <w:gridCol w:w="854"/>
        <w:gridCol w:w="850"/>
        <w:gridCol w:w="787"/>
      </w:tblGrid>
      <w:tr>
        <w:trPr>
          <w:trHeight w:val="134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赵庸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日递交了辞职申请，并承诺在离职后 半年内不转让其所持有的美亚柏科股份，并在其就任时确 定的任期（第四届董事会届满）及任期届满后六个月内， 每年转让股份不超过其所持有本公司股份总数的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张雪峰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日递交了辞职申请，并承诺在离职 后半年内不转让其所持有的美亚柏科股份，并在其就任时 确定的任期（第四届董事会届满）及任期届满后六个月内， 每年转让股份不超过其所持有本公司股份总数的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after="340" w:line="322"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、公司资产或项目存在盈利预测，且报告期仍处在盈利预测期间，公司就资产或项目达到原盈利预测及 其原因做出说明</w:t>
      </w:r>
      <w:bookmarkEnd w:id="296"/>
      <w:bookmarkEnd w:id="297"/>
      <w:bookmarkEnd w:id="29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三</w:t>
      </w:r>
      <w:bookmarkEnd w:id="302"/>
      <w:r>
        <w:rPr>
          <w:color w:val="000000"/>
          <w:spacing w:val="0"/>
          <w:w w:val="100"/>
          <w:position w:val="0"/>
          <w:sz w:val="24"/>
          <w:szCs w:val="24"/>
        </w:rPr>
        <w:t>、</w:t>
        <w:tab/>
        <w:t>控股股东及其关联方对上市公司的非经营性占用资金情况</w:t>
      </w:r>
      <w:bookmarkEnd w:id="300"/>
      <w:bookmarkEnd w:id="301"/>
      <w:bookmarkEnd w:id="30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6" w:val="left"/>
        </w:tabs>
        <w:bidi w:val="0"/>
        <w:spacing w:before="0" w:after="34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四</w:t>
      </w:r>
      <w:bookmarkEnd w:id="306"/>
      <w:r>
        <w:rPr>
          <w:color w:val="000000"/>
          <w:spacing w:val="0"/>
          <w:w w:val="100"/>
          <w:position w:val="0"/>
          <w:sz w:val="24"/>
          <w:szCs w:val="24"/>
        </w:rPr>
        <w:t>、</w:t>
        <w:tab/>
        <w:t>董事会对最近一期</w:t>
      </w:r>
      <w:r>
        <w:rPr>
          <w:rFonts w:ascii="SimHei" w:eastAsia="SimHei" w:hAnsi="SimHei" w:cs="SimHei"/>
          <w:b w:val="0"/>
          <w:bCs w:val="0"/>
          <w:color w:val="000000"/>
          <w:spacing w:val="0"/>
          <w:w w:val="100"/>
          <w:position w:val="0"/>
          <w:sz w:val="18"/>
          <w:szCs w:val="18"/>
        </w:rPr>
        <w:t>“</w:t>
      </w:r>
      <w:r>
        <w:rPr>
          <w:color w:val="000000"/>
          <w:spacing w:val="0"/>
          <w:w w:val="100"/>
          <w:position w:val="0"/>
          <w:sz w:val="24"/>
          <w:szCs w:val="24"/>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sz w:val="24"/>
          <w:szCs w:val="24"/>
        </w:rPr>
        <w:t>相关情况的说明</w:t>
      </w:r>
      <w:bookmarkEnd w:id="304"/>
      <w:bookmarkEnd w:id="305"/>
      <w:bookmarkEnd w:id="307"/>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五</w:t>
      </w:r>
      <w:bookmarkEnd w:id="310"/>
      <w:r>
        <w:rPr>
          <w:color w:val="000000"/>
          <w:spacing w:val="0"/>
          <w:w w:val="100"/>
          <w:position w:val="0"/>
          <w:sz w:val="24"/>
          <w:szCs w:val="24"/>
        </w:rPr>
        <w:t>、</w:t>
        <w:tab/>
        <w:t>董事会、监事会、独立董事（如有）对会计师事务所本报告期</w:t>
      </w:r>
      <w:r>
        <w:rPr>
          <w:rFonts w:ascii="SimHei" w:eastAsia="SimHei" w:hAnsi="SimHei" w:cs="SimHei"/>
          <w:b w:val="0"/>
          <w:bCs w:val="0"/>
          <w:color w:val="000000"/>
          <w:spacing w:val="0"/>
          <w:w w:val="100"/>
          <w:position w:val="0"/>
          <w:sz w:val="18"/>
          <w:szCs w:val="18"/>
        </w:rPr>
        <w:t>“</w:t>
      </w:r>
      <w:r>
        <w:rPr>
          <w:color w:val="000000"/>
          <w:spacing w:val="0"/>
          <w:w w:val="100"/>
          <w:position w:val="0"/>
          <w:sz w:val="24"/>
          <w:szCs w:val="24"/>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sz w:val="24"/>
          <w:szCs w:val="24"/>
        </w:rPr>
        <w:t>的说明</w:t>
      </w:r>
      <w:bookmarkEnd w:id="308"/>
      <w:bookmarkEnd w:id="309"/>
      <w:bookmarkEnd w:id="311"/>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六</w:t>
      </w:r>
      <w:bookmarkEnd w:id="314"/>
      <w:r>
        <w:rPr>
          <w:color w:val="000000"/>
          <w:spacing w:val="0"/>
          <w:w w:val="100"/>
          <w:position w:val="0"/>
          <w:sz w:val="24"/>
          <w:szCs w:val="24"/>
        </w:rPr>
        <w:t>、</w:t>
        <w:tab/>
        <w:t>董事会关于报告期会计政策、会计估计变更或重大会计差错更正的说明</w:t>
      </w:r>
      <w:bookmarkEnd w:id="312"/>
      <w:bookmarkEnd w:id="313"/>
      <w:bookmarkEnd w:id="315"/>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60" w:line="240" w:lineRule="auto"/>
        <w:ind w:left="0" w:right="0" w:firstLine="0"/>
        <w:jc w:val="both"/>
      </w:pPr>
      <w:bookmarkStart w:id="316" w:name="bookmark316"/>
      <w:bookmarkStart w:id="317" w:name="bookmark317"/>
      <w:bookmarkStart w:id="318" w:name="bookmark318"/>
      <w:bookmarkStart w:id="319" w:name="bookmark319"/>
      <w:r>
        <w:rPr>
          <w:color w:val="000000"/>
          <w:spacing w:val="0"/>
          <w:w w:val="100"/>
          <w:position w:val="0"/>
          <w:sz w:val="24"/>
          <w:szCs w:val="24"/>
        </w:rPr>
        <w:t>七</w:t>
      </w:r>
      <w:bookmarkEnd w:id="318"/>
      <w:r>
        <w:rPr>
          <w:color w:val="000000"/>
          <w:spacing w:val="0"/>
          <w:w w:val="100"/>
          <w:position w:val="0"/>
          <w:sz w:val="24"/>
          <w:szCs w:val="24"/>
        </w:rPr>
        <w:t>、</w:t>
        <w:tab/>
        <w:t>与上年度财务报告相比，合并报表范围发生变化的情况说明</w:t>
      </w:r>
      <w:bookmarkEnd w:id="316"/>
      <w:bookmarkEnd w:id="317"/>
      <w:bookmarkEnd w:id="319"/>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tabs>
          <w:tab w:pos="794" w:val="left"/>
        </w:tabs>
        <w:bidi w:val="0"/>
        <w:spacing w:before="0" w:after="0" w:line="470" w:lineRule="exact"/>
        <w:ind w:left="0" w:right="0" w:firstLine="440"/>
        <w:jc w:val="both"/>
      </w:pPr>
      <w:bookmarkStart w:id="320" w:name="bookmark320"/>
      <w:r>
        <w:rPr>
          <w:color w:val="000000"/>
          <w:spacing w:val="0"/>
          <w:w w:val="100"/>
          <w:position w:val="0"/>
        </w:rPr>
        <w:t>1</w:t>
      </w:r>
      <w:bookmarkEnd w:id="320"/>
      <w:r>
        <w:rPr>
          <w:color w:val="000000"/>
          <w:spacing w:val="0"/>
          <w:w w:val="100"/>
          <w:position w:val="0"/>
        </w:rPr>
        <w:t>、</w:t>
        <w:tab/>
        <w:t>设立腾瑞智能</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2020年2月26日，子公司美亚中敏独资设立腾瑞智能，注册资本为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70" w:lineRule="exact"/>
        <w:ind w:left="0" w:right="0" w:firstLine="440"/>
        <w:jc w:val="both"/>
      </w:pPr>
      <w:bookmarkStart w:id="321" w:name="bookmark321"/>
      <w:r>
        <w:rPr>
          <w:color w:val="000000"/>
          <w:spacing w:val="0"/>
          <w:w w:val="100"/>
          <w:position w:val="0"/>
        </w:rPr>
        <w:t>2</w:t>
      </w:r>
      <w:bookmarkEnd w:id="321"/>
      <w:r>
        <w:rPr>
          <w:color w:val="000000"/>
          <w:spacing w:val="0"/>
          <w:w w:val="100"/>
          <w:position w:val="0"/>
        </w:rPr>
        <w:t>、</w:t>
        <w:tab/>
        <w:t>设立司法鉴定所</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2020年3月27日，子公司珠海新德汇独资设立司法鉴定所，注册资本为</w:t>
      </w:r>
      <w:r>
        <w:rPr>
          <w:color w:val="000000"/>
          <w:spacing w:val="0"/>
          <w:w w:val="100"/>
          <w:position w:val="0"/>
        </w:rPr>
        <w:t>100.00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70" w:lineRule="exact"/>
        <w:ind w:left="0" w:right="0" w:firstLine="440"/>
        <w:jc w:val="both"/>
      </w:pPr>
      <w:bookmarkStart w:id="322" w:name="bookmark322"/>
      <w:r>
        <w:rPr>
          <w:color w:val="000000"/>
          <w:spacing w:val="0"/>
          <w:w w:val="100"/>
          <w:position w:val="0"/>
        </w:rPr>
        <w:t>3</w:t>
      </w:r>
      <w:bookmarkEnd w:id="322"/>
      <w:r>
        <w:rPr>
          <w:color w:val="000000"/>
          <w:spacing w:val="0"/>
          <w:w w:val="100"/>
          <w:position w:val="0"/>
        </w:rPr>
        <w:t>、</w:t>
        <w:tab/>
        <w:t>设立腾柏顺科技</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2020年3月31日，子公司美亚中敏独资设立腾柏顺科技，注册资本为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70" w:lineRule="exact"/>
        <w:ind w:left="0" w:right="0" w:firstLine="440"/>
        <w:jc w:val="both"/>
      </w:pPr>
      <w:bookmarkStart w:id="323" w:name="bookmark323"/>
      <w:r>
        <w:rPr>
          <w:color w:val="000000"/>
          <w:spacing w:val="0"/>
          <w:w w:val="100"/>
          <w:position w:val="0"/>
        </w:rPr>
        <w:t>4</w:t>
      </w:r>
      <w:bookmarkEnd w:id="323"/>
      <w:r>
        <w:rPr>
          <w:color w:val="000000"/>
          <w:spacing w:val="0"/>
          <w:w w:val="100"/>
          <w:position w:val="0"/>
        </w:rPr>
        <w:t>、</w:t>
        <w:tab/>
        <w:t>设立澳门美新</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2020年8月19日，本公司与子公司美银智投共同设立澳门美新，注册资本为</w:t>
      </w:r>
      <w:r>
        <w:rPr>
          <w:color w:val="000000"/>
          <w:spacing w:val="0"/>
          <w:w w:val="100"/>
          <w:position w:val="0"/>
        </w:rPr>
        <w:t>50.0</w:t>
      </w:r>
      <w:r>
        <w:rPr>
          <w:color w:val="000000"/>
          <w:spacing w:val="0"/>
          <w:w w:val="100"/>
          <w:position w:val="0"/>
        </w:rPr>
        <w:t>0万元澳门币，其中本 公司持股90.00%，美银智投持股10.00%。</w:t>
      </w:r>
    </w:p>
    <w:p>
      <w:pPr>
        <w:pStyle w:val="Style44"/>
        <w:keepNext w:val="0"/>
        <w:keepLines w:val="0"/>
        <w:widowControl w:val="0"/>
        <w:shd w:val="clear" w:color="auto" w:fill="auto"/>
        <w:tabs>
          <w:tab w:pos="808" w:val="left"/>
        </w:tabs>
        <w:bidi w:val="0"/>
        <w:spacing w:before="0" w:after="0" w:line="470" w:lineRule="exact"/>
        <w:ind w:left="0" w:right="0" w:firstLine="440"/>
        <w:jc w:val="both"/>
      </w:pPr>
      <w:bookmarkStart w:id="324" w:name="bookmark324"/>
      <w:r>
        <w:rPr>
          <w:color w:val="000000"/>
          <w:spacing w:val="0"/>
          <w:w w:val="100"/>
          <w:position w:val="0"/>
        </w:rPr>
        <w:t>5</w:t>
      </w:r>
      <w:bookmarkEnd w:id="324"/>
      <w:r>
        <w:rPr>
          <w:color w:val="000000"/>
          <w:spacing w:val="0"/>
          <w:w w:val="100"/>
          <w:position w:val="0"/>
        </w:rPr>
        <w:t>、</w:t>
        <w:tab/>
        <w:t>设立中检美亚（厦门）</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2020年9月22日，子公司中检美亚（北京）独资设立中检美亚（厦门），注册资本为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08" w:val="left"/>
        </w:tabs>
        <w:bidi w:val="0"/>
        <w:spacing w:before="0" w:after="0" w:line="470" w:lineRule="exact"/>
        <w:ind w:left="0" w:right="0" w:firstLine="440"/>
        <w:jc w:val="both"/>
      </w:pPr>
      <w:bookmarkStart w:id="325" w:name="bookmark325"/>
      <w:r>
        <w:rPr>
          <w:color w:val="000000"/>
          <w:spacing w:val="0"/>
          <w:w w:val="100"/>
          <w:position w:val="0"/>
        </w:rPr>
        <w:t>6</w:t>
      </w:r>
      <w:bookmarkEnd w:id="325"/>
      <w:r>
        <w:rPr>
          <w:color w:val="000000"/>
          <w:spacing w:val="0"/>
          <w:w w:val="100"/>
          <w:position w:val="0"/>
        </w:rPr>
        <w:t>、</w:t>
        <w:tab/>
        <w:t>设立大田柏科</w:t>
      </w:r>
    </w:p>
    <w:p>
      <w:pPr>
        <w:pStyle w:val="Style4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2020年10月23日，本公司与后生仔（福建）实业有限公司共同设立大田柏科，注册资本为</w:t>
      </w:r>
      <w:r>
        <w:rPr>
          <w:color w:val="000000"/>
          <w:spacing w:val="0"/>
          <w:w w:val="100"/>
          <w:position w:val="0"/>
        </w:rPr>
        <w:t>1,000.00</w:t>
      </w:r>
      <w:r>
        <w:rPr>
          <w:color w:val="000000"/>
          <w:spacing w:val="0"/>
          <w:w w:val="100"/>
          <w:position w:val="0"/>
        </w:rPr>
        <w:t>万 元，其中本公司持股80.00%，后生仔（福建）实业有限公司持股20.00%。</w:t>
      </w:r>
    </w:p>
    <w:p>
      <w:pPr>
        <w:pStyle w:val="Style27"/>
        <w:keepNext/>
        <w:keepLines/>
        <w:widowControl w:val="0"/>
        <w:shd w:val="clear" w:color="auto" w:fill="auto"/>
        <w:tabs>
          <w:tab w:pos="526" w:val="left"/>
        </w:tabs>
        <w:bidi w:val="0"/>
        <w:spacing w:before="0" w:after="36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w:t>
        <w:tab/>
        <w:t>聘任、解聘会计师事务所情况</w:t>
      </w:r>
      <w:bookmarkEnd w:id="326"/>
      <w:bookmarkEnd w:id="327"/>
      <w:bookmarkEnd w:id="329"/>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陈峰、易厚震</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99" w:line="1" w:lineRule="exact"/>
      </w:pPr>
    </w:p>
    <w:p>
      <w:pPr>
        <w:pStyle w:val="Style27"/>
        <w:keepNext/>
        <w:keepLines/>
        <w:widowControl w:val="0"/>
        <w:shd w:val="clear" w:color="auto" w:fill="auto"/>
        <w:bidi w:val="0"/>
        <w:spacing w:before="0" w:after="36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、年度报告披露后面临退市情况</w:t>
      </w:r>
      <w:bookmarkEnd w:id="330"/>
      <w:bookmarkEnd w:id="331"/>
      <w:bookmarkEnd w:id="33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十、破产重整相关事项</w:t>
      </w:r>
      <w:bookmarkEnd w:id="334"/>
      <w:bookmarkEnd w:id="335"/>
      <w:bookmarkEnd w:id="336"/>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十一、重大诉讼、仲裁事项</w:t>
      </w:r>
      <w:bookmarkEnd w:id="337"/>
      <w:bookmarkEnd w:id="338"/>
      <w:bookmarkEnd w:id="33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十二、处罚及整改情况</w:t>
      </w:r>
      <w:bookmarkEnd w:id="340"/>
      <w:bookmarkEnd w:id="341"/>
      <w:bookmarkEnd w:id="34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十三、公司及其控股股东、实际控制人的诚信状况</w:t>
      </w:r>
      <w:bookmarkEnd w:id="343"/>
      <w:bookmarkEnd w:id="344"/>
      <w:bookmarkEnd w:id="34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报告期内，公司及其控股股东、实际控制人的诚信状况良好，不存在未履行法院生效判决、所负数额较大的债务到期末清偿 等情况。</w:t>
      </w:r>
    </w:p>
    <w:p>
      <w:pPr>
        <w:pStyle w:val="Style27"/>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十四、公司股权激励计划、员工持股计划或其他员工激励措施的实施情况</w:t>
      </w:r>
      <w:bookmarkEnd w:id="346"/>
      <w:bookmarkEnd w:id="347"/>
      <w:bookmarkEnd w:id="34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72" w:lineRule="exact"/>
        <w:ind w:left="0" w:right="0" w:firstLine="540"/>
        <w:jc w:val="left"/>
      </w:pPr>
      <w:r>
        <w:rPr>
          <w:color w:val="000000"/>
          <w:spacing w:val="0"/>
          <w:w w:val="100"/>
          <w:position w:val="0"/>
        </w:rPr>
        <w:t>2019年4月18日，公司2018年年度股东大会审议通过了《2019年股票期权与限制性股票激励计划（草 案）》及相关议案。本股权激励计划拟向激励对象授予权益总计不超过1,650万份（包括股票期权550万份, 限制性股票1,100万股），其中首次授予权益总数1,440万份（包括股票期权474万份，限制性股票966万股）， 预留权益210万份（包括股票期权76万份，限制性股票134万股）。本次股权激励计划分两次完成了授予。 2019年6月11日完成了首次部分授予，授予激励对象共1,233人，2020年2月26日完成了预留部分授予，授 予激励对象共304人。实施本次股权激励计划履行的主要审议程序如下：</w:t>
      </w:r>
    </w:p>
    <w:p>
      <w:pPr>
        <w:pStyle w:val="Style44"/>
        <w:keepNext w:val="0"/>
        <w:keepLines w:val="0"/>
        <w:widowControl w:val="0"/>
        <w:shd w:val="clear" w:color="auto" w:fill="auto"/>
        <w:tabs>
          <w:tab w:pos="786" w:val="left"/>
        </w:tabs>
        <w:bidi w:val="0"/>
        <w:spacing w:before="0" w:after="0" w:line="472" w:lineRule="exact"/>
        <w:ind w:left="0" w:right="0" w:firstLine="420"/>
        <w:jc w:val="both"/>
      </w:pPr>
      <w:bookmarkStart w:id="349" w:name="bookmark349"/>
      <w:r>
        <w:rPr>
          <w:color w:val="000000"/>
          <w:spacing w:val="0"/>
          <w:w w:val="100"/>
          <w:position w:val="0"/>
        </w:rPr>
        <w:t>1</w:t>
      </w:r>
      <w:bookmarkEnd w:id="349"/>
      <w:r>
        <w:rPr>
          <w:color w:val="000000"/>
          <w:spacing w:val="0"/>
          <w:w w:val="100"/>
          <w:position w:val="0"/>
        </w:rPr>
        <w:t>、</w:t>
        <w:tab/>
        <w:t>2019年3月28日，公司第四届董事会第六次会议审议通过了《〈2019年股票期权与限制性股票激励 计划（草案）〉及其摘要》等议案；公司第四届监事会第六次会议审议了上述事项，并对本次股权激励计划 首次授予激励对象名单进行了核实；公司独立董事就本次股权激励计划是否有利于公司的持续发展及是否 存在损害公司及全体股东利益的情形发表了同意的独立意见。</w:t>
      </w:r>
    </w:p>
    <w:p>
      <w:pPr>
        <w:pStyle w:val="Style44"/>
        <w:keepNext w:val="0"/>
        <w:keepLines w:val="0"/>
        <w:widowControl w:val="0"/>
        <w:shd w:val="clear" w:color="auto" w:fill="auto"/>
        <w:tabs>
          <w:tab w:pos="781" w:val="left"/>
        </w:tabs>
        <w:bidi w:val="0"/>
        <w:spacing w:before="0" w:after="360" w:line="470" w:lineRule="exact"/>
        <w:ind w:left="0" w:right="0" w:firstLine="420"/>
        <w:jc w:val="both"/>
      </w:pPr>
      <w:bookmarkStart w:id="350" w:name="bookmark350"/>
      <w:r>
        <w:rPr>
          <w:color w:val="000000"/>
          <w:spacing w:val="0"/>
          <w:w w:val="100"/>
          <w:position w:val="0"/>
        </w:rPr>
        <w:t>2</w:t>
      </w:r>
      <w:bookmarkEnd w:id="350"/>
      <w:r>
        <w:rPr>
          <w:color w:val="000000"/>
          <w:spacing w:val="0"/>
          <w:w w:val="100"/>
          <w:position w:val="0"/>
        </w:rPr>
        <w:t>、</w:t>
        <w:tab/>
        <w:t>2019年3月30日至2019年4月8日，公司对首次授予激励对象的姓名和职务在公司内部</w:t>
      </w:r>
      <w:r>
        <w:rPr>
          <w:color w:val="000000"/>
          <w:spacing w:val="0"/>
          <w:w w:val="100"/>
          <w:position w:val="0"/>
        </w:rPr>
        <w:t>0A</w:t>
      </w:r>
      <w:r>
        <w:rPr>
          <w:color w:val="000000"/>
          <w:spacing w:val="0"/>
          <w:w w:val="100"/>
          <w:position w:val="0"/>
        </w:rPr>
        <w:t>办公系统及 内部邮件系统进行了公示。监事会对公示情况发布了核查意见，并于2019年4月9日，发布了《监事会关于 2019年股票期权与限制性股票激励计划首次授予激励对象名单的公示情况说明及核查意见》。</w:t>
      </w:r>
    </w:p>
    <w:p>
      <w:pPr>
        <w:pStyle w:val="Style44"/>
        <w:keepNext w:val="0"/>
        <w:keepLines w:val="0"/>
        <w:widowControl w:val="0"/>
        <w:shd w:val="clear" w:color="auto" w:fill="auto"/>
        <w:tabs>
          <w:tab w:pos="721" w:val="left"/>
        </w:tabs>
        <w:bidi w:val="0"/>
        <w:spacing w:before="0" w:after="0" w:line="485" w:lineRule="exact"/>
        <w:ind w:left="0" w:right="0" w:firstLine="440"/>
        <w:jc w:val="both"/>
      </w:pPr>
      <w:bookmarkStart w:id="351" w:name="bookmark351"/>
      <w:r>
        <w:rPr>
          <w:color w:val="000000"/>
          <w:spacing w:val="0"/>
          <w:w w:val="100"/>
          <w:position w:val="0"/>
        </w:rPr>
        <w:t>3</w:t>
      </w:r>
      <w:bookmarkEnd w:id="351"/>
      <w:r>
        <w:rPr>
          <w:color w:val="000000"/>
          <w:spacing w:val="0"/>
          <w:w w:val="100"/>
          <w:position w:val="0"/>
        </w:rPr>
        <w:t>、</w:t>
        <w:tab/>
        <w:t>2019年4月18日，公司2018年年度股东大会审议通过了《〈2019年股票期权与限制性股票激励计划（草 案）〉及其摘要》等事项。</w:t>
      </w:r>
    </w:p>
    <w:p>
      <w:pPr>
        <w:pStyle w:val="Style44"/>
        <w:keepNext w:val="0"/>
        <w:keepLines w:val="0"/>
        <w:widowControl w:val="0"/>
        <w:shd w:val="clear" w:color="auto" w:fill="auto"/>
        <w:tabs>
          <w:tab w:pos="721" w:val="left"/>
        </w:tabs>
        <w:bidi w:val="0"/>
        <w:spacing w:before="0" w:after="0" w:line="469" w:lineRule="exact"/>
        <w:ind w:left="0" w:right="0" w:firstLine="440"/>
        <w:jc w:val="both"/>
      </w:pPr>
      <w:bookmarkStart w:id="352" w:name="bookmark352"/>
      <w:r>
        <w:rPr>
          <w:color w:val="000000"/>
          <w:spacing w:val="0"/>
          <w:w w:val="100"/>
          <w:position w:val="0"/>
        </w:rPr>
        <w:t>4</w:t>
      </w:r>
      <w:bookmarkEnd w:id="352"/>
      <w:r>
        <w:rPr>
          <w:color w:val="000000"/>
          <w:spacing w:val="0"/>
          <w:w w:val="100"/>
          <w:position w:val="0"/>
        </w:rPr>
        <w:t>、</w:t>
        <w:tab/>
        <w:t>2019年5月16日，公司召开第四届董事会第八次会议和第四届监事会第八次会议，审议通过了《关 于调整2019年股票期权与限制性股票激励计划首次授予激励对象名单、授予数量及授予价格的议案》和《关 于向激励对象首次授予股票期权与限制性股票的议案》，公司独立董事对此发表了同意的独立意见。监事 会对首次授予部分激励对象调整后的名单进行核实并发表了核查意见。2019年6月11日，公司完成中国证 券登记结算有限责任公司深圳分公司首期股票期权和限制性股票的授予工作，确定首期股票期权和限制性 股票的授予登记日为2019年6月11日。</w:t>
      </w:r>
    </w:p>
    <w:p>
      <w:pPr>
        <w:pStyle w:val="Style44"/>
        <w:keepNext w:val="0"/>
        <w:keepLines w:val="0"/>
        <w:widowControl w:val="0"/>
        <w:shd w:val="clear" w:color="auto" w:fill="auto"/>
        <w:tabs>
          <w:tab w:pos="721" w:val="left"/>
        </w:tabs>
        <w:bidi w:val="0"/>
        <w:spacing w:before="0" w:after="0" w:line="469" w:lineRule="exact"/>
        <w:ind w:left="0" w:right="0" w:firstLine="440"/>
        <w:jc w:val="both"/>
      </w:pPr>
      <w:bookmarkStart w:id="353" w:name="bookmark353"/>
      <w:r>
        <w:rPr>
          <w:color w:val="000000"/>
          <w:spacing w:val="0"/>
          <w:w w:val="100"/>
          <w:position w:val="0"/>
        </w:rPr>
        <w:t>6</w:t>
      </w:r>
      <w:bookmarkEnd w:id="353"/>
      <w:r>
        <w:rPr>
          <w:color w:val="000000"/>
          <w:spacing w:val="0"/>
          <w:w w:val="100"/>
          <w:position w:val="0"/>
        </w:rPr>
        <w:t>、</w:t>
        <w:tab/>
        <w:t>2019年7月17日，公司召开第四届董事会第九次会议和第四届监事会第九次会议，审议通过了《关 于注销部分股票期权和回购注销部分限制性股票的议案》，决定对11名离职激励对象已获授尚未行权的股 票期权共计50,000份进行注销，对7名离职激励对象已获授尚未解锁的限制性股票共计30, 300股进行回购 注销。该部分股票期权/限制性股票已于2019年11月5日在中国证券登记结算有限责任公司深圳分公司完成 注销/回购注销手续。</w:t>
      </w:r>
    </w:p>
    <w:p>
      <w:pPr>
        <w:pStyle w:val="Style44"/>
        <w:keepNext w:val="0"/>
        <w:keepLines w:val="0"/>
        <w:widowControl w:val="0"/>
        <w:shd w:val="clear" w:color="auto" w:fill="auto"/>
        <w:tabs>
          <w:tab w:pos="698" w:val="left"/>
        </w:tabs>
        <w:bidi w:val="0"/>
        <w:spacing w:before="0" w:after="0" w:line="480" w:lineRule="exact"/>
        <w:ind w:left="0" w:right="0" w:firstLine="440"/>
        <w:jc w:val="both"/>
      </w:pPr>
      <w:bookmarkStart w:id="354" w:name="bookmark354"/>
      <w:r>
        <w:rPr>
          <w:color w:val="000000"/>
          <w:spacing w:val="0"/>
          <w:w w:val="100"/>
          <w:position w:val="0"/>
        </w:rPr>
        <w:t>7</w:t>
      </w:r>
      <w:bookmarkEnd w:id="354"/>
      <w:r>
        <w:rPr>
          <w:color w:val="000000"/>
          <w:spacing w:val="0"/>
          <w:w w:val="100"/>
          <w:position w:val="0"/>
        </w:rPr>
        <w:t>、</w:t>
        <w:tab/>
        <w:t>2019年9月29日，公司召开第四届董事会第十二次会议和第四届监事会第十一次会议，审议通过了 《关于注销部分股票期权和回购注销部分限制性股票的议案》，决定对21名离职激励对象已获授尚未行权</w:t>
      </w:r>
    </w:p>
    <w:p>
      <w:pPr>
        <w:pStyle w:val="Style44"/>
        <w:keepNext w:val="0"/>
        <w:keepLines w:val="0"/>
        <w:widowControl w:val="0"/>
        <w:shd w:val="clear" w:color="auto" w:fill="auto"/>
        <w:bidi w:val="0"/>
        <w:spacing w:before="0" w:after="0" w:line="471" w:lineRule="exact"/>
        <w:ind w:left="0" w:right="0" w:firstLine="0"/>
        <w:jc w:val="both"/>
      </w:pPr>
      <w:r>
        <w:rPr>
          <w:color w:val="000000"/>
          <w:spacing w:val="0"/>
          <w:w w:val="100"/>
          <w:position w:val="0"/>
        </w:rPr>
        <w:t>的股票期权共计131, 700份进行注销，对14名离职激励对象已获授尚未解锁的限制性股票共计99,300股进 行回购注销。该部分股票期权/限制性股票已于2019年11月20日在中国证券登记结算有限责任公司深圳分 公司完成注销/回购注销手续。</w:t>
      </w:r>
    </w:p>
    <w:p>
      <w:pPr>
        <w:pStyle w:val="Style44"/>
        <w:keepNext w:val="0"/>
        <w:keepLines w:val="0"/>
        <w:widowControl w:val="0"/>
        <w:shd w:val="clear" w:color="auto" w:fill="auto"/>
        <w:tabs>
          <w:tab w:pos="721" w:val="left"/>
        </w:tabs>
        <w:bidi w:val="0"/>
        <w:spacing w:before="0" w:after="0" w:line="471" w:lineRule="exact"/>
        <w:ind w:left="0" w:right="0" w:firstLine="440"/>
        <w:jc w:val="both"/>
      </w:pPr>
      <w:bookmarkStart w:id="355" w:name="bookmark355"/>
      <w:r>
        <w:rPr>
          <w:color w:val="000000"/>
          <w:spacing w:val="0"/>
          <w:w w:val="100"/>
          <w:position w:val="0"/>
        </w:rPr>
        <w:t>8</w:t>
      </w:r>
      <w:bookmarkEnd w:id="355"/>
      <w:r>
        <w:rPr>
          <w:color w:val="000000"/>
          <w:spacing w:val="0"/>
          <w:w w:val="100"/>
          <w:position w:val="0"/>
        </w:rPr>
        <w:t>、</w:t>
        <w:tab/>
        <w:t>2020年1月23日，公司召开第四届董事会第十五次会议和监事会第十四次会议，审议通过了《关于 向激励对象授予2019年股票期权与限制性股票激励计划预留权益的议案》，确定2020年1月23日为本次股 权激励计划的预留权益授予日，同意公司向符合授予条件的149名激励对象授予76万份股票期权，授予价 格为</w:t>
      </w:r>
      <w:r>
        <w:rPr>
          <w:color w:val="000000"/>
          <w:spacing w:val="0"/>
          <w:w w:val="100"/>
          <w:position w:val="0"/>
        </w:rPr>
        <w:t>21.37</w:t>
      </w:r>
      <w:r>
        <w:rPr>
          <w:color w:val="000000"/>
          <w:spacing w:val="0"/>
          <w:w w:val="100"/>
          <w:position w:val="0"/>
        </w:rPr>
        <w:t>元/份；同意公司向符合授予条件的210名激励对象授予134万股限制性股票，授予价格为</w:t>
      </w:r>
      <w:r>
        <w:rPr>
          <w:color w:val="000000"/>
          <w:spacing w:val="0"/>
          <w:w w:val="100"/>
          <w:position w:val="0"/>
        </w:rPr>
        <w:t xml:space="preserve">10.69 </w:t>
      </w:r>
      <w:r>
        <w:rPr>
          <w:color w:val="000000"/>
          <w:spacing w:val="0"/>
          <w:w w:val="100"/>
          <w:position w:val="0"/>
        </w:rPr>
        <w:t>元/股。公司独立董事对此发表了同意的独立意见。监事会对预留权益授予部分激励对象名单进行核实并 发表了核查意见。2020年2月26日，公司完成中国证券登记结算有限责任公司深圳分公司预留部分股票期 权和限制性股票的授予工作，确定预留部分股票期权和限制性股票的授予登记日为2020年2月26日。</w:t>
      </w:r>
    </w:p>
    <w:p>
      <w:pPr>
        <w:pStyle w:val="Style44"/>
        <w:keepNext w:val="0"/>
        <w:keepLines w:val="0"/>
        <w:widowControl w:val="0"/>
        <w:shd w:val="clear" w:color="auto" w:fill="auto"/>
        <w:tabs>
          <w:tab w:pos="721" w:val="left"/>
        </w:tabs>
        <w:bidi w:val="0"/>
        <w:spacing w:before="0" w:after="0" w:line="471" w:lineRule="exact"/>
        <w:ind w:left="0" w:right="0" w:firstLine="440"/>
        <w:jc w:val="both"/>
      </w:pPr>
      <w:bookmarkStart w:id="356" w:name="bookmark356"/>
      <w:r>
        <w:rPr>
          <w:color w:val="000000"/>
          <w:spacing w:val="0"/>
          <w:w w:val="100"/>
          <w:position w:val="0"/>
        </w:rPr>
        <w:t>9</w:t>
      </w:r>
      <w:bookmarkEnd w:id="356"/>
      <w:r>
        <w:rPr>
          <w:color w:val="000000"/>
          <w:spacing w:val="0"/>
          <w:w w:val="100"/>
          <w:position w:val="0"/>
        </w:rPr>
        <w:t>、</w:t>
        <w:tab/>
        <w:t>2020年3月27日，公司第四届董事会第十六次会议和第四届监事会第十五次会议审议通过了《关于 注销部分股票期权和回购注销部分限制性股票的议案》。决定对27名不符合激励条件的激励对象已获授但 尚未行权的股票期权共计123,500份进行注销，对18名不符合激励条件的激励对象已获授但尚未解除限售 的限制性股票共计122,400股进行回购注销。该部分股票期权/限制性股票已于2020年5月21日在中国证券 登记结算有限责任公司深圳分公司完成注销/回购注销手续。</w:t>
      </w:r>
    </w:p>
    <w:p>
      <w:pPr>
        <w:pStyle w:val="Style44"/>
        <w:keepNext w:val="0"/>
        <w:keepLines w:val="0"/>
        <w:widowControl w:val="0"/>
        <w:shd w:val="clear" w:color="auto" w:fill="auto"/>
        <w:tabs>
          <w:tab w:pos="908" w:val="left"/>
        </w:tabs>
        <w:bidi w:val="0"/>
        <w:spacing w:before="0" w:after="0" w:line="473" w:lineRule="exact"/>
        <w:ind w:left="0" w:right="0" w:firstLine="580"/>
        <w:jc w:val="both"/>
      </w:pPr>
      <w:bookmarkStart w:id="357" w:name="bookmark357"/>
      <w:r>
        <w:rPr>
          <w:color w:val="000000"/>
          <w:spacing w:val="0"/>
          <w:w w:val="100"/>
          <w:position w:val="0"/>
        </w:rPr>
        <w:t>1</w:t>
      </w:r>
      <w:bookmarkEnd w:id="357"/>
      <w:r>
        <w:rPr>
          <w:color w:val="000000"/>
          <w:spacing w:val="0"/>
          <w:w w:val="100"/>
          <w:position w:val="0"/>
        </w:rPr>
        <w:t>0、</w:t>
        <w:tab/>
        <w:t>2020年6月1日，公司第四届董事会第十八次会议和第四届监事会第十七次会议审议通过了《关于 调整股票期权行权价格的议案》，同意按照公司《激励计划》的相关规定，依据公司2019年度权益分派的 实施情况，将2019年股票期权与限制性股票激励计划首次授予部分股票期权行权价格由</w:t>
      </w:r>
      <w:r>
        <w:rPr>
          <w:color w:val="000000"/>
          <w:spacing w:val="0"/>
          <w:w w:val="100"/>
          <w:position w:val="0"/>
        </w:rPr>
        <w:t>17.17</w:t>
      </w:r>
      <w:r>
        <w:rPr>
          <w:color w:val="000000"/>
          <w:spacing w:val="0"/>
          <w:w w:val="100"/>
          <w:position w:val="0"/>
        </w:rPr>
        <w:t xml:space="preserve">元/份调整为 </w:t>
      </w:r>
      <w:r>
        <w:rPr>
          <w:color w:val="000000"/>
          <w:spacing w:val="0"/>
          <w:w w:val="100"/>
          <w:position w:val="0"/>
        </w:rPr>
        <w:t>17.08</w:t>
      </w:r>
      <w:r>
        <w:rPr>
          <w:color w:val="000000"/>
          <w:spacing w:val="0"/>
          <w:w w:val="100"/>
          <w:position w:val="0"/>
        </w:rPr>
        <w:t>元/份。2020年6月16日，首次授予部分限制性股票第一个解锁期解锁股份上市流通、首次授予部分 股票期权第一个可行权期可行权。</w:t>
      </w:r>
    </w:p>
    <w:p>
      <w:pPr>
        <w:pStyle w:val="Style44"/>
        <w:keepNext w:val="0"/>
        <w:keepLines w:val="0"/>
        <w:widowControl w:val="0"/>
        <w:shd w:val="clear" w:color="auto" w:fill="auto"/>
        <w:tabs>
          <w:tab w:pos="908" w:val="left"/>
        </w:tabs>
        <w:bidi w:val="0"/>
        <w:spacing w:before="0" w:after="0" w:line="474" w:lineRule="exact"/>
        <w:ind w:left="0" w:right="0" w:firstLine="580"/>
        <w:jc w:val="both"/>
      </w:pPr>
      <w:bookmarkStart w:id="358" w:name="bookmark358"/>
      <w:r>
        <w:rPr>
          <w:color w:val="000000"/>
          <w:spacing w:val="0"/>
          <w:w w:val="100"/>
          <w:position w:val="0"/>
        </w:rPr>
        <w:t>1</w:t>
      </w:r>
      <w:bookmarkEnd w:id="358"/>
      <w:r>
        <w:rPr>
          <w:color w:val="000000"/>
          <w:spacing w:val="0"/>
          <w:w w:val="100"/>
          <w:position w:val="0"/>
        </w:rPr>
        <w:t>1、</w:t>
        <w:tab/>
        <w:t>2020年8月26日，公司召开第四届董事会第十九次会议和第四届监事会第十八次会议，审议通过 了《关于注销部分股票期权和回购注销部分限制性股票的议案》，决定对54名离职激励对象已获授尚未行 权的股票期权共计142,900份进行注销，对30名离职激励对象已获授尚未解锁的限制性股票共计143,620股 进行回购注销。</w:t>
      </w:r>
    </w:p>
    <w:p>
      <w:pPr>
        <w:pStyle w:val="Style44"/>
        <w:keepNext w:val="0"/>
        <w:keepLines w:val="0"/>
        <w:widowControl w:val="0"/>
        <w:shd w:val="clear" w:color="auto" w:fill="auto"/>
        <w:tabs>
          <w:tab w:pos="908" w:val="left"/>
        </w:tabs>
        <w:bidi w:val="0"/>
        <w:spacing w:before="0" w:after="640" w:line="474" w:lineRule="exact"/>
        <w:ind w:left="0" w:right="0" w:firstLine="580"/>
        <w:jc w:val="both"/>
      </w:pPr>
      <w:bookmarkStart w:id="359" w:name="bookmark359"/>
      <w:r>
        <w:rPr>
          <w:color w:val="000000"/>
          <w:spacing w:val="0"/>
          <w:w w:val="100"/>
          <w:position w:val="0"/>
        </w:rPr>
        <w:t>1</w:t>
      </w:r>
      <w:bookmarkEnd w:id="359"/>
      <w:r>
        <w:rPr>
          <w:color w:val="000000"/>
          <w:spacing w:val="0"/>
          <w:w w:val="100"/>
          <w:position w:val="0"/>
        </w:rPr>
        <w:t>2、</w:t>
        <w:tab/>
        <w:t>2020年11月26日，公司召开第四届董事会第二十一次会议和第四届监事会第二十次会议，审议通 过了《关于注销部分股票期权和回购注销部分限制性股票的议案》，决定对24名离职激励对象已获授尚未 行权的股票期权共计59,460份进行注销，对19名离职激励对象已获授尚未解锁的限制性股票共计105,560 股进行回购注销。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7"/>
        <w:keepNext/>
        <w:keepLines/>
        <w:widowControl w:val="0"/>
        <w:shd w:val="clear" w:color="auto" w:fill="auto"/>
        <w:bidi w:val="0"/>
        <w:spacing w:before="0" w:after="440" w:line="466" w:lineRule="exact"/>
        <w:ind w:left="0" w:right="0" w:firstLine="580"/>
        <w:jc w:val="both"/>
        <w:rPr>
          <w:sz w:val="20"/>
          <w:szCs w:val="20"/>
        </w:rPr>
      </w:pPr>
      <w:bookmarkStart w:id="360" w:name="bookmark360"/>
      <w:bookmarkStart w:id="361" w:name="bookmark361"/>
      <w:bookmarkStart w:id="362" w:name="bookmark362"/>
      <w:r>
        <w:rPr>
          <w:b w:val="0"/>
          <w:bCs w:val="0"/>
          <w:color w:val="000000"/>
          <w:spacing w:val="0"/>
          <w:w w:val="100"/>
          <w:position w:val="0"/>
          <w:sz w:val="20"/>
          <w:szCs w:val="20"/>
        </w:rPr>
        <w:t>报告期内，公司核心技术人员共计1,126人，占公司员工人数的30.07%，核心技术人员薪酬占比公司 薪酬总额39.13%，核心技术人员的股权激励费用及占当期股权激励费用的比重为29.83%。</w:t>
      </w:r>
      <w:bookmarkEnd w:id="360"/>
      <w:bookmarkEnd w:id="361"/>
      <w:bookmarkEnd w:id="362"/>
    </w:p>
    <w:p>
      <w:pPr>
        <w:pStyle w:val="Style27"/>
        <w:keepNext/>
        <w:keepLines/>
        <w:widowControl w:val="0"/>
        <w:shd w:val="clear" w:color="auto" w:fill="auto"/>
        <w:bidi w:val="0"/>
        <w:spacing w:before="0" w:line="240" w:lineRule="auto"/>
        <w:ind w:left="0" w:right="0" w:firstLine="0"/>
        <w:jc w:val="both"/>
      </w:pPr>
      <w:bookmarkStart w:id="363" w:name="bookmark363"/>
      <w:bookmarkStart w:id="364" w:name="bookmark364"/>
      <w:bookmarkStart w:id="365" w:name="bookmark365"/>
      <w:r>
        <w:rPr>
          <w:color w:val="000000"/>
          <w:spacing w:val="0"/>
          <w:w w:val="100"/>
          <w:position w:val="0"/>
          <w:sz w:val="24"/>
          <w:szCs w:val="24"/>
        </w:rPr>
        <w:t>十五、重大关联交易</w:t>
      </w:r>
      <w:bookmarkEnd w:id="363"/>
      <w:bookmarkEnd w:id="364"/>
      <w:bookmarkEnd w:id="365"/>
    </w:p>
    <w:p>
      <w:pPr>
        <w:pStyle w:val="Style32"/>
        <w:keepNext/>
        <w:keepLines/>
        <w:widowControl w:val="0"/>
        <w:shd w:val="clear" w:color="auto" w:fill="auto"/>
        <w:bidi w:val="0"/>
        <w:spacing w:before="0" w:after="100" w:line="494"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、与日常经营相关的关联交易</w:t>
      </w:r>
      <w:bookmarkEnd w:id="366"/>
      <w:bookmarkEnd w:id="367"/>
      <w:bookmarkEnd w:id="369"/>
    </w:p>
    <w:p>
      <w:pPr>
        <w:pStyle w:val="Style36"/>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2"/>
        <w:gridCol w:w="677"/>
        <w:gridCol w:w="677"/>
        <w:gridCol w:w="706"/>
        <w:gridCol w:w="677"/>
        <w:gridCol w:w="677"/>
        <w:gridCol w:w="677"/>
        <w:gridCol w:w="672"/>
        <w:gridCol w:w="677"/>
        <w:gridCol w:w="672"/>
        <w:gridCol w:w="672"/>
        <w:gridCol w:w="672"/>
        <w:gridCol w:w="538"/>
        <w:gridCol w:w="998"/>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关联交 易方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关联 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关联 交易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pPr>
            <w:r>
              <w:rPr>
                <w:b/>
                <w:bCs/>
                <w:color w:val="000000"/>
                <w:spacing w:val="0"/>
                <w:w w:val="100"/>
                <w:position w:val="0"/>
              </w:rPr>
              <w:t>关联 交易 定价 原则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关联 交易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160" w:right="0" w:firstLine="0"/>
              <w:jc w:val="both"/>
            </w:pPr>
            <w:r>
              <w:rPr>
                <w:b/>
                <w:bCs/>
                <w:color w:val="000000"/>
                <w:spacing w:val="0"/>
                <w:w w:val="100"/>
                <w:position w:val="0"/>
              </w:rPr>
              <w:t>关联 交易 金额</w:t>
            </w:r>
          </w:p>
          <w:p>
            <w:pPr>
              <w:pStyle w:val="Style2"/>
              <w:keepNext w:val="0"/>
              <w:keepLines w:val="0"/>
              <w:widowControl w:val="0"/>
              <w:shd w:val="clear" w:color="auto" w:fill="auto"/>
              <w:bidi w:val="0"/>
              <w:spacing w:before="0" w:after="0" w:line="309" w:lineRule="exact"/>
              <w:ind w:left="160" w:right="0" w:firstLine="0"/>
              <w:jc w:val="both"/>
            </w:pPr>
            <w:r>
              <w:rPr>
                <w:b/>
                <w:bCs/>
                <w:color w:val="000000"/>
                <w:spacing w:val="0"/>
                <w:w w:val="100"/>
                <w:position w:val="0"/>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40" w:right="0" w:firstLine="0"/>
              <w:jc w:val="left"/>
            </w:pPr>
            <w:r>
              <w:rPr>
                <w:b/>
                <w:bCs/>
                <w:color w:val="000000"/>
                <w:spacing w:val="0"/>
                <w:w w:val="100"/>
                <w:position w:val="0"/>
              </w:rPr>
              <w:t>占同 类交 易金 额的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获批 的交 易额 度（万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是否 超过 获批 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center"/>
            </w:pPr>
            <w:r>
              <w:rPr>
                <w:b/>
                <w:bCs/>
                <w:color w:val="000000"/>
                <w:spacing w:val="0"/>
                <w:w w:val="100"/>
                <w:position w:val="0"/>
              </w:rPr>
              <w:t>关联 交易 结算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both"/>
            </w:pPr>
            <w:r>
              <w:rPr>
                <w:b/>
                <w:bCs/>
                <w:color w:val="000000"/>
                <w:spacing w:val="0"/>
                <w:w w:val="100"/>
                <w:position w:val="0"/>
              </w:rPr>
              <w:t>可获 得的 同类 交易 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b/>
                <w:bCs/>
                <w:color w:val="000000"/>
                <w:spacing w:val="0"/>
                <w:w w:val="100"/>
                <w:position w:val="0"/>
              </w:rPr>
              <w:t>披 露 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安徽华 图信息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提供 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出售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pPr>
            <w:r>
              <w:rPr>
                <w:color w:val="000000"/>
                <w:spacing w:val="0"/>
                <w:w w:val="100"/>
                <w:position w:val="0"/>
              </w:rPr>
              <w:t>提供 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出售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0.01</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柏科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 熟）电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提供 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提供 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370.9</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0.16</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fo.com.cn</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7"/>
        <w:gridCol w:w="672"/>
        <w:gridCol w:w="677"/>
        <w:gridCol w:w="672"/>
        <w:gridCol w:w="672"/>
        <w:gridCol w:w="672"/>
        <w:gridCol w:w="538"/>
        <w:gridCol w:w="998"/>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柏科智 能（厦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 方智讯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云信息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66.81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厦门吉 比特网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络技术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 定价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图信息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7"/>
        <w:gridCol w:w="672"/>
        <w:gridCol w:w="677"/>
        <w:gridCol w:w="672"/>
        <w:gridCol w:w="672"/>
        <w:gridCol w:w="672"/>
        <w:gridCol w:w="538"/>
        <w:gridCol w:w="998"/>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熟）电</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vMerge/>
            <w:tcBorders>
              <w:left w:val="single" w:sz="4"/>
              <w:right w:val="single" w:sz="4"/>
            </w:tcBorders>
            <w:shd w:val="clear" w:color="auto" w:fill="FFFFFF"/>
            <w:vAlign w:val="top"/>
          </w:tcPr>
          <w:p>
            <w:pPr/>
          </w:p>
        </w:tc>
      </w:tr>
      <w:tr>
        <w:trPr>
          <w:trHeight w:val="42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8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 方智讯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77.17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科特种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云信息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0.95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r>
              <w:rPr>
                <w:color w:val="000000"/>
                <w:spacing w:val="0"/>
                <w:w w:val="100"/>
                <w:position w:val="0"/>
              </w:rPr>
              <w:t>年</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巨龙信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息科技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7"/>
        <w:gridCol w:w="672"/>
        <w:gridCol w:w="677"/>
        <w:gridCol w:w="672"/>
        <w:gridCol w:w="672"/>
        <w:gridCol w:w="672"/>
        <w:gridCol w:w="538"/>
        <w:gridCol w:w="998"/>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2020-18</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2020-63</w:t>
            </w: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 美亚梧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94.53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94.53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桐投资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接受 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诚通联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汇智德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辰数据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19.83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国投集 团及其 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 商品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r>
              <w:rPr>
                <w:rFonts w:ascii="Times New Roman" w:eastAsia="Times New Roman" w:hAnsi="Times New Roman" w:cs="Times New Roman"/>
                <w:color w:val="000000"/>
                <w:spacing w:val="0"/>
                <w:w w:val="100"/>
                <w:position w:val="0"/>
              </w:rPr>
              <w:t>（</w:t>
            </w:r>
            <w:r>
              <w:rPr>
                <w:color w:val="000000"/>
                <w:spacing w:val="0"/>
                <w:w w:val="100"/>
                <w:position w:val="0"/>
              </w:rPr>
              <w:t>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含国投</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团及其 控股、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31.92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31.92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服务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含国投</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云信息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677"/>
        <w:gridCol w:w="677"/>
        <w:gridCol w:w="706"/>
        <w:gridCol w:w="677"/>
        <w:gridCol w:w="677"/>
        <w:gridCol w:w="677"/>
        <w:gridCol w:w="672"/>
        <w:gridCol w:w="677"/>
        <w:gridCol w:w="672"/>
        <w:gridCol w:w="672"/>
        <w:gridCol w:w="672"/>
        <w:gridCol w:w="538"/>
        <w:gridCol w:w="998"/>
      </w:tblGrid>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方智讯 信息技 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美亚梧</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8.94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桐投资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闽能源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柏科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熟）电</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柏科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熟）电</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年</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rPr>
              <w:t>www.cnin</w:t>
            </w:r>
            <w:r>
              <w:fldChar w:fldCharType="end"/>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汇智德</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fo.com.cn</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辰数据</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2019-99</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国投亚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gridSpan w:val="4"/>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b/>
                <w:bCs/>
                <w:color w:val="000000"/>
                <w:spacing w:val="0"/>
                <w:w w:val="100"/>
                <w:position w:val="0"/>
                <w:sz w:val="16"/>
                <w:szCs w:val="16"/>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3.81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日，公司第四届董事会第五次会议及第四届董事会第十六次审议通过</w:t>
            </w:r>
          </w:p>
        </w:tc>
      </w:tr>
      <w:tr>
        <w:trPr>
          <w:trHeight w:val="341" w:hRule="exact"/>
        </w:trPr>
        <w:tc>
          <w:tcPr>
            <w:gridSpan w:val="4"/>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w:t>
            </w:r>
          </w:p>
        </w:tc>
        <w:tc>
          <w:tcPr>
            <w:gridSpan w:val="10"/>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年度日常关联交易预计的议案》，预计公司及子公司与关联方实际</w:t>
            </w:r>
          </w:p>
        </w:tc>
      </w:tr>
      <w:tr>
        <w:trPr>
          <w:trHeight w:val="326" w:hRule="exact"/>
        </w:trPr>
        <w:tc>
          <w:tcPr>
            <w:gridSpan w:val="4"/>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交易进行总金额预计的，在报告期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46" w:hRule="exact"/>
        </w:trPr>
        <w:tc>
          <w:tcPr>
            <w:gridSpan w:val="4"/>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内的实际履行情况（如有）</w:t>
            </w:r>
          </w:p>
        </w:tc>
        <w:tc>
          <w:tcPr>
            <w:gridSpan w:val="10"/>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生总金额不超过</w:t>
            </w:r>
            <w:r>
              <w:rPr>
                <w:rFonts w:ascii="Times New Roman" w:eastAsia="Times New Roman" w:hAnsi="Times New Roman" w:cs="Times New Roman"/>
                <w:color w:val="000000"/>
                <w:spacing w:val="0"/>
                <w:w w:val="100"/>
                <w:position w:val="0"/>
              </w:rPr>
              <w:t>9,200</w:t>
            </w:r>
            <w:r>
              <w:rPr>
                <w:color w:val="000000"/>
                <w:spacing w:val="0"/>
                <w:w w:val="100"/>
                <w:position w:val="0"/>
              </w:rPr>
              <w:t>万元的日常关联交易；</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日公司第四届董事会第十</w:t>
            </w:r>
          </w:p>
        </w:tc>
      </w:tr>
      <w:tr>
        <w:trPr>
          <w:trHeight w:val="384"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gridSpan w:val="10"/>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八次会议审议通过了《关于增加公司</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年度日常关联交易预计额的议案》，新增后，</w:t>
            </w:r>
          </w:p>
        </w:tc>
      </w:tr>
    </w:tbl>
    <w:tbl>
      <w:tblPr>
        <w:tblOverlap w:val="never"/>
        <w:jc w:val="center"/>
        <w:tblLayout w:type="fixed"/>
      </w:tblPr>
      <w:tblGrid>
        <w:gridCol w:w="2861"/>
        <w:gridCol w:w="6931"/>
      </w:tblGrid>
      <w:tr>
        <w:trPr>
          <w:trHeight w:val="23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预计公司与子公司与关联方实际发生总金额不超过</w:t>
            </w:r>
            <w:r>
              <w:rPr>
                <w:rFonts w:ascii="Times New Roman" w:eastAsia="Times New Roman" w:hAnsi="Times New Roman" w:cs="Times New Roman"/>
                <w:color w:val="000000"/>
                <w:spacing w:val="0"/>
                <w:w w:val="100"/>
                <w:position w:val="0"/>
              </w:rPr>
              <w:t>10,700</w:t>
            </w:r>
            <w:r>
              <w:rPr>
                <w:color w:val="000000"/>
                <w:spacing w:val="0"/>
                <w:w w:val="100"/>
                <w:position w:val="0"/>
              </w:rPr>
              <w:t>万元。报告期内，实际发生 的</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关联交易总金额</w:t>
            </w:r>
            <w:r>
              <w:rPr>
                <w:rFonts w:ascii="Times New Roman" w:eastAsia="Times New Roman" w:hAnsi="Times New Roman" w:cs="Times New Roman"/>
                <w:color w:val="000000"/>
                <w:spacing w:val="0"/>
                <w:w w:val="100"/>
                <w:position w:val="0"/>
              </w:rPr>
              <w:t>4,544.46</w:t>
            </w:r>
            <w:r>
              <w:rPr>
                <w:color w:val="000000"/>
                <w:spacing w:val="0"/>
                <w:w w:val="100"/>
                <w:position w:val="0"/>
              </w:rPr>
              <w:t>万元未超过预计总额度。</w:t>
            </w:r>
          </w:p>
          <w:p>
            <w:pPr>
              <w:pStyle w:val="Style2"/>
              <w:keepNext w:val="0"/>
              <w:keepLines w:val="0"/>
              <w:widowControl w:val="0"/>
              <w:shd w:val="clear" w:color="auto" w:fill="auto"/>
              <w:bidi w:val="0"/>
              <w:spacing w:before="0" w:after="60" w:line="310" w:lineRule="exact"/>
              <w:ind w:left="0" w:right="0" w:firstLine="280"/>
              <w:jc w:val="both"/>
            </w:pPr>
            <w:r>
              <w:rPr>
                <w:color w:val="000000"/>
                <w:spacing w:val="0"/>
                <w:w w:val="100"/>
                <w:position w:val="0"/>
              </w:rPr>
              <w:t>在发生的日常关联交易中，未做预计的采购商品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接受劳务总金额为</w:t>
            </w:r>
            <w:r>
              <w:rPr>
                <w:rFonts w:ascii="Times New Roman" w:eastAsia="Times New Roman" w:hAnsi="Times New Roman" w:cs="Times New Roman"/>
                <w:color w:val="000000"/>
                <w:spacing w:val="0"/>
                <w:w w:val="100"/>
                <w:position w:val="0"/>
              </w:rPr>
              <w:t>525.44</w:t>
            </w:r>
            <w:r>
              <w:rPr>
                <w:color w:val="000000"/>
                <w:spacing w:val="0"/>
                <w:w w:val="100"/>
                <w:position w:val="0"/>
              </w:rPr>
              <w:t>万元；未 做预计或超过预计的出售商品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提供劳务总金额为</w:t>
            </w:r>
            <w:r>
              <w:rPr>
                <w:rFonts w:ascii="Times New Roman" w:eastAsia="Times New Roman" w:hAnsi="Times New Roman" w:cs="Times New Roman"/>
                <w:color w:val="000000"/>
                <w:spacing w:val="0"/>
                <w:w w:val="100"/>
                <w:position w:val="0"/>
              </w:rPr>
              <w:t>380.47</w:t>
            </w:r>
            <w:r>
              <w:rPr>
                <w:color w:val="000000"/>
                <w:spacing w:val="0"/>
                <w:w w:val="100"/>
                <w:position w:val="0"/>
              </w:rPr>
              <w:t xml:space="preserve">万元；其他关联交易总计 </w:t>
            </w:r>
            <w:r>
              <w:rPr>
                <w:rFonts w:ascii="Times New Roman" w:eastAsia="Times New Roman" w:hAnsi="Times New Roman" w:cs="Times New Roman"/>
                <w:color w:val="000000"/>
                <w:spacing w:val="0"/>
                <w:w w:val="100"/>
                <w:position w:val="0"/>
              </w:rPr>
              <w:t>480.97</w:t>
            </w:r>
            <w:r>
              <w:rPr>
                <w:color w:val="000000"/>
                <w:spacing w:val="0"/>
                <w:w w:val="100"/>
                <w:position w:val="0"/>
              </w:rPr>
              <w:t>万元，三者累计日常关联交易总额为</w:t>
            </w:r>
            <w:r>
              <w:rPr>
                <w:rFonts w:ascii="Times New Roman" w:eastAsia="Times New Roman" w:hAnsi="Times New Roman" w:cs="Times New Roman"/>
                <w:color w:val="000000"/>
                <w:spacing w:val="0"/>
                <w:w w:val="100"/>
                <w:position w:val="0"/>
              </w:rPr>
              <w:t>1,386.88</w:t>
            </w:r>
            <w:r>
              <w:rPr>
                <w:color w:val="000000"/>
                <w:spacing w:val="0"/>
                <w:w w:val="100"/>
                <w:position w:val="0"/>
              </w:rPr>
              <w:t>万元，占公司</w:t>
            </w:r>
            <w:r>
              <w:rPr>
                <w:rFonts w:ascii="Times New Roman" w:eastAsia="Times New Roman" w:hAnsi="Times New Roman" w:cs="Times New Roman"/>
                <w:color w:val="000000"/>
                <w:spacing w:val="0"/>
                <w:w w:val="100"/>
                <w:position w:val="0"/>
              </w:rPr>
              <w:t>2019</w:t>
            </w:r>
            <w:r>
              <w:rPr>
                <w:color w:val="000000"/>
                <w:spacing w:val="0"/>
                <w:w w:val="100"/>
                <w:position w:val="0"/>
              </w:rPr>
              <w:t>年经审计净资 产的</w:t>
            </w:r>
            <w:r>
              <w:rPr>
                <w:rFonts w:ascii="Times New Roman" w:eastAsia="Times New Roman" w:hAnsi="Times New Roman" w:cs="Times New Roman"/>
                <w:color w:val="000000"/>
                <w:spacing w:val="0"/>
                <w:w w:val="100"/>
                <w:position w:val="0"/>
              </w:rPr>
              <w:t>0.47%</w:t>
            </w:r>
            <w:r>
              <w:rPr>
                <w:color w:val="000000"/>
                <w:spacing w:val="0"/>
                <w:w w:val="100"/>
                <w:position w:val="0"/>
              </w:rPr>
              <w:t>，未达到披露标准。</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 大的原因（如适用）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资产或股权收购、出售发生的关联交易</w:t>
      </w:r>
      <w:bookmarkEnd w:id="370"/>
      <w:bookmarkEnd w:id="371"/>
      <w:bookmarkEnd w:id="37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共同对外投资的关联交易</w:t>
      </w:r>
      <w:bookmarkEnd w:id="374"/>
      <w:bookmarkEnd w:id="375"/>
      <w:bookmarkEnd w:id="377"/>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75"/>
        <w:gridCol w:w="1320"/>
        <w:gridCol w:w="1200"/>
        <w:gridCol w:w="1325"/>
        <w:gridCol w:w="1061"/>
        <w:gridCol w:w="1330"/>
        <w:gridCol w:w="120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被投资企业的注 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被投资企业的 净利润（万元）</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滕达、刘冬 颖、韦玉荣等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公司部分董 事、监事、高 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厦门市美桐贰期 股权投资管理合 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25,160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-503.54</w:t>
            </w:r>
          </w:p>
        </w:tc>
      </w:tr>
      <w:tr>
        <w:trPr>
          <w:trHeight w:val="72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420" w:line="470" w:lineRule="exact"/>
        <w:ind w:left="0" w:right="0" w:firstLine="520"/>
        <w:jc w:val="both"/>
      </w:pPr>
      <w:r>
        <w:rPr>
          <w:color w:val="000000"/>
          <w:spacing w:val="0"/>
          <w:w w:val="100"/>
          <w:position w:val="0"/>
        </w:rPr>
        <w:t>公司于2019年8月27日召开的第四届董事会第十一次会议及第四届监事会第十次会议审议通过了《关 于美桐贰期产业并购基金相关事项变更及关联方参与认购基金暨关联交易的议案》，该议案已经公司2019 年第二次临时股东大会审议通过。公司拟出资8, 000万元与公司部分董事、监事、高级管理人员共同参与 认购美桐贰期产业投资基金，本报告期内公司已出资8,000万元。</w:t>
      </w:r>
    </w:p>
    <w:p>
      <w:pPr>
        <w:pStyle w:val="Style32"/>
        <w:keepNext/>
        <w:keepLines/>
        <w:widowControl w:val="0"/>
        <w:shd w:val="clear" w:color="auto" w:fill="auto"/>
        <w:tabs>
          <w:tab w:pos="378" w:val="left"/>
        </w:tabs>
        <w:bidi w:val="0"/>
        <w:spacing w:before="0" w:after="120" w:line="492"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w:t>
        <w:tab/>
        <w:t>关联债权债务往来</w:t>
      </w:r>
      <w:bookmarkEnd w:id="378"/>
      <w:bookmarkEnd w:id="379"/>
      <w:bookmarkEnd w:id="38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120" w:line="492"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5</w:t>
      </w:r>
      <w:bookmarkEnd w:id="384"/>
      <w:r>
        <w:rPr>
          <w:color w:val="000000"/>
          <w:spacing w:val="0"/>
          <w:w w:val="100"/>
          <w:position w:val="0"/>
        </w:rPr>
        <w:t>、</w:t>
        <w:tab/>
        <w:t>其他重大关联交易</w:t>
      </w:r>
      <w:bookmarkEnd w:id="382"/>
      <w:bookmarkEnd w:id="383"/>
      <w:bookmarkEnd w:id="38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十六、重大合同及其履行情况</w:t>
      </w:r>
      <w:bookmarkEnd w:id="386"/>
      <w:bookmarkEnd w:id="387"/>
      <w:bookmarkEnd w:id="388"/>
    </w:p>
    <w:p>
      <w:pPr>
        <w:pStyle w:val="Style32"/>
        <w:keepNext/>
        <w:keepLines/>
        <w:widowControl w:val="0"/>
        <w:shd w:val="clear" w:color="auto" w:fill="auto"/>
        <w:tabs>
          <w:tab w:pos="368" w:val="left"/>
        </w:tabs>
        <w:bidi w:val="0"/>
        <w:spacing w:before="0" w:after="3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托管、承包、租赁事项情况</w:t>
      </w:r>
      <w:bookmarkEnd w:id="389"/>
      <w:bookmarkEnd w:id="390"/>
      <w:bookmarkEnd w:id="392"/>
    </w:p>
    <w:p>
      <w:pPr>
        <w:pStyle w:val="Style75"/>
        <w:keepNext/>
        <w:keepLines/>
        <w:widowControl w:val="0"/>
        <w:shd w:val="clear" w:color="auto" w:fill="auto"/>
        <w:tabs>
          <w:tab w:pos="48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3"/>
      <w:bookmarkEnd w:id="394"/>
      <w:bookmarkEnd w:id="39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75"/>
        <w:keepNext/>
        <w:keepLines/>
        <w:widowControl w:val="0"/>
        <w:shd w:val="clear" w:color="auto" w:fill="auto"/>
        <w:tabs>
          <w:tab w:pos="48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7"/>
      <w:bookmarkEnd w:id="398"/>
      <w:bookmarkEnd w:id="40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75"/>
        <w:keepNext/>
        <w:keepLines/>
        <w:widowControl w:val="0"/>
        <w:shd w:val="clear" w:color="auto" w:fill="auto"/>
        <w:tabs>
          <w:tab w:pos="488"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1"/>
      <w:bookmarkEnd w:id="402"/>
      <w:bookmarkEnd w:id="40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重大担保</w:t>
      </w:r>
      <w:bookmarkEnd w:id="405"/>
      <w:bookmarkEnd w:id="406"/>
      <w:bookmarkEnd w:id="40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日常经营重大合同</w:t>
      </w:r>
      <w:bookmarkEnd w:id="409"/>
      <w:bookmarkEnd w:id="410"/>
      <w:bookmarkEnd w:id="41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公司报告期不存在日常经营重大合同。</w:t>
      </w:r>
    </w:p>
    <w:p>
      <w:pPr>
        <w:pStyle w:val="Style32"/>
        <w:keepNext/>
        <w:keepLines/>
        <w:widowControl w:val="0"/>
        <w:shd w:val="clear" w:color="auto" w:fill="auto"/>
        <w:tabs>
          <w:tab w:pos="378" w:val="left"/>
        </w:tabs>
        <w:bidi w:val="0"/>
        <w:spacing w:before="0" w:after="3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4</w:t>
      </w:r>
      <w:bookmarkEnd w:id="415"/>
      <w:r>
        <w:rPr>
          <w:color w:val="000000"/>
          <w:spacing w:val="0"/>
          <w:w w:val="100"/>
          <w:position w:val="0"/>
        </w:rPr>
        <w:t>、</w:t>
        <w:tab/>
        <w:t>委托他人进行现金资产管理情况</w:t>
      </w:r>
      <w:bookmarkEnd w:id="413"/>
      <w:bookmarkEnd w:id="414"/>
      <w:bookmarkEnd w:id="416"/>
    </w:p>
    <w:p>
      <w:pPr>
        <w:pStyle w:val="Style75"/>
        <w:keepNext/>
        <w:keepLines/>
        <w:widowControl w:val="0"/>
        <w:shd w:val="clear" w:color="auto" w:fill="auto"/>
        <w:tabs>
          <w:tab w:pos="488" w:val="left"/>
        </w:tabs>
        <w:bidi w:val="0"/>
        <w:spacing w:before="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7"/>
      <w:bookmarkEnd w:id="418"/>
      <w:bookmarkEnd w:id="4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75"/>
        <w:keepNext/>
        <w:keepLines/>
        <w:widowControl w:val="0"/>
        <w:shd w:val="clear" w:color="auto" w:fill="auto"/>
        <w:tabs>
          <w:tab w:pos="488"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1"/>
      <w:bookmarkEnd w:id="422"/>
      <w:bookmarkEnd w:id="42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6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5</w:t>
      </w:r>
      <w:bookmarkEnd w:id="427"/>
      <w:r>
        <w:rPr>
          <w:color w:val="000000"/>
          <w:spacing w:val="0"/>
          <w:w w:val="100"/>
          <w:position w:val="0"/>
        </w:rPr>
        <w:t>、</w:t>
        <w:tab/>
        <w:t>其他重大合同</w:t>
      </w:r>
      <w:bookmarkEnd w:id="425"/>
      <w:bookmarkEnd w:id="426"/>
      <w:bookmarkEnd w:id="42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公司报告期不存在其他重大合同。</w:t>
      </w:r>
    </w:p>
    <w:p>
      <w:pPr>
        <w:pStyle w:val="Style27"/>
        <w:keepNext/>
        <w:keepLines/>
        <w:widowControl w:val="0"/>
        <w:shd w:val="clear" w:color="auto" w:fill="auto"/>
        <w:bidi w:val="0"/>
        <w:spacing w:before="0" w:after="42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十七、社会责任情况</w:t>
      </w:r>
      <w:bookmarkEnd w:id="429"/>
      <w:bookmarkEnd w:id="430"/>
      <w:bookmarkEnd w:id="431"/>
    </w:p>
    <w:p>
      <w:pPr>
        <w:pStyle w:val="Style32"/>
        <w:keepNext/>
        <w:keepLines/>
        <w:widowControl w:val="0"/>
        <w:shd w:val="clear" w:color="auto" w:fill="auto"/>
        <w:bidi w:val="0"/>
        <w:spacing w:before="0" w:after="40" w:line="48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、履行社会责任情况</w:t>
      </w:r>
      <w:bookmarkEnd w:id="432"/>
      <w:bookmarkEnd w:id="433"/>
      <w:bookmarkEnd w:id="435"/>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作为上市公司，公司注重投资者管理和投资者保护，尤其是维护中小投资者的合法权益。公司也在努 力平衡经济、环境和社会三者的关系，在不断发展的同时，重视履行社会责任，切实做到经济效益与社会 效益、短期利益与长远利益、自身发展与社会发展相互协调，实现公司与员工、公司与社会、公司与环境 的健康和谐发展。</w:t>
      </w:r>
    </w:p>
    <w:p>
      <w:pPr>
        <w:pStyle w:val="Style44"/>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投资者关系管理和投资者保护：</w:t>
      </w:r>
      <w:r>
        <w:rPr>
          <w:color w:val="000000"/>
          <w:spacing w:val="0"/>
          <w:w w:val="100"/>
          <w:position w:val="0"/>
        </w:rPr>
        <w:t>公司管理层与全体员工齐心协力努力创造优良的业绩，提升公司的内 在价值，为投资者创造良好的投资回报。公司根据《公司章程》及公司《未来三年</w:t>
      </w:r>
      <w:r>
        <w:rPr>
          <w:color w:val="000000"/>
          <w:spacing w:val="0"/>
          <w:w w:val="100"/>
          <w:position w:val="0"/>
        </w:rPr>
        <w:t>（2018-2020</w:t>
      </w:r>
      <w:r>
        <w:rPr>
          <w:color w:val="000000"/>
          <w:spacing w:val="0"/>
          <w:w w:val="100"/>
          <w:position w:val="0"/>
        </w:rPr>
        <w:t>年）股东 回报规划》等的相关规定，为积极回馈股东，近三年以现金分红方式累计分配利润不低于公司近三年实现 的平均可分配利润的20%。</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在股东交流上，公司提供了多样化的交流方式，包括投资者热线、运用互联网的工具举办线上交流会、 举办线下调研、参与投资策略会等灵活多样方式，向投资者、资本市场传达公司的业务概括及发展规划， 提高市场对公司的认知程度，使得公司的价值能够得到充分正确地体现。经过不断地探索和改进，公司现 已形成了较为有效的投资者关系管理和保护模式。</w:t>
      </w:r>
    </w:p>
    <w:p>
      <w:pPr>
        <w:pStyle w:val="Style44"/>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员工权益保护：</w:t>
      </w:r>
      <w:r>
        <w:rPr>
          <w:color w:val="000000"/>
          <w:spacing w:val="0"/>
          <w:w w:val="100"/>
          <w:position w:val="0"/>
        </w:rPr>
        <w:t>公司严格按照《公司法》、《劳动合同法》等法律法规的要求，保护员工依法享有劳 动权利和履行劳动义务，保持工作岗位相对稳定，积极促进充分就业。公司建立了完善的人力资源管理体 系，建立了完善科学的员工培训和晋升机制、科学合理的薪酬机制。</w:t>
      </w:r>
    </w:p>
    <w:p>
      <w:pPr>
        <w:pStyle w:val="Style44"/>
        <w:keepNext w:val="0"/>
        <w:keepLines w:val="0"/>
        <w:widowControl w:val="0"/>
        <w:shd w:val="clear" w:color="auto" w:fill="auto"/>
        <w:bidi w:val="0"/>
        <w:spacing w:before="0" w:after="100" w:line="469" w:lineRule="exact"/>
        <w:ind w:left="0" w:right="0" w:firstLine="440"/>
        <w:jc w:val="both"/>
      </w:pPr>
      <w:r>
        <w:rPr>
          <w:b/>
          <w:bCs/>
          <w:color w:val="000000"/>
          <w:spacing w:val="0"/>
          <w:w w:val="100"/>
          <w:position w:val="0"/>
        </w:rPr>
        <w:t>客户权益保护：</w:t>
      </w:r>
      <w:r>
        <w:rPr>
          <w:color w:val="000000"/>
          <w:spacing w:val="0"/>
          <w:w w:val="100"/>
          <w:position w:val="0"/>
        </w:rPr>
        <w:t>公司的经营理念是“不断创新、追求卓越”，价值观是“以客户为中心、以结果为导 向，艰苦奋斗，持续创新，极致执行，协作共赢”。公司严格把控产品质量，将</w:t>
      </w:r>
      <w:r>
        <w:rPr>
          <w:color w:val="000000"/>
          <w:spacing w:val="0"/>
          <w:w w:val="100"/>
          <w:position w:val="0"/>
        </w:rPr>
        <w:t>ISO9001</w:t>
      </w:r>
      <w:r>
        <w:rPr>
          <w:color w:val="000000"/>
          <w:spacing w:val="0"/>
          <w:w w:val="100"/>
          <w:position w:val="0"/>
        </w:rPr>
        <w:t xml:space="preserve">质量管理体系、 </w:t>
      </w:r>
      <w:r>
        <w:rPr>
          <w:color w:val="000000"/>
          <w:spacing w:val="0"/>
          <w:w w:val="100"/>
          <w:position w:val="0"/>
        </w:rPr>
        <w:t>ISO14001</w:t>
      </w:r>
      <w:r>
        <w:rPr>
          <w:color w:val="000000"/>
          <w:spacing w:val="0"/>
          <w:w w:val="100"/>
          <w:position w:val="0"/>
        </w:rPr>
        <w:t>环境管理体系、卓越绩效、</w:t>
      </w:r>
      <w:r>
        <w:rPr>
          <w:color w:val="000000"/>
          <w:spacing w:val="0"/>
          <w:w w:val="100"/>
          <w:position w:val="0"/>
        </w:rPr>
        <w:t>CMMI</w:t>
      </w:r>
      <w:r>
        <w:rPr>
          <w:color w:val="000000"/>
          <w:spacing w:val="0"/>
          <w:w w:val="100"/>
          <w:position w:val="0"/>
        </w:rPr>
        <w:t>和</w:t>
      </w:r>
      <w:r>
        <w:rPr>
          <w:color w:val="000000"/>
          <w:spacing w:val="0"/>
          <w:w w:val="100"/>
          <w:position w:val="0"/>
        </w:rPr>
        <w:t>NPI</w:t>
      </w:r>
      <w:r>
        <w:rPr>
          <w:color w:val="000000"/>
          <w:spacing w:val="0"/>
          <w:w w:val="100"/>
          <w:position w:val="0"/>
        </w:rPr>
        <w:t>等产品研发管理导入公司管理系统，识别产品安全、环保、 能资源消耗、安全生产、公共卫生等方面的影响因素，并应用系统的方法予以有效控制。公司通过电话、 微信等方式为客户提供</w:t>
      </w:r>
      <w:r>
        <w:rPr>
          <w:color w:val="000000"/>
          <w:spacing w:val="0"/>
          <w:w w:val="100"/>
          <w:position w:val="0"/>
        </w:rPr>
        <w:t>7X24</w:t>
      </w:r>
      <w:r>
        <w:rPr>
          <w:color w:val="000000"/>
          <w:spacing w:val="0"/>
          <w:w w:val="100"/>
          <w:position w:val="0"/>
        </w:rPr>
        <w:t>小时技术支持服务，建立了以客户需求的快速响应和提供优质持续服务为核 心的服务模式，超越客户期望，提高客户满意度。</w:t>
      </w:r>
    </w:p>
    <w:p>
      <w:pPr>
        <w:pStyle w:val="Style44"/>
        <w:keepNext w:val="0"/>
        <w:keepLines w:val="0"/>
        <w:widowControl w:val="0"/>
        <w:shd w:val="clear" w:color="auto" w:fill="auto"/>
        <w:bidi w:val="0"/>
        <w:spacing w:before="0" w:after="420" w:line="472" w:lineRule="exact"/>
        <w:ind w:left="0" w:right="0" w:firstLine="440"/>
        <w:jc w:val="both"/>
      </w:pPr>
      <w:r>
        <w:rPr>
          <w:b/>
          <w:bCs/>
          <w:color w:val="000000"/>
          <w:spacing w:val="0"/>
          <w:w w:val="100"/>
          <w:position w:val="0"/>
        </w:rPr>
        <w:t>社会公益：</w:t>
      </w:r>
      <w:r>
        <w:rPr>
          <w:color w:val="000000"/>
          <w:spacing w:val="0"/>
          <w:w w:val="100"/>
          <w:position w:val="0"/>
        </w:rPr>
        <w:t xml:space="preserve">公司积极参与社会公益事业和各项公益活动。2020年面对新型冠状病毒疫情，公司在做好 扶贫和员工疫情防控同时，积极参与社会疫情防控工作。公司及股东和员工向社会捐赠负压隔离舱的奔驰 高配救护车、口罩、隔离服等物资。公司大数据团队积极响应客户需求，研发出“新型冠状病毒传播监测” 专项工作平台，配合公安机关及各地执法部门依托所建设的大数据系统为北京、云南、广东、福建、沈阳 </w:t>
      </w:r>
      <w:r>
        <w:rPr>
          <w:color w:val="000000"/>
          <w:spacing w:val="0"/>
          <w:w w:val="100"/>
          <w:position w:val="0"/>
        </w:rPr>
        <w:t>等十多个省市的执法部门在疫情态势研判、疫情传播路径分析、精准防疫等方面开展工作，为及时阻断感 染源，精准防控，提供数据支撑。公司2010年与厦门市红十字会合作设立“美亚柏科爱心基金”，通过捐 助贫困大学生，关爱烈士家属、农民工子女捐赠活动，内部员工帮扶等，福建省红十字会授予公司“红十 字人道铜质奖章”荣誉称号。为持续资助高校大学生创新创业，公司高管共同出资发起设立了 “厦门大学 刘祥南创新创业基金”，通过资助学生创新项目，为社会和企业培养人才、为公司吸纳和储备人才。为致 力于社会信用体系建设，公司设立“厦门市致诚信用大数据基金会”，以“促进信用公益事业健康发展， 弘扬社会主义核心价值观”为使命，开展社会信用体系承建自律氛围营造、失信主体信息修复、信用公益 宣传活动、重点领域的公益性信用评价及相关系统平台的建设等方面工作。</w:t>
      </w:r>
    </w:p>
    <w:p>
      <w:pPr>
        <w:pStyle w:val="Style32"/>
        <w:keepNext/>
        <w:keepLines/>
        <w:widowControl w:val="0"/>
        <w:shd w:val="clear" w:color="auto" w:fill="auto"/>
        <w:bidi w:val="0"/>
        <w:spacing w:before="0" w:after="0" w:line="480" w:lineRule="auto"/>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、履行精准扶贫社会责任情况</w:t>
      </w:r>
      <w:bookmarkEnd w:id="436"/>
      <w:bookmarkEnd w:id="437"/>
      <w:bookmarkEnd w:id="439"/>
    </w:p>
    <w:p>
      <w:pPr>
        <w:pStyle w:val="Style75"/>
        <w:keepNext/>
        <w:keepLines/>
        <w:widowControl w:val="0"/>
        <w:shd w:val="clear" w:color="auto" w:fill="auto"/>
        <w:tabs>
          <w:tab w:pos="433" w:val="left"/>
        </w:tabs>
        <w:bidi w:val="0"/>
        <w:spacing w:before="0" w:after="200" w:line="467" w:lineRule="exact"/>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0"/>
      <w:bookmarkEnd w:id="441"/>
      <w:bookmarkEnd w:id="443"/>
    </w:p>
    <w:p>
      <w:pPr>
        <w:pStyle w:val="Style44"/>
        <w:keepNext w:val="0"/>
        <w:keepLines w:val="0"/>
        <w:widowControl w:val="0"/>
        <w:shd w:val="clear" w:color="auto" w:fill="auto"/>
        <w:bidi w:val="0"/>
        <w:spacing w:before="0" w:after="200" w:line="467" w:lineRule="exact"/>
        <w:ind w:left="0" w:right="0" w:firstLine="620"/>
        <w:jc w:val="both"/>
      </w:pPr>
      <w:r>
        <w:rPr>
          <w:color w:val="000000"/>
          <w:spacing w:val="0"/>
          <w:w w:val="100"/>
          <w:position w:val="0"/>
        </w:rPr>
        <w:t>为深入贯彻党的十九大精神和习近平总书记在东西部扶贫协作座谈会、深度贫因地区脱贫攻坚座谈 会上的重要讲话精神，落实《厦门市一临夏州全面深化东西部扶贫协作三年行动框架协议</w:t>
      </w:r>
      <w:r>
        <w:rPr>
          <w:color w:val="000000"/>
          <w:spacing w:val="0"/>
          <w:w w:val="100"/>
          <w:position w:val="0"/>
        </w:rPr>
        <w:t xml:space="preserve">（2018 — 2020 </w:t>
      </w:r>
      <w:r>
        <w:rPr>
          <w:color w:val="000000"/>
          <w:spacing w:val="0"/>
          <w:w w:val="100"/>
          <w:position w:val="0"/>
        </w:rPr>
        <w:t>年）》，推动区域协调发展、协同发展、共同发展。公司与临夏州等地开展对接帮扶行动，主要围绕贫困 户救助、贫困人口就业、残疾人救助、发展特色产业等方面进行帮扶。</w:t>
      </w:r>
    </w:p>
    <w:p>
      <w:pPr>
        <w:pStyle w:val="Style75"/>
        <w:keepNext/>
        <w:keepLines/>
        <w:widowControl w:val="0"/>
        <w:shd w:val="clear" w:color="auto" w:fill="auto"/>
        <w:tabs>
          <w:tab w:pos="433" w:val="left"/>
        </w:tabs>
        <w:bidi w:val="0"/>
        <w:spacing w:before="0" w:after="200" w:line="467"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44"/>
      <w:bookmarkEnd w:id="445"/>
      <w:bookmarkEnd w:id="447"/>
    </w:p>
    <w:p>
      <w:pPr>
        <w:pStyle w:val="Style44"/>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弘扬公益文化，积极履行企业的社会责任，是公司的企业文化之一。报告期内，公司累计捐赠现金145 万元和物资</w:t>
      </w:r>
      <w:r>
        <w:rPr>
          <w:color w:val="000000"/>
          <w:spacing w:val="0"/>
          <w:w w:val="100"/>
          <w:position w:val="0"/>
        </w:rPr>
        <w:t>36.37</w:t>
      </w:r>
      <w:r>
        <w:rPr>
          <w:color w:val="000000"/>
          <w:spacing w:val="0"/>
          <w:w w:val="100"/>
          <w:position w:val="0"/>
        </w:rPr>
        <w:t>万元，主要用于贫困地区的疫情防控工作和助推贫困村加快脱贫，实现共同发展。</w:t>
      </w:r>
    </w:p>
    <w:p>
      <w:pPr>
        <w:pStyle w:val="Style44"/>
        <w:keepNext w:val="0"/>
        <w:keepLines w:val="0"/>
        <w:widowControl w:val="0"/>
        <w:shd w:val="clear" w:color="auto" w:fill="auto"/>
        <w:bidi w:val="0"/>
        <w:spacing w:before="0" w:after="420" w:line="466" w:lineRule="exact"/>
        <w:ind w:left="0" w:right="0" w:firstLine="460"/>
        <w:jc w:val="both"/>
      </w:pPr>
      <w:r>
        <w:rPr>
          <w:color w:val="000000"/>
          <w:spacing w:val="0"/>
          <w:w w:val="100"/>
          <w:position w:val="0"/>
        </w:rPr>
        <w:t>此外，公司还通过“厦门市致诚信用大数据基金会”（以下简称“基金会”），致力于资助信用体系 建设；资助国家信用人才培养；资助信用修复、信用异议赔偿；资助信用创新课题研究。基金会设立至今, 已累计对外捐赠</w:t>
      </w:r>
      <w:r>
        <w:rPr>
          <w:color w:val="000000"/>
          <w:spacing w:val="0"/>
          <w:w w:val="100"/>
          <w:position w:val="0"/>
        </w:rPr>
        <w:t xml:space="preserve">123. </w:t>
      </w:r>
      <w:r>
        <w:rPr>
          <w:color w:val="000000"/>
          <w:spacing w:val="0"/>
          <w:w w:val="100"/>
          <w:position w:val="0"/>
        </w:rPr>
        <w:t>73万元。</w:t>
      </w:r>
    </w:p>
    <w:p>
      <w:pPr>
        <w:pStyle w:val="Style36"/>
        <w:keepNext w:val="0"/>
        <w:keepLines w:val="0"/>
        <w:widowControl w:val="0"/>
        <w:shd w:val="clear" w:color="auto" w:fill="auto"/>
        <w:bidi w:val="0"/>
        <w:spacing w:before="0" w:after="0" w:line="240" w:lineRule="auto"/>
        <w:ind w:left="101" w:right="0" w:firstLine="0"/>
        <w:jc w:val="left"/>
        <w:rPr>
          <w:sz w:val="20"/>
          <w:szCs w:val="20"/>
        </w:rPr>
      </w:pPr>
      <w:bookmarkStart w:id="448" w:name="bookmark44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448"/>
    </w:p>
    <w:tbl>
      <w:tblPr>
        <w:tblOverlap w:val="never"/>
        <w:jc w:val="center"/>
        <w:tblLayout w:type="fixed"/>
      </w:tblPr>
      <w:tblGrid>
        <w:gridCol w:w="3614"/>
        <w:gridCol w:w="1570"/>
        <w:gridCol w:w="44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19"/>
        <w:gridCol w:w="1565"/>
        <w:gridCol w:w="44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119" w:line="1" w:lineRule="exact"/>
      </w:pPr>
    </w:p>
    <w:p>
      <w:pPr>
        <w:pStyle w:val="Style75"/>
        <w:keepNext/>
        <w:keepLines/>
        <w:widowControl w:val="0"/>
        <w:shd w:val="clear" w:color="auto" w:fill="auto"/>
        <w:bidi w:val="0"/>
        <w:spacing w:before="0" w:after="200" w:line="475" w:lineRule="exact"/>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49"/>
      <w:bookmarkEnd w:id="450"/>
      <w:bookmarkEnd w:id="452"/>
    </w:p>
    <w:p>
      <w:pPr>
        <w:pStyle w:val="Style4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进入“十四五”时期，公司将坚持以习近平新时代中国特色社会主义思想为指导，根据企业实际情况, 积极履行企业的社会责任，积极开展围绕教育脱贫、健康脱贫、社会扶贫等方向开展精准扶贫工作，着力 巩固脱贫成效，提升脱贫质量，同时在教育文化、公益扶助、社会公益等方面积极履行社会责任。</w:t>
      </w:r>
    </w:p>
    <w:p>
      <w:pPr>
        <w:pStyle w:val="Style32"/>
        <w:keepNext/>
        <w:keepLines/>
        <w:widowControl w:val="0"/>
        <w:shd w:val="clear" w:color="auto" w:fill="auto"/>
        <w:bidi w:val="0"/>
        <w:spacing w:before="0" w:after="360" w:line="475" w:lineRule="exact"/>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、环境保护相关的情况</w:t>
      </w:r>
      <w:bookmarkEnd w:id="453"/>
      <w:bookmarkEnd w:id="454"/>
      <w:bookmarkEnd w:id="456"/>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公司及子公司不属于环境保护部门公布的重点排污单位。</w:t>
      </w:r>
    </w:p>
    <w:p>
      <w:pPr>
        <w:pStyle w:val="Style27"/>
        <w:keepNext/>
        <w:keepLines/>
        <w:widowControl w:val="0"/>
        <w:shd w:val="clear" w:color="auto" w:fill="auto"/>
        <w:bidi w:val="0"/>
        <w:spacing w:before="0" w:after="360" w:line="240" w:lineRule="auto"/>
        <w:ind w:left="0" w:right="0" w:firstLine="0"/>
        <w:jc w:val="both"/>
      </w:pPr>
      <w:bookmarkStart w:id="457" w:name="bookmark457"/>
      <w:bookmarkStart w:id="458" w:name="bookmark458"/>
      <w:bookmarkStart w:id="459" w:name="bookmark459"/>
      <w:r>
        <w:rPr>
          <w:color w:val="000000"/>
          <w:spacing w:val="0"/>
          <w:w w:val="100"/>
          <w:position w:val="0"/>
          <w:sz w:val="24"/>
          <w:szCs w:val="24"/>
        </w:rPr>
        <w:t>十八、其他重大事项的说明</w:t>
      </w:r>
      <w:bookmarkEnd w:id="457"/>
      <w:bookmarkEnd w:id="458"/>
      <w:bookmarkEnd w:id="459"/>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75" w:lineRule="exact"/>
        <w:ind w:left="0" w:right="0" w:firstLine="360"/>
        <w:jc w:val="both"/>
      </w:pPr>
      <w:bookmarkStart w:id="460" w:name="bookmark460"/>
      <w:r>
        <w:rPr>
          <w:color w:val="000000"/>
          <w:spacing w:val="0"/>
          <w:w w:val="100"/>
          <w:position w:val="0"/>
        </w:rPr>
        <w:t>1</w:t>
      </w:r>
      <w:bookmarkEnd w:id="460"/>
      <w:r>
        <w:rPr>
          <w:color w:val="000000"/>
          <w:spacing w:val="0"/>
          <w:w w:val="100"/>
          <w:position w:val="0"/>
        </w:rPr>
        <w:t>、成立三明控股子公司</w:t>
      </w:r>
    </w:p>
    <w:p>
      <w:pPr>
        <w:pStyle w:val="Style4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为加强区域业务布局，2020年10月，公司与福建省三明市大田县国资委独资公司后生仔（福建）实业 有限公司合资设立福建大田柏科信息科技有限公司，并于2020年10月23日取得由大田县市场监督管理局颁 发的营业执照，具体信息如下：</w:t>
      </w:r>
    </w:p>
    <w:p>
      <w:pPr>
        <w:pStyle w:val="Style4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公司名称：福建大田柏科信息科技有限公司</w:t>
      </w:r>
    </w:p>
    <w:p>
      <w:pPr>
        <w:pStyle w:val="Style4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统一社会信用代码：</w:t>
      </w:r>
      <w:r>
        <w:rPr>
          <w:color w:val="000000"/>
          <w:spacing w:val="0"/>
          <w:w w:val="100"/>
          <w:position w:val="0"/>
        </w:rPr>
        <w:t>91350425MA34X22D00</w:t>
      </w:r>
    </w:p>
    <w:p>
      <w:pPr>
        <w:pStyle w:val="Style4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类型：有限责任公司</w:t>
      </w:r>
    </w:p>
    <w:p>
      <w:pPr>
        <w:pStyle w:val="Style44"/>
        <w:keepNext w:val="0"/>
        <w:keepLines w:val="0"/>
        <w:widowControl w:val="0"/>
        <w:shd w:val="clear" w:color="auto" w:fill="auto"/>
        <w:bidi w:val="0"/>
        <w:spacing w:before="0" w:after="0" w:line="475" w:lineRule="exact"/>
        <w:ind w:left="0" w:right="0" w:firstLine="360"/>
        <w:jc w:val="both"/>
      </w:pPr>
      <w:r>
        <w:rPr>
          <w:color w:val="000000"/>
          <w:spacing w:val="0"/>
          <w:w w:val="100"/>
          <w:position w:val="0"/>
        </w:rPr>
        <w:t>住所：福建省三明市大田县均溪镇福田路345号13幢203室</w:t>
      </w:r>
    </w:p>
    <w:p>
      <w:pPr>
        <w:pStyle w:val="Style44"/>
        <w:keepNext w:val="0"/>
        <w:keepLines w:val="0"/>
        <w:widowControl w:val="0"/>
        <w:shd w:val="clear" w:color="auto" w:fill="auto"/>
        <w:bidi w:val="0"/>
        <w:spacing w:before="0" w:after="160" w:line="475" w:lineRule="exact"/>
        <w:ind w:left="0" w:right="0" w:firstLine="360"/>
        <w:jc w:val="both"/>
      </w:pPr>
      <w:r>
        <w:rPr>
          <w:color w:val="000000"/>
          <w:spacing w:val="0"/>
          <w:w w:val="100"/>
          <w:position w:val="0"/>
        </w:rPr>
        <w:t>法定代表人：王跃聪</w:t>
      </w:r>
    </w:p>
    <w:p>
      <w:pPr>
        <w:pStyle w:val="Style44"/>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注册资本：1000万元人民币</w:t>
      </w:r>
    </w:p>
    <w:p>
      <w:pPr>
        <w:pStyle w:val="Style44"/>
        <w:keepNext w:val="0"/>
        <w:keepLines w:val="0"/>
        <w:widowControl w:val="0"/>
        <w:shd w:val="clear" w:color="auto" w:fill="auto"/>
        <w:bidi w:val="0"/>
        <w:spacing w:before="0" w:after="0" w:line="469" w:lineRule="exact"/>
        <w:ind w:left="0" w:right="0" w:firstLine="360"/>
        <w:jc w:val="left"/>
      </w:pPr>
      <w:r>
        <w:rPr>
          <w:color w:val="000000"/>
          <w:spacing w:val="0"/>
          <w:w w:val="100"/>
          <w:position w:val="0"/>
        </w:rPr>
        <w:t>登记机关：大田县市场监督管理局</w:t>
      </w:r>
    </w:p>
    <w:p>
      <w:pPr>
        <w:pStyle w:val="Style44"/>
        <w:keepNext w:val="0"/>
        <w:keepLines w:val="0"/>
        <w:widowControl w:val="0"/>
        <w:shd w:val="clear" w:color="auto" w:fill="auto"/>
        <w:bidi w:val="0"/>
        <w:spacing w:before="0" w:after="0" w:line="469" w:lineRule="exact"/>
        <w:ind w:left="0" w:right="0" w:firstLine="360"/>
        <w:jc w:val="left"/>
      </w:pPr>
      <w:r>
        <w:rPr>
          <w:color w:val="000000"/>
          <w:spacing w:val="0"/>
          <w:w w:val="100"/>
          <w:position w:val="0"/>
        </w:rPr>
        <w:t>营业期限：2020年10月23日至长期</w:t>
      </w:r>
    </w:p>
    <w:p>
      <w:pPr>
        <w:pStyle w:val="Style4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经营范围：许可项目：司法鉴定服务；计算机信息系统安全专用产品销售；出版物批发；互联网信息 服务；商用密码产品销售（依法须经批准的项目，经相关部门批准后方可开展经营活动，具体经营项目以 相关部门批准文件或许可证件为准）一般项目：信息系统集成服务；互联网安全服务；信息技术咨询服务; 人工智能行业应用系统集成服务；软件开发；信息系统运行维护服务；数据处理和存储支持服务；计算机 系统服务；科技推广和应用服务；技术服务、技术开发、技术咨询、技术交流、技术转让、技术推广；信 息安全设备制造；计算机软硬件及辅助设备批发；软件销售；信息安全设备销售；网络设备销售；信息咨 询服务（不含许可类信息咨询服务）；计算机及通讯设备租赁；教育咨询服务（不含涉许可审批的教育培 训活动）（除依法须经批准的项目外，凭营业执照依法自主开展经营活动）。</w:t>
      </w:r>
    </w:p>
    <w:p>
      <w:pPr>
        <w:pStyle w:val="Style44"/>
        <w:keepNext w:val="0"/>
        <w:keepLines w:val="0"/>
        <w:widowControl w:val="0"/>
        <w:shd w:val="clear" w:color="auto" w:fill="auto"/>
        <w:bidi w:val="0"/>
        <w:spacing w:before="0" w:after="0" w:line="468" w:lineRule="exact"/>
        <w:ind w:left="0" w:right="0" w:firstLine="360"/>
        <w:jc w:val="both"/>
      </w:pPr>
      <w:bookmarkStart w:id="461" w:name="bookmark461"/>
      <w:r>
        <w:rPr>
          <w:color w:val="000000"/>
          <w:spacing w:val="0"/>
          <w:w w:val="100"/>
          <w:position w:val="0"/>
        </w:rPr>
        <w:t>2</w:t>
      </w:r>
      <w:bookmarkEnd w:id="461"/>
      <w:r>
        <w:rPr>
          <w:color w:val="000000"/>
          <w:spacing w:val="0"/>
          <w:w w:val="100"/>
          <w:position w:val="0"/>
        </w:rPr>
        <w:t>、产业投资基金进展</w:t>
      </w:r>
    </w:p>
    <w:p>
      <w:pPr>
        <w:pStyle w:val="Style44"/>
        <w:keepNext w:val="0"/>
        <w:keepLines w:val="0"/>
        <w:widowControl w:val="0"/>
        <w:shd w:val="clear" w:color="auto" w:fill="auto"/>
        <w:tabs>
          <w:tab w:pos="788" w:val="left"/>
        </w:tabs>
        <w:bidi w:val="0"/>
        <w:spacing w:before="0" w:after="0" w:line="468" w:lineRule="exact"/>
        <w:ind w:left="0" w:right="0" w:firstLine="360"/>
        <w:jc w:val="both"/>
      </w:pPr>
      <w:bookmarkStart w:id="462" w:name="bookmark462"/>
      <w:r>
        <w:rPr>
          <w:color w:val="000000"/>
          <w:spacing w:val="0"/>
          <w:w w:val="100"/>
          <w:position w:val="0"/>
        </w:rPr>
        <w:t>（</w:t>
      </w:r>
      <w:bookmarkEnd w:id="462"/>
      <w:r>
        <w:rPr>
          <w:color w:val="000000"/>
          <w:spacing w:val="0"/>
          <w:w w:val="100"/>
          <w:position w:val="0"/>
        </w:rPr>
        <w:t>1）</w:t>
        <w:tab/>
        <w:t>美桐产业并购基金</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公司与深圳市前海梧桐并购投资基金管理有限公司共同出资发起设立美亚梧桐网络空间安全及大数据 产业并购基金（以下简称“美桐产业并购基金”），截至2020年12月31日，美桐产业并购基金已投资包括 中科金审、北京捷兴信源、新译科技、北京商询科技、天轴通讯等项目7个，累计投资项目总额20,330万 元。其中，中科金审和北京商询科技于2020年第二季度签订股权转让协议。美桐产业并购基金投资进展， 公司将按照相关规定，及时履行信息披露义务。</w:t>
      </w:r>
    </w:p>
    <w:p>
      <w:pPr>
        <w:pStyle w:val="Style44"/>
        <w:keepNext w:val="0"/>
        <w:keepLines w:val="0"/>
        <w:widowControl w:val="0"/>
        <w:shd w:val="clear" w:color="auto" w:fill="auto"/>
        <w:tabs>
          <w:tab w:pos="788" w:val="left"/>
        </w:tabs>
        <w:bidi w:val="0"/>
        <w:spacing w:before="0" w:after="0" w:line="468" w:lineRule="exact"/>
        <w:ind w:left="0" w:right="0" w:firstLine="360"/>
        <w:jc w:val="both"/>
      </w:pPr>
      <w:bookmarkStart w:id="463" w:name="bookmark463"/>
      <w:r>
        <w:rPr>
          <w:color w:val="000000"/>
          <w:spacing w:val="0"/>
          <w:w w:val="100"/>
          <w:position w:val="0"/>
        </w:rPr>
        <w:t>（</w:t>
      </w:r>
      <w:bookmarkEnd w:id="463"/>
      <w:r>
        <w:rPr>
          <w:color w:val="000000"/>
          <w:spacing w:val="0"/>
          <w:w w:val="100"/>
          <w:position w:val="0"/>
        </w:rPr>
        <w:t>2）</w:t>
        <w:tab/>
        <w:t>美桐贰期产业投资基金</w:t>
      </w:r>
    </w:p>
    <w:p>
      <w:pPr>
        <w:pStyle w:val="Style44"/>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公司于2018年1月29日召开第三届董事会第二十四次会议，审议通过了《关于公司参与投资美桐贰期产 业并购基金的议案》。2019年8月27日公司第四届董事会第十一次会议和2019年10月16日公司第二次临时 股东大会，审议通过了《关于美桐贰期产业并购基金相关事项变更及关联方参与认购基金暨关联交易的议 案》，同意公司以自有资金认购厦门市美桐贰期股权投资合伙企业（有限合伙）（以下简称“美桐贰期产 业投资基金”）8,000万元人民币；同意公司与关联方厦门市百英全美投资合伙企业（有限合伙）（以下简 称“百英全美”）共同对外投资设立柏科晔济投资管理合伙企业（有限合伙）（以下简称“柏科晔济”）， 柏科晔济将变更为美桐贰期产业投资基金的执行事务合伙人。具体内容刊登于2018年1月31日、2019年8月 29日、2019年9月6日中国证监会指定的创业板信息披露网站巨潮资讯网</w:t>
      </w:r>
      <w:r>
        <w:rPr>
          <w:color w:val="000000"/>
          <w:spacing w:val="0"/>
          <w:w w:val="100"/>
          <w:position w:val="0"/>
        </w:rPr>
        <w:t>（www.cninfo.com.cn）</w:t>
      </w:r>
      <w:r>
        <w:rPr>
          <w:color w:val="000000"/>
          <w:spacing w:val="0"/>
          <w:w w:val="100"/>
          <w:position w:val="0"/>
        </w:rPr>
        <w:t>（公告编号： 2018-08、2019-79、2019-80）。美桐贰期产业投资基金已完成了私募投资基金备案，柏科晔济已取得了 最新颁发的《营业执照》。详见公司于2020年7月1日公司发布在巨潮资讯网</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的《关于 美桐贰期产业并购基金进展情况的公告》。截至2020年12月31日，美桐贰期已投资智业软件和亚信安全2</w:t>
        <w:br w:type="page"/>
      </w:r>
      <w:r>
        <w:rPr>
          <w:color w:val="000000"/>
          <w:spacing w:val="0"/>
          <w:w w:val="100"/>
          <w:position w:val="0"/>
        </w:rPr>
        <w:t>个项目，累计投资项目总额5,720万元。</w:t>
      </w:r>
    </w:p>
    <w:p>
      <w:pPr>
        <w:pStyle w:val="Style44"/>
        <w:keepNext w:val="0"/>
        <w:keepLines w:val="0"/>
        <w:widowControl w:val="0"/>
        <w:shd w:val="clear" w:color="auto" w:fill="auto"/>
        <w:bidi w:val="0"/>
        <w:spacing w:before="0" w:after="120" w:line="240" w:lineRule="auto"/>
        <w:ind w:left="0" w:right="0" w:firstLine="420"/>
        <w:jc w:val="both"/>
      </w:pPr>
      <w:bookmarkStart w:id="464" w:name="bookmark464"/>
      <w:r>
        <w:rPr>
          <w:color w:val="000000"/>
          <w:spacing w:val="0"/>
          <w:w w:val="100"/>
          <w:position w:val="0"/>
        </w:rPr>
        <w:t>3</w:t>
      </w:r>
      <w:bookmarkEnd w:id="464"/>
      <w:r>
        <w:rPr>
          <w:color w:val="000000"/>
          <w:spacing w:val="0"/>
          <w:w w:val="100"/>
          <w:position w:val="0"/>
        </w:rPr>
        <w:t>、其他已披露事项</w:t>
      </w:r>
    </w:p>
    <w:tbl>
      <w:tblPr>
        <w:tblOverlap w:val="never"/>
        <w:jc w:val="center"/>
        <w:tblLayout w:type="fixed"/>
      </w:tblPr>
      <w:tblGrid>
        <w:gridCol w:w="1762"/>
        <w:gridCol w:w="1642"/>
        <w:gridCol w:w="6389"/>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重要事项概述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临时报告披露网站查询索引</w:t>
            </w:r>
          </w:p>
        </w:tc>
      </w:tr>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年股票期权与限 制性股票激励计划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www.cninfo.com.cn</w:t>
            </w:r>
            <w:r>
              <w:rPr>
                <w:color w:val="000000"/>
                <w:spacing w:val="0"/>
                <w:w w:val="100"/>
                <w:position w:val="0"/>
              </w:rPr>
              <w:t>,</w:t>
            </w:r>
            <w:r>
              <w:fldChar w:fldCharType="end"/>
            </w:r>
            <w:r>
              <w:rPr>
                <w:color w:val="000000"/>
                <w:spacing w:val="0"/>
                <w:w w:val="100"/>
                <w:position w:val="0"/>
              </w:rPr>
              <w:t>《关于向激励对象授予</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 划预留权益的公告》等</w:t>
            </w:r>
            <w:r>
              <w:rPr>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2020-03</w:t>
            </w:r>
            <w:r>
              <w:rPr>
                <w:color w:val="000000"/>
                <w:spacing w:val="0"/>
                <w:w w:val="100"/>
                <w:position w:val="0"/>
              </w:rPr>
              <w:t>、</w:t>
            </w:r>
            <w:r>
              <w:rPr>
                <w:rFonts w:ascii="Times New Roman" w:eastAsia="Times New Roman" w:hAnsi="Times New Roman" w:cs="Times New Roman"/>
                <w:color w:val="000000"/>
                <w:spacing w:val="0"/>
                <w:w w:val="100"/>
                <w:position w:val="0"/>
              </w:rPr>
              <w:t>2020-04</w:t>
            </w:r>
            <w:r>
              <w:rPr>
                <w:color w:val="000000"/>
                <w:spacing w:val="0"/>
                <w:w w:val="100"/>
                <w:position w:val="0"/>
              </w:rPr>
              <w:t>、</w:t>
            </w:r>
            <w:r>
              <w:rPr>
                <w:rFonts w:ascii="Times New Roman" w:eastAsia="Times New Roman" w:hAnsi="Times New Roman" w:cs="Times New Roman"/>
                <w:color w:val="000000"/>
                <w:spacing w:val="0"/>
                <w:w w:val="100"/>
                <w:position w:val="0"/>
              </w:rPr>
              <w:t>2020-05</w:t>
            </w:r>
            <w:r>
              <w:rPr>
                <w:color w:val="000000"/>
                <w:spacing w:val="0"/>
                <w:w w:val="100"/>
                <w:position w:val="0"/>
              </w:rPr>
              <w:t>、</w:t>
            </w:r>
            <w:r>
              <w:rPr>
                <w:rFonts w:ascii="Times New Roman" w:eastAsia="Times New Roman" w:hAnsi="Times New Roman" w:cs="Times New Roman"/>
                <w:color w:val="000000"/>
                <w:spacing w:val="0"/>
                <w:w w:val="100"/>
                <w:position w:val="0"/>
              </w:rPr>
              <w:t>2020-06</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 cninfo. com.cn</w:t>
            </w:r>
            <w:r>
              <w:rPr>
                <w:color w:val="000000"/>
                <w:spacing w:val="0"/>
                <w:w w:val="100"/>
                <w:position w:val="0"/>
              </w:rPr>
              <w:t>,</w:t>
            </w:r>
            <w:r>
              <w:fldChar w:fldCharType="end"/>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年股权激励计划预留部分限制性股票授予登记完 成的公告》，公告编号：</w:t>
            </w:r>
            <w:r>
              <w:rPr>
                <w:rFonts w:ascii="Times New Roman" w:eastAsia="Times New Roman" w:hAnsi="Times New Roman" w:cs="Times New Roman"/>
                <w:color w:val="000000"/>
                <w:spacing w:val="0"/>
                <w:w w:val="100"/>
                <w:position w:val="0"/>
              </w:rPr>
              <w:t>2020-08</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1280"/>
              <w:jc w:val="both"/>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cn</w:t>
            </w:r>
            <w:r>
              <w:rPr>
                <w:color w:val="000000"/>
                <w:spacing w:val="0"/>
                <w:w w:val="100"/>
                <w:position w:val="0"/>
              </w:rPr>
              <w:t>，</w:t>
            </w:r>
            <w:r>
              <w:fldChar w:fldCharType="end"/>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年股权激励计划预留部分股票期权授予登记完成 的提示性公告》，公告编号：</w:t>
            </w:r>
            <w:r>
              <w:rPr>
                <w:rFonts w:ascii="Times New Roman" w:eastAsia="Times New Roman" w:hAnsi="Times New Roman" w:cs="Times New Roman"/>
                <w:color w:val="000000"/>
                <w:spacing w:val="0"/>
                <w:w w:val="100"/>
                <w:position w:val="0"/>
              </w:rPr>
              <w:t>2020-09</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www.crnnfo.com.cn</w:t>
            </w:r>
            <w:r>
              <w:rPr>
                <w:color w:val="000000"/>
                <w:spacing w:val="0"/>
                <w:w w:val="100"/>
                <w:position w:val="0"/>
              </w:rPr>
              <w:t>,</w:t>
            </w:r>
            <w:r>
              <w:fldChar w:fldCharType="end"/>
            </w:r>
            <w:r>
              <w:rPr>
                <w:color w:val="000000"/>
                <w:spacing w:val="0"/>
                <w:w w:val="100"/>
                <w:position w:val="0"/>
              </w:rPr>
              <w:t>《关于注销部分股票期权和回购注销部分限制性股票的公告》， 公告编号：</w:t>
            </w:r>
            <w:r>
              <w:rPr>
                <w:rFonts w:ascii="Times New Roman" w:eastAsia="Times New Roman" w:hAnsi="Times New Roman" w:cs="Times New Roman"/>
                <w:color w:val="000000"/>
                <w:spacing w:val="0"/>
                <w:w w:val="100"/>
                <w:position w:val="0"/>
              </w:rPr>
              <w:t>2020-21</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www.crnnfo.com.cn</w:t>
            </w:r>
            <w:r>
              <w:rPr>
                <w:color w:val="000000"/>
                <w:spacing w:val="0"/>
                <w:w w:val="100"/>
                <w:position w:val="0"/>
              </w:rPr>
              <w:t>,</w:t>
            </w:r>
            <w:r>
              <w:fldChar w:fldCharType="end"/>
            </w:r>
            <w:r>
              <w:rPr>
                <w:color w:val="000000"/>
                <w:spacing w:val="0"/>
                <w:w w:val="100"/>
                <w:position w:val="0"/>
              </w:rPr>
              <w:t>《关于部分股票期权和部分限制性股票回购注销完成的公告》， 公告编号：</w:t>
            </w:r>
            <w:r>
              <w:rPr>
                <w:rFonts w:ascii="Times New Roman" w:eastAsia="Times New Roman" w:hAnsi="Times New Roman" w:cs="Times New Roman"/>
                <w:color w:val="000000"/>
                <w:spacing w:val="0"/>
                <w:w w:val="100"/>
                <w:position w:val="0"/>
              </w:rPr>
              <w:t>2020-36</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280"/>
              <w:jc w:val="both"/>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cn</w:t>
            </w:r>
            <w:r>
              <w:rPr>
                <w:color w:val="000000"/>
                <w:spacing w:val="0"/>
                <w:w w:val="100"/>
                <w:position w:val="0"/>
              </w:rPr>
              <w:t>，</w:t>
            </w:r>
            <w:r>
              <w:fldChar w:fldCharType="end"/>
            </w:r>
            <w:r>
              <w:rPr>
                <w:color w:val="000000"/>
                <w:spacing w:val="0"/>
                <w:w w:val="100"/>
                <w:position w:val="0"/>
              </w:rPr>
              <w:t>《关于公司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 部分限制性股票第一个解除限售条件成就的公告》等，公告编号：</w:t>
            </w:r>
            <w:r>
              <w:rPr>
                <w:rFonts w:ascii="Times New Roman" w:eastAsia="Times New Roman" w:hAnsi="Times New Roman" w:cs="Times New Roman"/>
                <w:color w:val="000000"/>
                <w:spacing w:val="0"/>
                <w:w w:val="100"/>
                <w:position w:val="0"/>
              </w:rPr>
              <w:t>2020-38</w:t>
            </w:r>
            <w:r>
              <w:rPr>
                <w:color w:val="000000"/>
                <w:spacing w:val="0"/>
                <w:w w:val="100"/>
                <w:position w:val="0"/>
              </w:rPr>
              <w:t>、</w:t>
            </w:r>
            <w:r>
              <w:rPr>
                <w:rFonts w:ascii="Times New Roman" w:eastAsia="Times New Roman" w:hAnsi="Times New Roman" w:cs="Times New Roman"/>
                <w:color w:val="000000"/>
                <w:spacing w:val="0"/>
                <w:w w:val="100"/>
                <w:position w:val="0"/>
              </w:rPr>
              <w:t>2020-39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2020-40</w:t>
            </w:r>
            <w:r>
              <w:rPr>
                <w:color w:val="000000"/>
                <w:spacing w:val="0"/>
                <w:w w:val="100"/>
                <w:position w:val="0"/>
              </w:rPr>
              <w:t>、</w:t>
            </w:r>
            <w:r>
              <w:rPr>
                <w:rFonts w:ascii="Times New Roman" w:eastAsia="Times New Roman" w:hAnsi="Times New Roman" w:cs="Times New Roman"/>
                <w:color w:val="000000"/>
                <w:spacing w:val="0"/>
                <w:w w:val="100"/>
                <w:position w:val="0"/>
              </w:rPr>
              <w:t>2020-41</w:t>
            </w:r>
            <w:r>
              <w:rPr>
                <w:color w:val="000000"/>
                <w:spacing w:val="0"/>
                <w:w w:val="100"/>
                <w:position w:val="0"/>
              </w:rPr>
              <w:t>、</w:t>
            </w:r>
            <w:r>
              <w:rPr>
                <w:rFonts w:ascii="Times New Roman" w:eastAsia="Times New Roman" w:hAnsi="Times New Roman" w:cs="Times New Roman"/>
                <w:color w:val="000000"/>
                <w:spacing w:val="0"/>
                <w:w w:val="100"/>
                <w:position w:val="0"/>
              </w:rPr>
              <w:t>2020-42</w:t>
            </w:r>
            <w:r>
              <w:rPr>
                <w:color w:val="000000"/>
                <w:spacing w:val="0"/>
                <w:w w:val="100"/>
                <w:position w:val="0"/>
              </w:rPr>
              <w:t>、</w:t>
            </w:r>
            <w:r>
              <w:rPr>
                <w:rFonts w:ascii="Times New Roman" w:eastAsia="Times New Roman" w:hAnsi="Times New Roman" w:cs="Times New Roman"/>
                <w:color w:val="000000"/>
                <w:spacing w:val="0"/>
                <w:w w:val="100"/>
                <w:position w:val="0"/>
              </w:rPr>
              <w:t>2020-43</w:t>
            </w:r>
            <w:r>
              <w:rPr>
                <w:color w:val="000000"/>
                <w:spacing w:val="0"/>
                <w:w w:val="100"/>
                <w:position w:val="0"/>
              </w:rPr>
              <w:t>、</w:t>
            </w:r>
            <w:r>
              <w:rPr>
                <w:rFonts w:ascii="Times New Roman" w:eastAsia="Times New Roman" w:hAnsi="Times New Roman" w:cs="Times New Roman"/>
                <w:color w:val="000000"/>
                <w:spacing w:val="0"/>
                <w:w w:val="100"/>
                <w:position w:val="0"/>
              </w:rPr>
              <w:t>2020-44</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www.crnnfo.com.cn</w:t>
            </w:r>
            <w:r>
              <w:rPr>
                <w:color w:val="000000"/>
                <w:spacing w:val="0"/>
                <w:w w:val="100"/>
                <w:position w:val="0"/>
              </w:rPr>
              <w:t>,</w:t>
            </w:r>
            <w:r>
              <w:fldChar w:fldCharType="end"/>
            </w:r>
            <w:r>
              <w:rPr>
                <w:color w:val="000000"/>
                <w:spacing w:val="0"/>
                <w:w w:val="100"/>
                <w:position w:val="0"/>
              </w:rPr>
              <w:t>《关于注销部分股票期权和回购注销部分限制性股票的公告》， 公告编号：</w:t>
            </w:r>
            <w:r>
              <w:rPr>
                <w:rFonts w:ascii="Times New Roman" w:eastAsia="Times New Roman" w:hAnsi="Times New Roman" w:cs="Times New Roman"/>
                <w:color w:val="000000"/>
                <w:spacing w:val="0"/>
                <w:w w:val="100"/>
                <w:position w:val="0"/>
              </w:rPr>
              <w:t>2020-61</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www.crnnfo.com.cn</w:t>
            </w:r>
            <w:r>
              <w:rPr>
                <w:color w:val="000000"/>
                <w:spacing w:val="0"/>
                <w:w w:val="100"/>
                <w:position w:val="0"/>
              </w:rPr>
              <w:t>,</w:t>
            </w:r>
            <w:r>
              <w:fldChar w:fldCharType="end"/>
            </w:r>
            <w:r>
              <w:rPr>
                <w:color w:val="000000"/>
                <w:spacing w:val="0"/>
                <w:w w:val="100"/>
                <w:position w:val="0"/>
              </w:rPr>
              <w:t>《关于注销部分股票期权和回购注销部分限制性股票的公告》， 公告编号：</w:t>
            </w:r>
            <w:r>
              <w:rPr>
                <w:rFonts w:ascii="Times New Roman" w:eastAsia="Times New Roman" w:hAnsi="Times New Roman" w:cs="Times New Roman"/>
                <w:color w:val="000000"/>
                <w:spacing w:val="0"/>
                <w:w w:val="100"/>
                <w:position w:val="0"/>
              </w:rPr>
              <w:t>2020-75</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6D6D6D"/>
                <w:spacing w:val="0"/>
                <w:w w:val="100"/>
                <w:position w:val="0"/>
              </w:rPr>
              <w:t>20</w:t>
            </w:r>
            <w:r>
              <w:rPr>
                <w:color w:val="000000"/>
                <w:spacing w:val="0"/>
                <w:w w:val="100"/>
                <w:position w:val="0"/>
              </w:rPr>
              <w:t>年第一次临时股东大会决议公告》，公告编号：</w:t>
            </w:r>
            <w:r>
              <w:rPr>
                <w:rFonts w:ascii="Times New Roman" w:eastAsia="Times New Roman" w:hAnsi="Times New Roman" w:cs="Times New Roman"/>
                <w:color w:val="000000"/>
                <w:spacing w:val="0"/>
                <w:w w:val="100"/>
                <w:position w:val="0"/>
              </w:rPr>
              <w:t>2020-81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年年度权益分派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u w:val="single"/>
              </w:rPr>
              <w:t>www.cninfb.com.cn</w:t>
            </w:r>
            <w:r>
              <w:rPr>
                <w:color w:val="000000"/>
                <w:spacing w:val="0"/>
                <w:w w:val="100"/>
                <w:position w:val="0"/>
              </w:rPr>
              <w:t>,</w:t>
            </w:r>
            <w:r>
              <w:fldChar w:fldCharType="end"/>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年年度权益分派公告》，公告编号：</w:t>
            </w:r>
            <w:r>
              <w:rPr>
                <w:rFonts w:ascii="Times New Roman" w:eastAsia="Times New Roman" w:hAnsi="Times New Roman" w:cs="Times New Roman"/>
                <w:color w:val="000000"/>
                <w:spacing w:val="0"/>
                <w:w w:val="100"/>
                <w:position w:val="0"/>
              </w:rPr>
              <w:t>2020-37</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关于美桐贰期产业基 金进展情况事项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,《关于美桐贰期产业并购基金进展情况的公告》，公告编号：</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2020-49</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关于公司签署《投资意 向协议书》事项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,《关于公司签署</w:t>
            </w:r>
            <w:r>
              <w:rPr>
                <w:color w:val="000000"/>
                <w:spacing w:val="0"/>
                <w:w w:val="100"/>
                <w:position w:val="0"/>
              </w:rPr>
              <w:t>〈</w:t>
            </w:r>
            <w:r>
              <w:rPr>
                <w:color w:val="000000"/>
                <w:spacing w:val="0"/>
                <w:w w:val="100"/>
                <w:position w:val="0"/>
              </w:rPr>
              <w:t>投资意向协议书》的公告》，公告编号:</w:t>
            </w:r>
            <w:r>
              <w:rPr>
                <w:rFonts w:ascii="Times New Roman" w:eastAsia="Times New Roman" w:hAnsi="Times New Roman" w:cs="Times New Roman"/>
                <w:color w:val="000000"/>
                <w:spacing w:val="0"/>
                <w:w w:val="100"/>
                <w:position w:val="0"/>
              </w:rPr>
              <w:t>2020-50</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,《关于公司签署</w:t>
            </w:r>
            <w:r>
              <w:rPr>
                <w:color w:val="000000"/>
                <w:spacing w:val="0"/>
                <w:w w:val="100"/>
                <w:position w:val="0"/>
              </w:rPr>
              <w:t>〈</w:t>
            </w:r>
            <w:r>
              <w:rPr>
                <w:color w:val="000000"/>
                <w:spacing w:val="0"/>
                <w:w w:val="100"/>
                <w:position w:val="0"/>
              </w:rPr>
              <w:t>投资意向协议书》的风险提示公告》，公告编 号：</w:t>
            </w:r>
            <w:r>
              <w:rPr>
                <w:rFonts w:ascii="Times New Roman" w:eastAsia="Times New Roman" w:hAnsi="Times New Roman" w:cs="Times New Roman"/>
                <w:color w:val="000000"/>
                <w:spacing w:val="0"/>
                <w:w w:val="100"/>
                <w:position w:val="0"/>
              </w:rPr>
              <w:t>2020-51</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修订《公司章程》部分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r>
              <w:rPr>
                <w:color w:val="000000"/>
                <w:spacing w:val="0"/>
                <w:w w:val="100"/>
                <w:position w:val="0"/>
              </w:rPr>
              <w:t>公司章程</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color w:val="000000"/>
                <w:spacing w:val="0"/>
                <w:w w:val="100"/>
                <w:position w:val="0"/>
              </w:rPr>
              <w:t>〈</w:t>
            </w:r>
            <w:r>
              <w:rPr>
                <w:color w:val="000000"/>
                <w:spacing w:val="0"/>
                <w:w w:val="100"/>
                <w:position w:val="0"/>
              </w:rPr>
              <w:t>公司章程</w:t>
            </w:r>
            <w:r>
              <w:rPr>
                <w:rFonts w:ascii="Times New Roman" w:eastAsia="Times New Roman" w:hAnsi="Times New Roman" w:cs="Times New Roman"/>
                <w:color w:val="000000"/>
                <w:spacing w:val="0"/>
                <w:w w:val="100"/>
                <w:position w:val="0"/>
              </w:rPr>
              <w:t>＞</w:t>
            </w:r>
            <w:r>
              <w:rPr>
                <w:color w:val="000000"/>
                <w:spacing w:val="0"/>
                <w:w w:val="100"/>
                <w:position w:val="0"/>
              </w:rPr>
              <w:t>修订对照表》，公 告编号：</w:t>
            </w:r>
            <w:r>
              <w:rPr>
                <w:rFonts w:ascii="Times New Roman" w:eastAsia="Times New Roman" w:hAnsi="Times New Roman" w:cs="Times New Roman"/>
                <w:color w:val="000000"/>
                <w:spacing w:val="0"/>
                <w:w w:val="100"/>
                <w:position w:val="0"/>
              </w:rPr>
              <w:t>2020-64</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新增</w:t>
            </w:r>
            <w:r>
              <w:rPr>
                <w:rFonts w:ascii="Times New Roman" w:eastAsia="Times New Roman" w:hAnsi="Times New Roman" w:cs="Times New Roman"/>
                <w:color w:val="000000"/>
                <w:spacing w:val="0"/>
                <w:w w:val="100"/>
                <w:position w:val="0"/>
              </w:rPr>
              <w:t>2020</w:t>
            </w:r>
            <w:r>
              <w:rPr>
                <w:color w:val="000000"/>
                <w:spacing w:val="0"/>
                <w:w w:val="100"/>
                <w:position w:val="0"/>
              </w:rPr>
              <w:t>年度日常关 联交易预计额事项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《关于新增公司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color w:val="000000"/>
                <w:spacing w:val="0"/>
                <w:w w:val="100"/>
                <w:position w:val="0"/>
              </w:rPr>
              <w:t>度日常关联交易预计额的公告》，公告编 号：</w:t>
            </w:r>
            <w:r>
              <w:rPr>
                <w:rFonts w:ascii="Times New Roman" w:eastAsia="Times New Roman" w:hAnsi="Times New Roman" w:cs="Times New Roman"/>
                <w:color w:val="000000"/>
                <w:spacing w:val="0"/>
                <w:w w:val="100"/>
                <w:position w:val="0"/>
              </w:rPr>
              <w:t>2020-63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获得政府补助事项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《关于公司获得政府补助的公告》，公告编号：</w:t>
            </w:r>
            <w:r>
              <w:rPr>
                <w:rFonts w:ascii="Times New Roman" w:eastAsia="Times New Roman" w:hAnsi="Times New Roman" w:cs="Times New Roman"/>
                <w:color w:val="000000"/>
                <w:spacing w:val="0"/>
                <w:w w:val="100"/>
                <w:position w:val="0"/>
              </w:rPr>
              <w:t>2020-67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成立控股子公司事项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www.cninfo.com.cn,</w:t>
            </w:r>
            <w:r>
              <w:rPr>
                <w:color w:val="000000"/>
                <w:spacing w:val="0"/>
                <w:w w:val="100"/>
                <w:position w:val="0"/>
              </w:rPr>
              <w:t>《关于对外投资设立控股子公司的公告》，公告编号：</w:t>
            </w:r>
            <w:r>
              <w:rPr>
                <w:rFonts w:ascii="Times New Roman" w:eastAsia="Times New Roman" w:hAnsi="Times New Roman" w:cs="Times New Roman"/>
                <w:color w:val="000000"/>
                <w:spacing w:val="0"/>
                <w:w w:val="100"/>
                <w:position w:val="0"/>
              </w:rPr>
              <w:t>2020-78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r>
        <w:rPr>
          <w:color w:val="000000"/>
          <w:spacing w:val="0"/>
          <w:w w:val="100"/>
          <w:position w:val="0"/>
          <w:sz w:val="24"/>
          <w:szCs w:val="24"/>
        </w:rPr>
        <w:t>十九、公司子公司重大事项</w:t>
      </w:r>
      <w:bookmarkEnd w:id="465"/>
      <w:bookmarkEnd w:id="466"/>
      <w:bookmarkEnd w:id="467"/>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280" w:line="240" w:lineRule="auto"/>
        <w:ind w:left="0" w:right="0" w:firstLine="420"/>
        <w:jc w:val="both"/>
      </w:pPr>
      <w:bookmarkStart w:id="468" w:name="bookmark468"/>
      <w:r>
        <w:rPr>
          <w:color w:val="000000"/>
          <w:spacing w:val="0"/>
          <w:w w:val="100"/>
          <w:position w:val="0"/>
        </w:rPr>
        <w:t>（</w:t>
      </w:r>
      <w:bookmarkEnd w:id="468"/>
      <w:r>
        <w:rPr>
          <w:color w:val="000000"/>
          <w:spacing w:val="0"/>
          <w:w w:val="100"/>
          <w:position w:val="0"/>
        </w:rPr>
        <w:t>一）厦门腾柏顺</w:t>
      </w:r>
    </w:p>
    <w:p>
      <w:pPr>
        <w:pStyle w:val="Style44"/>
        <w:keepNext w:val="0"/>
        <w:keepLines w:val="0"/>
        <w:widowControl w:val="0"/>
        <w:shd w:val="clear" w:color="auto" w:fill="auto"/>
        <w:bidi w:val="0"/>
        <w:spacing w:before="0" w:after="0" w:line="461" w:lineRule="exact"/>
        <w:ind w:left="0" w:right="0" w:firstLine="360"/>
        <w:jc w:val="both"/>
      </w:pPr>
      <w:r>
        <w:rPr>
          <w:color w:val="000000"/>
          <w:spacing w:val="0"/>
          <w:w w:val="100"/>
          <w:position w:val="0"/>
        </w:rPr>
        <w:t>公司控股子公司美亚中敏，出资100。万元，成立全资子公司厦门腾柏顺，厦门腾柏顺已获得厦门市同 安区市场监督管理局颁发的营业执照，主要信息如下：</w:t>
      </w:r>
    </w:p>
    <w:p>
      <w:pPr>
        <w:pStyle w:val="Style44"/>
        <w:keepNext w:val="0"/>
        <w:keepLines w:val="0"/>
        <w:widowControl w:val="0"/>
        <w:shd w:val="clear" w:color="auto" w:fill="auto"/>
        <w:bidi w:val="0"/>
        <w:spacing w:before="0" w:after="0" w:line="461" w:lineRule="exact"/>
        <w:ind w:left="0" w:right="0" w:firstLine="360"/>
        <w:jc w:val="both"/>
      </w:pPr>
      <w:r>
        <w:rPr>
          <w:color w:val="000000"/>
          <w:spacing w:val="0"/>
          <w:w w:val="100"/>
          <w:position w:val="0"/>
        </w:rPr>
        <w:t>公司名称：厦门腾柏顺科技有限公司</w:t>
      </w:r>
    </w:p>
    <w:p>
      <w:pPr>
        <w:pStyle w:val="Style44"/>
        <w:keepNext w:val="0"/>
        <w:keepLines w:val="0"/>
        <w:widowControl w:val="0"/>
        <w:shd w:val="clear" w:color="auto" w:fill="auto"/>
        <w:bidi w:val="0"/>
        <w:spacing w:before="0" w:after="0" w:line="461" w:lineRule="exact"/>
        <w:ind w:left="0" w:right="0" w:firstLine="360"/>
        <w:jc w:val="both"/>
      </w:pPr>
      <w:r>
        <w:rPr>
          <w:color w:val="000000"/>
          <w:spacing w:val="0"/>
          <w:w w:val="100"/>
          <w:position w:val="0"/>
        </w:rPr>
        <w:t>统一社会信用代码：</w:t>
      </w:r>
      <w:r>
        <w:rPr>
          <w:color w:val="000000"/>
          <w:spacing w:val="0"/>
          <w:w w:val="100"/>
          <w:position w:val="0"/>
        </w:rPr>
        <w:t>91350212MA33P7ME5A</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类型：有限责任公司（自然人投资或控股的法人独资）</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住所：厦门市同安区西柯镇西柯一里1号410室</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法定代表人：吴神培</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注册资本：1000万元人民币</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登记机关：厦门市同安区市场监督管理局</w:t>
      </w:r>
    </w:p>
    <w:p>
      <w:pPr>
        <w:pStyle w:val="Style4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营业期限：2020年03月31日 至 长期</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经营范围：其他未列明科技推广和应用服务业；软件开发；数据处理和存储服务；集成电路设计；数 字内容服务；信息系统集成服务；信息技术咨询服务；其他专用仪器制造；其他仪器仪表制造业；其他未 列明金属制品制造（不含须经前置审批许可的项目）；机动车维修；电气设备批发；计算机、软件及辅助 设备批发；其他机械设备及电子产品批发；电子元件及组件制造；其他电子设备制造；计算机整机制造； 其他计算机制造；计算机外围设备制造；计算机零部件制造；汽车零部件及配件制造；其他机械和设备修 理业；其他未列明专业设备修理（不含需经许可审批的项目）；汽车零配件零售；汽车零配件批发；其他 电子产品零售；其他未列明批发业（不含需经许可审批的经营项目）；其他未列明的教育服务（不含教育 培训及其他须经行政许可审批的事项）；其他未列明信息技术服务业（不含需经许可审批的项目）；计算 机及通讯设备租赁；经营各类商品和技术的进出口（不另附进出口商品目录），但国家限定公司经营或禁 止进出口的商品及技术除外；其他金属加工机械制造。</w:t>
      </w:r>
    </w:p>
    <w:p>
      <w:pPr>
        <w:pStyle w:val="Style44"/>
        <w:keepNext w:val="0"/>
        <w:keepLines w:val="0"/>
        <w:widowControl w:val="0"/>
        <w:shd w:val="clear" w:color="auto" w:fill="auto"/>
        <w:tabs>
          <w:tab w:pos="1038" w:val="left"/>
        </w:tabs>
        <w:bidi w:val="0"/>
        <w:spacing w:before="0" w:after="0" w:line="468" w:lineRule="exact"/>
        <w:ind w:left="0" w:right="0" w:firstLine="440"/>
        <w:jc w:val="both"/>
      </w:pPr>
      <w:bookmarkStart w:id="469" w:name="bookmark469"/>
      <w:r>
        <w:rPr>
          <w:b/>
          <w:bCs/>
          <w:color w:val="000000"/>
          <w:spacing w:val="0"/>
          <w:w w:val="100"/>
          <w:position w:val="0"/>
        </w:rPr>
        <w:t>（</w:t>
      </w:r>
      <w:bookmarkEnd w:id="469"/>
      <w:r>
        <w:rPr>
          <w:b/>
          <w:bCs/>
          <w:color w:val="000000"/>
          <w:spacing w:val="0"/>
          <w:w w:val="100"/>
          <w:position w:val="0"/>
        </w:rPr>
        <w:t>二）</w:t>
        <w:tab/>
        <w:t>美亚京安更名事项</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2020年7月，公司全资子公司北京美亚京安科技有限公司更名为北京美亚柏科网络安全科技有限公司 （以下简称“美亚网安”）。美亚网安将立足于公司新网络空间安全战略，以零信任体系、网络安全、大 数据安全为基础，加快网络安全事前、事中及相关产品及业务的发展。</w:t>
      </w:r>
    </w:p>
    <w:p>
      <w:pPr>
        <w:pStyle w:val="Style44"/>
        <w:keepNext w:val="0"/>
        <w:keepLines w:val="0"/>
        <w:widowControl w:val="0"/>
        <w:shd w:val="clear" w:color="auto" w:fill="auto"/>
        <w:tabs>
          <w:tab w:pos="1038" w:val="left"/>
        </w:tabs>
        <w:bidi w:val="0"/>
        <w:spacing w:before="0" w:after="0" w:line="468" w:lineRule="exact"/>
        <w:ind w:left="0" w:right="0" w:firstLine="440"/>
        <w:jc w:val="both"/>
      </w:pPr>
      <w:bookmarkStart w:id="470" w:name="bookmark470"/>
      <w:r>
        <w:rPr>
          <w:b/>
          <w:bCs/>
          <w:color w:val="000000"/>
          <w:spacing w:val="0"/>
          <w:w w:val="100"/>
          <w:position w:val="0"/>
        </w:rPr>
        <w:t>（</w:t>
      </w:r>
      <w:bookmarkEnd w:id="470"/>
      <w:r>
        <w:rPr>
          <w:b/>
          <w:bCs/>
          <w:color w:val="000000"/>
          <w:spacing w:val="0"/>
          <w:w w:val="100"/>
          <w:position w:val="0"/>
        </w:rPr>
        <w:t>三）</w:t>
        <w:tab/>
        <w:t>控股子公司中检美亚成立全资子公司</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报告期内，控股子公司中检美亚（北京）科技有限公司为加快产业布局，出资1,000万元成立全资子 公司中检美亚（厦门）科技有限公司。目前已完成了工商注册登记手续并取得由厦门市市场监督管理局颁 发的营业执照，主要信息如下：</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公司名称：中检美亚（厦门）科技有限公司</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统一社会信用代码：</w:t>
      </w:r>
      <w:r>
        <w:rPr>
          <w:color w:val="000000"/>
          <w:spacing w:val="0"/>
          <w:w w:val="100"/>
          <w:position w:val="0"/>
        </w:rPr>
        <w:t>91350200MA34Q1U28U</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类型：有限责任公司（非自然人投资或控股的法人独资）</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住所：厦门市软件园三期诚毅北大街50号404室</w:t>
      </w:r>
      <w:r>
        <w:rPr>
          <w:color w:val="000000"/>
          <w:spacing w:val="0"/>
          <w:w w:val="100"/>
          <w:position w:val="0"/>
        </w:rPr>
        <w:t>A006</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法定代表人：葛鹏</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注册资本：1000万元人民币</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登记机关：厦门市市场监督管理局</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营业期限：2020年09月22日 至2070年09月21日</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经营范围：一般项目：软件开发；网络与信息安全软件开发；互联网数据服务；信息技术咨询服务； 信息系统运用维护服务。（除依法须经批准的项目外，凭营业执照依法自主开展经营活动）。</w:t>
      </w:r>
    </w:p>
    <w:p>
      <w:pPr>
        <w:pStyle w:val="Style44"/>
        <w:keepNext w:val="0"/>
        <w:keepLines w:val="0"/>
        <w:widowControl w:val="0"/>
        <w:shd w:val="clear" w:color="auto" w:fill="auto"/>
        <w:tabs>
          <w:tab w:pos="1038" w:val="left"/>
        </w:tabs>
        <w:bidi w:val="0"/>
        <w:spacing w:before="0" w:after="0" w:line="470" w:lineRule="exact"/>
        <w:ind w:left="0" w:right="0" w:firstLine="440"/>
        <w:jc w:val="left"/>
      </w:pPr>
      <w:bookmarkStart w:id="471" w:name="bookmark471"/>
      <w:r>
        <w:rPr>
          <w:b/>
          <w:bCs/>
          <w:color w:val="000000"/>
          <w:spacing w:val="0"/>
          <w:w w:val="100"/>
          <w:position w:val="0"/>
        </w:rPr>
        <w:t>（</w:t>
      </w:r>
      <w:bookmarkEnd w:id="471"/>
      <w:r>
        <w:rPr>
          <w:b/>
          <w:bCs/>
          <w:color w:val="000000"/>
          <w:spacing w:val="0"/>
          <w:w w:val="100"/>
          <w:position w:val="0"/>
        </w:rPr>
        <w:t>四）</w:t>
        <w:tab/>
        <w:t>控股子公司珠海新德汇独资设立司法鉴定机构</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报告期内，控股子公司珠海市新德汇信息技术有限公司为积极布局司法鉴定业务，出资100万元独资 设立广东新德汇司法鉴定所。目前已完成了注册登记手续并取得由广东省司法厅颁发的司法鉴定许可证， 主要信息如下：</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机构名称：广东新德汇司法鉴定所</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统一社会信用代码：</w:t>
      </w:r>
      <w:r>
        <w:rPr>
          <w:color w:val="000000"/>
          <w:spacing w:val="0"/>
          <w:w w:val="100"/>
          <w:position w:val="0"/>
        </w:rPr>
        <w:t>34440000MD8021575G</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机构住所：珠海市高新区唐家湾镇科技三路19号2楼</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法定代表人：水军</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机构负责人：尹峰</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注册资本：100万元人民币</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登记机关：广东省司法厅</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有效期限：2020年03月27日至2024年12月11日</w:t>
      </w:r>
    </w:p>
    <w:p>
      <w:pPr>
        <w:pStyle w:val="Style44"/>
        <w:keepNext w:val="0"/>
        <w:keepLines w:val="0"/>
        <w:widowControl w:val="0"/>
        <w:shd w:val="clear" w:color="auto" w:fill="auto"/>
        <w:bidi w:val="0"/>
        <w:spacing w:before="0" w:after="0" w:line="451" w:lineRule="exact"/>
        <w:ind w:left="0" w:right="0" w:firstLine="420"/>
        <w:jc w:val="left"/>
      </w:pPr>
      <w:r>
        <w:rPr>
          <w:color w:val="000000"/>
          <w:spacing w:val="0"/>
          <w:w w:val="100"/>
          <w:position w:val="0"/>
        </w:rPr>
        <w:t>业务范围：声像资料司法鉴定（限电子数据鉴定）</w:t>
      </w:r>
    </w:p>
    <w:p>
      <w:pPr>
        <w:pStyle w:val="Style44"/>
        <w:keepNext w:val="0"/>
        <w:keepLines w:val="0"/>
        <w:widowControl w:val="0"/>
        <w:shd w:val="clear" w:color="auto" w:fill="auto"/>
        <w:tabs>
          <w:tab w:pos="1018" w:val="left"/>
        </w:tabs>
        <w:bidi w:val="0"/>
        <w:spacing w:before="0" w:after="0" w:line="451" w:lineRule="exact"/>
        <w:ind w:left="0" w:right="0" w:firstLine="420"/>
        <w:jc w:val="both"/>
      </w:pPr>
      <w:bookmarkStart w:id="472" w:name="bookmark472"/>
      <w:r>
        <w:rPr>
          <w:b/>
          <w:bCs/>
          <w:color w:val="000000"/>
          <w:spacing w:val="0"/>
          <w:w w:val="100"/>
          <w:position w:val="0"/>
        </w:rPr>
        <w:t>（</w:t>
      </w:r>
      <w:bookmarkEnd w:id="472"/>
      <w:r>
        <w:rPr>
          <w:b/>
          <w:bCs/>
          <w:color w:val="000000"/>
          <w:spacing w:val="0"/>
          <w:w w:val="100"/>
          <w:position w:val="0"/>
        </w:rPr>
        <w:t>五）</w:t>
        <w:tab/>
        <w:t>子公司分红事项</w:t>
      </w:r>
    </w:p>
    <w:p>
      <w:pPr>
        <w:pStyle w:val="Style44"/>
        <w:keepNext w:val="0"/>
        <w:keepLines w:val="0"/>
        <w:widowControl w:val="0"/>
        <w:shd w:val="clear" w:color="auto" w:fill="auto"/>
        <w:bidi w:val="0"/>
        <w:spacing w:before="0" w:after="0" w:line="451" w:lineRule="exact"/>
        <w:ind w:left="0" w:right="0" w:firstLine="440"/>
        <w:jc w:val="both"/>
      </w:pPr>
      <w:r>
        <w:rPr>
          <w:color w:val="000000"/>
          <w:spacing w:val="0"/>
          <w:w w:val="100"/>
          <w:position w:val="0"/>
        </w:rPr>
        <w:t>报告期内美亚柏科收到子公司的分红如下：收到全资子公司新德汇、信息安全研究所共分红款分别为 3,238万元和1,374万元，收到控股子公司美亚中敏、美亚商鼎和美亚亿安的分红款共计</w:t>
      </w:r>
      <w:r>
        <w:rPr>
          <w:color w:val="000000"/>
          <w:spacing w:val="0"/>
          <w:w w:val="100"/>
          <w:position w:val="0"/>
        </w:rPr>
        <w:t xml:space="preserve">655. </w:t>
      </w:r>
      <w:r>
        <w:rPr>
          <w:color w:val="000000"/>
          <w:spacing w:val="0"/>
          <w:w w:val="100"/>
          <w:position w:val="0"/>
        </w:rPr>
        <w:t>39万元。</w:t>
      </w:r>
      <w:r>
        <w:br w:type="page"/>
      </w:r>
    </w:p>
    <w:p>
      <w:pPr>
        <w:pStyle w:val="Style17"/>
        <w:keepNext/>
        <w:keepLines/>
        <w:widowControl w:val="0"/>
        <w:shd w:val="clear" w:color="auto" w:fill="auto"/>
        <w:bidi w:val="0"/>
        <w:spacing w:before="0" w:line="240" w:lineRule="auto"/>
        <w:ind w:left="0" w:right="0" w:firstLine="0"/>
        <w:jc w:val="center"/>
      </w:pPr>
      <w:bookmarkStart w:id="473" w:name="bookmark473"/>
      <w:bookmarkStart w:id="474" w:name="bookmark474"/>
      <w:bookmarkStart w:id="475" w:name="bookmark475"/>
      <w:r>
        <w:rPr>
          <w:color w:val="000000"/>
          <w:spacing w:val="0"/>
          <w:w w:val="100"/>
          <w:position w:val="0"/>
        </w:rPr>
        <w:t>第六节股份变动及股东情况</w:t>
      </w:r>
      <w:bookmarkEnd w:id="473"/>
      <w:bookmarkEnd w:id="474"/>
      <w:bookmarkEnd w:id="475"/>
    </w:p>
    <w:p>
      <w:pPr>
        <w:pStyle w:val="Style27"/>
        <w:keepNext/>
        <w:keepLines/>
        <w:widowControl w:val="0"/>
        <w:shd w:val="clear" w:color="auto" w:fill="auto"/>
        <w:bidi w:val="0"/>
        <w:spacing w:before="0" w:after="340" w:line="240" w:lineRule="auto"/>
        <w:ind w:left="0" w:right="0" w:firstLine="0"/>
        <w:jc w:val="both"/>
      </w:pPr>
      <w:bookmarkStart w:id="476" w:name="bookmark476"/>
      <w:bookmarkStart w:id="477" w:name="bookmark477"/>
      <w:bookmarkStart w:id="478" w:name="bookmark478"/>
      <w:bookmarkStart w:id="479" w:name="bookmark479"/>
      <w:bookmarkStart w:id="480" w:name="bookmark480"/>
      <w:r>
        <w:rPr>
          <w:color w:val="000000"/>
          <w:spacing w:val="0"/>
          <w:w w:val="100"/>
          <w:position w:val="0"/>
          <w:sz w:val="24"/>
          <w:szCs w:val="24"/>
        </w:rPr>
        <w:t>一</w:t>
      </w:r>
      <w:bookmarkEnd w:id="479"/>
      <w:r>
        <w:rPr>
          <w:color w:val="000000"/>
          <w:spacing w:val="0"/>
          <w:w w:val="100"/>
          <w:position w:val="0"/>
          <w:sz w:val="24"/>
          <w:szCs w:val="24"/>
        </w:rPr>
        <w:t>、股份变动情况</w:t>
      </w:r>
      <w:bookmarkEnd w:id="477"/>
      <w:bookmarkEnd w:id="478"/>
      <w:bookmarkEnd w:id="480"/>
      <w:bookmarkEnd w:id="476"/>
    </w:p>
    <w:p>
      <w:pPr>
        <w:pStyle w:val="Style32"/>
        <w:keepNext/>
        <w:keepLines/>
        <w:widowControl w:val="0"/>
        <w:shd w:val="clear" w:color="auto" w:fill="auto"/>
        <w:bidi w:val="0"/>
        <w:spacing w:before="0" w:after="34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、股份变动情况</w:t>
      </w:r>
      <w:bookmarkEnd w:id="481"/>
      <w:bookmarkEnd w:id="482"/>
      <w:bookmarkEnd w:id="4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89"/>
        <w:gridCol w:w="710"/>
        <w:gridCol w:w="994"/>
        <w:gridCol w:w="427"/>
        <w:gridCol w:w="706"/>
        <w:gridCol w:w="994"/>
        <w:gridCol w:w="994"/>
        <w:gridCol w:w="979"/>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271,631,458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-66,175,562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205,455,896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271,515,158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-67,469,042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-66,129,042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205,386,116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271,515,158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-67,469,042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-66,129,042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205,386,116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532,362,259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1,455,328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601,210,749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532,362,259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1,455,328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601,210,749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803,993,717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2,795,328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806,666,645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tabs>
          <w:tab w:pos="1016" w:val="left"/>
        </w:tabs>
        <w:bidi w:val="0"/>
        <w:spacing w:before="0" w:after="0" w:line="451" w:lineRule="exact"/>
        <w:ind w:left="0" w:right="0" w:firstLine="440"/>
        <w:jc w:val="both"/>
      </w:pPr>
      <w:bookmarkStart w:id="485" w:name="bookmark485"/>
      <w:r>
        <w:rPr>
          <w:color w:val="000000"/>
          <w:spacing w:val="0"/>
          <w:w w:val="100"/>
          <w:position w:val="0"/>
        </w:rPr>
        <w:t>（</w:t>
      </w:r>
      <w:bookmarkEnd w:id="485"/>
      <w:r>
        <w:rPr>
          <w:color w:val="000000"/>
          <w:spacing w:val="0"/>
          <w:w w:val="100"/>
          <w:position w:val="0"/>
        </w:rPr>
        <w:t>1）</w:t>
        <w:tab/>
        <w:t>根据《深圳证券交易所上市公司规范运作指引》，每年第一个交易日董监高本年度按持有公司 股份总数为基数，25%来计算可转让法定额度。</w:t>
      </w:r>
    </w:p>
    <w:p>
      <w:pPr>
        <w:pStyle w:val="Style44"/>
        <w:keepNext w:val="0"/>
        <w:keepLines w:val="0"/>
        <w:widowControl w:val="0"/>
        <w:shd w:val="clear" w:color="auto" w:fill="auto"/>
        <w:tabs>
          <w:tab w:pos="1016" w:val="left"/>
        </w:tabs>
        <w:bidi w:val="0"/>
        <w:spacing w:before="0" w:after="0" w:line="480" w:lineRule="exact"/>
        <w:ind w:left="0" w:right="0" w:firstLine="440"/>
        <w:jc w:val="both"/>
      </w:pPr>
      <w:bookmarkStart w:id="486" w:name="bookmark486"/>
      <w:r>
        <w:rPr>
          <w:color w:val="000000"/>
          <w:spacing w:val="0"/>
          <w:w w:val="100"/>
          <w:position w:val="0"/>
        </w:rPr>
        <w:t>（</w:t>
      </w:r>
      <w:bookmarkEnd w:id="486"/>
      <w:r>
        <w:rPr>
          <w:color w:val="000000"/>
          <w:spacing w:val="0"/>
          <w:w w:val="100"/>
          <w:position w:val="0"/>
        </w:rPr>
        <w:t>2）</w:t>
        <w:tab/>
        <w:t>报告期内，公司实施2019年股票期权与限制性股票激励计划预留股份授予、股份回购注销、股 份解锁/行权等事项：</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2020年1月23日，公司第四届董事会第十五次会议，审议通过了《关于向激励对象授予2019年股票期 权与限制性股票激励计划预留权益的议案》，本次新增限制性股票134万股；2020年2月26日，公司通过中 </w:t>
      </w:r>
      <w:r>
        <w:rPr>
          <w:color w:val="000000"/>
          <w:spacing w:val="0"/>
          <w:w w:val="100"/>
          <w:position w:val="0"/>
        </w:rPr>
        <w:t>国证券登记结算责任有限公司完成上述股份的登记。详见2020年2月26日在巨潮资讯网披露的《关于2019 年股权激励计划预留部分限制性股票授予登记完成的公告》；</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2020年5月20日，公司在中国证券登记结算有限责任公司深圳分公司完成122,400股限制性股票的回购 注销，详见2020年5月21日在巨潮资讯网披露的《关于部分股票期权注销和部分限制性股票回购注销完成 的公告》；</w:t>
      </w:r>
    </w:p>
    <w:p>
      <w:pPr>
        <w:pStyle w:val="Style4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2020年6月1日，公司第四届董事会第十八次会议审议通过了《关于公司2019年股票期权与限制性股票 激励计划首次授予部分第一个可行权/解除限售条件成就的议案》，本次解除限售的限制性股票数量 3,732, 360股，实际可上市流通3, 512, 280股。本次可行权的股票期权数量为1,754,080份，其中2020年已 行权股份数1,455,328股。详见2020年6月12日在巨潮资讯网披露的《关于公司2019年股票期权与限制性股 票激励计划首次授予部分限制性股票第一个解锁期解锁股份上市流通的提示性公告》等。</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详见上述“股份变动原因”</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详见上述“股份变动原因”</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详见上述“股份变动原因”</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120" w:line="48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、限售股份变动情况</w:t>
      </w:r>
      <w:bookmarkEnd w:id="487"/>
      <w:bookmarkEnd w:id="488"/>
      <w:bookmarkEnd w:id="490"/>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0"/>
        <w:gridCol w:w="1133"/>
        <w:gridCol w:w="1133"/>
        <w:gridCol w:w="1133"/>
        <w:gridCol w:w="1277"/>
        <w:gridCol w:w="1272"/>
        <w:gridCol w:w="2069"/>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134,144,350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33,536,088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100,608,262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日离任</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在任期届满后半年内，每</w:t>
            </w:r>
          </w:p>
        </w:tc>
      </w:tr>
    </w:tbl>
    <w:p>
      <w:pPr>
        <w:spacing w:lineRule="exact" w:line="1"/>
        <w:rPr>
          <w:sz w:val="2"/>
          <w:szCs w:val="2"/>
        </w:rPr>
      </w:pPr>
      <w:r>
        <w:br w:type="page"/>
      </w:r>
    </w:p>
    <w:tbl>
      <w:tblPr>
        <w:tblOverlap w:val="never"/>
        <w:jc w:val="center"/>
        <w:tblLayout w:type="fixed"/>
      </w:tblPr>
      <w:tblGrid>
        <w:gridCol w:w="1565"/>
        <w:gridCol w:w="1138"/>
        <w:gridCol w:w="1133"/>
        <w:gridCol w:w="1133"/>
        <w:gridCol w:w="1277"/>
        <w:gridCol w:w="1272"/>
        <w:gridCol w:w="2069"/>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71,192,520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17,592,520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刘冬颖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1,266,960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日离任</w:t>
            </w:r>
            <w:r>
              <w:rPr>
                <w:rFonts w:ascii="Times New Roman" w:eastAsia="Times New Roman" w:hAnsi="Times New Roman" w:cs="Times New Roman"/>
                <w:color w:val="000000"/>
                <w:spacing w:val="0"/>
                <w:w w:val="100"/>
                <w:position w:val="0"/>
              </w:rPr>
              <w:t xml:space="preserve">, </w:t>
            </w:r>
            <w:r>
              <w:rPr>
                <w:color w:val="000000"/>
                <w:spacing w:val="0"/>
                <w:w w:val="100"/>
                <w:position w:val="0"/>
              </w:rPr>
              <w:t>在任期届满后半年内，每 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日离任</w:t>
            </w:r>
            <w:r>
              <w:rPr>
                <w:rFonts w:ascii="Times New Roman" w:eastAsia="Times New Roman" w:hAnsi="Times New Roman" w:cs="Times New Roman"/>
                <w:color w:val="000000"/>
                <w:spacing w:val="0"/>
                <w:w w:val="100"/>
                <w:position w:val="0"/>
              </w:rPr>
              <w:t xml:space="preserve">, </w:t>
            </w:r>
            <w:r>
              <w:rPr>
                <w:color w:val="000000"/>
                <w:spacing w:val="0"/>
                <w:w w:val="100"/>
                <w:position w:val="0"/>
              </w:rPr>
              <w:t>在任期届满后半年内，每 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蔡志评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12,300,177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韦玉荣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1,395,825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周成祖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每年年初</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股权激励对象</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 计划首次授予）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9,448,300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3,849,760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（草案）的有关规定执行 解锁及回购注销。</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股权激励对象</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 计划预留授予）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（草案）的有关规定执行 解锁及回购注销。</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271,631,458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1,574,660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67,750,222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205,455,896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二</w:t>
      </w:r>
      <w:bookmarkEnd w:id="493"/>
      <w:r>
        <w:rPr>
          <w:color w:val="000000"/>
          <w:spacing w:val="0"/>
          <w:w w:val="100"/>
          <w:position w:val="0"/>
          <w:sz w:val="24"/>
          <w:szCs w:val="24"/>
        </w:rPr>
        <w:t>、证券发行与上市情况</w:t>
      </w:r>
      <w:bookmarkEnd w:id="491"/>
      <w:bookmarkEnd w:id="492"/>
      <w:bookmarkEnd w:id="494"/>
    </w:p>
    <w:p>
      <w:pPr>
        <w:pStyle w:val="Style32"/>
        <w:keepNext/>
        <w:keepLines/>
        <w:widowControl w:val="0"/>
        <w:shd w:val="clear" w:color="auto" w:fill="auto"/>
        <w:tabs>
          <w:tab w:pos="368" w:val="left"/>
        </w:tabs>
        <w:bidi w:val="0"/>
        <w:spacing w:before="0" w:after="34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报告期内证券发行（不含优先股）情况</w:t>
      </w:r>
      <w:bookmarkEnd w:id="495"/>
      <w:bookmarkEnd w:id="496"/>
      <w:bookmarkEnd w:id="498"/>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4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公司股份总数及股东结构的变动、公司资产和负债结构的变动情况说明</w:t>
      </w:r>
      <w:bookmarkEnd w:id="499"/>
      <w:bookmarkEnd w:id="500"/>
      <w:bookmarkEnd w:id="502"/>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 xml:space="preserve">报告期期初，公司股份总数为803,993,717股，报告期内，公司共回购注销股份122,40。股，新增股份 </w:t>
      </w:r>
      <w:r>
        <w:rPr>
          <w:color w:val="000000"/>
          <w:spacing w:val="0"/>
          <w:w w:val="100"/>
          <w:position w:val="0"/>
        </w:rPr>
        <w:t>2795,328股。公司总股本由803, 993, 717股变为期末806,666,645股。</w:t>
      </w:r>
      <w:r>
        <w:br w:type="page"/>
      </w:r>
    </w:p>
    <w:p>
      <w:pPr>
        <w:pStyle w:val="Style32"/>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、现存的内部职工股情况</w:t>
      </w:r>
      <w:bookmarkEnd w:id="503"/>
      <w:bookmarkEnd w:id="504"/>
      <w:bookmarkEnd w:id="50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、股东和实际控制人情况</w:t>
      </w:r>
      <w:bookmarkEnd w:id="507"/>
      <w:bookmarkEnd w:id="508"/>
      <w:bookmarkEnd w:id="510"/>
    </w:p>
    <w:p>
      <w:pPr>
        <w:pStyle w:val="Style32"/>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、公司股东数量及持股情况</w:t>
      </w:r>
      <w:bookmarkEnd w:id="511"/>
      <w:bookmarkEnd w:id="512"/>
      <w:bookmarkEnd w:id="5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283"/>
        <w:gridCol w:w="442"/>
        <w:gridCol w:w="696"/>
        <w:gridCol w:w="773"/>
        <w:gridCol w:w="206"/>
        <w:gridCol w:w="1061"/>
        <w:gridCol w:w="1133"/>
        <w:gridCol w:w="370"/>
        <w:gridCol w:w="576"/>
        <w:gridCol w:w="331"/>
        <w:gridCol w:w="1133"/>
        <w:gridCol w:w="619"/>
        <w:gridCol w:w="99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27,671</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年度报告披露日前上 一月末普通股股东总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31,657</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报告期末表决权恢 复的优先股股东总 数（如有）（参见注 </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3"/>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持有有限售条 件的股份数量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0"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郭永芳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134,144,350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100,60 8,262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33,536,088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国投智能科技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125,475,942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125,475,942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李国林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-523,360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刘冬颖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160" w:right="0" w:firstLine="0"/>
              <w:jc w:val="both"/>
            </w:pPr>
            <w:r>
              <w:rPr>
                <w:color w:val="000000"/>
                <w:spacing w:val="0"/>
                <w:w w:val="100"/>
                <w:position w:val="0"/>
              </w:rPr>
              <w:t>中信银行股份 有限公司一中 欧睿见混合型 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15,148,479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15,148,479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15,148,479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香港中央结算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12,622,254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7,063,962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12,622,254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中国建设银行 股份有限公司 一中欧创业板 两年定期开放 混合型证券投 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10,902,953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10,902,953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10,902,953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160" w:right="0" w:firstLine="0"/>
              <w:jc w:val="both"/>
            </w:pPr>
            <w:r>
              <w:rPr>
                <w:color w:val="000000"/>
                <w:spacing w:val="0"/>
                <w:w w:val="100"/>
                <w:position w:val="0"/>
              </w:rPr>
              <w:t>招商银行股份 有限公司一泓 德睿泽混合型 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10,048,043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10,048,043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苏学武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9,234,877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-3,065,300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基本养老保险</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8,509,112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8,509,112</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8,509,112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4"/>
        <w:gridCol w:w="859"/>
        <w:gridCol w:w="2328"/>
        <w:gridCol w:w="1786"/>
        <w:gridCol w:w="2242"/>
      </w:tblGrid>
      <w:tr>
        <w:trPr>
          <w:trHeight w:val="682"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基金一二零六 组合</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上述股东中：中信银行股份有限公司一中欧睿见混合型证券投资基金、中国建设银行股份有 限公司一中欧创业板两年定期开放混合型证券投资基金同属于中欧基金管理公司。</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 放弃表决权情况的说明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李国林和刘冬颖与国投智能科技有限公司于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月签署了部分表决权委托协议。</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报告期末持有无限售条件股</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125,475,942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33,536,088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33,536,088</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17,200,000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中信银行股份有限公司一中欧睿见混合型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15,148,479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15,148,479</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12,622,254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12,622,254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中国建设银行股份有限公司一中欧创业板 两年定期开放混合型证券投资基金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10,902,953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10,902,953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招商银行股份有限公司一泓德睿泽混合型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10,048,043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10,048,043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基本养老保险基金一二零六组合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8,509,112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8,509,112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刘冬颖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7,680,000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中国工商银行股份有限公司一银华中小盘 精选混合型证券投资基金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7,569,417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7,569,417</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上述股东中：中信银行股份有限公司一中欧睿见混合型证券投资基金、中国建设银行股份有 限公司一中欧创业板两年定期开放混合型证券投资基金同属于中欧基金管理公司。李国林和 刘冬颖与国投智能科技有限公司于2019年3月签署了部分表决权委托协议。</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、公司控股股东情况</w:t>
      </w:r>
      <w:bookmarkEnd w:id="515"/>
      <w:bookmarkEnd w:id="516"/>
      <w:bookmarkEnd w:id="518"/>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控股股东性质：中央国有控股</w:t>
      </w:r>
      <w:r>
        <w:br w:type="page"/>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282"/>
        <w:gridCol w:w="1138"/>
        <w:gridCol w:w="1133"/>
        <w:gridCol w:w="1133"/>
        <w:gridCol w:w="490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国投智能科技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2016年11月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91310115MA1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H8BT618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从事智能科技、物联网科技、计算机科技、环保科技、电子科 技、能源科技领域内的技术开发、技术咨询、技术服务、技术 转让、网络科技、网络工程、电子商务（不得从事金融业务）， 企业管理咨询，通讯建设工程施工，项目投资，投资管理，投 资咨询，企业策划，资产管理，电信业务。【依法须经批准的 项目，经相关部门批准后方可开展经营活动】</w:t>
            </w:r>
          </w:p>
        </w:tc>
      </w:tr>
      <w:tr>
        <w:trPr>
          <w:trHeight w:val="165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控股股东报告 期内控股和参 股的其他境内 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、公司实际控制人及其一致行动人</w:t>
      </w:r>
      <w:bookmarkEnd w:id="519"/>
      <w:bookmarkEnd w:id="520"/>
      <w:bookmarkEnd w:id="52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实际控制人性质：中央国资管理机构</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426"/>
        <w:gridCol w:w="1133"/>
        <w:gridCol w:w="1416"/>
        <w:gridCol w:w="994"/>
        <w:gridCol w:w="461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国家开发投资集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1995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9111000010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0017643K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经营国务院授权范围内的国有资产并开展有关投资业务； 能源、交通运输、化肥、高科技产业、金融服务、咨询、 担保、贸易、生物质能源、养老产业、大数据、医疗健康、 检验检测等领域的投资及投资管理；资产管理；经济信息 咨询；技术开发、技术服务。（企业依法自主选择经营项目， 开展经营活动；依法须经批准的项目，经相关部门批准后 依批准的内容开展经营活动；不得从事本市产业政策禁止 和限制类项目的经营活动。）</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 期内控制的其他 境内外上市公司 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实际控制及间接控制境内外其他上市公司共</w:t>
            </w:r>
            <w:r>
              <w:rPr>
                <w:rFonts w:ascii="Times New Roman" w:eastAsia="Times New Roman" w:hAnsi="Times New Roman" w:cs="Times New Roman"/>
                <w:color w:val="000000"/>
                <w:spacing w:val="0"/>
                <w:w w:val="100"/>
                <w:position w:val="0"/>
              </w:rPr>
              <w:t>8</w:t>
            </w:r>
            <w:r>
              <w:rPr>
                <w:color w:val="000000"/>
                <w:spacing w:val="0"/>
                <w:w w:val="100"/>
                <w:position w:val="0"/>
              </w:rPr>
              <w:t>家：国投电力</w:t>
            </w:r>
            <w:r>
              <w:rPr>
                <w:rFonts w:ascii="Times New Roman" w:eastAsia="Times New Roman" w:hAnsi="Times New Roman" w:cs="Times New Roman"/>
                <w:color w:val="000000"/>
                <w:spacing w:val="0"/>
                <w:w w:val="100"/>
                <w:position w:val="0"/>
              </w:rPr>
              <w:t>（600886</w:t>
            </w:r>
            <w:r>
              <w:rPr>
                <w:color w:val="000000"/>
                <w:spacing w:val="0"/>
                <w:w w:val="100"/>
                <w:position w:val="0"/>
              </w:rPr>
              <w:t>）</w:t>
            </w:r>
            <w:r>
              <w:rPr>
                <w:rFonts w:ascii="Times New Roman" w:eastAsia="Times New Roman" w:hAnsi="Times New Roman" w:cs="Times New Roman"/>
                <w:color w:val="000000"/>
                <w:spacing w:val="0"/>
                <w:w w:val="100"/>
                <w:position w:val="0"/>
              </w:rPr>
              <w:t>47.91%</w:t>
            </w:r>
            <w:r>
              <w:rPr>
                <w:color w:val="000000"/>
                <w:spacing w:val="0"/>
                <w:w w:val="100"/>
                <w:position w:val="0"/>
              </w:rPr>
              <w:t>、中成股份（</w:t>
            </w:r>
            <w:r>
              <w:rPr>
                <w:rFonts w:ascii="Times New Roman" w:eastAsia="Times New Roman" w:hAnsi="Times New Roman" w:cs="Times New Roman"/>
                <w:color w:val="000000"/>
                <w:spacing w:val="0"/>
                <w:w w:val="100"/>
                <w:position w:val="0"/>
              </w:rPr>
              <w:t>000151</w:t>
            </w:r>
            <w:r>
              <w:rPr>
                <w:color w:val="000000"/>
                <w:spacing w:val="0"/>
                <w:w w:val="100"/>
                <w:position w:val="0"/>
              </w:rPr>
              <w:t>）</w:t>
            </w:r>
            <w:r>
              <w:rPr>
                <w:rFonts w:ascii="Times New Roman" w:eastAsia="Times New Roman" w:hAnsi="Times New Roman" w:cs="Times New Roman"/>
                <w:color w:val="000000"/>
                <w:spacing w:val="0"/>
                <w:w w:val="100"/>
                <w:position w:val="0"/>
              </w:rPr>
              <w:t>45.80%</w:t>
            </w:r>
            <w:r>
              <w:rPr>
                <w:color w:val="000000"/>
                <w:spacing w:val="0"/>
                <w:w w:val="100"/>
                <w:position w:val="0"/>
              </w:rPr>
              <w:t>， 国投资本（</w:t>
            </w:r>
            <w:r>
              <w:rPr>
                <w:rFonts w:ascii="Times New Roman" w:eastAsia="Times New Roman" w:hAnsi="Times New Roman" w:cs="Times New Roman"/>
                <w:color w:val="000000"/>
                <w:spacing w:val="0"/>
                <w:w w:val="100"/>
                <w:position w:val="0"/>
              </w:rPr>
              <w:t>600061</w:t>
            </w:r>
            <w:r>
              <w:rPr>
                <w:color w:val="000000"/>
                <w:spacing w:val="0"/>
                <w:w w:val="100"/>
                <w:position w:val="0"/>
              </w:rPr>
              <w:t>）（穿透合并持股）</w:t>
            </w:r>
            <w:r>
              <w:rPr>
                <w:rFonts w:ascii="Times New Roman" w:eastAsia="Times New Roman" w:hAnsi="Times New Roman" w:cs="Times New Roman"/>
                <w:color w:val="000000"/>
                <w:spacing w:val="0"/>
                <w:w w:val="100"/>
                <w:position w:val="0"/>
              </w:rPr>
              <w:t>45.87%</w:t>
            </w:r>
            <w:r>
              <w:rPr>
                <w:color w:val="000000"/>
                <w:spacing w:val="0"/>
                <w:w w:val="100"/>
                <w:position w:val="0"/>
              </w:rPr>
              <w:t>、国投中鲁（</w:t>
            </w:r>
            <w:r>
              <w:rPr>
                <w:rFonts w:ascii="Times New Roman" w:eastAsia="Times New Roman" w:hAnsi="Times New Roman" w:cs="Times New Roman"/>
                <w:color w:val="000000"/>
                <w:spacing w:val="0"/>
                <w:w w:val="100"/>
                <w:position w:val="0"/>
              </w:rPr>
              <w:t>600962</w:t>
            </w:r>
            <w:r>
              <w:rPr>
                <w:color w:val="000000"/>
                <w:spacing w:val="0"/>
                <w:w w:val="100"/>
                <w:position w:val="0"/>
              </w:rPr>
              <w:t>）</w:t>
            </w:r>
            <w:r>
              <w:rPr>
                <w:rFonts w:ascii="Times New Roman" w:eastAsia="Times New Roman" w:hAnsi="Times New Roman" w:cs="Times New Roman"/>
                <w:color w:val="000000"/>
                <w:spacing w:val="0"/>
                <w:w w:val="100"/>
                <w:position w:val="0"/>
              </w:rPr>
              <w:t>44.57%</w:t>
            </w:r>
            <w:r>
              <w:rPr>
                <w:color w:val="000000"/>
                <w:spacing w:val="0"/>
                <w:w w:val="100"/>
                <w:position w:val="0"/>
              </w:rPr>
              <w:t>、神州高铁（</w:t>
            </w:r>
            <w:r>
              <w:rPr>
                <w:rFonts w:ascii="Times New Roman" w:eastAsia="Times New Roman" w:hAnsi="Times New Roman" w:cs="Times New Roman"/>
                <w:color w:val="000000"/>
                <w:spacing w:val="0"/>
                <w:w w:val="100"/>
                <w:position w:val="0"/>
              </w:rPr>
              <w:t>000008</w:t>
            </w:r>
            <w:r>
              <w:rPr>
                <w:color w:val="000000"/>
                <w:spacing w:val="0"/>
                <w:w w:val="100"/>
                <w:position w:val="0"/>
              </w:rPr>
              <w:t>）</w:t>
            </w:r>
            <w:r>
              <w:rPr>
                <w:rFonts w:ascii="Times New Roman" w:eastAsia="Times New Roman" w:hAnsi="Times New Roman" w:cs="Times New Roman"/>
                <w:color w:val="000000"/>
                <w:spacing w:val="0"/>
                <w:w w:val="100"/>
                <w:position w:val="0"/>
              </w:rPr>
              <w:t>25.62%</w:t>
            </w:r>
            <w:r>
              <w:rPr>
                <w:color w:val="000000"/>
                <w:spacing w:val="0"/>
                <w:w w:val="100"/>
                <w:position w:val="0"/>
              </w:rPr>
              <w:t>、 华联国际（</w:t>
            </w:r>
            <w:r>
              <w:rPr>
                <w:rFonts w:ascii="Times New Roman" w:eastAsia="Times New Roman" w:hAnsi="Times New Roman" w:cs="Times New Roman"/>
                <w:color w:val="000000"/>
                <w:spacing w:val="0"/>
                <w:w w:val="100"/>
                <w:position w:val="0"/>
              </w:rPr>
              <w:t>0969.HK）36.51%</w:t>
            </w:r>
            <w:r>
              <w:rPr>
                <w:color w:val="000000"/>
                <w:spacing w:val="0"/>
                <w:w w:val="100"/>
                <w:position w:val="0"/>
              </w:rPr>
              <w:t>、</w:t>
            </w:r>
            <w:r>
              <w:rPr>
                <w:color w:val="000000"/>
                <w:spacing w:val="0"/>
                <w:w w:val="100"/>
                <w:position w:val="0"/>
              </w:rPr>
              <w:t>中新果业</w:t>
            </w:r>
            <w:r>
              <w:rPr>
                <w:color w:val="000000"/>
                <w:spacing w:val="0"/>
                <w:w w:val="100"/>
                <w:position w:val="0"/>
              </w:rPr>
              <w:t>（</w:t>
            </w:r>
            <w:r>
              <w:rPr>
                <w:rFonts w:ascii="Times New Roman" w:eastAsia="Times New Roman" w:hAnsi="Times New Roman" w:cs="Times New Roman"/>
                <w:color w:val="000000"/>
                <w:spacing w:val="0"/>
                <w:w w:val="100"/>
                <w:position w:val="0"/>
              </w:rPr>
              <w:t>5EG</w:t>
            </w:r>
            <w:r>
              <w:rPr>
                <w:color w:val="000000"/>
                <w:spacing w:val="0"/>
                <w:w w:val="100"/>
                <w:position w:val="0"/>
              </w:rPr>
              <w:t xml:space="preserve">） </w:t>
            </w:r>
            <w:r>
              <w:rPr>
                <w:rFonts w:ascii="Times New Roman" w:eastAsia="Times New Roman" w:hAnsi="Times New Roman" w:cs="Times New Roman"/>
                <w:color w:val="000000"/>
                <w:spacing w:val="0"/>
                <w:w w:val="100"/>
                <w:position w:val="0"/>
              </w:rPr>
              <w:t>53.11%</w:t>
            </w:r>
            <w:r>
              <w:rPr>
                <w:color w:val="000000"/>
                <w:spacing w:val="0"/>
                <w:w w:val="100"/>
                <w:position w:val="0"/>
              </w:rPr>
              <w:t>、亚普股份（</w:t>
            </w:r>
            <w:r>
              <w:rPr>
                <w:rFonts w:ascii="Times New Roman" w:eastAsia="Times New Roman" w:hAnsi="Times New Roman" w:cs="Times New Roman"/>
                <w:color w:val="000000"/>
                <w:spacing w:val="0"/>
                <w:w w:val="100"/>
                <w:position w:val="0"/>
              </w:rPr>
              <w:t>603013</w:t>
            </w:r>
            <w:r>
              <w:rPr>
                <w:color w:val="000000"/>
                <w:spacing w:val="0"/>
                <w:w w:val="100"/>
                <w:position w:val="0"/>
              </w:rPr>
              <w:t>）</w:t>
            </w:r>
            <w:r>
              <w:rPr>
                <w:rFonts w:ascii="Times New Roman" w:eastAsia="Times New Roman" w:hAnsi="Times New Roman" w:cs="Times New Roman"/>
                <w:color w:val="000000"/>
                <w:spacing w:val="0"/>
                <w:w w:val="100"/>
                <w:position w:val="0"/>
              </w:rPr>
              <w:t>49.09%</w:t>
            </w: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352800" cy="237744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1"/>
                    <a:stretch/>
                  </pic:blipFill>
                  <pic:spPr>
                    <a:xfrm>
                      <a:ext cx="3352800" cy="2377440"/>
                    </a:xfrm>
                    <a:prstGeom prst="rect"/>
                  </pic:spPr>
                </pic:pic>
              </a:graphicData>
            </a:graphic>
          </wp:inline>
        </w:drawing>
      </w:r>
    </w:p>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20" w:line="497"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3"/>
      <w:bookmarkEnd w:id="524"/>
      <w:bookmarkEnd w:id="526"/>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475" w:lineRule="exact"/>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w:t>
        <w:tab/>
        <w:t>控股股东、实际控制人、重组方及其他承诺主体股份限制减持情况</w:t>
      </w:r>
      <w:bookmarkEnd w:id="527"/>
      <w:bookmarkEnd w:id="528"/>
      <w:bookmarkEnd w:id="530"/>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470" w:lineRule="exact"/>
        <w:ind w:left="0" w:right="0" w:firstLine="540"/>
        <w:jc w:val="left"/>
      </w:pPr>
      <w:bookmarkStart w:id="531" w:name="bookmark531"/>
      <w:r>
        <w:rPr>
          <w:color w:val="000000"/>
          <w:spacing w:val="0"/>
          <w:w w:val="100"/>
          <w:position w:val="0"/>
        </w:rPr>
        <w:t>1</w:t>
      </w:r>
      <w:bookmarkEnd w:id="531"/>
      <w:r>
        <w:rPr>
          <w:color w:val="000000"/>
          <w:spacing w:val="0"/>
          <w:w w:val="100"/>
          <w:position w:val="0"/>
        </w:rPr>
        <w:t>、重组方江苏税软交易对方的锁定期安排</w:t>
      </w:r>
    </w:p>
    <w:p>
      <w:pPr>
        <w:pStyle w:val="Style44"/>
        <w:keepNext w:val="0"/>
        <w:keepLines w:val="0"/>
        <w:widowControl w:val="0"/>
        <w:shd w:val="clear" w:color="auto" w:fill="auto"/>
        <w:tabs>
          <w:tab w:pos="1011" w:val="left"/>
        </w:tabs>
        <w:bidi w:val="0"/>
        <w:spacing w:before="0" w:after="0" w:line="470" w:lineRule="exact"/>
        <w:ind w:left="0" w:right="0" w:firstLine="440"/>
        <w:jc w:val="both"/>
      </w:pPr>
      <w:bookmarkStart w:id="532" w:name="bookmark532"/>
      <w:r>
        <w:rPr>
          <w:color w:val="000000"/>
          <w:spacing w:val="0"/>
          <w:w w:val="100"/>
          <w:position w:val="0"/>
        </w:rPr>
        <w:t>（</w:t>
      </w:r>
      <w:bookmarkEnd w:id="532"/>
      <w:r>
        <w:rPr>
          <w:color w:val="000000"/>
          <w:spacing w:val="0"/>
          <w:w w:val="100"/>
          <w:position w:val="0"/>
        </w:rPr>
        <w:t>1）</w:t>
        <w:tab/>
        <w:t>江苏税软交易对方通过本次交易获得的美亚柏科股份自上市公司向江苏税软交易对方发行股份 完成之日起12个月内不得转让；自该等法定限售期届满之日起，应当按照如下方式进行股份解锁：</w:t>
      </w:r>
    </w:p>
    <w:p>
      <w:pPr>
        <w:pStyle w:val="Style44"/>
        <w:keepNext w:val="0"/>
        <w:keepLines w:val="0"/>
        <w:widowControl w:val="0"/>
        <w:shd w:val="clear" w:color="auto" w:fill="auto"/>
        <w:tabs>
          <w:tab w:pos="857" w:val="left"/>
        </w:tabs>
        <w:bidi w:val="0"/>
        <w:spacing w:before="0" w:after="0" w:line="485" w:lineRule="exact"/>
        <w:ind w:left="0" w:right="0" w:firstLine="440"/>
        <w:jc w:val="both"/>
      </w:pPr>
      <w:bookmarkStart w:id="533" w:name="bookmark533"/>
      <w:r>
        <w:rPr>
          <w:color w:val="000000"/>
          <w:spacing w:val="0"/>
          <w:w w:val="100"/>
          <w:position w:val="0"/>
        </w:rPr>
        <w:t>a</w:t>
      </w:r>
      <w:bookmarkEnd w:id="533"/>
      <w:r>
        <w:rPr>
          <w:color w:val="000000"/>
          <w:spacing w:val="0"/>
          <w:w w:val="100"/>
          <w:position w:val="0"/>
        </w:rPr>
        <w:t>）</w:t>
        <w:tab/>
      </w:r>
      <w:r>
        <w:rPr>
          <w:color w:val="000000"/>
          <w:spacing w:val="0"/>
          <w:w w:val="100"/>
          <w:position w:val="0"/>
        </w:rPr>
        <w:t>自上市公司向江苏税软交易对方发行股份完成之日起12个月后至24个月内，累计可转让股票数量 不超过其在本次发行中所认购股份总数的25%；</w:t>
      </w:r>
    </w:p>
    <w:p>
      <w:pPr>
        <w:pStyle w:val="Style44"/>
        <w:keepNext w:val="0"/>
        <w:keepLines w:val="0"/>
        <w:widowControl w:val="0"/>
        <w:shd w:val="clear" w:color="auto" w:fill="auto"/>
        <w:tabs>
          <w:tab w:pos="857" w:val="left"/>
        </w:tabs>
        <w:bidi w:val="0"/>
        <w:spacing w:before="0" w:after="0" w:line="485" w:lineRule="exact"/>
        <w:ind w:left="0" w:right="0" w:firstLine="440"/>
        <w:jc w:val="both"/>
      </w:pPr>
      <w:bookmarkStart w:id="534" w:name="bookmark534"/>
      <w:r>
        <w:rPr>
          <w:color w:val="000000"/>
          <w:spacing w:val="0"/>
          <w:w w:val="100"/>
          <w:position w:val="0"/>
        </w:rPr>
        <w:t>b</w:t>
      </w:r>
      <w:bookmarkEnd w:id="534"/>
      <w:r>
        <w:rPr>
          <w:color w:val="000000"/>
          <w:spacing w:val="0"/>
          <w:w w:val="100"/>
          <w:position w:val="0"/>
        </w:rPr>
        <w:t>）</w:t>
        <w:tab/>
      </w:r>
      <w:r>
        <w:rPr>
          <w:color w:val="000000"/>
          <w:spacing w:val="0"/>
          <w:w w:val="100"/>
          <w:position w:val="0"/>
        </w:rPr>
        <w:t>自上市公司向江苏税软交易对方发行股份完成之日起12个月后至36个月内，累计可转让股票数量 不超过其在本次发行中所认购股份总数的50%；</w:t>
      </w:r>
    </w:p>
    <w:p>
      <w:pPr>
        <w:pStyle w:val="Style44"/>
        <w:keepNext w:val="0"/>
        <w:keepLines w:val="0"/>
        <w:widowControl w:val="0"/>
        <w:shd w:val="clear" w:color="auto" w:fill="auto"/>
        <w:tabs>
          <w:tab w:pos="857" w:val="left"/>
        </w:tabs>
        <w:bidi w:val="0"/>
        <w:spacing w:before="0" w:after="0" w:line="490" w:lineRule="exact"/>
        <w:ind w:left="0" w:right="0" w:firstLine="440"/>
        <w:jc w:val="both"/>
      </w:pPr>
      <w:bookmarkStart w:id="535" w:name="bookmark535"/>
      <w:r>
        <w:rPr>
          <w:color w:val="000000"/>
          <w:spacing w:val="0"/>
          <w:w w:val="100"/>
          <w:position w:val="0"/>
        </w:rPr>
        <w:t>c</w:t>
      </w:r>
      <w:bookmarkEnd w:id="535"/>
      <w:r>
        <w:rPr>
          <w:color w:val="000000"/>
          <w:spacing w:val="0"/>
          <w:w w:val="100"/>
          <w:position w:val="0"/>
        </w:rPr>
        <w:t>）</w:t>
        <w:tab/>
      </w:r>
      <w:r>
        <w:rPr>
          <w:color w:val="000000"/>
          <w:spacing w:val="0"/>
          <w:w w:val="100"/>
          <w:position w:val="0"/>
        </w:rPr>
        <w:t>自上市公司向江苏税软交易对方发行股份完成之日起36个月后，可自由转让其在本次发行中所认 购的全部股份。</w:t>
      </w:r>
    </w:p>
    <w:p>
      <w:pPr>
        <w:pStyle w:val="Style44"/>
        <w:keepNext w:val="0"/>
        <w:keepLines w:val="0"/>
        <w:widowControl w:val="0"/>
        <w:shd w:val="clear" w:color="auto" w:fill="auto"/>
        <w:tabs>
          <w:tab w:pos="1016" w:val="left"/>
        </w:tabs>
        <w:bidi w:val="0"/>
        <w:spacing w:before="0" w:after="0" w:line="475" w:lineRule="exact"/>
        <w:ind w:left="0" w:right="0" w:firstLine="440"/>
        <w:jc w:val="both"/>
      </w:pPr>
      <w:bookmarkStart w:id="536" w:name="bookmark536"/>
      <w:r>
        <w:rPr>
          <w:color w:val="000000"/>
          <w:spacing w:val="0"/>
          <w:w w:val="100"/>
          <w:position w:val="0"/>
        </w:rPr>
        <w:t>（</w:t>
      </w:r>
      <w:bookmarkEnd w:id="536"/>
      <w:r>
        <w:rPr>
          <w:color w:val="000000"/>
          <w:spacing w:val="0"/>
          <w:w w:val="100"/>
          <w:position w:val="0"/>
        </w:rPr>
        <w:t>2）</w:t>
        <w:tab/>
        <w:t>实际解锁股份数须扣除因盈利预测补偿而需由美亚柏科回购的股份数（若有）。本次交易实施 完成后，江苏税软交易对方由于美亚柏科配股、转增股本等原因增持的美亚柏科股份，亦应遵守上述股份 锁定的规定。</w:t>
      </w:r>
    </w:p>
    <w:p>
      <w:pPr>
        <w:pStyle w:val="Style44"/>
        <w:keepNext w:val="0"/>
        <w:keepLines w:val="0"/>
        <w:widowControl w:val="0"/>
        <w:shd w:val="clear" w:color="auto" w:fill="auto"/>
        <w:tabs>
          <w:tab w:pos="1016" w:val="left"/>
        </w:tabs>
        <w:bidi w:val="0"/>
        <w:spacing w:before="0" w:after="0" w:line="475" w:lineRule="exact"/>
        <w:ind w:left="0" w:right="0" w:firstLine="440"/>
        <w:jc w:val="both"/>
      </w:pPr>
      <w:bookmarkStart w:id="537" w:name="bookmark537"/>
      <w:r>
        <w:rPr>
          <w:color w:val="000000"/>
          <w:spacing w:val="0"/>
          <w:w w:val="100"/>
          <w:position w:val="0"/>
        </w:rPr>
        <w:t>（</w:t>
      </w:r>
      <w:bookmarkEnd w:id="537"/>
      <w:r>
        <w:rPr>
          <w:color w:val="000000"/>
          <w:spacing w:val="0"/>
          <w:w w:val="100"/>
          <w:position w:val="0"/>
        </w:rPr>
        <w:t>3）</w:t>
        <w:tab/>
        <w:t xml:space="preserve">任一江苏税软交易对方如在本次交易完成后担任美亚柏科董事、监事或高级管理人员的，还需 遵守上市公司章程以及《中华人民共和国公司法》、《中华人民共和国证券法》、《深圳证券交易所创业 </w:t>
      </w:r>
      <w:r>
        <w:rPr>
          <w:color w:val="000000"/>
          <w:spacing w:val="0"/>
          <w:w w:val="100"/>
          <w:position w:val="0"/>
        </w:rPr>
        <w:t>板股票上市规则》等法律、法规、规章、规范性文件有关股份有限公司及上市公司董事、监事、高级管理 人员买卖公司股票的限制性规定。</w:t>
      </w:r>
    </w:p>
    <w:p>
      <w:pPr>
        <w:pStyle w:val="Style44"/>
        <w:keepNext w:val="0"/>
        <w:keepLines w:val="0"/>
        <w:widowControl w:val="0"/>
        <w:shd w:val="clear" w:color="auto" w:fill="auto"/>
        <w:tabs>
          <w:tab w:pos="969" w:val="left"/>
        </w:tabs>
        <w:bidi w:val="0"/>
        <w:spacing w:before="0" w:after="0" w:line="472" w:lineRule="exact"/>
        <w:ind w:left="0" w:right="0" w:firstLine="440"/>
        <w:jc w:val="both"/>
      </w:pPr>
      <w:bookmarkStart w:id="538" w:name="bookmark538"/>
      <w:r>
        <w:rPr>
          <w:color w:val="000000"/>
          <w:spacing w:val="0"/>
          <w:w w:val="100"/>
          <w:position w:val="0"/>
        </w:rPr>
        <w:t>（</w:t>
      </w:r>
      <w:bookmarkEnd w:id="538"/>
      <w:r>
        <w:rPr>
          <w:color w:val="000000"/>
          <w:spacing w:val="0"/>
          <w:w w:val="100"/>
          <w:position w:val="0"/>
        </w:rPr>
        <w:t>4）</w:t>
        <w:tab/>
        <w:t>任一江苏税软交易对方，如其取得本次发行中所认购股份时，对其用于认购公司股份的资产持 续拥有权益的时间不足12个月，则其因本次交易获得的上市公司股份从本次发行完成日起36个月内不得转 让。上述所谓“持续拥有权益的时间”应为自该江苏税软交易对方取得该等江苏税软股权之日（以江苏税 软就该等交易办理完毕工商变更登记之日为准）起，至股份登记机构将本次交易中所发行的对价股份登记 于该江苏税软交易对方名下之日止的期间。</w:t>
      </w:r>
    </w:p>
    <w:p>
      <w:pPr>
        <w:pStyle w:val="Style44"/>
        <w:keepNext w:val="0"/>
        <w:keepLines w:val="0"/>
        <w:widowControl w:val="0"/>
        <w:shd w:val="clear" w:color="auto" w:fill="auto"/>
        <w:tabs>
          <w:tab w:pos="974" w:val="left"/>
        </w:tabs>
        <w:bidi w:val="0"/>
        <w:spacing w:before="0" w:after="0" w:line="472" w:lineRule="exact"/>
        <w:ind w:left="0" w:right="0" w:firstLine="440"/>
        <w:jc w:val="both"/>
      </w:pPr>
      <w:bookmarkStart w:id="539" w:name="bookmark539"/>
      <w:r>
        <w:rPr>
          <w:color w:val="000000"/>
          <w:spacing w:val="0"/>
          <w:w w:val="100"/>
          <w:position w:val="0"/>
        </w:rPr>
        <w:t>（</w:t>
      </w:r>
      <w:bookmarkEnd w:id="539"/>
      <w:r>
        <w:rPr>
          <w:color w:val="000000"/>
          <w:spacing w:val="0"/>
          <w:w w:val="100"/>
          <w:position w:val="0"/>
        </w:rPr>
        <w:t>5）</w:t>
        <w:tab/>
        <w:t>锁定期届满后，交易对方在本次发行中认购的美亚柏科股份的转让将按照届时有效的相关法律 法规、规章和深交所的规则办理。</w:t>
      </w:r>
    </w:p>
    <w:p>
      <w:pPr>
        <w:pStyle w:val="Style44"/>
        <w:keepNext w:val="0"/>
        <w:keepLines w:val="0"/>
        <w:widowControl w:val="0"/>
        <w:shd w:val="clear" w:color="auto" w:fill="auto"/>
        <w:tabs>
          <w:tab w:pos="940" w:val="left"/>
        </w:tabs>
        <w:bidi w:val="0"/>
        <w:spacing w:before="0" w:after="0" w:line="472" w:lineRule="exact"/>
        <w:ind w:left="0" w:right="0" w:firstLine="540"/>
        <w:jc w:val="both"/>
      </w:pPr>
      <w:bookmarkStart w:id="540" w:name="bookmark540"/>
      <w:r>
        <w:rPr>
          <w:color w:val="000000"/>
          <w:spacing w:val="0"/>
          <w:w w:val="100"/>
          <w:position w:val="0"/>
        </w:rPr>
        <w:t>2</w:t>
      </w:r>
      <w:bookmarkEnd w:id="540"/>
      <w:r>
        <w:rPr>
          <w:color w:val="000000"/>
          <w:spacing w:val="0"/>
          <w:w w:val="100"/>
          <w:position w:val="0"/>
        </w:rPr>
        <w:t>、</w:t>
        <w:tab/>
        <w:t>重组方新德汇交易对方的锁定期安排</w:t>
      </w:r>
    </w:p>
    <w:p>
      <w:pPr>
        <w:pStyle w:val="Style44"/>
        <w:keepNext w:val="0"/>
        <w:keepLines w:val="0"/>
        <w:widowControl w:val="0"/>
        <w:shd w:val="clear" w:color="auto" w:fill="auto"/>
        <w:tabs>
          <w:tab w:pos="1075" w:val="left"/>
        </w:tabs>
        <w:bidi w:val="0"/>
        <w:spacing w:before="0" w:after="0" w:line="472" w:lineRule="exact"/>
        <w:ind w:left="0" w:right="0" w:firstLine="540"/>
        <w:jc w:val="both"/>
      </w:pPr>
      <w:bookmarkStart w:id="541" w:name="bookmark541"/>
      <w:r>
        <w:rPr>
          <w:color w:val="000000"/>
          <w:spacing w:val="0"/>
          <w:w w:val="100"/>
          <w:position w:val="0"/>
        </w:rPr>
        <w:t>（</w:t>
      </w:r>
      <w:bookmarkEnd w:id="541"/>
      <w:r>
        <w:rPr>
          <w:color w:val="000000"/>
          <w:spacing w:val="0"/>
          <w:w w:val="100"/>
          <w:position w:val="0"/>
        </w:rPr>
        <w:t>1）</w:t>
        <w:tab/>
        <w:t>新德汇交易对方通过本次交易获得的美亚柏科股份自上市公司向新德汇交易对方发行股份完成 之日起12个月内不得转让；自该等法定限售期届满之日起，应当按照如下方式进行股份解锁：</w:t>
      </w:r>
    </w:p>
    <w:p>
      <w:pPr>
        <w:pStyle w:val="Style44"/>
        <w:keepNext w:val="0"/>
        <w:keepLines w:val="0"/>
        <w:widowControl w:val="0"/>
        <w:shd w:val="clear" w:color="auto" w:fill="auto"/>
        <w:tabs>
          <w:tab w:pos="940" w:val="left"/>
        </w:tabs>
        <w:bidi w:val="0"/>
        <w:spacing w:before="0" w:after="0" w:line="472" w:lineRule="exact"/>
        <w:ind w:left="0" w:right="0" w:firstLine="540"/>
        <w:jc w:val="both"/>
      </w:pPr>
      <w:bookmarkStart w:id="542" w:name="bookmark542"/>
      <w:r>
        <w:rPr>
          <w:color w:val="000000"/>
          <w:spacing w:val="0"/>
          <w:w w:val="100"/>
          <w:position w:val="0"/>
        </w:rPr>
        <w:t>a</w:t>
      </w:r>
      <w:bookmarkEnd w:id="542"/>
      <w:r>
        <w:rPr>
          <w:color w:val="000000"/>
          <w:spacing w:val="0"/>
          <w:w w:val="100"/>
          <w:position w:val="0"/>
        </w:rPr>
        <w:t>）</w:t>
        <w:tab/>
      </w:r>
      <w:r>
        <w:rPr>
          <w:color w:val="000000"/>
          <w:spacing w:val="0"/>
          <w:w w:val="100"/>
          <w:position w:val="0"/>
        </w:rPr>
        <w:t>自上市公司向新德汇交易对方发行股份完成之日起12个月后至24个月内，累计可转让股票数量不 超过其在本次发行中所认购股份总数的30%；</w:t>
      </w:r>
    </w:p>
    <w:p>
      <w:pPr>
        <w:pStyle w:val="Style44"/>
        <w:keepNext w:val="0"/>
        <w:keepLines w:val="0"/>
        <w:widowControl w:val="0"/>
        <w:shd w:val="clear" w:color="auto" w:fill="auto"/>
        <w:tabs>
          <w:tab w:pos="940" w:val="left"/>
        </w:tabs>
        <w:bidi w:val="0"/>
        <w:spacing w:before="0" w:after="0" w:line="472" w:lineRule="exact"/>
        <w:ind w:left="0" w:right="0" w:firstLine="540"/>
        <w:jc w:val="both"/>
      </w:pPr>
      <w:bookmarkStart w:id="543" w:name="bookmark543"/>
      <w:r>
        <w:rPr>
          <w:color w:val="000000"/>
          <w:spacing w:val="0"/>
          <w:w w:val="100"/>
          <w:position w:val="0"/>
        </w:rPr>
        <w:t>b</w:t>
      </w:r>
      <w:bookmarkEnd w:id="543"/>
      <w:r>
        <w:rPr>
          <w:color w:val="000000"/>
          <w:spacing w:val="0"/>
          <w:w w:val="100"/>
          <w:position w:val="0"/>
        </w:rPr>
        <w:t>）</w:t>
        <w:tab/>
      </w:r>
      <w:r>
        <w:rPr>
          <w:color w:val="000000"/>
          <w:spacing w:val="0"/>
          <w:w w:val="100"/>
          <w:position w:val="0"/>
        </w:rPr>
        <w:t>自上市公司向新德汇交易对方发行股份完成之日起12个月后至36个月内，累计可转让股票数量不 超过其在本次发行中所认购股份总数的60%；</w:t>
      </w:r>
    </w:p>
    <w:p>
      <w:pPr>
        <w:pStyle w:val="Style44"/>
        <w:keepNext w:val="0"/>
        <w:keepLines w:val="0"/>
        <w:widowControl w:val="0"/>
        <w:shd w:val="clear" w:color="auto" w:fill="auto"/>
        <w:tabs>
          <w:tab w:pos="940" w:val="left"/>
        </w:tabs>
        <w:bidi w:val="0"/>
        <w:spacing w:before="0" w:after="0" w:line="472" w:lineRule="exact"/>
        <w:ind w:left="0" w:right="0" w:firstLine="540"/>
        <w:jc w:val="both"/>
      </w:pPr>
      <w:bookmarkStart w:id="544" w:name="bookmark544"/>
      <w:r>
        <w:rPr>
          <w:color w:val="000000"/>
          <w:spacing w:val="0"/>
          <w:w w:val="100"/>
          <w:position w:val="0"/>
        </w:rPr>
        <w:t>c</w:t>
      </w:r>
      <w:bookmarkEnd w:id="544"/>
      <w:r>
        <w:rPr>
          <w:color w:val="000000"/>
          <w:spacing w:val="0"/>
          <w:w w:val="100"/>
          <w:position w:val="0"/>
        </w:rPr>
        <w:t>）</w:t>
        <w:tab/>
      </w:r>
      <w:r>
        <w:rPr>
          <w:color w:val="000000"/>
          <w:spacing w:val="0"/>
          <w:w w:val="100"/>
          <w:position w:val="0"/>
        </w:rPr>
        <w:t>自上市公司向新德汇交易对方发行股份完成之日起36个月后，可自由转让其在本次发行中所认购 的全部股份。</w:t>
      </w:r>
    </w:p>
    <w:p>
      <w:pPr>
        <w:pStyle w:val="Style44"/>
        <w:keepNext w:val="0"/>
        <w:keepLines w:val="0"/>
        <w:widowControl w:val="0"/>
        <w:shd w:val="clear" w:color="auto" w:fill="auto"/>
        <w:tabs>
          <w:tab w:pos="1075" w:val="left"/>
        </w:tabs>
        <w:bidi w:val="0"/>
        <w:spacing w:before="0" w:after="0" w:line="472" w:lineRule="exact"/>
        <w:ind w:left="0" w:right="0" w:firstLine="540"/>
        <w:jc w:val="both"/>
      </w:pPr>
      <w:bookmarkStart w:id="545" w:name="bookmark545"/>
      <w:r>
        <w:rPr>
          <w:color w:val="000000"/>
          <w:spacing w:val="0"/>
          <w:w w:val="100"/>
          <w:position w:val="0"/>
        </w:rPr>
        <w:t>（</w:t>
      </w:r>
      <w:bookmarkEnd w:id="545"/>
      <w:r>
        <w:rPr>
          <w:color w:val="000000"/>
          <w:spacing w:val="0"/>
          <w:w w:val="100"/>
          <w:position w:val="0"/>
        </w:rPr>
        <w:t>2）</w:t>
        <w:tab/>
        <w:t>实际解锁股份数须扣除因盈利预测补偿而需由美亚柏科回购的股份数（若有）。本次发行实施 完成后，新德汇交易对方由于美亚柏科配股、转增股本等原因增持的美亚柏科股份，亦应遵守上述股份锁 定的规定。</w:t>
      </w:r>
    </w:p>
    <w:p>
      <w:pPr>
        <w:pStyle w:val="Style44"/>
        <w:keepNext w:val="0"/>
        <w:keepLines w:val="0"/>
        <w:widowControl w:val="0"/>
        <w:shd w:val="clear" w:color="auto" w:fill="auto"/>
        <w:tabs>
          <w:tab w:pos="1080" w:val="left"/>
        </w:tabs>
        <w:bidi w:val="0"/>
        <w:spacing w:before="0" w:after="0" w:line="472" w:lineRule="exact"/>
        <w:ind w:left="0" w:right="0" w:firstLine="540"/>
        <w:jc w:val="both"/>
      </w:pPr>
      <w:bookmarkStart w:id="546" w:name="bookmark546"/>
      <w:r>
        <w:rPr>
          <w:color w:val="000000"/>
          <w:spacing w:val="0"/>
          <w:w w:val="100"/>
          <w:position w:val="0"/>
        </w:rPr>
        <w:t>（</w:t>
      </w:r>
      <w:bookmarkEnd w:id="546"/>
      <w:r>
        <w:rPr>
          <w:color w:val="000000"/>
          <w:spacing w:val="0"/>
          <w:w w:val="100"/>
          <w:position w:val="0"/>
        </w:rPr>
        <w:t>3）</w:t>
        <w:tab/>
        <w:t>任一新德汇交易对方如在本次交易完成后担任美亚柏科董事、监事或高级管理人员的，还需遵 守上市公司章程以及《中华人民共和国公司法》、《中华人民共和国证券法》、《深圳证券交易所创业板 股票上市规则》等法律、法规、规章、规范性文件有关股份有限公司及上市公司董事、监事、高级管理人 员买卖公司股票的限制性规定。</w:t>
      </w:r>
    </w:p>
    <w:p>
      <w:pPr>
        <w:pStyle w:val="Style44"/>
        <w:keepNext w:val="0"/>
        <w:keepLines w:val="0"/>
        <w:widowControl w:val="0"/>
        <w:shd w:val="clear" w:color="auto" w:fill="auto"/>
        <w:tabs>
          <w:tab w:pos="1080" w:val="left"/>
        </w:tabs>
        <w:bidi w:val="0"/>
        <w:spacing w:before="0" w:after="0" w:line="472" w:lineRule="exact"/>
        <w:ind w:left="0" w:right="0" w:firstLine="540"/>
        <w:jc w:val="both"/>
      </w:pPr>
      <w:bookmarkStart w:id="547" w:name="bookmark547"/>
      <w:r>
        <w:rPr>
          <w:color w:val="000000"/>
          <w:spacing w:val="0"/>
          <w:w w:val="100"/>
          <w:position w:val="0"/>
        </w:rPr>
        <w:t>（</w:t>
      </w:r>
      <w:bookmarkEnd w:id="547"/>
      <w:r>
        <w:rPr>
          <w:color w:val="000000"/>
          <w:spacing w:val="0"/>
          <w:w w:val="100"/>
          <w:position w:val="0"/>
        </w:rPr>
        <w:t>4）</w:t>
        <w:tab/>
        <w:t>锁定期届满后，交易对方在本次发行中认购的美亚柏科股份的转让将按照届时有效的相关法律 法规、规章和深交所的规则办理。</w:t>
      </w:r>
    </w:p>
    <w:p>
      <w:pPr>
        <w:pStyle w:val="Style44"/>
        <w:keepNext w:val="0"/>
        <w:keepLines w:val="0"/>
        <w:widowControl w:val="0"/>
        <w:shd w:val="clear" w:color="auto" w:fill="auto"/>
        <w:tabs>
          <w:tab w:pos="940" w:val="left"/>
        </w:tabs>
        <w:bidi w:val="0"/>
        <w:spacing w:before="0" w:after="0" w:line="478" w:lineRule="exact"/>
        <w:ind w:left="0" w:right="0" w:firstLine="540"/>
        <w:jc w:val="both"/>
      </w:pPr>
      <w:bookmarkStart w:id="548" w:name="bookmark548"/>
      <w:r>
        <w:rPr>
          <w:color w:val="000000"/>
          <w:spacing w:val="0"/>
          <w:w w:val="100"/>
          <w:position w:val="0"/>
        </w:rPr>
        <w:t>3</w:t>
      </w:r>
      <w:bookmarkEnd w:id="548"/>
      <w:r>
        <w:rPr>
          <w:color w:val="000000"/>
          <w:spacing w:val="0"/>
          <w:w w:val="100"/>
          <w:position w:val="0"/>
        </w:rPr>
        <w:t>、</w:t>
        <w:tab/>
        <w:t xml:space="preserve">郭永芳、滕达承诺自2019年3月29日起至《股份转让协议》生效之日起5年期限届满之日止，承诺 人减少美亚柏科的股份合计不得超过39,741,641股（占《股份转让协议》签署日美亚柏科总股本的5%（承 诺人之间的股份转移不计入减少的股份和比例），如美亚柏科以累计未分配利润派发股票红利（仅限送红 </w:t>
      </w:r>
      <w:r>
        <w:rPr>
          <w:color w:val="000000"/>
          <w:spacing w:val="0"/>
          <w:w w:val="100"/>
          <w:position w:val="0"/>
        </w:rPr>
        <w:t>股）或者以资本公积金或盈余公积金转增股本，则可转让的股份数量相应进行增加，经过增加后的可转让 股份为：承诺人持有的美亚柏科39,741,641股股份与该等股份所分得或增加持有的新增股份之和）。</w:t>
      </w:r>
    </w:p>
    <w:p>
      <w:pPr>
        <w:pStyle w:val="Style44"/>
        <w:keepNext w:val="0"/>
        <w:keepLines w:val="0"/>
        <w:widowControl w:val="0"/>
        <w:shd w:val="clear" w:color="auto" w:fill="auto"/>
        <w:bidi w:val="0"/>
        <w:spacing w:before="0" w:after="0" w:line="469" w:lineRule="exact"/>
        <w:ind w:left="0" w:right="0" w:firstLine="540"/>
        <w:jc w:val="both"/>
      </w:pPr>
      <w:bookmarkStart w:id="549" w:name="bookmark549"/>
      <w:r>
        <w:rPr>
          <w:color w:val="000000"/>
          <w:spacing w:val="0"/>
          <w:w w:val="100"/>
          <w:position w:val="0"/>
        </w:rPr>
        <w:t>4</w:t>
      </w:r>
      <w:bookmarkEnd w:id="549"/>
      <w:r>
        <w:rPr>
          <w:color w:val="000000"/>
          <w:spacing w:val="0"/>
          <w:w w:val="100"/>
          <w:position w:val="0"/>
        </w:rPr>
        <w:t>、滕达、申强、苏学武、韦玉荣、吴鸿伟、张雪峰、蔡志评、栾江霞、张乃军（以下合称“承诺人”） 承诺</w:t>
      </w:r>
    </w:p>
    <w:p>
      <w:pPr>
        <w:pStyle w:val="Style44"/>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承诺在职期间，遵守法律、行政法规和公司章程的规定，严格遵守公司内部的规章制度。承诺人已 与美亚柏科签署了《劳动合同》，并承诺自《股份转让协议》项下所约定的标的股份过户之日起三年内不 从美亚柏科离职（在美亚柏科及其子公司之间进行调动的除外）。若因特殊原因，导致无法履行上述承诺, 承诺人将与国投智能提前沟通，在违反承诺的行为发生前取得国投智能书面谅解。在取得国投智能书面谅 解后，不视为违反承诺。</w:t>
      </w:r>
    </w:p>
    <w:p>
      <w:pPr>
        <w:pStyle w:val="Style44"/>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承诺（1）在美亚柏科任职期间，不以任何形式从事或帮助他人从事与美亚柏科构成竞争关系的业务 经营活动或其他活动；（2）在从美亚柏科离职后两年内，不得直接或间接从事与美亚柏科构成竞争关系 的业务或者在与美亚柏科构成竞争关系的企业中担任职务或为其提供咨询、顾问等服务。己与美亚柏科签 署了《保密及竞业限制协议》，并将切实履行该协议项下的竞业限制义务。</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2019年3月29日至2022年3月28日期间，承诺人减少所持有的美亚柏科的股份不得超过承诺人在《股份 转让协议》项下所约定的标的股份过户之后所持有的美亚柏科股份数量的50%。</w:t>
      </w:r>
    </w:p>
    <w:p>
      <w:pPr>
        <w:pStyle w:val="Style44"/>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297" w:right="1063" w:bottom="1455" w:left="1045" w:header="0" w:footer="3" w:gutter="0"/>
          <w:cols w:space="720"/>
          <w:noEndnote/>
          <w:rtlGutter w:val="0"/>
          <w:docGrid w:linePitch="360"/>
        </w:sectPr>
      </w:pPr>
      <w:r>
        <w:rPr>
          <w:color w:val="000000"/>
          <w:spacing w:val="0"/>
          <w:w w:val="100"/>
          <w:position w:val="0"/>
        </w:rPr>
        <w:t>为进一步表明承诺人与美亚柏科共创美好未来的信心，承诺人同意，如果承诺人违反以上承诺，本人 将失去股权激励计划的资格（不包含原始股和发股收购形成的限售股），对于本人在违反承诺的行为发生 时已获授但尚未行权的股票期权和尚未解除限售的限制性股票，美亚柏科有权注销和回购注销，回购价格 为授予价格，己行权的股票期权/已解除限售的限制性股票继续有效。如因承诺人的行为给美亚柏科的经 营造成损失的，承诺人愿意依法向美亚柏科承担赔偿责任。</w:t>
      </w:r>
    </w:p>
    <w:p>
      <w:pPr>
        <w:widowControl w:val="0"/>
        <w:spacing w:line="1" w:lineRule="exact"/>
      </w:pPr>
      <w:r>
        <mc:AlternateContent>
          <mc:Choice Requires="wps">
            <w:drawing>
              <wp:anchor distT="0" distB="266700" distL="0" distR="0" simplePos="0" relativeHeight="125829398" behindDoc="0" locked="0" layoutInCell="1" allowOverlap="1">
                <wp:simplePos x="0" y="0"/>
                <wp:positionH relativeFrom="page">
                  <wp:posOffset>2691765</wp:posOffset>
                </wp:positionH>
                <wp:positionV relativeFrom="paragraph">
                  <wp:posOffset>0</wp:posOffset>
                </wp:positionV>
                <wp:extent cx="2170430" cy="243840"/>
                <wp:wrapTopAndBottom/>
                <wp:docPr id="80" name="Shape 8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50" w:name="bookmark550"/>
                            <w:bookmarkStart w:id="551" w:name="bookmark551"/>
                            <w:bookmarkStart w:id="552" w:name="bookmark552"/>
                            <w:r>
                              <w:rPr>
                                <w:color w:val="000000"/>
                                <w:spacing w:val="0"/>
                                <w:w w:val="100"/>
                                <w:position w:val="0"/>
                              </w:rPr>
                              <w:t>第七节优先股相关情况</w:t>
                            </w:r>
                            <w:bookmarkEnd w:id="550"/>
                            <w:bookmarkEnd w:id="551"/>
                            <w:bookmarkEnd w:id="552"/>
                          </w:p>
                        </w:txbxContent>
                      </wps:txbx>
                      <wps:bodyPr wrap="none" lIns="0" tIns="0" rIns="0" bIns="0">
                        <a:noAutoFit/>
                      </wps:bodyPr>
                    </wps:wsp>
                  </a:graphicData>
                </a:graphic>
              </wp:anchor>
            </w:drawing>
          </mc:Choice>
          <mc:Fallback>
            <w:pict>
              <v:shape id="_x0000_s1106" type="#_x0000_t202" style="position:absolute;margin-left:211.95000000000002pt;margin-top:0;width:170.90000000000001pt;height:19.199999999999999pt;z-index:-12582935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50" w:name="bookmark550"/>
                      <w:bookmarkStart w:id="551" w:name="bookmark551"/>
                      <w:bookmarkStart w:id="552" w:name="bookmark552"/>
                      <w:r>
                        <w:rPr>
                          <w:color w:val="000000"/>
                          <w:spacing w:val="0"/>
                          <w:w w:val="100"/>
                          <w:position w:val="0"/>
                        </w:rPr>
                        <w:t>第七节优先股相关情况</w:t>
                      </w:r>
                      <w:bookmarkEnd w:id="550"/>
                      <w:bookmarkEnd w:id="551"/>
                      <w:bookmarkEnd w:id="552"/>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bookmarkStart w:id="553" w:name="bookmark55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53"/>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69" w:right="1004" w:bottom="1969" w:left="1109"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680" w:line="240" w:lineRule="auto"/>
        <w:ind w:left="0" w:right="0" w:firstLine="0"/>
        <w:jc w:val="center"/>
      </w:pPr>
      <w:bookmarkStart w:id="554" w:name="bookmark554"/>
      <w:bookmarkStart w:id="555" w:name="bookmark555"/>
      <w:bookmarkStart w:id="556" w:name="bookmark556"/>
      <w:r>
        <w:rPr>
          <w:color w:val="000000"/>
          <w:spacing w:val="0"/>
          <w:w w:val="100"/>
          <w:position w:val="0"/>
        </w:rPr>
        <w:t>第八节可转换公司债券相关情况</w:t>
      </w:r>
      <w:bookmarkEnd w:id="554"/>
      <w:bookmarkEnd w:id="555"/>
      <w:bookmarkEnd w:id="556"/>
    </w:p>
    <w:p>
      <w:pPr>
        <w:pStyle w:val="Style29"/>
        <w:keepNext w:val="0"/>
        <w:keepLines w:val="0"/>
        <w:widowControl w:val="0"/>
        <w:shd w:val="clear" w:color="auto" w:fill="auto"/>
        <w:bidi w:val="0"/>
        <w:spacing w:before="0" w:line="240" w:lineRule="auto"/>
        <w:ind w:left="0" w:right="0" w:firstLine="0"/>
        <w:jc w:val="left"/>
      </w:pPr>
      <w:bookmarkStart w:id="557" w:name="bookmark557"/>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5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558" w:name="bookmark558"/>
      <w:bookmarkStart w:id="559" w:name="bookmark559"/>
      <w:bookmarkStart w:id="560" w:name="bookmark560"/>
      <w:r>
        <w:rPr>
          <w:color w:val="000000"/>
          <w:spacing w:val="0"/>
          <w:w w:val="100"/>
          <w:position w:val="0"/>
        </w:rPr>
        <w:t>第九节董事、监事、高级管理人员和员工情况</w:t>
      </w:r>
      <w:bookmarkEnd w:id="558"/>
      <w:bookmarkEnd w:id="559"/>
      <w:bookmarkEnd w:id="560"/>
    </w:p>
    <w:p>
      <w:pPr>
        <w:pStyle w:val="Style27"/>
        <w:keepNext/>
        <w:keepLines/>
        <w:widowControl w:val="0"/>
        <w:shd w:val="clear" w:color="auto" w:fill="auto"/>
        <w:bidi w:val="0"/>
        <w:spacing w:before="0" w:line="240" w:lineRule="auto"/>
        <w:ind w:left="0" w:right="0" w:firstLine="240"/>
        <w:jc w:val="left"/>
      </w:pPr>
      <w:bookmarkStart w:id="561" w:name="bookmark561"/>
      <w:bookmarkStart w:id="562" w:name="bookmark562"/>
      <w:bookmarkStart w:id="563" w:name="bookmark563"/>
      <w:bookmarkStart w:id="564" w:name="bookmark564"/>
      <w:r>
        <w:rPr>
          <w:color w:val="000000"/>
          <w:spacing w:val="0"/>
          <w:w w:val="100"/>
          <w:position w:val="0"/>
          <w:sz w:val="24"/>
          <w:szCs w:val="24"/>
        </w:rPr>
        <w:t>、董事、监事和高级管理人员持股变动</w:t>
      </w:r>
      <w:bookmarkEnd w:id="562"/>
      <w:bookmarkEnd w:id="563"/>
      <w:bookmarkEnd w:id="564"/>
      <w:bookmarkEnd w:id="561"/>
    </w:p>
    <w:tbl>
      <w:tblPr>
        <w:tblOverlap w:val="never"/>
        <w:jc w:val="center"/>
        <w:tblLayout w:type="fixed"/>
      </w:tblPr>
      <w:tblGrid>
        <w:gridCol w:w="806"/>
        <w:gridCol w:w="797"/>
        <w:gridCol w:w="528"/>
        <w:gridCol w:w="427"/>
        <w:gridCol w:w="422"/>
        <w:gridCol w:w="1565"/>
        <w:gridCol w:w="850"/>
        <w:gridCol w:w="989"/>
        <w:gridCol w:w="710"/>
        <w:gridCol w:w="854"/>
        <w:gridCol w:w="562"/>
        <w:gridCol w:w="107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1,940,941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1,757,400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涂峥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蒋蕊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徐从瑞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仲丽华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71,323,360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刘冬颖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1,761,680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韦玉荣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12,300,177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9,234,877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129,286,138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125,157,438</w:t>
            </w:r>
          </w:p>
        </w:tc>
      </w:tr>
    </w:tbl>
    <w:p>
      <w:pPr>
        <w:pStyle w:val="Style27"/>
        <w:keepNext/>
        <w:keepLines/>
        <w:widowControl w:val="0"/>
        <w:shd w:val="clear" w:color="auto" w:fill="auto"/>
        <w:bidi w:val="0"/>
        <w:spacing w:before="0" w:line="240" w:lineRule="auto"/>
        <w:ind w:left="0" w:right="0" w:firstLine="240"/>
        <w:jc w:val="both"/>
      </w:pPr>
      <w:bookmarkStart w:id="565" w:name="bookmark565"/>
      <w:bookmarkStart w:id="566" w:name="bookmark566"/>
      <w:bookmarkStart w:id="567" w:name="bookmark567"/>
      <w:r>
        <w:rPr>
          <w:color w:val="000000"/>
          <w:spacing w:val="0"/>
          <w:w w:val="100"/>
          <w:position w:val="0"/>
          <w:sz w:val="24"/>
          <w:szCs w:val="24"/>
        </w:rPr>
        <w:t>、公司董事、监事、高级管理人员变动情况</w:t>
      </w:r>
      <w:bookmarkEnd w:id="565"/>
      <w:bookmarkEnd w:id="566"/>
      <w:bookmarkEnd w:id="567"/>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0"/>
        <w:gridCol w:w="2390"/>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2020年05月14日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因工作调整</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both"/>
      </w:pPr>
      <w:bookmarkStart w:id="568" w:name="bookmark568"/>
      <w:bookmarkStart w:id="569" w:name="bookmark569"/>
      <w:bookmarkStart w:id="570" w:name="bookmark570"/>
      <w:r>
        <w:rPr>
          <w:color w:val="000000"/>
          <w:spacing w:val="0"/>
          <w:w w:val="100"/>
          <w:position w:val="0"/>
          <w:sz w:val="24"/>
          <w:szCs w:val="24"/>
        </w:rPr>
        <w:t>三、任职情况</w:t>
      </w:r>
      <w:bookmarkEnd w:id="568"/>
      <w:bookmarkEnd w:id="569"/>
      <w:bookmarkEnd w:id="570"/>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44"/>
        <w:keepNext w:val="0"/>
        <w:keepLines w:val="0"/>
        <w:widowControl w:val="0"/>
        <w:shd w:val="clear" w:color="auto" w:fill="auto"/>
        <w:bidi w:val="0"/>
        <w:spacing w:before="0" w:after="0" w:line="468" w:lineRule="exact"/>
        <w:ind w:left="0" w:right="0" w:firstLine="380"/>
        <w:jc w:val="both"/>
      </w:pPr>
      <w:bookmarkStart w:id="571" w:name="bookmark571"/>
      <w:r>
        <w:rPr>
          <w:b/>
          <w:bCs/>
          <w:color w:val="000000"/>
          <w:spacing w:val="0"/>
          <w:w w:val="100"/>
          <w:position w:val="0"/>
        </w:rPr>
        <w:t>1</w:t>
      </w:r>
      <w:bookmarkEnd w:id="571"/>
      <w:r>
        <w:rPr>
          <w:b/>
          <w:bCs/>
          <w:color w:val="000000"/>
          <w:spacing w:val="0"/>
          <w:w w:val="100"/>
          <w:position w:val="0"/>
        </w:rPr>
        <w:t>、第四届董事会成员</w:t>
      </w:r>
    </w:p>
    <w:p>
      <w:pPr>
        <w:pStyle w:val="Style44"/>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滕达，</w:t>
      </w:r>
      <w:r>
        <w:rPr>
          <w:color w:val="000000"/>
          <w:spacing w:val="0"/>
          <w:w w:val="100"/>
          <w:position w:val="0"/>
        </w:rPr>
        <w:t>男，1970年10月出生，中国国籍，硕士研究生学历，教授级高级工程师，无永久境外居留权。 厦门大学信息科学与技术学院兼职教授，享受国务院特殊津贴的专业技术人才，公安部刑侦局信息化专家, 中国火炬创业导师，国家“万人计划”科技创业领军人才。担任致公党中央科技委员会委员，第十二届福 建省政协委员（科技界别）、致公党福建省委经济和科技工作委员会主任、福建省青联常委，厦门市政协 常委、致公党厦门市委副主委、厦门市青联副主席等职务。1992年7月毕业于厦门大学电子工程系，1992 年8月至1999年8月任厦门必可电子有限公司工程师；1999年9月至2009年9月任厦门市美亚柏科资讯科技有 限公司总经理；2009年9月至2015年8月任公司董事、总经理；2015年8月至今任公司董事长。</w:t>
      </w:r>
    </w:p>
    <w:p>
      <w:pPr>
        <w:pStyle w:val="Style44"/>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申强</w:t>
      </w:r>
      <w:r>
        <w:rPr>
          <w:color w:val="000000"/>
          <w:spacing w:val="0"/>
          <w:w w:val="100"/>
          <w:position w:val="0"/>
        </w:rPr>
        <w:t>，男，1969年11月出生，中国国籍，无永久境外居留权。1992年毕业于西北师范大学外语系。1992 年7月至1994年4月在西北师大外事办任助理翻译；2001年10月至2006年8月任厦门市佳思科技有限公司总 经理；2006年9月至2015年8月历任公司营销中心总监、副总经理、常务副总经理；2015年8月至今任公司 董事、总经理。</w:t>
      </w:r>
    </w:p>
    <w:p>
      <w:pPr>
        <w:pStyle w:val="Style44"/>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涂峥</w:t>
      </w:r>
      <w:r>
        <w:rPr>
          <w:color w:val="000000"/>
          <w:spacing w:val="0"/>
          <w:w w:val="100"/>
          <w:position w:val="0"/>
        </w:rPr>
        <w:t>，男，1983年9月出生，中国国籍，无永久境外居留权，硕士研究生学历，2008年毕业于北京航 空航天大学经济管理学院。2008年8月至2010年2月任</w:t>
      </w:r>
      <w:r>
        <w:rPr>
          <w:color w:val="000000"/>
          <w:spacing w:val="0"/>
          <w:w w:val="100"/>
          <w:position w:val="0"/>
        </w:rPr>
        <w:t>IBM</w:t>
      </w:r>
      <w:r>
        <w:rPr>
          <w:color w:val="000000"/>
          <w:spacing w:val="0"/>
          <w:w w:val="100"/>
          <w:position w:val="0"/>
        </w:rPr>
        <w:t>公司企业咨询部咨询顾问；2010年2月至2018年5 月历任国家开发投资集团有限公司信息化管理部规划建设处副处长、战略发展部产业发展处副处长等职； 2018年5月至今任国投智能科技有限公司战略投资部总经理、中电数据服务有限公司董事；2020年7月至今 任北京国智云鼎科技有限公司董事；2019年8月至今任公司董事。</w:t>
      </w:r>
    </w:p>
    <w:p>
      <w:pPr>
        <w:pStyle w:val="Style44"/>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蒋蕊</w:t>
      </w:r>
      <w:r>
        <w:rPr>
          <w:color w:val="000000"/>
          <w:spacing w:val="0"/>
          <w:w w:val="100"/>
          <w:position w:val="0"/>
        </w:rPr>
        <w:t xml:space="preserve">，女，1972年5月出生，中国国籍，无永久境外居留权，博士研究生学历，教授级高级工程师，国 家开发投资集团有限公司工程系列评审委员会委员，1993年毕业于空军政治学院图书档案系，2010年7月 获得北京交通大学系统工程专业博士研究生学历和工学博士学位。1993年7月至2006年9月在空军装备研 究院任助理工程师、工程师、高级工程师；2006年9月至2018年1月历任国家开发投资集团有限公司总裁办 公室网络中心副主任、信息化管理部运行管理处副处长和处长等职；2018年1月至2018年12月任国投智能 科技有限公司信息技术中心总经理；2019年1月至今任国投智能科技有限公司总经理助理兼数字国投事业 </w:t>
      </w:r>
      <w:r>
        <w:rPr>
          <w:color w:val="000000"/>
          <w:spacing w:val="0"/>
          <w:w w:val="100"/>
          <w:position w:val="0"/>
        </w:rPr>
        <w:t>部总经理。曾获得国家科技进步二等奖一项，省部级科技进步奖四项。2019年8月至今任公司董事。</w:t>
      </w:r>
    </w:p>
    <w:p>
      <w:pPr>
        <w:pStyle w:val="Style44"/>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徐从瑞</w:t>
      </w:r>
      <w:r>
        <w:rPr>
          <w:color w:val="000000"/>
          <w:spacing w:val="0"/>
          <w:w w:val="100"/>
          <w:position w:val="0"/>
        </w:rPr>
        <w:t>，男，1975年10月出生，本科学历，高级会计师，无永久境外居留权。1996年7月至2016年8月 历任国投新集能源股份有限公司工新集三矿财务科长、财务中心财税科科长、财务部副部长等职，其中 2012年6月至2014年10月任国投哈密能源有限公司党委委员、财务总监；2016年8月至2018年1月历任国家 开发投资集团有限公司审计部高级业务经理、战略发展部大数据与“互联网+”专项工作小组高级业务经 理；2018年1月至2021年1月，任国投智能科技有限公司计划财务部总经理。2021年1月至今任国投健康产 业投资有限公司副总经理。2019年8月至今任公司董事。</w:t>
      </w:r>
    </w:p>
    <w:p>
      <w:pPr>
        <w:pStyle w:val="Style44"/>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丁文波</w:t>
      </w:r>
      <w:r>
        <w:rPr>
          <w:color w:val="000000"/>
          <w:spacing w:val="0"/>
          <w:w w:val="100"/>
          <w:position w:val="0"/>
        </w:rPr>
        <w:t>，男，1986年2月出生，中国国籍，无永久境外居留权，本科学历，2008年毕业于北京交通大学 经济管理学院。2008年7月至2014年8月任景华天创（北京）咨询有限责任公司实施部部门经理等职；2014 年8月至2018年1月历任国家开发投资集团有限公司信息化管理部规划建设处业务经理、国投培训与保障中 心信息化一部高级业务经理；2018年1月至2020年11月，任国投智能科技有限公司战略投资部高级投资经 理，2020年11月至2021年2月，任战略投资部副总经理。2021年3月至今，任数字国投事业部副总经理。2019 年8月至今任公司董事。</w:t>
      </w:r>
    </w:p>
    <w:p>
      <w:pPr>
        <w:pStyle w:val="Style44"/>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曲晓辉，</w:t>
      </w:r>
      <w:r>
        <w:rPr>
          <w:color w:val="000000"/>
          <w:spacing w:val="0"/>
          <w:w w:val="100"/>
          <w:position w:val="0"/>
        </w:rPr>
        <w:t>女，1954年11月出生，中国国籍，经济学博士，会计学教授，博士生导师，无永久境外居留 权。中国第一位会计学女博士和第一位会计学博士生女导师，全国会计硕士专业学位</w:t>
      </w:r>
      <w:r>
        <w:rPr>
          <w:color w:val="000000"/>
          <w:spacing w:val="0"/>
          <w:w w:val="100"/>
          <w:position w:val="0"/>
        </w:rPr>
        <w:t>（MPAcc）</w:t>
      </w:r>
      <w:r>
        <w:rPr>
          <w:color w:val="000000"/>
          <w:spacing w:val="0"/>
          <w:w w:val="100"/>
          <w:position w:val="0"/>
        </w:rPr>
        <w:t>论证发起 人。厦门大学社会科学学部委员、教授、博导；全国会计专业学位教育指导委员会顾问、教育部社会科学 委员会委员；国家社科基金项目评委。曾任厦门大学会计发展研究中心主任、厦门大学财务管理与会计研 究院院长、中兴通讯股份有限公司、泰康人寿保险股份有限公司、民太安保险公估股份有限公司、云南白 药集团股份有限公司、广州白云电器设备股份有限公司独立董事。现任哈尔滨工业大学（深圳）经济管理 学院会计学科带头人、教授、博导，兼任三棵树涂料股份有限公司、中国人民财产保险股份有限公司独立 董事。2015年8月至今任公司独立董事。</w:t>
      </w:r>
    </w:p>
    <w:p>
      <w:pPr>
        <w:pStyle w:val="Style44"/>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卢永华，</w:t>
      </w:r>
      <w:r>
        <w:rPr>
          <w:color w:val="000000"/>
          <w:spacing w:val="0"/>
          <w:w w:val="100"/>
          <w:position w:val="0"/>
        </w:rPr>
        <w:t>男，1954年12月出生，中国国籍，会计学博士，会计学教授，无永久境外居留权。1980年9 月至1984年7月，在厦门大学会计学专业就读，获学士学位；1984年7月厦门大学会计系毕业留校后一直从 事会计教学、科研工作；期间于1992年7月获得厦门大学会计系硕士学位；2002年6月获厦门大学管理学（会 计学）博士学位。历任厦门大学会计系助教、厦门大学会计系讲师、厦门大学会计系副教授、厦门大学会 计系党总支副书记、厦门大学会计系副主任。卢永华先生现兼任厦门东昂光电科技股份有限公司、福建龙 溪轴承（集团）股份有限公司、舒华体育股份有限公司、吉比特网络技术股份有限公司的独立董事。2015年 8月起至今任公司独立董事。</w:t>
      </w:r>
    </w:p>
    <w:p>
      <w:pPr>
        <w:pStyle w:val="Style44"/>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rPr>
        <w:t>蔡志平，</w:t>
      </w:r>
      <w:r>
        <w:rPr>
          <w:color w:val="000000"/>
          <w:spacing w:val="0"/>
          <w:w w:val="100"/>
          <w:position w:val="0"/>
        </w:rPr>
        <w:t xml:space="preserve">男，1965年2月出生，中国国籍，博士，教授，无永久境外居留权。1985年毕业于厦门大 学物理系半导体物理与器件专业，先后于1987年和1989年在法国尼斯大学物理系获硕士、博士学位，从事 </w:t>
      </w:r>
      <w:r>
        <w:rPr>
          <w:color w:val="000000"/>
          <w:spacing w:val="0"/>
          <w:w w:val="100"/>
          <w:position w:val="0"/>
        </w:rPr>
        <w:t>稀土掺杂光纤线性与非线性光学性质研究。1989年回厦门大学物理系任教，2004年5月起至今任厦门大学 计算机与信息工程学院电子工程系主任、学院教授委员会副主任、电子工程系教授委员会主任。现兼任中 国光学学会纤维光学与集成光学专业委员会委员，教育部电子科学与技术教学指导分委会委员。2016年3 月至今任公司独立董事。</w:t>
      </w:r>
    </w:p>
    <w:p>
      <w:pPr>
        <w:pStyle w:val="Style44"/>
        <w:keepNext w:val="0"/>
        <w:keepLines w:val="0"/>
        <w:widowControl w:val="0"/>
        <w:shd w:val="clear" w:color="auto" w:fill="auto"/>
        <w:tabs>
          <w:tab w:pos="820" w:val="left"/>
        </w:tabs>
        <w:bidi w:val="0"/>
        <w:spacing w:before="0" w:after="0" w:line="468" w:lineRule="exact"/>
        <w:ind w:left="0" w:right="0" w:firstLine="500"/>
        <w:jc w:val="both"/>
      </w:pPr>
      <w:bookmarkStart w:id="572" w:name="bookmark572"/>
      <w:r>
        <w:rPr>
          <w:b/>
          <w:bCs/>
          <w:color w:val="000000"/>
          <w:spacing w:val="0"/>
          <w:w w:val="100"/>
          <w:position w:val="0"/>
        </w:rPr>
        <w:t>2</w:t>
      </w:r>
      <w:bookmarkEnd w:id="572"/>
      <w:r>
        <w:rPr>
          <w:b/>
          <w:bCs/>
          <w:color w:val="000000"/>
          <w:spacing w:val="0"/>
          <w:w w:val="100"/>
          <w:position w:val="0"/>
        </w:rPr>
        <w:t>、</w:t>
        <w:tab/>
        <w:t>第四届监事会成员</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仲丽华，</w:t>
      </w:r>
      <w:r>
        <w:rPr>
          <w:color w:val="000000"/>
          <w:spacing w:val="0"/>
          <w:w w:val="100"/>
          <w:position w:val="0"/>
        </w:rPr>
        <w:t>女，1976年5月出生，中国国籍，硕士研究生学历，毕业于厦门大学，无永久境外居留权。 2007年4月至今，历任公司中证研究所网络维权部副经理、经理、数字法律服务中心副总监，总监。2011 年4月至今任公司监事会职工代表监事、监事会主席。</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李国林，</w:t>
      </w:r>
      <w:r>
        <w:rPr>
          <w:color w:val="000000"/>
          <w:spacing w:val="0"/>
          <w:w w:val="100"/>
          <w:position w:val="0"/>
        </w:rPr>
        <w:t>男，1968年7月出生，中国国籍，无永久境外居留权。2000年至今任美亚长城传媒（北京） 有限公司执行董事；2009年9月至2019年8月任公司董事，2019年8月至今任公司监事会非职工代表监事。</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刘冬颖，</w:t>
      </w:r>
      <w:r>
        <w:rPr>
          <w:color w:val="000000"/>
          <w:spacing w:val="0"/>
          <w:w w:val="100"/>
          <w:position w:val="0"/>
        </w:rPr>
        <w:t>女，1976年11出生，中国国籍，硕士学历，无永久境外居留权。2000年至2001年就职于厦门 天健会计师事务所有限公司从事审计工作；2001年至2007年就职于厦门</w:t>
      </w:r>
      <w:r>
        <w:rPr>
          <w:color w:val="000000"/>
          <w:spacing w:val="0"/>
          <w:w w:val="100"/>
          <w:position w:val="0"/>
        </w:rPr>
        <w:t>ABB</w:t>
      </w:r>
      <w:r>
        <w:rPr>
          <w:color w:val="000000"/>
          <w:spacing w:val="0"/>
          <w:w w:val="100"/>
          <w:position w:val="0"/>
        </w:rPr>
        <w:t>低压电器设备有限公司财务部 从事财务管理工作；2007年至2010年就职于厦门稻香村贸易有限公司任职财务总监；2010年至2015年就职 于厦门美亚绿化研究所任职财务总监；2013年至2015年就职于厦门刘老师空中花果园有限公司任职财务总 监。2015年8月至今任公司监事会非职工代表监事。</w:t>
      </w:r>
    </w:p>
    <w:p>
      <w:pPr>
        <w:pStyle w:val="Style44"/>
        <w:keepNext w:val="0"/>
        <w:keepLines w:val="0"/>
        <w:widowControl w:val="0"/>
        <w:shd w:val="clear" w:color="auto" w:fill="auto"/>
        <w:tabs>
          <w:tab w:pos="784" w:val="left"/>
        </w:tabs>
        <w:bidi w:val="0"/>
        <w:spacing w:before="0" w:after="0" w:line="468" w:lineRule="exact"/>
        <w:ind w:left="0" w:right="0" w:firstLine="440"/>
        <w:jc w:val="both"/>
      </w:pPr>
      <w:bookmarkStart w:id="573" w:name="bookmark573"/>
      <w:r>
        <w:rPr>
          <w:b/>
          <w:bCs/>
          <w:color w:val="000000"/>
          <w:spacing w:val="0"/>
          <w:w w:val="100"/>
          <w:position w:val="0"/>
        </w:rPr>
        <w:t>3</w:t>
      </w:r>
      <w:bookmarkEnd w:id="573"/>
      <w:r>
        <w:rPr>
          <w:b/>
          <w:bCs/>
          <w:color w:val="000000"/>
          <w:spacing w:val="0"/>
          <w:w w:val="100"/>
          <w:position w:val="0"/>
        </w:rPr>
        <w:t>、</w:t>
        <w:tab/>
        <w:t>高级管理人员</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申强</w:t>
      </w:r>
      <w:r>
        <w:rPr>
          <w:color w:val="000000"/>
          <w:spacing w:val="0"/>
          <w:w w:val="100"/>
          <w:position w:val="0"/>
        </w:rPr>
        <w:t>，详见“董事任职情况”。</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吴鸿伟</w:t>
      </w:r>
      <w:r>
        <w:rPr>
          <w:color w:val="000000"/>
          <w:spacing w:val="0"/>
          <w:w w:val="100"/>
          <w:position w:val="0"/>
        </w:rPr>
        <w:t>，男，1976年11月出生，中国国籍，研究生学历、系统分析员，无永久境外居留权。2004年毕 业于厦门大学系统工程专业。2004至今，历任公司技术总监、副总经理。2009年9月至今任公司副总经理。</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张雪峰</w:t>
      </w:r>
      <w:r>
        <w:rPr>
          <w:color w:val="000000"/>
          <w:spacing w:val="0"/>
          <w:w w:val="100"/>
          <w:position w:val="0"/>
        </w:rPr>
        <w:t>，男，1974年3月出生，中国国籍，本科学历，无永久境外居留权。1997年至2002年，历任厦 门智业软件公司项目经理与销售副总经理；2002年至今，历任公司硬件研制中心总监、副总经理。2009年 9月至2020年5月14日任公司副总经理。</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栾江霞</w:t>
      </w:r>
      <w:r>
        <w:rPr>
          <w:color w:val="000000"/>
          <w:spacing w:val="0"/>
          <w:w w:val="100"/>
          <w:position w:val="0"/>
        </w:rPr>
        <w:t>，女，1974年1月出生，中国国籍、工程师、研究生学历、毕业于浙江大学，无永久境外居留 权。2000年4月至2008年10月，任厦门雅迅网络股份有限公司技管办主任；2008年11月至2011年4月，任公 司拓展中心总监。2011年4月至今任公司副总经理。</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葛鹏</w:t>
      </w:r>
      <w:r>
        <w:rPr>
          <w:color w:val="000000"/>
          <w:spacing w:val="0"/>
          <w:w w:val="100"/>
          <w:position w:val="0"/>
        </w:rPr>
        <w:t>，男，1968年7月出生，中国国籍，大专学历，无永久境外居留权。1991年毕业于北京邮电大学 无线电工程系；1991年7月至1998年7月任中国民用航空局工程师；1998年8月至2013年6月，任北京鼎永泰 克科技有限公司总经理；2013年6月至今任香港鼎永泰克科技有限公司总经理；2013年6月至2015年8月任 公司刑检事业部总经理；2015年8月至今任公司副总经理。</w:t>
      </w:r>
    </w:p>
    <w:p>
      <w:pPr>
        <w:pStyle w:val="Style44"/>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周成祖</w:t>
      </w:r>
      <w:r>
        <w:rPr>
          <w:color w:val="000000"/>
          <w:spacing w:val="0"/>
          <w:w w:val="100"/>
          <w:position w:val="0"/>
        </w:rPr>
        <w:t xml:space="preserve">，男，1983年11月出生，中国国籍，研究生学历，无永久境外居留权。2008年毕业于比利时鲁 </w:t>
      </w:r>
      <w:r>
        <w:rPr>
          <w:color w:val="000000"/>
          <w:spacing w:val="0"/>
          <w:w w:val="100"/>
          <w:position w:val="0"/>
        </w:rPr>
        <w:t>汶理工学院（现比利时鲁汶大学</w:t>
      </w:r>
      <w:r>
        <w:rPr>
          <w:color w:val="000000"/>
          <w:spacing w:val="0"/>
          <w:w w:val="100"/>
          <w:position w:val="0"/>
        </w:rPr>
        <w:t>GroupT</w:t>
      </w:r>
      <w:r>
        <w:rPr>
          <w:color w:val="000000"/>
          <w:spacing w:val="0"/>
          <w:w w:val="100"/>
          <w:position w:val="0"/>
        </w:rPr>
        <w:t>学院）</w:t>
      </w:r>
      <w:r>
        <w:rPr>
          <w:color w:val="000000"/>
          <w:spacing w:val="0"/>
          <w:w w:val="100"/>
          <w:position w:val="0"/>
        </w:rPr>
        <w:t>E-Media</w:t>
      </w:r>
      <w:r>
        <w:rPr>
          <w:color w:val="000000"/>
          <w:spacing w:val="0"/>
          <w:w w:val="100"/>
          <w:position w:val="0"/>
        </w:rPr>
        <w:t>专业和北京交通大学软件工程专业。2010年至今， 历任公司项目管理部经理、总监、第一研究院副院长；2017年3月至今任公司副总经理。</w:t>
      </w:r>
    </w:p>
    <w:p>
      <w:pPr>
        <w:pStyle w:val="Style44"/>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蔡志评</w:t>
      </w:r>
      <w:r>
        <w:rPr>
          <w:color w:val="000000"/>
          <w:spacing w:val="0"/>
          <w:w w:val="100"/>
          <w:position w:val="0"/>
        </w:rPr>
        <w:t>，男，1974年4月出生，中国国籍，毕业于武汉大学电子学与信息系统专业，为厦门大学</w:t>
      </w:r>
      <w:r>
        <w:rPr>
          <w:color w:val="000000"/>
          <w:spacing w:val="0"/>
          <w:w w:val="100"/>
          <w:position w:val="0"/>
        </w:rPr>
        <w:t>MBA</w:t>
      </w:r>
      <w:r>
        <w:rPr>
          <w:color w:val="000000"/>
          <w:spacing w:val="0"/>
          <w:w w:val="100"/>
          <w:position w:val="0"/>
        </w:rPr>
        <w:t>和 资本运营总裁班学员，无永久境外居留权。1997年7月至1999年5月在厦门邮电纵横和移动分公司担任工程 师；1999年5月至2003年3月在华为技术有限公司担任高级工程师；2003年3月至2011年9月在东南融通（中 国）系统工程有限公司先后担任质量管理部经理和并购整合高级经理等职务；2011年9月至2017年6月历任 公司投资部经理、投资中心总监；2017年6月至今任公司副总经理、董事会秘书，兼任人力中心、行政中 心总监。已于2017年6月取得深交所颁发的董事会秘书资格证。</w:t>
      </w:r>
    </w:p>
    <w:p>
      <w:pPr>
        <w:pStyle w:val="Style44"/>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张乃军</w:t>
      </w:r>
      <w:r>
        <w:rPr>
          <w:color w:val="000000"/>
          <w:spacing w:val="0"/>
          <w:w w:val="100"/>
          <w:position w:val="0"/>
        </w:rPr>
        <w:t>，男，1971年4月出生，中国国籍，研究生学历，高级会计师，无永久境外居留权。1993年至 2000年任厦门物资集团公司出纳、会计、主办会计；2000年至2003年任厦门外商投资企业物资公司财务经 理；2003年至2005年任厦门银池资产管理有限公司财务经理；2005年至2007年任厦门新世基集团财务经理； 2009年9月至今任公司财务总监。</w:t>
      </w:r>
    </w:p>
    <w:p>
      <w:pPr>
        <w:pStyle w:val="Style44"/>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苏学武</w:t>
      </w:r>
      <w:r>
        <w:rPr>
          <w:color w:val="000000"/>
          <w:spacing w:val="0"/>
          <w:w w:val="100"/>
          <w:position w:val="0"/>
        </w:rPr>
        <w:t>，男，1970年4月出生，中国国籍，无永久境外居留权。1992年毕业于贵州大学数学系；1992 年至1995年任中国建筑第四工程局公司工程师；1995年5月至1995年9月任珠海市经济特区新德汇企业有限 公司市场经理；1995年9月至2013年8月，任珠海市新德汇信息技术有限公司董事长兼总经理；2013年8月 至今，任公司全资子公司珠海市新德汇信息技术有限公司董事长。2016年5月至2019年8月任公司董事。2019 年8月至今任公司副总经理。</w:t>
      </w:r>
    </w:p>
    <w:p>
      <w:pPr>
        <w:pStyle w:val="Style44"/>
        <w:keepNext w:val="0"/>
        <w:keepLines w:val="0"/>
        <w:widowControl w:val="0"/>
        <w:shd w:val="clear" w:color="auto" w:fill="auto"/>
        <w:bidi w:val="0"/>
        <w:spacing w:before="0" w:after="240" w:line="469" w:lineRule="exact"/>
        <w:ind w:left="0" w:right="0" w:firstLine="440"/>
        <w:jc w:val="left"/>
      </w:pPr>
      <w:r>
        <w:rPr>
          <w:b/>
          <w:bCs/>
          <w:color w:val="000000"/>
          <w:spacing w:val="0"/>
          <w:w w:val="100"/>
          <w:position w:val="0"/>
        </w:rPr>
        <w:t>韦玉荣</w:t>
      </w:r>
      <w:r>
        <w:rPr>
          <w:color w:val="000000"/>
          <w:spacing w:val="0"/>
          <w:w w:val="100"/>
          <w:position w:val="0"/>
        </w:rPr>
        <w:t>，男，1972年6月出生，中国国籍，无永久境外居留权。1994年毕业于哈尔滨理工大学电算化 专业。1994年9月至1996年10月任无锡二橡胶股份有限公司会计；1996年11月至1999年4月任无锡市旭日科 技有限公司总经理；1999年7月至2000年10月任金蝶国际软件集团有限公司无锡分公司市场经理；2001年1 月至2002年2月任无锡市启元科技有限公司市场经理；2002年4月至2011年12月任无锡市奇星软件科技有限 公司总经理；2011年11月至今任公司全资子公司江苏税软软件科技有限公司董事、总经理。2016年5月至 2019年8月任公司董事。2019年8月至今任公司副总经理。</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1982"/>
        <w:gridCol w:w="2126"/>
        <w:gridCol w:w="1699"/>
        <w:gridCol w:w="1560"/>
        <w:gridCol w:w="135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在股东单位担任的职务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总经理助理兼数字国投事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徐从瑞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计划财务部总经理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9"/>
        <w:gridCol w:w="1982"/>
        <w:gridCol w:w="2126"/>
        <w:gridCol w:w="1699"/>
        <w:gridCol w:w="1560"/>
        <w:gridCol w:w="13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数字国投事业部副总经理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国投智能科技有限公司为公司控股股东</w:t>
            </w:r>
          </w:p>
        </w:tc>
      </w:tr>
    </w:tbl>
    <w:p>
      <w:pPr>
        <w:pStyle w:val="Style29"/>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3403"/>
        <w:gridCol w:w="1344"/>
        <w:gridCol w:w="1493"/>
        <w:gridCol w:w="1555"/>
        <w:gridCol w:w="107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北京柏科汇银信息技术有限公司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厦门市柏科汇银信息技术有限公司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厦门美亚国科信息技术有限公司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r>
              <w:rPr>
                <w:color w:val="000000"/>
                <w:spacing w:val="0"/>
                <w:w w:val="100"/>
                <w:position w:val="0"/>
              </w:rPr>
              <w:t>，</w:t>
            </w: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厦门市网游网络科技开发有限公司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北京美亚柏科网络安全科技有限公司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厦门美亚亿安信息科技有限公司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福建美亚榕安科技有限公司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北京美亚柏科网络安全科技有限公司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厦门美银智投科技有限公司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403"/>
        <w:gridCol w:w="1344"/>
        <w:gridCol w:w="1493"/>
        <w:gridCol w:w="1555"/>
        <w:gridCol w:w="107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厦门大学电子工程系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厦门大学会计系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福建龙溪轴承（集团）股份有限公司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舒华体育股份有限公司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吉比特网络技术股份有限公司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厦门东昂光电科技股份有限公司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厦门大学会计系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三棵树涂料股份有限公司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青岛双星股份有限公司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仲丽华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美亚长城传媒（北京）有限公司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广州东岸影业发展有限公司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德银（厦门）网络科技股份有限公司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美亚文娱影院（上海）有限公司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美亚影城（天津）有限公司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r>
              <w:rPr>
                <w:color w:val="000000"/>
                <w:spacing w:val="0"/>
                <w:w w:val="100"/>
                <w:position w:val="0"/>
              </w:rPr>
              <w:t>，</w:t>
            </w: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北京美亚华天下电影发行有限公司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大连北方保利建筑工程管理有限公司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福建省华为能源科技有限公司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福建天德湖投资有限公司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北京美亚柏科网络安全科技有限公司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常熟柏科特种车辆有限公司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珠海众寻科技信息交流中心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珠海市新德汇信息技术有限公司广州分公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珠海市卡博海特化工有限公司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韦玉荣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无锡奇星资产管理有限公司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韦玉荣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403"/>
        <w:gridCol w:w="1344"/>
        <w:gridCol w:w="1493"/>
        <w:gridCol w:w="1555"/>
        <w:gridCol w:w="107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香港鼎永泰克科技有限公司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厦门美亚商鼎信息科技有限公司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常熟柏科特种车辆有限公司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云南美亚信安信息技术有限公司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中检美亚（北京）科技有限公司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中检美亚（厦门）科技有限公司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福建美亚榕安科技有限公司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北京国信宏数科技有限责任公司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厦门本思信息服务有限公司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厦门安胜网络科技有限公司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厦门安胜网络科技有限公司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北京美亚柏科网络安全科技有限公司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厦门美亚天信会议服务有限公司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厦门美银智投科技有限公司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执行董事兼总经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沈阳城市公共安全科技有限公司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周成祖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厦门安胜网络科技有限公司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四</w:t>
      </w:r>
      <w:bookmarkEnd w:id="576"/>
      <w:r>
        <w:rPr>
          <w:color w:val="000000"/>
          <w:spacing w:val="0"/>
          <w:w w:val="100"/>
          <w:position w:val="0"/>
          <w:sz w:val="24"/>
          <w:szCs w:val="24"/>
        </w:rPr>
        <w:t>、董事、监事、高级管理人员报酬情况</w:t>
      </w:r>
      <w:bookmarkEnd w:id="574"/>
      <w:bookmarkEnd w:id="575"/>
      <w:bookmarkEnd w:id="57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董事、监事、高级管理人员报酬的决策程序：公司独立董事、外部董事和非职工监事依据公司《董事、 监事津贴制度》领取津贴，津贴额度由股东大会审批决定；公司内部董事和职工监事依据公司《董事、监 事薪酬管理制度》领取薪酬，该制度由股东大会审批决定；公司高级管理人员依据公司《高管薪酬管理制 度》领取薪酬，该制度由董事会审批决定。</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董事、监事、高级管理人员报酬确定依据：公司独立董事、外部董事和非职工监事领取津贴额度由股</w:t>
        <w:br w:type="page"/>
      </w:r>
      <w:r>
        <w:rPr>
          <w:color w:val="000000"/>
          <w:spacing w:val="0"/>
          <w:w w:val="100"/>
          <w:position w:val="0"/>
        </w:rPr>
        <w:t>东大会审批决定；公司内部董事、职工监事和高级管理人员薪酬包含基本薪酬和绩效薪酬两部分，基本薪 酬依据岗位级别按月发放，绩效薪酬依据年度目标完成情况由董事会薪酬与考核委员会进行考核评定。</w:t>
      </w:r>
    </w:p>
    <w:p>
      <w:pPr>
        <w:pStyle w:val="Style44"/>
        <w:keepNext w:val="0"/>
        <w:keepLines w:val="0"/>
        <w:widowControl w:val="0"/>
        <w:shd w:val="clear" w:color="auto" w:fill="auto"/>
        <w:bidi w:val="0"/>
        <w:spacing w:before="0" w:after="0" w:line="456" w:lineRule="exact"/>
        <w:ind w:left="0" w:right="0" w:firstLine="440"/>
        <w:jc w:val="left"/>
      </w:pPr>
      <w:r>
        <w:rPr>
          <w:color w:val="000000"/>
          <w:spacing w:val="0"/>
          <w:w w:val="100"/>
          <w:position w:val="0"/>
        </w:rPr>
        <w:t>董事、监事和高级管理人员报酬的实际支付情况：报告期内在公司领取报酬的董事、监事、高级管理 人员共15人，2020年度实际支付</w:t>
      </w:r>
      <w:r>
        <w:rPr>
          <w:color w:val="000000"/>
          <w:spacing w:val="0"/>
          <w:w w:val="100"/>
          <w:position w:val="0"/>
        </w:rPr>
        <w:t>1006.16</w:t>
      </w:r>
      <w:r>
        <w:rPr>
          <w:color w:val="000000"/>
          <w:spacing w:val="0"/>
          <w:w w:val="100"/>
          <w:position w:val="0"/>
        </w:rPr>
        <w:t>万元。</w:t>
      </w:r>
    </w:p>
    <w:p>
      <w:pPr>
        <w:pStyle w:val="Style29"/>
        <w:keepNext w:val="0"/>
        <w:keepLines w:val="0"/>
        <w:widowControl w:val="0"/>
        <w:shd w:val="clear" w:color="auto" w:fill="auto"/>
        <w:bidi w:val="0"/>
        <w:spacing w:before="0" w:after="100" w:line="456" w:lineRule="exact"/>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1838"/>
        <w:gridCol w:w="710"/>
        <w:gridCol w:w="710"/>
        <w:gridCol w:w="2126"/>
        <w:gridCol w:w="1277"/>
        <w:gridCol w:w="178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是否在公司关联方获 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涂峥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蒋蕊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徐从瑞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丁文波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蔡志平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仲丽华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刘冬颖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葛鹏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周成祖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蔡志评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韦玉荣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1,006.16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五</w:t>
      </w:r>
      <w:bookmarkEnd w:id="580"/>
      <w:r>
        <w:rPr>
          <w:color w:val="000000"/>
          <w:spacing w:val="0"/>
          <w:w w:val="100"/>
          <w:position w:val="0"/>
          <w:sz w:val="24"/>
          <w:szCs w:val="24"/>
        </w:rPr>
        <w:t>、公司员工情况</w:t>
      </w:r>
      <w:bookmarkEnd w:id="578"/>
      <w:bookmarkEnd w:id="579"/>
      <w:bookmarkEnd w:id="581"/>
    </w:p>
    <w:p>
      <w:pPr>
        <w:pStyle w:val="Style32"/>
        <w:keepNext/>
        <w:keepLines/>
        <w:widowControl w:val="0"/>
        <w:shd w:val="clear" w:color="auto" w:fill="auto"/>
        <w:bidi w:val="0"/>
        <w:spacing w:before="0" w:after="32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、员工数量、专业构成及教育程度</w:t>
      </w:r>
      <w:bookmarkEnd w:id="582"/>
      <w:bookmarkEnd w:id="583"/>
      <w:bookmarkEnd w:id="58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2,203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2,522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3,745</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3,745</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586" w:name="bookmark58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86"/>
    </w:p>
    <w:p>
      <w:pPr>
        <w:widowControl w:val="0"/>
        <w:spacing w:after="179" w:line="1" w:lineRule="exact"/>
      </w:pPr>
    </w:p>
    <w:p>
      <w:pPr>
        <w:pStyle w:val="Style44"/>
        <w:keepNext w:val="0"/>
        <w:keepLines w:val="0"/>
        <w:widowControl w:val="0"/>
        <w:shd w:val="clear" w:color="auto" w:fill="auto"/>
        <w:bidi w:val="0"/>
        <w:spacing w:before="0" w:after="320" w:line="466" w:lineRule="exact"/>
        <w:ind w:left="0" w:right="0" w:firstLine="440"/>
        <w:jc w:val="both"/>
      </w:pPr>
      <w:bookmarkStart w:id="587" w:name="bookmark587"/>
      <w:r>
        <w:rPr>
          <w:color w:val="000000"/>
          <w:spacing w:val="0"/>
          <w:w w:val="100"/>
          <w:position w:val="0"/>
        </w:rPr>
        <w:t>公</w:t>
      </w:r>
      <w:bookmarkEnd w:id="587"/>
      <w:r>
        <w:rPr>
          <w:color w:val="000000"/>
          <w:spacing w:val="0"/>
          <w:w w:val="100"/>
          <w:position w:val="0"/>
        </w:rPr>
        <w:t>司按照《中华人民共和国劳动合同法》和国家及地方其他有关劳动法律、法规的规定，与员工签订 劳动合同，公司严格执行国家相关劳动用工和社会保障规章制度，按照国家规定为员工缴纳社会保险和公 积金，缴交补偿商业保险。公司为有效稳定及激励有成长和有突出价值贡献的员工，实施“全面薪酬包”， 保持良好的薪酬环境。为保持员工全面薪酬收入高于市场的平均水平，公司参照市场行业水平，实施公平 的绩效考核机制，每年调整员工薪资幅度，为员工提供有竞争力的薪资报酬。202。年，公司职工薪酬总额 为</w:t>
      </w:r>
      <w:r>
        <w:rPr>
          <w:color w:val="000000"/>
          <w:spacing w:val="0"/>
          <w:w w:val="100"/>
          <w:position w:val="0"/>
        </w:rPr>
        <w:t>73,164.43</w:t>
      </w:r>
      <w:r>
        <w:rPr>
          <w:color w:val="000000"/>
          <w:spacing w:val="0"/>
          <w:w w:val="100"/>
          <w:position w:val="0"/>
        </w:rPr>
        <w:t>万元，其中计入营业成本的金额为</w:t>
      </w:r>
      <w:r>
        <w:rPr>
          <w:color w:val="000000"/>
          <w:spacing w:val="0"/>
          <w:w w:val="100"/>
          <w:position w:val="0"/>
        </w:rPr>
        <w:t>3,220.48</w:t>
      </w:r>
      <w:r>
        <w:rPr>
          <w:color w:val="000000"/>
          <w:spacing w:val="0"/>
          <w:w w:val="100"/>
          <w:position w:val="0"/>
        </w:rPr>
        <w:t>万元，占公司成本总额的3.18%。公司核心技术人 员共计1,126人，占公司员工人数的30.07%，核心技术人员薪酬占比公司薪酬总额39.13%。</w:t>
      </w:r>
    </w:p>
    <w:p>
      <w:pPr>
        <w:pStyle w:val="Style32"/>
        <w:keepNext/>
        <w:keepLines/>
        <w:widowControl w:val="0"/>
        <w:shd w:val="clear" w:color="auto" w:fill="auto"/>
        <w:tabs>
          <w:tab w:pos="319" w:val="left"/>
        </w:tabs>
        <w:bidi w:val="0"/>
        <w:spacing w:before="0" w:after="220" w:line="468" w:lineRule="exact"/>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培训计划</w:t>
      </w:r>
      <w:bookmarkEnd w:id="588"/>
      <w:bookmarkEnd w:id="589"/>
      <w:bookmarkEnd w:id="591"/>
    </w:p>
    <w:p>
      <w:pPr>
        <w:pStyle w:val="Style4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公司十分注重员工培训和职业规划，促进公司“学习型组织”的文化建设，公司成立了美亚干校。美 亚干校通过组织培训，加强员工对于企业文化、价值观的认同感，增强企业凝聚力。每年美亚干校针对不 同的岗位、职能需求制定年度培训计划。针对入职新人，开展“科班生”集训营，集训内容包括企业文化 培训、保密培训及公司产品讲解和工作环境参观等一系列全方位培训课程。针对应届毕业生，公司推出了 “金种子培训班”计划，表现优秀的学员可以留在公司任职。针对员工技能提升，公司通过线上“美亚强 国”、“美亚美课”及聘请外部专家讲师等方式，快速提升员工工作技能，帮助员工成长。针对公司中高 层干部，公司举办经理培训班、翔鹰计划培养中高层人员的战略思维和战略执行能力，学习战略设计及执 行的流程方法，更好地规划公司战略落地。公司会不定期开展美亚柏科智慧大讲堂，邀请公司副总级领导 担任每期主讲人，跟员工一起分享工作、生活，以及学习方面的经验和感悟，加强管理层与员工之间的沟 通交流。培训方式包括线上学习平台“美亚强国”、“美亚美课”和线下实战实操培训方式等。</w:t>
      </w:r>
    </w:p>
    <w:p>
      <w:pPr>
        <w:pStyle w:val="Style32"/>
        <w:keepNext/>
        <w:keepLines/>
        <w:widowControl w:val="0"/>
        <w:shd w:val="clear" w:color="auto" w:fill="auto"/>
        <w:tabs>
          <w:tab w:pos="319" w:val="left"/>
        </w:tabs>
        <w:bidi w:val="0"/>
        <w:spacing w:before="0" w:after="360" w:line="468" w:lineRule="exact"/>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劳务外包情况</w:t>
      </w:r>
      <w:bookmarkEnd w:id="592"/>
      <w:bookmarkEnd w:id="593"/>
      <w:bookmarkEnd w:id="595"/>
    </w:p>
    <w:p>
      <w:pPr>
        <w:pStyle w:val="Style2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258" w:right="1041" w:bottom="1464"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660" w:after="560" w:line="240" w:lineRule="auto"/>
        <w:ind w:left="0" w:right="0" w:firstLine="0"/>
        <w:jc w:val="center"/>
      </w:pPr>
      <w:bookmarkStart w:id="596" w:name="bookmark596"/>
      <w:bookmarkStart w:id="597" w:name="bookmark597"/>
      <w:bookmarkStart w:id="598" w:name="bookmark598"/>
      <w:r>
        <w:rPr>
          <w:color w:val="000000"/>
          <w:spacing w:val="0"/>
          <w:w w:val="100"/>
          <w:position w:val="0"/>
        </w:rPr>
        <w:t>第十节公司治理</w:t>
      </w:r>
      <w:bookmarkEnd w:id="596"/>
      <w:bookmarkEnd w:id="597"/>
      <w:bookmarkEnd w:id="598"/>
    </w:p>
    <w:p>
      <w:pPr>
        <w:pStyle w:val="Style27"/>
        <w:keepNext/>
        <w:keepLines/>
        <w:widowControl w:val="0"/>
        <w:shd w:val="clear" w:color="auto" w:fill="auto"/>
        <w:bidi w:val="0"/>
        <w:spacing w:before="0" w:after="180" w:line="240" w:lineRule="auto"/>
        <w:ind w:left="0" w:right="0" w:firstLine="0"/>
        <w:jc w:val="both"/>
      </w:pPr>
      <w:bookmarkStart w:id="599" w:name="bookmark599"/>
      <w:bookmarkStart w:id="600" w:name="bookmark600"/>
      <w:bookmarkStart w:id="601" w:name="bookmark601"/>
      <w:bookmarkStart w:id="602" w:name="bookmark602"/>
      <w:bookmarkStart w:id="603" w:name="bookmark603"/>
      <w:r>
        <w:rPr>
          <w:color w:val="000000"/>
          <w:spacing w:val="0"/>
          <w:w w:val="100"/>
          <w:position w:val="0"/>
          <w:sz w:val="24"/>
          <w:szCs w:val="24"/>
        </w:rPr>
        <w:t>一</w:t>
      </w:r>
      <w:bookmarkEnd w:id="602"/>
      <w:r>
        <w:rPr>
          <w:color w:val="000000"/>
          <w:spacing w:val="0"/>
          <w:w w:val="100"/>
          <w:position w:val="0"/>
          <w:sz w:val="24"/>
          <w:szCs w:val="24"/>
        </w:rPr>
        <w:t>、公司治理的基本状况</w:t>
      </w:r>
      <w:bookmarkEnd w:id="600"/>
      <w:bookmarkEnd w:id="601"/>
      <w:bookmarkEnd w:id="603"/>
      <w:bookmarkEnd w:id="599"/>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报告期内，公司严格按照《公司法》、《证券法》、《上市公司治理准则》、《深圳证券交易所创业 板股票上市规则》、《深圳证券交易所创业板上市公司规范运作指引》等相关法律法规、规范性文件和《公 司章程》的要求，不断完善公司法人治理结构，建立健全公司内部管理和内控制度，持续深入开展公司治 理活动，进一步提升公司治理水平。截至报告期末，公司治理状况符合《公司法》和中国证监会、深圳证 券交易所等发布的法律法规和规范性文件的要求。</w:t>
      </w:r>
    </w:p>
    <w:p>
      <w:pPr>
        <w:pStyle w:val="Style44"/>
        <w:keepNext w:val="0"/>
        <w:keepLines w:val="0"/>
        <w:widowControl w:val="0"/>
        <w:shd w:val="clear" w:color="auto" w:fill="auto"/>
        <w:tabs>
          <w:tab w:pos="735" w:val="left"/>
        </w:tabs>
        <w:bidi w:val="0"/>
        <w:spacing w:before="0" w:after="0" w:line="471" w:lineRule="exact"/>
        <w:ind w:left="0" w:right="0" w:firstLine="420"/>
        <w:jc w:val="both"/>
      </w:pPr>
      <w:bookmarkStart w:id="604" w:name="bookmark604"/>
      <w:r>
        <w:rPr>
          <w:color w:val="000000"/>
          <w:spacing w:val="0"/>
          <w:w w:val="100"/>
          <w:position w:val="0"/>
        </w:rPr>
        <w:t>1</w:t>
      </w:r>
      <w:bookmarkEnd w:id="604"/>
      <w:r>
        <w:rPr>
          <w:color w:val="000000"/>
          <w:spacing w:val="0"/>
          <w:w w:val="100"/>
          <w:position w:val="0"/>
        </w:rPr>
        <w:t>、</w:t>
        <w:tab/>
        <w:t>关于股东与股东大会</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报告期内，公司共召开三次股东大会，其中一次年度股东大会，两次临时股东大会。各次会议公司均 严格按照《公司法》、《上市公司股东大会规则》、《公司章程》、《股东大会议事规则》等规定和要求, 规范地召集、召开，平等对待所有股东，为股东参加股东大会提供便利，使其充分行使股东权利，不存在 损害股东利益的情形。</w:t>
      </w:r>
    </w:p>
    <w:p>
      <w:pPr>
        <w:pStyle w:val="Style44"/>
        <w:keepNext w:val="0"/>
        <w:keepLines w:val="0"/>
        <w:widowControl w:val="0"/>
        <w:shd w:val="clear" w:color="auto" w:fill="auto"/>
        <w:tabs>
          <w:tab w:pos="735" w:val="left"/>
        </w:tabs>
        <w:bidi w:val="0"/>
        <w:spacing w:before="0" w:after="0" w:line="471" w:lineRule="exact"/>
        <w:ind w:left="0" w:right="0" w:firstLine="420"/>
        <w:jc w:val="both"/>
      </w:pPr>
      <w:bookmarkStart w:id="605" w:name="bookmark605"/>
      <w:r>
        <w:rPr>
          <w:color w:val="000000"/>
          <w:spacing w:val="0"/>
          <w:w w:val="100"/>
          <w:position w:val="0"/>
        </w:rPr>
        <w:t>2</w:t>
      </w:r>
      <w:bookmarkEnd w:id="605"/>
      <w:r>
        <w:rPr>
          <w:color w:val="000000"/>
          <w:spacing w:val="0"/>
          <w:w w:val="100"/>
          <w:position w:val="0"/>
        </w:rPr>
        <w:t>、</w:t>
        <w:tab/>
        <w:t>关于公司与控股股东</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报告期内，公司控股股东严格按照《上市公司治理准则》、《深圳证券交易所创业板股票上市规则》、 《深圳证券交易所创业板上市公司规范运指引》、《公司章程》等规定和要求，依法行使其权利并承担相 应义务，不存在超越股东大会直接或间接干预公司决策和经营活动的行为。公司拥有独立完整的业务和自 主经营能力，在业务、人员、资产、机构、财务上独立于控股股东，公司董事会、监事会和内部机构独立 运作。</w:t>
      </w:r>
    </w:p>
    <w:p>
      <w:pPr>
        <w:pStyle w:val="Style44"/>
        <w:keepNext w:val="0"/>
        <w:keepLines w:val="0"/>
        <w:widowControl w:val="0"/>
        <w:shd w:val="clear" w:color="auto" w:fill="auto"/>
        <w:tabs>
          <w:tab w:pos="735" w:val="left"/>
        </w:tabs>
        <w:bidi w:val="0"/>
        <w:spacing w:before="0" w:after="0" w:line="471" w:lineRule="exact"/>
        <w:ind w:left="0" w:right="0" w:firstLine="420"/>
        <w:jc w:val="both"/>
      </w:pPr>
      <w:bookmarkStart w:id="606" w:name="bookmark606"/>
      <w:r>
        <w:rPr>
          <w:color w:val="000000"/>
          <w:spacing w:val="0"/>
          <w:w w:val="100"/>
          <w:position w:val="0"/>
        </w:rPr>
        <w:t>3</w:t>
      </w:r>
      <w:bookmarkEnd w:id="606"/>
      <w:r>
        <w:rPr>
          <w:color w:val="000000"/>
          <w:spacing w:val="0"/>
          <w:w w:val="100"/>
          <w:position w:val="0"/>
        </w:rPr>
        <w:t>、</w:t>
        <w:tab/>
        <w:t>关于董事和董事会</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 xml:space="preserve">公司董事会设董事9名，其中独立董事3名，董事会的人数及人员构成符合法律、法规和《公司章程》 的要求。报告期内，公司共召开7次董事会，会议的召集、召开、决议内容及会议文件签署合法、合规、 真实、有效。各位董事能够依据《深圳证券交易所创业板上市公司规范运作指引》、《董事会议事规则》、 《独立董事制度》等规定开展工作，出席董事会和股东大会，勤勉尽责地履行职责和义务，同时积极参加 相关培训，熟悉相关法律法规。公司董事会下设战略委员会、审计委员会、提名委员会及薪酬与考核委员 会4个专门委员会，除战略委员会外，其他委员会中独立董事占比均超过1/2,为董事会的决策提供了科学 和专业的意见和参考。各委员会依据《公司章程》和各委员会工作细则的规定履行职权，不受公司其他部 门和个人的干预。报告期内，为完善公司治理结构，保证董事会各专门委员会能够顺利有序高效开展工作, </w:t>
      </w:r>
      <w:r>
        <w:rPr>
          <w:color w:val="000000"/>
          <w:spacing w:val="0"/>
          <w:w w:val="100"/>
          <w:position w:val="0"/>
        </w:rPr>
        <w:t>充分发挥其职能，公司对董事会四大专门委员会工作细则部分条款进行了修订，并完成了董事会四大专门 委员会的补选工作，补选后四大专门委员会的委员人数均由3名增加至5名。</w:t>
      </w:r>
    </w:p>
    <w:p>
      <w:pPr>
        <w:pStyle w:val="Style44"/>
        <w:keepNext w:val="0"/>
        <w:keepLines w:val="0"/>
        <w:widowControl w:val="0"/>
        <w:shd w:val="clear" w:color="auto" w:fill="auto"/>
        <w:tabs>
          <w:tab w:pos="711" w:val="left"/>
        </w:tabs>
        <w:bidi w:val="0"/>
        <w:spacing w:before="0" w:after="0" w:line="468" w:lineRule="exact"/>
        <w:ind w:left="0" w:right="0" w:firstLine="360"/>
        <w:jc w:val="both"/>
      </w:pPr>
      <w:bookmarkStart w:id="607" w:name="bookmark607"/>
      <w:r>
        <w:rPr>
          <w:color w:val="000000"/>
          <w:spacing w:val="0"/>
          <w:w w:val="100"/>
          <w:position w:val="0"/>
        </w:rPr>
        <w:t>4</w:t>
      </w:r>
      <w:bookmarkEnd w:id="607"/>
      <w:r>
        <w:rPr>
          <w:color w:val="000000"/>
          <w:spacing w:val="0"/>
          <w:w w:val="100"/>
          <w:position w:val="0"/>
        </w:rPr>
        <w:t>、</w:t>
        <w:tab/>
        <w:t>关于监事和监事会</w:t>
      </w:r>
    </w:p>
    <w:p>
      <w:pPr>
        <w:pStyle w:val="Style4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公司监事会设监事3名，其中职工代表监事1名，监事会的人数及人员构成符合法律、法规和《公司章 程》的要求。报告期内，公司共召开7次监事会会议，会议的召集、召开、决议内容及会议文件签署合法、 合规、真实、有效。各位监事能够按照《公司章程》、《监事会议事规则》等规定的要求，认真履行自己 的职责，对公司重大事项、关联交易、财务状况以及董事、高级管理人员履行职责的合法合规性进行监督。</w:t>
      </w:r>
    </w:p>
    <w:p>
      <w:pPr>
        <w:pStyle w:val="Style44"/>
        <w:keepNext w:val="0"/>
        <w:keepLines w:val="0"/>
        <w:widowControl w:val="0"/>
        <w:shd w:val="clear" w:color="auto" w:fill="auto"/>
        <w:tabs>
          <w:tab w:pos="711" w:val="left"/>
        </w:tabs>
        <w:bidi w:val="0"/>
        <w:spacing w:before="0" w:after="0" w:line="468" w:lineRule="exact"/>
        <w:ind w:left="0" w:right="0" w:firstLine="360"/>
        <w:jc w:val="both"/>
      </w:pPr>
      <w:bookmarkStart w:id="608" w:name="bookmark608"/>
      <w:r>
        <w:rPr>
          <w:color w:val="000000"/>
          <w:spacing w:val="0"/>
          <w:w w:val="100"/>
          <w:position w:val="0"/>
        </w:rPr>
        <w:t>5</w:t>
      </w:r>
      <w:bookmarkEnd w:id="608"/>
      <w:r>
        <w:rPr>
          <w:color w:val="000000"/>
          <w:spacing w:val="0"/>
          <w:w w:val="100"/>
          <w:position w:val="0"/>
        </w:rPr>
        <w:t>、</w:t>
        <w:tab/>
        <w:t>关于绩效评价与激励约束机制</w:t>
      </w:r>
    </w:p>
    <w:p>
      <w:pPr>
        <w:pStyle w:val="Style4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公司董事会下设的薪酬与考核委员会负责对公司的董事、监事、高级管理人员进行绩效考核，建立并 逐步完善公正透明的董事、监事和高级管理人员的绩效评价标准和激励约束机制。公司高级管理人员的聘 任公开、透明，符合法律、法规的规定，现有的考核及激励约束机制符合公司的发展情况。报告期内，公 司薪酬与考核委员会制定了《2019年股票期权与限制性股票激励计划（草案）》，并在股东大会的授权范 围内，对公司实施的股权激励计划股份解锁、股份回购及股份授予等事项进行管理。</w:t>
      </w:r>
    </w:p>
    <w:p>
      <w:pPr>
        <w:pStyle w:val="Style44"/>
        <w:keepNext w:val="0"/>
        <w:keepLines w:val="0"/>
        <w:widowControl w:val="0"/>
        <w:shd w:val="clear" w:color="auto" w:fill="auto"/>
        <w:tabs>
          <w:tab w:pos="711" w:val="left"/>
        </w:tabs>
        <w:bidi w:val="0"/>
        <w:spacing w:before="0" w:after="0" w:line="468" w:lineRule="exact"/>
        <w:ind w:left="0" w:right="0" w:firstLine="360"/>
        <w:jc w:val="both"/>
      </w:pPr>
      <w:bookmarkStart w:id="609" w:name="bookmark609"/>
      <w:r>
        <w:rPr>
          <w:color w:val="000000"/>
          <w:spacing w:val="0"/>
          <w:w w:val="100"/>
          <w:position w:val="0"/>
        </w:rPr>
        <w:t>6</w:t>
      </w:r>
      <w:bookmarkEnd w:id="609"/>
      <w:r>
        <w:rPr>
          <w:color w:val="000000"/>
          <w:spacing w:val="0"/>
          <w:w w:val="100"/>
          <w:position w:val="0"/>
        </w:rPr>
        <w:t>、</w:t>
        <w:tab/>
        <w:t>关于相关利益者</w:t>
      </w:r>
    </w:p>
    <w:p>
      <w:pPr>
        <w:pStyle w:val="Style4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公司充分尊重和维护相关利益者的合法权益，积极与相关利益者合作，加强与各方的沟通和交流，实 现股东、员工、社会等各方利益的协调平衡，共同推动公司持续、健康的发展。</w:t>
      </w:r>
    </w:p>
    <w:p>
      <w:pPr>
        <w:pStyle w:val="Style44"/>
        <w:keepNext w:val="0"/>
        <w:keepLines w:val="0"/>
        <w:widowControl w:val="0"/>
        <w:shd w:val="clear" w:color="auto" w:fill="auto"/>
        <w:tabs>
          <w:tab w:pos="711" w:val="left"/>
        </w:tabs>
        <w:bidi w:val="0"/>
        <w:spacing w:before="0" w:after="0" w:line="468" w:lineRule="exact"/>
        <w:ind w:left="0" w:right="0" w:firstLine="360"/>
        <w:jc w:val="both"/>
      </w:pPr>
      <w:bookmarkStart w:id="610" w:name="bookmark610"/>
      <w:r>
        <w:rPr>
          <w:color w:val="000000"/>
          <w:spacing w:val="0"/>
          <w:w w:val="100"/>
          <w:position w:val="0"/>
        </w:rPr>
        <w:t>7</w:t>
      </w:r>
      <w:bookmarkEnd w:id="610"/>
      <w:r>
        <w:rPr>
          <w:color w:val="000000"/>
          <w:spacing w:val="0"/>
          <w:w w:val="100"/>
          <w:position w:val="0"/>
        </w:rPr>
        <w:t>、</w:t>
        <w:tab/>
        <w:t>关于信息披露与透明度</w:t>
      </w:r>
    </w:p>
    <w:p>
      <w:pPr>
        <w:pStyle w:val="Style44"/>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公司严格按照《上市公司信息披露管理办法》、《深圳证券交易所创业板上市公司规范运作指引》、 公司的《信息披露管理制度》等相关法律、法规和规范性文件的要求，真实、准确、完整、及时、公平地 披露有关信息，指定公司董事会秘书负责信息披露工作，协调公司与投资者的关系，接待股东来访、机构 调研，回答投资者的咨询，向投资者提供公司已披露的资料；并指定《证券时报》、《中国证券报》、《证 券日报》、《上海证券报》和中国证监会指定的创业板信息披露网站（巨潮资讯</w:t>
      </w:r>
      <w:r>
        <w:fldChar w:fldCharType="begin"/>
      </w:r>
      <w:r>
        <w:rPr/>
        <w:instrText> HYPERLINK "http://www.cninfo.com.cn/" </w:instrText>
      </w:r>
      <w:r>
        <w:fldChar w:fldCharType="separate"/>
      </w:r>
      <w:r>
        <w:rPr>
          <w:color w:val="000000"/>
          <w:spacing w:val="0"/>
          <w:w w:val="100"/>
          <w:position w:val="0"/>
        </w:rPr>
        <w:t>网</w:t>
      </w:r>
      <w:r>
        <w:rPr>
          <w:color w:val="6D6D6D"/>
          <w:spacing w:val="0"/>
          <w:w w:val="100"/>
          <w:position w:val="0"/>
          <w:u w:val="single"/>
        </w:rPr>
        <w:t>www.cninfo.com.cn</w:t>
      </w:r>
      <w:r>
        <w:fldChar w:fldCharType="end"/>
      </w:r>
      <w:r>
        <w:rPr>
          <w:color w:val="6D6D6D"/>
          <w:spacing w:val="0"/>
          <w:w w:val="100"/>
          <w:position w:val="0"/>
          <w:u w:val="single"/>
        </w:rPr>
        <w:t xml:space="preserve"> </w:t>
      </w:r>
      <w:r>
        <w:rPr>
          <w:color w:val="000000"/>
          <w:spacing w:val="0"/>
          <w:w w:val="100"/>
          <w:position w:val="0"/>
        </w:rPr>
        <w:t>为公司信息披露的指定报刊和网站，确保公司所有投资者能够平等地获得信息。</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20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二</w:t>
      </w:r>
      <w:bookmarkEnd w:id="613"/>
      <w:r>
        <w:rPr>
          <w:color w:val="000000"/>
          <w:spacing w:val="0"/>
          <w:w w:val="100"/>
          <w:position w:val="0"/>
          <w:sz w:val="24"/>
          <w:szCs w:val="24"/>
        </w:rPr>
        <w:t>、公司相对于控股股东在业务、人员、资产、机构、财务等方面的独立情况</w:t>
      </w:r>
      <w:bookmarkEnd w:id="611"/>
      <w:bookmarkEnd w:id="612"/>
      <w:bookmarkEnd w:id="614"/>
    </w:p>
    <w:p>
      <w:pPr>
        <w:pStyle w:val="Style44"/>
        <w:keepNext w:val="0"/>
        <w:keepLines w:val="0"/>
        <w:widowControl w:val="0"/>
        <w:shd w:val="clear" w:color="auto" w:fill="auto"/>
        <w:bidi w:val="0"/>
        <w:spacing w:before="0" w:after="420" w:line="475" w:lineRule="exact"/>
        <w:ind w:left="0" w:right="0" w:firstLine="420"/>
        <w:jc w:val="left"/>
      </w:pPr>
      <w:r>
        <w:rPr>
          <w:color w:val="000000"/>
          <w:spacing w:val="0"/>
          <w:w w:val="100"/>
          <w:position w:val="0"/>
        </w:rPr>
        <w:t xml:space="preserve">公司控股股东严格按照《公司法》、《上市公司治理准则》、《深圳证券交易所创业板股票上市规则》、 《深圳证券交易所创业板上市公司规范运作指引》及《公司章程》等规定和要求，严格规范自身行为，不 </w:t>
      </w:r>
      <w:r>
        <w:rPr>
          <w:color w:val="000000"/>
          <w:spacing w:val="0"/>
          <w:w w:val="100"/>
          <w:position w:val="0"/>
        </w:rPr>
        <w:t>存在超越公司股东大会直接或间接干预公司的决策和经营活动的行为，未损害公司及其他股东的利益，不 存在控股股东占用公司资金的现象，公司亦无为控股股东提供担保的情形。公司拥有独立完整的业务和自 主经营能力，在业务、资产、人员、机构、财务上独立于控股股东。</w:t>
      </w:r>
    </w:p>
    <w:p>
      <w:pPr>
        <w:pStyle w:val="Style27"/>
        <w:keepNext/>
        <w:keepLines/>
        <w:widowControl w:val="0"/>
        <w:shd w:val="clear" w:color="auto" w:fill="auto"/>
        <w:tabs>
          <w:tab w:pos="526" w:val="left"/>
        </w:tabs>
        <w:bidi w:val="0"/>
        <w:spacing w:before="0" w:after="340" w:line="240" w:lineRule="auto"/>
        <w:ind w:left="0" w:right="0" w:firstLine="0"/>
        <w:jc w:val="both"/>
      </w:pPr>
      <w:bookmarkStart w:id="615" w:name="bookmark615"/>
      <w:bookmarkStart w:id="616" w:name="bookmark616"/>
      <w:bookmarkStart w:id="617" w:name="bookmark617"/>
      <w:bookmarkStart w:id="618" w:name="bookmark618"/>
      <w:r>
        <w:rPr>
          <w:color w:val="000000"/>
          <w:spacing w:val="0"/>
          <w:w w:val="100"/>
          <w:position w:val="0"/>
          <w:sz w:val="24"/>
          <w:szCs w:val="24"/>
        </w:rPr>
        <w:t>三</w:t>
      </w:r>
      <w:bookmarkEnd w:id="617"/>
      <w:r>
        <w:rPr>
          <w:color w:val="000000"/>
          <w:spacing w:val="0"/>
          <w:w w:val="100"/>
          <w:position w:val="0"/>
          <w:sz w:val="24"/>
          <w:szCs w:val="24"/>
        </w:rPr>
        <w:t>、</w:t>
        <w:tab/>
        <w:t>同业竞争情况</w:t>
      </w:r>
      <w:bookmarkEnd w:id="615"/>
      <w:bookmarkEnd w:id="616"/>
      <w:bookmarkEnd w:id="618"/>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sz w:val="24"/>
          <w:szCs w:val="24"/>
        </w:rPr>
        <w:t>四</w:t>
      </w:r>
      <w:bookmarkEnd w:id="621"/>
      <w:r>
        <w:rPr>
          <w:color w:val="000000"/>
          <w:spacing w:val="0"/>
          <w:w w:val="100"/>
          <w:position w:val="0"/>
          <w:sz w:val="24"/>
          <w:szCs w:val="24"/>
        </w:rPr>
        <w:t>、</w:t>
        <w:tab/>
        <w:t>报告期内召开的年度股东大会和临时股东大会的有关情况</w:t>
      </w:r>
      <w:bookmarkEnd w:id="619"/>
      <w:bookmarkEnd w:id="620"/>
      <w:bookmarkEnd w:id="622"/>
    </w:p>
    <w:p>
      <w:pPr>
        <w:pStyle w:val="Style32"/>
        <w:keepNext/>
        <w:keepLines/>
        <w:widowControl w:val="0"/>
        <w:shd w:val="clear" w:color="auto" w:fill="auto"/>
        <w:bidi w:val="0"/>
        <w:spacing w:before="0" w:after="100" w:line="480" w:lineRule="auto"/>
        <w:ind w:left="0" w:right="0" w:firstLine="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、本报告期股东大会情况</w:t>
      </w:r>
      <w:bookmarkEnd w:id="623"/>
      <w:bookmarkEnd w:id="624"/>
      <w:bookmarkEnd w:id="626"/>
    </w:p>
    <w:tbl>
      <w:tblPr>
        <w:tblOverlap w:val="never"/>
        <w:jc w:val="center"/>
        <w:tblLayout w:type="fixed"/>
      </w:tblPr>
      <w:tblGrid>
        <w:gridCol w:w="1603"/>
        <w:gridCol w:w="955"/>
        <w:gridCol w:w="1133"/>
        <w:gridCol w:w="1843"/>
        <w:gridCol w:w="1560"/>
        <w:gridCol w:w="249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 度股东大会决议公告》公告编 号：</w:t>
            </w:r>
            <w:r>
              <w:rPr>
                <w:rFonts w:ascii="Times New Roman" w:eastAsia="Times New Roman" w:hAnsi="Times New Roman" w:cs="Times New Roman"/>
                <w:color w:val="000000"/>
                <w:spacing w:val="0"/>
                <w:w w:val="100"/>
                <w:position w:val="0"/>
              </w:rPr>
              <w:t>2020-28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临时股东大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一次临时股东大会决议公告》 公告编号：</w:t>
            </w:r>
            <w:r>
              <w:rPr>
                <w:rFonts w:ascii="Times New Roman" w:eastAsia="Times New Roman" w:hAnsi="Times New Roman" w:cs="Times New Roman"/>
                <w:color w:val="000000"/>
                <w:spacing w:val="0"/>
                <w:w w:val="100"/>
                <w:position w:val="0"/>
              </w:rPr>
              <w:t>2020-81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、表决权恢复的优先股股东请求召开临时股东大会</w:t>
      </w:r>
      <w:bookmarkEnd w:id="627"/>
      <w:bookmarkEnd w:id="628"/>
      <w:bookmarkEnd w:id="63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631" w:name="bookmark631"/>
      <w:bookmarkStart w:id="632" w:name="bookmark632"/>
      <w:bookmarkStart w:id="633" w:name="bookmark633"/>
      <w:bookmarkStart w:id="634" w:name="bookmark634"/>
      <w:r>
        <w:rPr>
          <w:color w:val="000000"/>
          <w:spacing w:val="0"/>
          <w:w w:val="100"/>
          <w:position w:val="0"/>
          <w:sz w:val="24"/>
          <w:szCs w:val="24"/>
        </w:rPr>
        <w:t>五</w:t>
      </w:r>
      <w:bookmarkEnd w:id="633"/>
      <w:r>
        <w:rPr>
          <w:color w:val="000000"/>
          <w:spacing w:val="0"/>
          <w:w w:val="100"/>
          <w:position w:val="0"/>
          <w:sz w:val="24"/>
          <w:szCs w:val="24"/>
        </w:rPr>
        <w:t>、报告期内独立董事履行职责的情况</w:t>
      </w:r>
      <w:bookmarkEnd w:id="631"/>
      <w:bookmarkEnd w:id="632"/>
      <w:bookmarkEnd w:id="634"/>
    </w:p>
    <w:p>
      <w:pPr>
        <w:pStyle w:val="Style32"/>
        <w:keepNext/>
        <w:keepLines/>
        <w:widowControl w:val="0"/>
        <w:shd w:val="clear" w:color="auto" w:fill="auto"/>
        <w:bidi w:val="0"/>
        <w:spacing w:before="0" w:after="34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、独立董事出席董事会及股东大会的情况</w:t>
      </w:r>
      <w:bookmarkEnd w:id="635"/>
      <w:bookmarkEnd w:id="636"/>
      <w:bookmarkEnd w:id="638"/>
    </w:p>
    <w:tbl>
      <w:tblPr>
        <w:tblOverlap w:val="never"/>
        <w:jc w:val="center"/>
        <w:tblLayout w:type="fixed"/>
      </w:tblPr>
      <w:tblGrid>
        <w:gridCol w:w="1282"/>
        <w:gridCol w:w="1315"/>
        <w:gridCol w:w="1166"/>
        <w:gridCol w:w="1162"/>
        <w:gridCol w:w="1166"/>
        <w:gridCol w:w="1157"/>
        <w:gridCol w:w="1166"/>
        <w:gridCol w:w="1171"/>
      </w:tblGrid>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曲晓辉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蔡志平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pStyle w:val="Style29"/>
        <w:keepNext w:val="0"/>
        <w:keepLines w:val="0"/>
        <w:widowControl w:val="0"/>
        <w:shd w:val="clear" w:color="auto" w:fill="auto"/>
        <w:bidi w:val="0"/>
        <w:spacing w:before="0" w:after="340" w:line="355" w:lineRule="exact"/>
        <w:ind w:left="0" w:right="0" w:firstLine="0"/>
        <w:jc w:val="both"/>
      </w:pPr>
      <w:r>
        <w:rPr>
          <w:color w:val="000000"/>
          <w:spacing w:val="0"/>
          <w:w w:val="100"/>
          <w:position w:val="0"/>
        </w:rPr>
        <w:t>连续两次未亲自出席董事会的说明 无</w:t>
      </w:r>
    </w:p>
    <w:p>
      <w:pPr>
        <w:pStyle w:val="Style32"/>
        <w:keepNext/>
        <w:keepLines/>
        <w:widowControl w:val="0"/>
        <w:shd w:val="clear" w:color="auto" w:fill="auto"/>
        <w:tabs>
          <w:tab w:pos="378" w:val="left"/>
        </w:tabs>
        <w:bidi w:val="0"/>
        <w:spacing w:before="0" w:after="360" w:line="467" w:lineRule="exact"/>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w:t>
        <w:tab/>
        <w:t>独立董事对公司有关事项提出异议的情况</w:t>
      </w:r>
      <w:bookmarkEnd w:id="639"/>
      <w:bookmarkEnd w:id="640"/>
      <w:bookmarkEnd w:id="64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60" w:line="467" w:lineRule="exact"/>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w:t>
        <w:tab/>
        <w:t>独立董事履行职责的其他说明</w:t>
      </w:r>
      <w:bookmarkEnd w:id="643"/>
      <w:bookmarkEnd w:id="644"/>
      <w:bookmarkEnd w:id="64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44"/>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报告期内，公司独立董事根据《公司法》、《证券法》、《深圳证券交易所创业板上市公司规范运作 指引》、《深圳证券交易所创业板股票上市规则》、《关于在上市公司建立独立董事制度的指导意见》等 有关法律法规及《公司章程》、《独立董事制度》的有关要求，勤勉尽责，积极利用参加股东大会、董事 会的机会，结合自身的专业特长，对公司的制度完善和日常经营决策等方面提出了很多宝贵的专业性建议, 对报告期内公司发生的利润分配、聘请年报财务审计机构、公司关联交易事项、对外投资等事项发表了独 立、公正的意见，为完善公司监督机制，维护公司和全体股东的合法权益起到了应有的作用。</w:t>
      </w:r>
    </w:p>
    <w:p>
      <w:pPr>
        <w:pStyle w:val="Style27"/>
        <w:keepNext/>
        <w:keepLines/>
        <w:widowControl w:val="0"/>
        <w:shd w:val="clear" w:color="auto" w:fill="auto"/>
        <w:bidi w:val="0"/>
        <w:spacing w:before="0" w:after="22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六</w:t>
      </w:r>
      <w:bookmarkEnd w:id="649"/>
      <w:r>
        <w:rPr>
          <w:color w:val="000000"/>
          <w:spacing w:val="0"/>
          <w:w w:val="100"/>
          <w:position w:val="0"/>
          <w:sz w:val="24"/>
          <w:szCs w:val="24"/>
        </w:rPr>
        <w:t>、董事会下设专门委员会在报告期内履行职责情况</w:t>
      </w:r>
      <w:bookmarkEnd w:id="647"/>
      <w:bookmarkEnd w:id="648"/>
      <w:bookmarkEnd w:id="650"/>
    </w:p>
    <w:p>
      <w:pPr>
        <w:pStyle w:val="Style4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公司董事会下设审计委员会、战略委员会、薪酬与考核委员会及提名委员会。报告期内的履职情况如</w:t>
      </w:r>
    </w:p>
    <w:p>
      <w:pPr>
        <w:pStyle w:val="Style44"/>
        <w:keepNext w:val="0"/>
        <w:keepLines w:val="0"/>
        <w:widowControl w:val="0"/>
        <w:shd w:val="clear" w:color="auto" w:fill="auto"/>
        <w:bidi w:val="0"/>
        <w:spacing w:before="0" w:after="0" w:line="467" w:lineRule="exact"/>
        <w:ind w:left="0" w:right="0" w:firstLine="0"/>
        <w:jc w:val="both"/>
      </w:pPr>
      <w:r>
        <w:rPr>
          <w:color w:val="000000"/>
          <w:spacing w:val="0"/>
          <w:w w:val="100"/>
          <w:position w:val="0"/>
        </w:rPr>
        <w:t>下：</w:t>
      </w:r>
    </w:p>
    <w:p>
      <w:pPr>
        <w:pStyle w:val="Style44"/>
        <w:keepNext w:val="0"/>
        <w:keepLines w:val="0"/>
        <w:widowControl w:val="0"/>
        <w:shd w:val="clear" w:color="auto" w:fill="auto"/>
        <w:tabs>
          <w:tab w:pos="971" w:val="left"/>
        </w:tabs>
        <w:bidi w:val="0"/>
        <w:spacing w:before="0" w:after="0" w:line="467" w:lineRule="exact"/>
        <w:ind w:left="0" w:right="0" w:firstLine="440"/>
        <w:jc w:val="both"/>
      </w:pPr>
      <w:bookmarkStart w:id="651" w:name="bookmark651"/>
      <w:r>
        <w:rPr>
          <w:color w:val="000000"/>
          <w:spacing w:val="0"/>
          <w:w w:val="100"/>
          <w:position w:val="0"/>
        </w:rPr>
        <w:t>（</w:t>
      </w:r>
      <w:bookmarkEnd w:id="651"/>
      <w:r>
        <w:rPr>
          <w:color w:val="000000"/>
          <w:spacing w:val="0"/>
          <w:w w:val="100"/>
          <w:position w:val="0"/>
        </w:rPr>
        <w:t>一）</w:t>
        <w:tab/>
        <w:t>审计委员会的履职情况：</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报告期内，董事会审计委员会严格按照《董事会审计委员会工作细则》的相关要求，共召开审计委员 会会议6次，对公司全年生产经营情况、内控制度体系建立情况、财务信息等进行了审核和监督，审议了 定期报告、内部控制自我评价报告、会计政策变更、修订《内审制度》等事项，切实履行了审计委员会工 作职责。</w:t>
      </w:r>
    </w:p>
    <w:p>
      <w:pPr>
        <w:pStyle w:val="Style44"/>
        <w:keepNext w:val="0"/>
        <w:keepLines w:val="0"/>
        <w:widowControl w:val="0"/>
        <w:shd w:val="clear" w:color="auto" w:fill="auto"/>
        <w:tabs>
          <w:tab w:pos="971" w:val="left"/>
        </w:tabs>
        <w:bidi w:val="0"/>
        <w:spacing w:before="0" w:after="0" w:line="467" w:lineRule="exact"/>
        <w:ind w:left="0" w:right="0" w:firstLine="440"/>
        <w:jc w:val="both"/>
      </w:pPr>
      <w:bookmarkStart w:id="652" w:name="bookmark652"/>
      <w:r>
        <w:rPr>
          <w:color w:val="000000"/>
          <w:spacing w:val="0"/>
          <w:w w:val="100"/>
          <w:position w:val="0"/>
        </w:rPr>
        <w:t>（</w:t>
      </w:r>
      <w:bookmarkEnd w:id="652"/>
      <w:r>
        <w:rPr>
          <w:color w:val="000000"/>
          <w:spacing w:val="0"/>
          <w:w w:val="100"/>
          <w:position w:val="0"/>
        </w:rPr>
        <w:t>二）</w:t>
        <w:tab/>
        <w:t>战略委员会履职情况：</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报告期内，董事会战略委员会严格按照《董事会战略委员会工作细则》的相关要求，共召开战略委员 会会议3次，结合公司所处行业发展情况及公司自身发展状况，对公司经营发展战略和重大投资决策进行 审议并提出建议。</w:t>
      </w:r>
    </w:p>
    <w:p>
      <w:pPr>
        <w:pStyle w:val="Style44"/>
        <w:keepNext w:val="0"/>
        <w:keepLines w:val="0"/>
        <w:widowControl w:val="0"/>
        <w:shd w:val="clear" w:color="auto" w:fill="auto"/>
        <w:bidi w:val="0"/>
        <w:spacing w:before="0" w:after="0" w:line="467" w:lineRule="exact"/>
        <w:ind w:left="0" w:right="0" w:firstLine="540"/>
        <w:jc w:val="left"/>
      </w:pPr>
      <w:bookmarkStart w:id="653" w:name="bookmark653"/>
      <w:r>
        <w:rPr>
          <w:color w:val="000000"/>
          <w:spacing w:val="0"/>
          <w:w w:val="100"/>
          <w:position w:val="0"/>
        </w:rPr>
        <w:t>（</w:t>
      </w:r>
      <w:bookmarkEnd w:id="653"/>
      <w:r>
        <w:rPr>
          <w:color w:val="000000"/>
          <w:spacing w:val="0"/>
          <w:w w:val="100"/>
          <w:position w:val="0"/>
        </w:rPr>
        <w:t>三）薪酬与考核委员会履职情况：</w:t>
      </w:r>
    </w:p>
    <w:p>
      <w:pPr>
        <w:pStyle w:val="Style44"/>
        <w:keepNext w:val="0"/>
        <w:keepLines w:val="0"/>
        <w:widowControl w:val="0"/>
        <w:shd w:val="clear" w:color="auto" w:fill="auto"/>
        <w:bidi w:val="0"/>
        <w:spacing w:before="0" w:after="0" w:line="446" w:lineRule="exact"/>
        <w:ind w:left="0" w:right="0" w:firstLine="440"/>
        <w:jc w:val="left"/>
      </w:pPr>
      <w:r>
        <w:rPr>
          <w:color w:val="000000"/>
          <w:spacing w:val="0"/>
          <w:w w:val="100"/>
          <w:position w:val="0"/>
        </w:rPr>
        <w:t xml:space="preserve">报告期内，董事会薪酬与考核委员会严格按照《董事会薪酬与考核委员会工作细则》的相关要求，共 召开薪酬与考核委员会会议6次，对公司2019年度董监高的薪酬、《年度经营目标考核暂行办法》及2019 </w:t>
      </w:r>
      <w:r>
        <w:rPr>
          <w:color w:val="000000"/>
          <w:spacing w:val="0"/>
          <w:w w:val="100"/>
          <w:position w:val="0"/>
        </w:rPr>
        <w:t>年股票期权及限制性股票激励计划预留授予及回购注销等事项进行了审议并提出建议，切实履行了薪酬与 考核委员会的职能。</w:t>
      </w:r>
    </w:p>
    <w:p>
      <w:pPr>
        <w:pStyle w:val="Style44"/>
        <w:keepNext w:val="0"/>
        <w:keepLines w:val="0"/>
        <w:widowControl w:val="0"/>
        <w:shd w:val="clear" w:color="auto" w:fill="auto"/>
        <w:bidi w:val="0"/>
        <w:spacing w:before="0" w:after="0" w:line="468" w:lineRule="exact"/>
        <w:ind w:left="0" w:right="0" w:firstLine="440"/>
        <w:jc w:val="both"/>
      </w:pPr>
      <w:bookmarkStart w:id="654" w:name="bookmark654"/>
      <w:r>
        <w:rPr>
          <w:color w:val="000000"/>
          <w:spacing w:val="0"/>
          <w:w w:val="100"/>
          <w:position w:val="0"/>
        </w:rPr>
        <w:t>（</w:t>
      </w:r>
      <w:bookmarkEnd w:id="654"/>
      <w:r>
        <w:rPr>
          <w:color w:val="000000"/>
          <w:spacing w:val="0"/>
          <w:w w:val="100"/>
          <w:position w:val="0"/>
        </w:rPr>
        <w:t>四）提名委员会履职情况：</w:t>
      </w:r>
    </w:p>
    <w:p>
      <w:pPr>
        <w:pStyle w:val="Style4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报告期内，董事会提名委员会严格按照《董事会提名委员会工作细则》的相关要求召开专业委员会会 议1次，审议了公司《领导班子后备选拔培养暂行办法》，切实履行了提名委员会的职能。</w:t>
      </w:r>
    </w:p>
    <w:p>
      <w:pPr>
        <w:pStyle w:val="Style27"/>
        <w:keepNext/>
        <w:keepLines/>
        <w:widowControl w:val="0"/>
        <w:shd w:val="clear" w:color="auto" w:fill="auto"/>
        <w:tabs>
          <w:tab w:pos="526" w:val="left"/>
        </w:tabs>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七</w:t>
      </w:r>
      <w:bookmarkEnd w:id="657"/>
      <w:r>
        <w:rPr>
          <w:color w:val="000000"/>
          <w:spacing w:val="0"/>
          <w:w w:val="100"/>
          <w:position w:val="0"/>
          <w:sz w:val="24"/>
          <w:szCs w:val="24"/>
        </w:rPr>
        <w:t>、</w:t>
        <w:tab/>
        <w:t>监事会工作情况</w:t>
      </w:r>
      <w:bookmarkEnd w:id="655"/>
      <w:bookmarkEnd w:id="656"/>
      <w:bookmarkEnd w:id="65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26" w:val="left"/>
        </w:tabs>
        <w:bidi w:val="0"/>
        <w:spacing w:before="0" w:after="20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八</w:t>
      </w:r>
      <w:bookmarkEnd w:id="661"/>
      <w:r>
        <w:rPr>
          <w:color w:val="000000"/>
          <w:spacing w:val="0"/>
          <w:w w:val="100"/>
          <w:position w:val="0"/>
          <w:sz w:val="24"/>
          <w:szCs w:val="24"/>
        </w:rPr>
        <w:t>、</w:t>
        <w:tab/>
        <w:t>高级管理人员的考评及激励情况</w:t>
      </w:r>
      <w:bookmarkEnd w:id="659"/>
      <w:bookmarkEnd w:id="660"/>
      <w:bookmarkEnd w:id="662"/>
    </w:p>
    <w:p>
      <w:pPr>
        <w:pStyle w:val="Style4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公司按照《高级管理人员薪酬管理制度》建立了完善的高级管理人员绩效考评体系和激励约束制机制， 高级管理人员的工作绩效与其收入直接挂钩。高级管理人员的聘任公开、透明，符合法律、法规的规定。 公司董事会下设的薪酬和考核委员会负责对公司董事及高级管理人员进行绩效考核。高级管理人员的激励 情况详见“第九节董事、监事、高级管理人员和员工情况”之“四、董事、监事、高级管理人员报酬情 况''相关内容。</w:t>
      </w:r>
    </w:p>
    <w:p>
      <w:pPr>
        <w:pStyle w:val="Style27"/>
        <w:keepNext/>
        <w:keepLines/>
        <w:widowControl w:val="0"/>
        <w:shd w:val="clear" w:color="auto" w:fill="auto"/>
        <w:tabs>
          <w:tab w:pos="526" w:val="left"/>
        </w:tabs>
        <w:bidi w:val="0"/>
        <w:spacing w:before="0" w:after="36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九</w:t>
      </w:r>
      <w:bookmarkEnd w:id="665"/>
      <w:r>
        <w:rPr>
          <w:color w:val="000000"/>
          <w:spacing w:val="0"/>
          <w:w w:val="100"/>
          <w:position w:val="0"/>
          <w:sz w:val="24"/>
          <w:szCs w:val="24"/>
        </w:rPr>
        <w:t>、</w:t>
        <w:tab/>
        <w:t>内部控制评价报告</w:t>
      </w:r>
      <w:bookmarkEnd w:id="663"/>
      <w:bookmarkEnd w:id="664"/>
      <w:bookmarkEnd w:id="666"/>
    </w:p>
    <w:p>
      <w:pPr>
        <w:pStyle w:val="Style32"/>
        <w:keepNext/>
        <w:keepLines/>
        <w:widowControl w:val="0"/>
        <w:shd w:val="clear" w:color="auto" w:fill="auto"/>
        <w:tabs>
          <w:tab w:pos="425" w:val="left"/>
        </w:tabs>
        <w:bidi w:val="0"/>
        <w:spacing w:before="0" w:after="120" w:line="48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报告期内发现的内部控制重大缺陷的具体情况</w:t>
      </w:r>
      <w:bookmarkEnd w:id="667"/>
      <w:bookmarkEnd w:id="668"/>
      <w:bookmarkEnd w:id="67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25" w:val="left"/>
        </w:tabs>
        <w:bidi w:val="0"/>
        <w:spacing w:before="0" w:after="120" w:line="48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内控自我评价报告</w:t>
      </w:r>
      <w:bookmarkEnd w:id="671"/>
      <w:bookmarkEnd w:id="672"/>
      <w:bookmarkEnd w:id="674"/>
    </w:p>
    <w:tbl>
      <w:tblPr>
        <w:tblOverlap w:val="never"/>
        <w:jc w:val="center"/>
        <w:tblLayout w:type="fixed"/>
      </w:tblPr>
      <w:tblGrid>
        <w:gridCol w:w="1992"/>
        <w:gridCol w:w="759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内部控制评价报告全文 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内部控制评价报告全文 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纳入评价范围单位资产 总额占公司合并财务报 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00" w:right="0" w:firstLine="0"/>
              <w:jc w:val="left"/>
            </w:pPr>
            <w:r>
              <w:rPr>
                <w:rFonts w:ascii="Times New Roman" w:eastAsia="Times New Roman" w:hAnsi="Times New Roman" w:cs="Times New Roman"/>
                <w:color w:val="000000"/>
                <w:spacing w:val="0"/>
                <w:w w:val="100"/>
                <w:position w:val="0"/>
              </w:rPr>
              <w:t>96.00%</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 收入占公司合并财务报 表营业收入的比例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00" w:right="0" w:firstLine="0"/>
              <w:jc w:val="left"/>
            </w:pPr>
            <w:r>
              <w:rPr>
                <w:rFonts w:ascii="Times New Roman" w:eastAsia="Times New Roman" w:hAnsi="Times New Roman" w:cs="Times New Roman"/>
                <w:color w:val="000000"/>
                <w:spacing w:val="0"/>
                <w:w w:val="100"/>
                <w:position w:val="0"/>
              </w:rPr>
              <w:t>96.00%</w:t>
            </w:r>
          </w:p>
        </w:tc>
      </w:tr>
    </w:tbl>
    <w:p>
      <w:pPr>
        <w:spacing w:lineRule="exact" w:line="1"/>
        <w:rPr>
          <w:sz w:val="2"/>
          <w:szCs w:val="2"/>
        </w:rPr>
      </w:pPr>
      <w:r>
        <w:br w:type="page"/>
      </w:r>
    </w:p>
    <w:tbl>
      <w:tblPr>
        <w:tblOverlap w:val="never"/>
        <w:jc w:val="center"/>
        <w:tblLayout w:type="fixed"/>
      </w:tblPr>
      <w:tblGrid>
        <w:gridCol w:w="1992"/>
        <w:gridCol w:w="3403"/>
        <w:gridCol w:w="4190"/>
      </w:tblGrid>
      <w:tr>
        <w:trPr>
          <w:trHeight w:val="40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重大缺陷：内部控制环境无效；公司董 事、监事和高级管理人员舞弊并给公司造成 重大损失和不利影响；外部审计发现当期财 务报表存在重大错报，但内部控制在运行过 程中未发现；公司审计委员会和内部审计机 构对内部控制的监督无效；其他可能影响报 表使用者正确判断的缺陷。</w:t>
            </w:r>
          </w:p>
          <w:p>
            <w:pPr>
              <w:pStyle w:val="Style2"/>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重要缺陷：未依照公认会计准则选择和 应用会计政策；更正已经公布的财务报表； 对于期末财务报告过程的控制存在一项或 多项缺陷且不能合财务报表真实、准确。</w:t>
            </w:r>
          </w:p>
          <w:p>
            <w:pPr>
              <w:pStyle w:val="Style2"/>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一般缺陷：除上述重大缺陷、重要缺陷 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重大缺陷：严重违犯国家法律、行政法规，受到 监管或省级以上政府部门处罚；违反决策程序，导致 重大决策失误，给公司造成重大财产损失；出现重大 的安全生产、产品质量或服务事故；媒体负面报道频 现经查属实，且难以恢复；其他对公司负面影响重大 的情形。</w:t>
            </w:r>
          </w:p>
          <w:p>
            <w:pPr>
              <w:pStyle w:val="Style2"/>
              <w:keepNext w:val="0"/>
              <w:keepLines w:val="0"/>
              <w:widowControl w:val="0"/>
              <w:shd w:val="clear" w:color="auto" w:fill="auto"/>
              <w:tabs>
                <w:tab w:pos="283"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重要缺陷：违反国家法律法规，受到省级以下政 府部门处罚；违反公司规章制度或标准操作规范，给 公司带来较大的财产损失；违反决策程序，导致决策 失误，给公司造成较大财产损失；涉及公司生产经营 的重要业务缺乏制度控制或制度系统失效；出现较大 的安全生产、产品质量或服务事故；媒体出现负面新 闻，涉及局部区域；关键岗位管理人员和技术人员流 失严重；一个或多个一般缺陷组合，其严重程度和经 济后果低于重大缺陷，但仍可能导致公司偏离控制目 标的缺陷。</w:t>
            </w:r>
          </w:p>
          <w:p>
            <w:pPr>
              <w:pStyle w:val="Style2"/>
              <w:keepNext w:val="0"/>
              <w:keepLines w:val="0"/>
              <w:widowControl w:val="0"/>
              <w:shd w:val="clear" w:color="auto" w:fill="auto"/>
              <w:tabs>
                <w:tab w:pos="274"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一般缺陷：不构成重大缺陷或重要缺陷的其他内 部控制缺陷。</w:t>
            </w:r>
          </w:p>
        </w:tc>
      </w:tr>
      <w:tr>
        <w:trPr>
          <w:trHeight w:val="731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0" w:val="left"/>
              </w:tabs>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重大缺陷：涉及资产、负债的错报，错 报金额</w:t>
            </w:r>
            <w:r>
              <w:rPr>
                <w:color w:val="000000"/>
                <w:spacing w:val="0"/>
                <w:w w:val="100"/>
                <w:position w:val="0"/>
              </w:rPr>
              <w:t>〉</w:t>
            </w:r>
            <w:r>
              <w:rPr>
                <w:color w:val="000000"/>
                <w:spacing w:val="0"/>
                <w:w w:val="100"/>
                <w:position w:val="0"/>
              </w:rPr>
              <w:t>合并报表最近一个会计年度经审计 资产总额</w:t>
            </w:r>
            <w:r>
              <w:rPr>
                <w:rFonts w:ascii="Times New Roman" w:eastAsia="Times New Roman" w:hAnsi="Times New Roman" w:cs="Times New Roman"/>
                <w:color w:val="000000"/>
                <w:spacing w:val="0"/>
                <w:w w:val="100"/>
                <w:position w:val="0"/>
              </w:rPr>
              <w:t>5%</w:t>
            </w:r>
            <w:r>
              <w:rPr>
                <w:color w:val="000000"/>
                <w:spacing w:val="0"/>
                <w:w w:val="100"/>
                <w:position w:val="0"/>
              </w:rPr>
              <w:t>；涉及净资产的错报，错报金 额</w:t>
            </w:r>
            <w:r>
              <w:rPr>
                <w:color w:val="000000"/>
                <w:spacing w:val="0"/>
                <w:w w:val="100"/>
                <w:position w:val="0"/>
              </w:rPr>
              <w:t>〉</w:t>
            </w:r>
            <w:r>
              <w:rPr>
                <w:color w:val="000000"/>
                <w:spacing w:val="0"/>
                <w:w w:val="100"/>
                <w:position w:val="0"/>
              </w:rPr>
              <w:t>合并报表最近一个会计年度经审计净资 产总额</w:t>
            </w:r>
            <w:r>
              <w:rPr>
                <w:rFonts w:ascii="Times New Roman" w:eastAsia="Times New Roman" w:hAnsi="Times New Roman" w:cs="Times New Roman"/>
                <w:color w:val="000000"/>
                <w:spacing w:val="0"/>
                <w:w w:val="100"/>
                <w:position w:val="0"/>
              </w:rPr>
              <w:t xml:space="preserve">5% </w:t>
            </w:r>
            <w:r>
              <w:rPr>
                <w:color w:val="000000"/>
                <w:spacing w:val="0"/>
                <w:w w:val="100"/>
                <w:position w:val="0"/>
              </w:rPr>
              <w:t>；涉及损益的错报，错报金额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合并报表最近一个会计年度经审计收入总 额</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25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重要缺陷：涉及资产、负债的错报，合 并报表最近一个会计年度经审计资产总额 </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错报金额</w:t>
            </w:r>
            <w:r>
              <w:rPr>
                <w:rFonts w:ascii="Times New Roman" w:eastAsia="Times New Roman" w:hAnsi="Times New Roman" w:cs="Times New Roman"/>
                <w:color w:val="000000"/>
                <w:spacing w:val="0"/>
                <w:w w:val="100"/>
                <w:position w:val="0"/>
              </w:rPr>
              <w:t>S</w:t>
            </w:r>
            <w:r>
              <w:rPr>
                <w:color w:val="000000"/>
                <w:spacing w:val="0"/>
                <w:w w:val="100"/>
                <w:position w:val="0"/>
              </w:rPr>
              <w:t>合并报表最近一个会计年度 经审计资产总额</w:t>
            </w:r>
            <w:r>
              <w:rPr>
                <w:rFonts w:ascii="Times New Roman" w:eastAsia="Times New Roman" w:hAnsi="Times New Roman" w:cs="Times New Roman"/>
                <w:color w:val="000000"/>
                <w:spacing w:val="0"/>
                <w:w w:val="100"/>
                <w:position w:val="0"/>
              </w:rPr>
              <w:t xml:space="preserve">5% </w:t>
            </w:r>
            <w:r>
              <w:rPr>
                <w:color w:val="000000"/>
                <w:spacing w:val="0"/>
                <w:w w:val="100"/>
                <w:position w:val="0"/>
              </w:rPr>
              <w:t>；涉及净资产的错报， 合并报表最近一个会计年度经审计净资产 总额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错报金额</w:t>
            </w:r>
            <w:r>
              <w:rPr>
                <w:rFonts w:ascii="Times New Roman" w:eastAsia="Times New Roman" w:hAnsi="Times New Roman" w:cs="Times New Roman"/>
                <w:color w:val="000000"/>
                <w:spacing w:val="0"/>
                <w:w w:val="100"/>
                <w:position w:val="0"/>
              </w:rPr>
              <w:t>S</w:t>
            </w:r>
            <w:r>
              <w:rPr>
                <w:color w:val="000000"/>
                <w:spacing w:val="0"/>
                <w:w w:val="100"/>
                <w:position w:val="0"/>
              </w:rPr>
              <w:t>合并报表最近一个会计 年度经审计净资产总额</w:t>
            </w:r>
            <w:r>
              <w:rPr>
                <w:rFonts w:ascii="Times New Roman" w:eastAsia="Times New Roman" w:hAnsi="Times New Roman" w:cs="Times New Roman"/>
                <w:color w:val="000000"/>
                <w:spacing w:val="0"/>
                <w:w w:val="100"/>
                <w:position w:val="0"/>
              </w:rPr>
              <w:t>5%</w:t>
            </w:r>
            <w:r>
              <w:rPr>
                <w:color w:val="000000"/>
                <w:spacing w:val="0"/>
                <w:w w:val="100"/>
                <w:position w:val="0"/>
              </w:rPr>
              <w:t>；涉及损益的错 报，合并报表最近一个会计年度经审计收 入总额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错报金额</w:t>
            </w:r>
            <w:r>
              <w:rPr>
                <w:rFonts w:ascii="Times New Roman" w:eastAsia="Times New Roman" w:hAnsi="Times New Roman" w:cs="Times New Roman"/>
                <w:color w:val="000000"/>
                <w:spacing w:val="0"/>
                <w:w w:val="100"/>
                <w:position w:val="0"/>
              </w:rPr>
              <w:t>S</w:t>
            </w:r>
            <w:r>
              <w:rPr>
                <w:color w:val="000000"/>
                <w:spacing w:val="0"/>
                <w:w w:val="100"/>
                <w:position w:val="0"/>
              </w:rPr>
              <w:t>合并报表最近一个会 计年度经审计收入总额</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25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一般缺陷：涉及资产、负债的错报，错 报金额</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合并报表最近一个会计年度经审计 资产总额</w:t>
            </w:r>
            <w:r>
              <w:rPr>
                <w:rFonts w:ascii="Times New Roman" w:eastAsia="Times New Roman" w:hAnsi="Times New Roman" w:cs="Times New Roman"/>
                <w:color w:val="000000"/>
                <w:spacing w:val="0"/>
                <w:w w:val="100"/>
                <w:position w:val="0"/>
              </w:rPr>
              <w:t xml:space="preserve">3% </w:t>
            </w:r>
            <w:r>
              <w:rPr>
                <w:color w:val="000000"/>
                <w:spacing w:val="0"/>
                <w:w w:val="100"/>
                <w:position w:val="0"/>
              </w:rPr>
              <w:t>；涉及净资产的错报，错报金 额</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合并报表最近一个会计年度经审计净资 产总额</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；涉及损益的错报，错报金额 </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合并报表最近一个会计年度经审计收入总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6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重大缺陷：缺陷导致的直接损失金额</w:t>
            </w:r>
            <w:r>
              <w:rPr>
                <w:color w:val="000000"/>
                <w:spacing w:val="0"/>
                <w:w w:val="100"/>
                <w:position w:val="0"/>
              </w:rPr>
              <w:t>〉</w:t>
            </w:r>
            <w:r>
              <w:rPr>
                <w:color w:val="000000"/>
                <w:spacing w:val="0"/>
                <w:w w:val="100"/>
                <w:position w:val="0"/>
              </w:rPr>
              <w:t>合并报表最 近一期经审计净资产的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
              <w:keepNext w:val="0"/>
              <w:keepLines w:val="0"/>
              <w:widowControl w:val="0"/>
              <w:shd w:val="clear" w:color="auto" w:fill="auto"/>
              <w:tabs>
                <w:tab w:pos="216" w:val="left"/>
              </w:tabs>
              <w:bidi w:val="0"/>
              <w:spacing w:before="0" w:after="6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重要缺陷：合并报表最近一期经审计净资产的</w:t>
            </w:r>
            <w:r>
              <w:rPr>
                <w:rFonts w:ascii="Times New Roman" w:eastAsia="Times New Roman" w:hAnsi="Times New Roman" w:cs="Times New Roman"/>
                <w:color w:val="000000"/>
                <w:spacing w:val="0"/>
                <w:w w:val="100"/>
                <w:position w:val="0"/>
              </w:rPr>
              <w:t xml:space="preserve">5%&lt; </w:t>
            </w:r>
            <w:r>
              <w:rPr>
                <w:color w:val="000000"/>
                <w:spacing w:val="0"/>
                <w:w w:val="100"/>
                <w:position w:val="0"/>
              </w:rPr>
              <w:t>缺陷导致的直接损失金额</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合并报表最近一期经审计 净资产的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
              <w:keepNext w:val="0"/>
              <w:keepLines w:val="0"/>
              <w:widowControl w:val="0"/>
              <w:shd w:val="clear" w:color="auto" w:fill="auto"/>
              <w:tabs>
                <w:tab w:pos="259"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一般缺陷：缺陷导致的直接损失金额</w:t>
            </w:r>
            <w:r>
              <w:rPr>
                <w:rFonts w:ascii="Times New Roman" w:eastAsia="Times New Roman" w:hAnsi="Times New Roman" w:cs="Times New Roman"/>
                <w:color w:val="000000"/>
                <w:spacing w:val="0"/>
                <w:w w:val="100"/>
                <w:position w:val="0"/>
              </w:rPr>
              <w:t>W</w:t>
            </w:r>
            <w:r>
              <w:rPr>
                <w:color w:val="000000"/>
                <w:spacing w:val="0"/>
                <w:w w:val="100"/>
                <w:position w:val="0"/>
              </w:rPr>
              <w:t>合并报表最 近一期经审计净资产的</w:t>
            </w:r>
            <w:r>
              <w:rPr>
                <w:rFonts w:ascii="Times New Roman" w:eastAsia="Times New Roman" w:hAnsi="Times New Roman" w:cs="Times New Roman"/>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1987"/>
        <w:gridCol w:w="7598"/>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财务报告重大缺陷数量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非财务报告重大缺陷数 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财务报告重要缺陷数量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非财务报告重要缺陷数 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r>
        <w:rPr>
          <w:color w:val="000000"/>
          <w:spacing w:val="0"/>
          <w:w w:val="100"/>
          <w:position w:val="0"/>
          <w:sz w:val="24"/>
          <w:szCs w:val="24"/>
        </w:rPr>
        <w:t>十、内部控制审计报告或鉴证报告</w:t>
      </w:r>
      <w:bookmarkEnd w:id="675"/>
      <w:bookmarkEnd w:id="676"/>
      <w:bookmarkEnd w:id="677"/>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254" w:right="1037" w:bottom="1494" w:left="1072"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580" w:line="240" w:lineRule="auto"/>
        <w:ind w:left="0" w:right="0" w:firstLine="0"/>
        <w:jc w:val="center"/>
      </w:pPr>
      <w:bookmarkStart w:id="678" w:name="bookmark678"/>
      <w:bookmarkStart w:id="679" w:name="bookmark679"/>
      <w:bookmarkStart w:id="680" w:name="bookmark680"/>
      <w:r>
        <w:rPr>
          <w:color w:val="000000"/>
          <w:spacing w:val="0"/>
          <w:w w:val="100"/>
          <w:position w:val="0"/>
        </w:rPr>
        <w:t>第十一节公司债券相关情况</w:t>
      </w:r>
      <w:bookmarkEnd w:id="678"/>
      <w:bookmarkEnd w:id="679"/>
      <w:bookmarkEnd w:id="680"/>
    </w:p>
    <w:p>
      <w:pPr>
        <w:pStyle w:val="Style29"/>
        <w:keepNext w:val="0"/>
        <w:keepLines w:val="0"/>
        <w:widowControl w:val="0"/>
        <w:shd w:val="clear" w:color="auto" w:fill="auto"/>
        <w:bidi w:val="0"/>
        <w:spacing w:before="0" w:after="140" w:line="240" w:lineRule="auto"/>
        <w:ind w:left="0" w:right="0" w:firstLine="0"/>
        <w:jc w:val="left"/>
      </w:pPr>
      <w:bookmarkStart w:id="681" w:name="bookmark681"/>
      <w:r>
        <w:rPr>
          <w:color w:val="000000"/>
          <w:spacing w:val="0"/>
          <w:w w:val="100"/>
          <w:position w:val="0"/>
        </w:rPr>
        <w:t>公司是否存在公开发行并在证券交易所上市，且在年度报告批准报出日未到期或到期未能全额兑付的公司债券</w:t>
      </w:r>
      <w:bookmarkEnd w:id="681"/>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680" w:after="520" w:line="240" w:lineRule="auto"/>
        <w:ind w:left="0" w:right="0" w:firstLine="0"/>
        <w:jc w:val="center"/>
      </w:pPr>
      <w:bookmarkStart w:id="682" w:name="bookmark682"/>
      <w:bookmarkStart w:id="683" w:name="bookmark683"/>
      <w:bookmarkStart w:id="684" w:name="bookmark684"/>
      <w:r>
        <w:rPr>
          <w:color w:val="000000"/>
          <w:spacing w:val="0"/>
          <w:w w:val="100"/>
          <w:position w:val="0"/>
        </w:rPr>
        <w:t>第十二节财务报告</w:t>
      </w:r>
      <w:bookmarkEnd w:id="682"/>
      <w:bookmarkEnd w:id="683"/>
      <w:bookmarkEnd w:id="684"/>
    </w:p>
    <w:p>
      <w:pPr>
        <w:pStyle w:val="Style27"/>
        <w:keepNext/>
        <w:keepLines/>
        <w:widowControl w:val="0"/>
        <w:shd w:val="clear" w:color="auto" w:fill="auto"/>
        <w:bidi w:val="0"/>
        <w:spacing w:before="0" w:line="240" w:lineRule="auto"/>
        <w:ind w:left="0" w:right="0" w:firstLine="240"/>
        <w:jc w:val="both"/>
      </w:pPr>
      <w:bookmarkStart w:id="685" w:name="bookmark685"/>
      <w:bookmarkStart w:id="686" w:name="bookmark686"/>
      <w:bookmarkStart w:id="687" w:name="bookmark687"/>
      <w:bookmarkStart w:id="688" w:name="bookmark688"/>
      <w:r>
        <w:rPr>
          <w:color w:val="000000"/>
          <w:spacing w:val="0"/>
          <w:w w:val="100"/>
          <w:position w:val="0"/>
          <w:sz w:val="24"/>
          <w:szCs w:val="24"/>
        </w:rPr>
        <w:t>、审计报告</w:t>
      </w:r>
      <w:bookmarkEnd w:id="686"/>
      <w:bookmarkEnd w:id="687"/>
      <w:bookmarkEnd w:id="688"/>
      <w:bookmarkEnd w:id="685"/>
    </w:p>
    <w:tbl>
      <w:tblPr>
        <w:tblOverlap w:val="never"/>
        <w:jc w:val="center"/>
        <w:tblLayout w:type="fixed"/>
      </w:tblPr>
      <w:tblGrid>
        <w:gridCol w:w="3269"/>
        <w:gridCol w:w="631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w:t>
            </w:r>
            <w:r>
              <w:rPr>
                <w:color w:val="000000"/>
                <w:spacing w:val="0"/>
                <w:w w:val="100"/>
                <w:position w:val="0"/>
              </w:rPr>
              <w:t>证审字第</w:t>
            </w:r>
            <w:r>
              <w:rPr>
                <w:rFonts w:ascii="Times New Roman" w:eastAsia="Times New Roman" w:hAnsi="Times New Roman" w:cs="Times New Roman"/>
                <w:color w:val="000000"/>
                <w:spacing w:val="0"/>
                <w:w w:val="100"/>
                <w:position w:val="0"/>
              </w:rPr>
              <w:t>0100001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陈峰、易厚震</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0" w:right="0" w:firstLine="0"/>
        <w:jc w:val="center"/>
      </w:pPr>
      <w:r>
        <w:rPr>
          <w:b w:val="0"/>
          <w:bCs w:val="0"/>
          <w:color w:val="000000"/>
          <w:spacing w:val="0"/>
          <w:w w:val="100"/>
          <w:position w:val="0"/>
        </w:rPr>
        <w:t>审计报告正文</w:t>
      </w:r>
    </w:p>
    <w:p>
      <w:pPr>
        <w:pStyle w:val="Style44"/>
        <w:keepNext w:val="0"/>
        <w:keepLines w:val="0"/>
        <w:widowControl w:val="0"/>
        <w:shd w:val="clear" w:color="auto" w:fill="auto"/>
        <w:tabs>
          <w:tab w:pos="898" w:val="left"/>
        </w:tabs>
        <w:bidi w:val="0"/>
        <w:spacing w:before="0" w:after="40" w:line="468" w:lineRule="exact"/>
        <w:ind w:left="0" w:right="0" w:firstLine="420"/>
        <w:jc w:val="both"/>
      </w:pPr>
      <w:bookmarkStart w:id="689" w:name="bookmark689"/>
      <w:r>
        <w:rPr>
          <w:b/>
          <w:bCs/>
          <w:color w:val="000000"/>
          <w:spacing w:val="0"/>
          <w:w w:val="100"/>
          <w:position w:val="0"/>
        </w:rPr>
        <w:t>一</w:t>
      </w:r>
      <w:bookmarkEnd w:id="689"/>
      <w:r>
        <w:rPr>
          <w:b/>
          <w:bCs/>
          <w:color w:val="000000"/>
          <w:spacing w:val="0"/>
          <w:w w:val="100"/>
          <w:position w:val="0"/>
        </w:rPr>
        <w:t>、</w:t>
        <w:tab/>
        <w:t>审计意见</w:t>
      </w:r>
    </w:p>
    <w:p>
      <w:pPr>
        <w:pStyle w:val="Style4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我们审计了后附的厦门市美亚柏科信息股份有限公司（以下简称“美亚柏科”）财务报表，包括2020 年12月31日的合并及公司资产负债表，2020年度的合并及公司利润表、合并及公司现金流量表、合并及公 司股东权益变动表以及相关财务报表附注。</w:t>
      </w:r>
    </w:p>
    <w:p>
      <w:pPr>
        <w:pStyle w:val="Style44"/>
        <w:keepNext w:val="0"/>
        <w:keepLines w:val="0"/>
        <w:widowControl w:val="0"/>
        <w:shd w:val="clear" w:color="auto" w:fill="auto"/>
        <w:bidi w:val="0"/>
        <w:spacing w:before="0" w:after="40" w:line="464" w:lineRule="exact"/>
        <w:ind w:left="0" w:right="0" w:firstLine="440"/>
        <w:jc w:val="both"/>
      </w:pPr>
      <w:r>
        <w:rPr>
          <w:color w:val="000000"/>
          <w:spacing w:val="0"/>
          <w:w w:val="100"/>
          <w:position w:val="0"/>
        </w:rPr>
        <w:t>我们认为，后附的财务报表在所有重大方面按照企业会计准则的规定编制，公允反映了美亚柏科2020 年12月31日合并及公司的财务状况以及2020年度合并及公司的经营成果和现金流量。</w:t>
      </w:r>
    </w:p>
    <w:p>
      <w:pPr>
        <w:pStyle w:val="Style44"/>
        <w:keepNext w:val="0"/>
        <w:keepLines w:val="0"/>
        <w:widowControl w:val="0"/>
        <w:shd w:val="clear" w:color="auto" w:fill="auto"/>
        <w:tabs>
          <w:tab w:pos="898" w:val="left"/>
        </w:tabs>
        <w:bidi w:val="0"/>
        <w:spacing w:before="0" w:after="40" w:line="468" w:lineRule="exact"/>
        <w:ind w:left="0" w:right="0" w:firstLine="420"/>
        <w:jc w:val="both"/>
      </w:pPr>
      <w:bookmarkStart w:id="690" w:name="bookmark690"/>
      <w:r>
        <w:rPr>
          <w:b/>
          <w:bCs/>
          <w:color w:val="000000"/>
          <w:spacing w:val="0"/>
          <w:w w:val="100"/>
          <w:position w:val="0"/>
        </w:rPr>
        <w:t>二</w:t>
      </w:r>
      <w:bookmarkEnd w:id="690"/>
      <w:r>
        <w:rPr>
          <w:b/>
          <w:bCs/>
          <w:color w:val="000000"/>
          <w:spacing w:val="0"/>
          <w:w w:val="100"/>
          <w:position w:val="0"/>
        </w:rPr>
        <w:t>、</w:t>
        <w:tab/>
        <w:t>形成审计意见的基础</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的责任”部分进一步阐述了我们在这些准则下的责任。按照中国注册会计师职业道德守则，我们独立于美 亚柏科，并履行了职业道德方面的其他责任。我们相信，我们获取的审计证据是充分、适当的，为发表审 计意见提供了基础。</w:t>
      </w:r>
    </w:p>
    <w:p>
      <w:pPr>
        <w:pStyle w:val="Style44"/>
        <w:keepNext w:val="0"/>
        <w:keepLines w:val="0"/>
        <w:widowControl w:val="0"/>
        <w:shd w:val="clear" w:color="auto" w:fill="auto"/>
        <w:tabs>
          <w:tab w:pos="898" w:val="left"/>
        </w:tabs>
        <w:bidi w:val="0"/>
        <w:spacing w:before="0" w:after="0" w:line="468" w:lineRule="exact"/>
        <w:ind w:left="0" w:right="0" w:firstLine="420"/>
        <w:jc w:val="both"/>
      </w:pPr>
      <w:bookmarkStart w:id="691" w:name="bookmark691"/>
      <w:r>
        <w:rPr>
          <w:b/>
          <w:bCs/>
          <w:color w:val="000000"/>
          <w:spacing w:val="0"/>
          <w:w w:val="100"/>
          <w:position w:val="0"/>
        </w:rPr>
        <w:t>三</w:t>
      </w:r>
      <w:bookmarkEnd w:id="691"/>
      <w:r>
        <w:rPr>
          <w:b/>
          <w:bCs/>
          <w:color w:val="000000"/>
          <w:spacing w:val="0"/>
          <w:w w:val="100"/>
          <w:position w:val="0"/>
        </w:rPr>
        <w:t>、</w:t>
        <w:tab/>
        <w:t>关键审计事项</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关键审计事项是根据我们的职业判断，认为对本期财务报表审计最为重要的事项。这些事项的应对以 对财务报表整体进行审计并形成审计意见为背景，我们不对这些事项单独发表意见。</w:t>
      </w:r>
    </w:p>
    <w:p>
      <w:pPr>
        <w:pStyle w:val="Style44"/>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（一）应收账款及合同资产减值</w:t>
      </w:r>
    </w:p>
    <w:p>
      <w:pPr>
        <w:pStyle w:val="Style44"/>
        <w:keepNext w:val="0"/>
        <w:keepLines w:val="0"/>
        <w:widowControl w:val="0"/>
        <w:shd w:val="clear" w:color="auto" w:fill="auto"/>
        <w:bidi w:val="0"/>
        <w:spacing w:before="0" w:after="0" w:line="468" w:lineRule="exact"/>
        <w:ind w:left="0" w:right="0" w:firstLine="420"/>
        <w:jc w:val="both"/>
      </w:pPr>
      <w:bookmarkStart w:id="692" w:name="bookmark692"/>
      <w:r>
        <w:rPr>
          <w:color w:val="000000"/>
          <w:spacing w:val="0"/>
          <w:w w:val="100"/>
          <w:position w:val="0"/>
        </w:rPr>
        <w:t>1</w:t>
      </w:r>
      <w:bookmarkEnd w:id="692"/>
      <w:r>
        <w:rPr>
          <w:color w:val="000000"/>
          <w:spacing w:val="0"/>
          <w:w w:val="100"/>
          <w:position w:val="0"/>
        </w:rPr>
        <w:t>、事项描述</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如财务报表附注“五、重要会计政策及会计估计之10、金融工具”、“七、合并财务报表主要项目注 释之5、应收账款”及“七、合并财务报表主要项目注释之10、合同资产”所述。截止2020年12月31日， 美亚柏科合并报表应收账款及合同资产账面余额为</w:t>
      </w:r>
      <w:r>
        <w:rPr>
          <w:color w:val="000000"/>
          <w:spacing w:val="0"/>
          <w:w w:val="100"/>
          <w:position w:val="0"/>
        </w:rPr>
        <w:t>1,116,082,426.65</w:t>
      </w:r>
      <w:r>
        <w:rPr>
          <w:color w:val="000000"/>
          <w:spacing w:val="0"/>
          <w:w w:val="100"/>
          <w:position w:val="0"/>
        </w:rPr>
        <w:t>元，减值准备</w:t>
      </w:r>
      <w:r>
        <w:rPr>
          <w:color w:val="000000"/>
          <w:spacing w:val="0"/>
          <w:w w:val="100"/>
          <w:position w:val="0"/>
        </w:rPr>
        <w:t>149,155,318.71</w:t>
      </w:r>
      <w:r>
        <w:rPr>
          <w:color w:val="000000"/>
          <w:spacing w:val="0"/>
          <w:w w:val="100"/>
          <w:position w:val="0"/>
        </w:rPr>
        <w:t xml:space="preserve">元，扣 </w:t>
      </w:r>
      <w:r>
        <w:rPr>
          <w:color w:val="000000"/>
          <w:spacing w:val="0"/>
          <w:w w:val="100"/>
          <w:position w:val="0"/>
        </w:rPr>
        <w:t xml:space="preserve">除减值准备后余额为966, </w:t>
      </w:r>
      <w:r>
        <w:rPr>
          <w:color w:val="000000"/>
          <w:spacing w:val="0"/>
          <w:w w:val="100"/>
          <w:position w:val="0"/>
        </w:rPr>
        <w:t>927,107.94</w:t>
      </w:r>
      <w:r>
        <w:rPr>
          <w:color w:val="000000"/>
          <w:spacing w:val="0"/>
          <w:w w:val="100"/>
          <w:position w:val="0"/>
        </w:rPr>
        <w:t>元。</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美亚柏科管理层根据各项应收账款及合同资产的信用风险特征，以单项应收账款或应收账款组合、单 项合同资产或合同资产组合为基础，按照相当于整个存续期内的预期信用损失金额计量其损失准备。对于 以单项为基础计量预期信用损失的应收账款及合同资产，管理层综合考虑有关过去事项、当前状况以及未 来经济状况预测，估计预期收取的现金流量，据此确定应计提的减值准备；对于以组合为基础计量预期信 用损失的应收账款及合同资产，管理层参照历史信用损失经验，并根据前瞻性估计予以调整，编制应收账 款及合同资产账龄与违约损失率对照表，据此确定应计提的减值准备。</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基于应收账款及合同资产账面价值重大，减值准备的计提涉及管理层运用重大的会计估计和判断的固 有不确定性，因此我们将应收账款及合同资产减值认定为关键审计事项。</w:t>
      </w:r>
    </w:p>
    <w:p>
      <w:pPr>
        <w:pStyle w:val="Style44"/>
        <w:keepNext w:val="0"/>
        <w:keepLines w:val="0"/>
        <w:widowControl w:val="0"/>
        <w:shd w:val="clear" w:color="auto" w:fill="auto"/>
        <w:bidi w:val="0"/>
        <w:spacing w:before="0" w:after="0" w:line="472" w:lineRule="exact"/>
        <w:ind w:left="0" w:right="0" w:firstLine="440"/>
        <w:jc w:val="both"/>
      </w:pPr>
      <w:bookmarkStart w:id="693" w:name="bookmark693"/>
      <w:r>
        <w:rPr>
          <w:color w:val="000000"/>
          <w:spacing w:val="0"/>
          <w:w w:val="100"/>
          <w:position w:val="0"/>
        </w:rPr>
        <w:t>2</w:t>
      </w:r>
      <w:bookmarkEnd w:id="693"/>
      <w:r>
        <w:rPr>
          <w:color w:val="000000"/>
          <w:spacing w:val="0"/>
          <w:w w:val="100"/>
          <w:position w:val="0"/>
        </w:rPr>
        <w:t>、审计应对</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我们针对应收账款及合同资产减值准备执行的审计程序主要有：</w:t>
      </w:r>
    </w:p>
    <w:p>
      <w:pPr>
        <w:pStyle w:val="Style44"/>
        <w:keepNext w:val="0"/>
        <w:keepLines w:val="0"/>
        <w:widowControl w:val="0"/>
        <w:numPr>
          <w:ilvl w:val="0"/>
          <w:numId w:val="7"/>
        </w:numPr>
        <w:shd w:val="clear" w:color="auto" w:fill="auto"/>
        <w:tabs>
          <w:tab w:pos="1011" w:val="left"/>
        </w:tabs>
        <w:bidi w:val="0"/>
        <w:spacing w:before="0" w:after="0" w:line="472" w:lineRule="exact"/>
        <w:ind w:left="0" w:right="0" w:firstLine="440"/>
        <w:jc w:val="both"/>
      </w:pPr>
      <w:bookmarkStart w:id="694" w:name="bookmark694"/>
      <w:bookmarkEnd w:id="694"/>
      <w:r>
        <w:rPr>
          <w:color w:val="000000"/>
          <w:spacing w:val="0"/>
          <w:w w:val="100"/>
          <w:position w:val="0"/>
        </w:rPr>
        <w:t>对美亚柏科信用政策、应收账款及合同资产管理相关内部控制的设计和运行有效性进行评估和 测试；</w:t>
      </w:r>
    </w:p>
    <w:p>
      <w:pPr>
        <w:pStyle w:val="Style44"/>
        <w:keepNext w:val="0"/>
        <w:keepLines w:val="0"/>
        <w:widowControl w:val="0"/>
        <w:numPr>
          <w:ilvl w:val="0"/>
          <w:numId w:val="7"/>
        </w:numPr>
        <w:shd w:val="clear" w:color="auto" w:fill="auto"/>
        <w:tabs>
          <w:tab w:pos="1011" w:val="left"/>
        </w:tabs>
        <w:bidi w:val="0"/>
        <w:spacing w:before="0" w:after="0" w:line="485" w:lineRule="exact"/>
        <w:ind w:left="0" w:right="0" w:firstLine="440"/>
        <w:jc w:val="both"/>
      </w:pPr>
      <w:bookmarkStart w:id="695" w:name="bookmark695"/>
      <w:bookmarkEnd w:id="695"/>
      <w:r>
        <w:rPr>
          <w:color w:val="000000"/>
          <w:spacing w:val="0"/>
          <w:w w:val="100"/>
          <w:position w:val="0"/>
        </w:rPr>
        <w:t>分析美亚柏科应收账款及合同资产减值准备会计估计的合理性，包括应收账款组合、合同资产 组合的依据，单独计提减值准备的判断等；</w:t>
      </w:r>
    </w:p>
    <w:p>
      <w:pPr>
        <w:pStyle w:val="Style44"/>
        <w:keepNext w:val="0"/>
        <w:keepLines w:val="0"/>
        <w:widowControl w:val="0"/>
        <w:numPr>
          <w:ilvl w:val="0"/>
          <w:numId w:val="7"/>
        </w:numPr>
        <w:shd w:val="clear" w:color="auto" w:fill="auto"/>
        <w:tabs>
          <w:tab w:pos="1011" w:val="left"/>
        </w:tabs>
        <w:bidi w:val="0"/>
        <w:spacing w:before="0" w:after="0" w:line="494" w:lineRule="exact"/>
        <w:ind w:left="0" w:right="0" w:firstLine="440"/>
        <w:jc w:val="both"/>
      </w:pPr>
      <w:bookmarkStart w:id="696" w:name="bookmark696"/>
      <w:bookmarkEnd w:id="696"/>
      <w:r>
        <w:rPr>
          <w:color w:val="000000"/>
          <w:spacing w:val="0"/>
          <w:w w:val="100"/>
          <w:position w:val="0"/>
        </w:rPr>
        <w:t>对于按账龄组合计提减值准备的应收账款及合同资产，测试其坏账计提比例与历史损失率是否 相符；</w:t>
      </w:r>
    </w:p>
    <w:p>
      <w:pPr>
        <w:pStyle w:val="Style44"/>
        <w:keepNext w:val="0"/>
        <w:keepLines w:val="0"/>
        <w:widowControl w:val="0"/>
        <w:numPr>
          <w:ilvl w:val="0"/>
          <w:numId w:val="7"/>
        </w:numPr>
        <w:shd w:val="clear" w:color="auto" w:fill="auto"/>
        <w:tabs>
          <w:tab w:pos="1011" w:val="left"/>
        </w:tabs>
        <w:bidi w:val="0"/>
        <w:spacing w:before="0" w:after="0" w:line="475" w:lineRule="exact"/>
        <w:ind w:left="0" w:right="0" w:firstLine="440"/>
        <w:jc w:val="both"/>
      </w:pPr>
      <w:bookmarkStart w:id="697" w:name="bookmark697"/>
      <w:bookmarkEnd w:id="697"/>
      <w:r>
        <w:rPr>
          <w:color w:val="000000"/>
          <w:spacing w:val="0"/>
          <w:w w:val="100"/>
          <w:position w:val="0"/>
        </w:rPr>
        <w:t>获取美亚柏科应收账款及合同资产账龄明细表及减值准备计算表，重新计算减值准备计提是否 准确；</w:t>
      </w:r>
    </w:p>
    <w:p>
      <w:pPr>
        <w:pStyle w:val="Style44"/>
        <w:keepNext w:val="0"/>
        <w:keepLines w:val="0"/>
        <w:widowControl w:val="0"/>
        <w:numPr>
          <w:ilvl w:val="0"/>
          <w:numId w:val="7"/>
        </w:numPr>
        <w:shd w:val="clear" w:color="auto" w:fill="auto"/>
        <w:tabs>
          <w:tab w:pos="1007" w:val="left"/>
        </w:tabs>
        <w:bidi w:val="0"/>
        <w:spacing w:before="0" w:after="0" w:line="490" w:lineRule="exact"/>
        <w:ind w:left="0" w:right="0" w:firstLine="440"/>
        <w:jc w:val="both"/>
      </w:pPr>
      <w:bookmarkStart w:id="698" w:name="bookmark698"/>
      <w:bookmarkEnd w:id="698"/>
      <w:r>
        <w:rPr>
          <w:color w:val="000000"/>
          <w:spacing w:val="0"/>
          <w:w w:val="100"/>
          <w:position w:val="0"/>
        </w:rPr>
        <w:t>对重大的应收账款及合同资产，通过分析应收账款及合同资产账龄和客户信誉情况，并执行应 收账款及合同资产函证程序及检查期后回款情况，评价应收账款及合同资产减值准备计提的合理性。</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(二)商誉减值</w:t>
      </w:r>
    </w:p>
    <w:p>
      <w:pPr>
        <w:pStyle w:val="Style44"/>
        <w:keepNext w:val="0"/>
        <w:keepLines w:val="0"/>
        <w:widowControl w:val="0"/>
        <w:shd w:val="clear" w:color="auto" w:fill="auto"/>
        <w:bidi w:val="0"/>
        <w:spacing w:before="0" w:after="0" w:line="461" w:lineRule="exact"/>
        <w:ind w:left="0" w:right="0" w:firstLine="440"/>
        <w:jc w:val="both"/>
      </w:pPr>
      <w:bookmarkStart w:id="699" w:name="bookmark699"/>
      <w:r>
        <w:rPr>
          <w:color w:val="000000"/>
          <w:spacing w:val="0"/>
          <w:w w:val="100"/>
          <w:position w:val="0"/>
        </w:rPr>
        <w:t>1</w:t>
      </w:r>
      <w:bookmarkEnd w:id="699"/>
      <w:r>
        <w:rPr>
          <w:color w:val="000000"/>
          <w:spacing w:val="0"/>
          <w:w w:val="100"/>
          <w:position w:val="0"/>
        </w:rPr>
        <w:t>、事项描述</w:t>
      </w:r>
    </w:p>
    <w:p>
      <w:pPr>
        <w:pStyle w:val="Style4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如财务报表附注“五、重要会计政策及会计估计之31、长期资产减值”及“七、合并财务报表主要项 目注释之28、商誉”所述。截止2020年12月31日，美亚柏科的商誉原值565, </w:t>
      </w:r>
      <w:r>
        <w:rPr>
          <w:color w:val="000000"/>
          <w:spacing w:val="0"/>
          <w:w w:val="100"/>
          <w:position w:val="0"/>
        </w:rPr>
        <w:t>628,678.86</w:t>
      </w:r>
      <w:r>
        <w:rPr>
          <w:color w:val="000000"/>
          <w:spacing w:val="0"/>
          <w:w w:val="100"/>
          <w:position w:val="0"/>
        </w:rPr>
        <w:t xml:space="preserve">元，账面金额 </w:t>
      </w:r>
      <w:r>
        <w:rPr>
          <w:color w:val="000000"/>
          <w:spacing w:val="0"/>
          <w:w w:val="100"/>
          <w:position w:val="0"/>
        </w:rPr>
        <w:t>542,202,213.88</w:t>
      </w:r>
      <w:r>
        <w:rPr>
          <w:color w:val="000000"/>
          <w:spacing w:val="0"/>
          <w:w w:val="100"/>
          <w:position w:val="0"/>
        </w:rPr>
        <w:t>元，己计提商誉减值准备</w:t>
      </w:r>
      <w:r>
        <w:rPr>
          <w:color w:val="000000"/>
          <w:spacing w:val="0"/>
          <w:w w:val="100"/>
          <w:position w:val="0"/>
        </w:rPr>
        <w:t>23,426,464.98</w:t>
      </w:r>
      <w:r>
        <w:rPr>
          <w:color w:val="000000"/>
          <w:spacing w:val="0"/>
          <w:w w:val="100"/>
          <w:position w:val="0"/>
        </w:rPr>
        <w:t>元，商誉账面金额占总资产金额的11.67%。</w:t>
      </w:r>
    </w:p>
    <w:p>
      <w:pPr>
        <w:pStyle w:val="Style4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管理层聘请第三方评估机构对收购的珠海市新德汇信息技术有限公司、江苏税软软件科技有限公司的 股东权益价值进行评估，以协助管理层对公司商誉进行减值测试。管理层根据包含分摊商誉的资产组或资 产组组合的可收回金额低于其账面价值的部分，确认相应的减值准备。</w:t>
      </w:r>
    </w:p>
    <w:p>
      <w:pPr>
        <w:pStyle w:val="Style4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商誉减值评估涉及了收入增长率、毛利率、费用率及折现率等关键假设，减值测试涉及的工作复杂， </w:t>
      </w:r>
      <w:r>
        <w:rPr>
          <w:color w:val="000000"/>
          <w:spacing w:val="0"/>
          <w:w w:val="100"/>
          <w:position w:val="0"/>
        </w:rPr>
        <w:t>需要管理层的重大判断，因此我们将商誉减值认定为关键审计事项。</w:t>
      </w:r>
    </w:p>
    <w:p>
      <w:pPr>
        <w:pStyle w:val="Style44"/>
        <w:keepNext w:val="0"/>
        <w:keepLines w:val="0"/>
        <w:widowControl w:val="0"/>
        <w:shd w:val="clear" w:color="auto" w:fill="auto"/>
        <w:bidi w:val="0"/>
        <w:spacing w:before="0" w:after="0" w:line="470" w:lineRule="exact"/>
        <w:ind w:left="0" w:right="0" w:firstLine="420"/>
        <w:jc w:val="left"/>
      </w:pPr>
      <w:bookmarkStart w:id="700" w:name="bookmark700"/>
      <w:r>
        <w:rPr>
          <w:color w:val="000000"/>
          <w:spacing w:val="0"/>
          <w:w w:val="100"/>
          <w:position w:val="0"/>
        </w:rPr>
        <w:t>2</w:t>
      </w:r>
      <w:bookmarkEnd w:id="700"/>
      <w:r>
        <w:rPr>
          <w:color w:val="000000"/>
          <w:spacing w:val="0"/>
          <w:w w:val="100"/>
          <w:position w:val="0"/>
        </w:rPr>
        <w:t>、审计应对</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我们执行了下列程序以应对该关键审计事项：</w:t>
      </w:r>
    </w:p>
    <w:p>
      <w:pPr>
        <w:pStyle w:val="Style44"/>
        <w:keepNext w:val="0"/>
        <w:keepLines w:val="0"/>
        <w:widowControl w:val="0"/>
        <w:shd w:val="clear" w:color="auto" w:fill="auto"/>
        <w:tabs>
          <w:tab w:pos="908" w:val="left"/>
        </w:tabs>
        <w:bidi w:val="0"/>
        <w:spacing w:before="0" w:after="0" w:line="470" w:lineRule="exact"/>
        <w:ind w:left="0" w:right="0" w:firstLine="420"/>
        <w:jc w:val="left"/>
      </w:pPr>
      <w:bookmarkStart w:id="701" w:name="bookmark701"/>
      <w:r>
        <w:rPr>
          <w:color w:val="000000"/>
          <w:spacing w:val="0"/>
          <w:w w:val="100"/>
          <w:position w:val="0"/>
        </w:rPr>
        <w:t>（</w:t>
      </w:r>
      <w:bookmarkEnd w:id="701"/>
      <w:r>
        <w:rPr>
          <w:color w:val="000000"/>
          <w:spacing w:val="0"/>
          <w:w w:val="100"/>
          <w:position w:val="0"/>
        </w:rPr>
        <w:t>1）</w:t>
        <w:tab/>
        <w:t>评估及测试与商誉减值测试相关内部控制的设计及执行有效性；</w:t>
      </w:r>
    </w:p>
    <w:p>
      <w:pPr>
        <w:pStyle w:val="Style44"/>
        <w:keepNext w:val="0"/>
        <w:keepLines w:val="0"/>
        <w:widowControl w:val="0"/>
        <w:shd w:val="clear" w:color="auto" w:fill="auto"/>
        <w:tabs>
          <w:tab w:pos="908" w:val="left"/>
        </w:tabs>
        <w:bidi w:val="0"/>
        <w:spacing w:before="0" w:after="0" w:line="470" w:lineRule="exact"/>
        <w:ind w:left="0" w:right="0" w:firstLine="420"/>
        <w:jc w:val="left"/>
      </w:pPr>
      <w:bookmarkStart w:id="702" w:name="bookmark702"/>
      <w:r>
        <w:rPr>
          <w:color w:val="000000"/>
          <w:spacing w:val="0"/>
          <w:w w:val="100"/>
          <w:position w:val="0"/>
        </w:rPr>
        <w:t>（</w:t>
      </w:r>
      <w:bookmarkEnd w:id="702"/>
      <w:r>
        <w:rPr>
          <w:color w:val="000000"/>
          <w:spacing w:val="0"/>
          <w:w w:val="100"/>
          <w:position w:val="0"/>
        </w:rPr>
        <w:t>2）</w:t>
        <w:tab/>
        <w:t>评价管理层委聘的外部估值专家的胜任能力、专业素质和独立性；</w:t>
      </w:r>
    </w:p>
    <w:p>
      <w:pPr>
        <w:pStyle w:val="Style44"/>
        <w:keepNext w:val="0"/>
        <w:keepLines w:val="0"/>
        <w:widowControl w:val="0"/>
        <w:shd w:val="clear" w:color="auto" w:fill="auto"/>
        <w:tabs>
          <w:tab w:pos="1021" w:val="left"/>
        </w:tabs>
        <w:bidi w:val="0"/>
        <w:spacing w:before="0" w:after="0" w:line="490" w:lineRule="exact"/>
        <w:ind w:left="0" w:right="0" w:firstLine="440"/>
        <w:jc w:val="both"/>
      </w:pPr>
      <w:bookmarkStart w:id="703" w:name="bookmark703"/>
      <w:r>
        <w:rPr>
          <w:color w:val="000000"/>
          <w:spacing w:val="0"/>
          <w:w w:val="100"/>
          <w:position w:val="0"/>
        </w:rPr>
        <w:t>（</w:t>
      </w:r>
      <w:bookmarkEnd w:id="703"/>
      <w:r>
        <w:rPr>
          <w:color w:val="000000"/>
          <w:spacing w:val="0"/>
          <w:w w:val="100"/>
          <w:position w:val="0"/>
        </w:rPr>
        <w:t>3）</w:t>
        <w:tab/>
        <w:t>评价评估中采用的方法和关键假设；了解关键参数，包括预测收入、毛利率、增长率、折现率 等的取数来源并分析其合理性；</w:t>
      </w:r>
    </w:p>
    <w:p>
      <w:pPr>
        <w:pStyle w:val="Style44"/>
        <w:keepNext w:val="0"/>
        <w:keepLines w:val="0"/>
        <w:widowControl w:val="0"/>
        <w:shd w:val="clear" w:color="auto" w:fill="auto"/>
        <w:tabs>
          <w:tab w:pos="908" w:val="left"/>
        </w:tabs>
        <w:bidi w:val="0"/>
        <w:spacing w:before="0" w:after="0" w:line="470" w:lineRule="exact"/>
        <w:ind w:left="0" w:right="0" w:firstLine="420"/>
        <w:jc w:val="left"/>
      </w:pPr>
      <w:bookmarkStart w:id="704" w:name="bookmark704"/>
      <w:r>
        <w:rPr>
          <w:color w:val="000000"/>
          <w:spacing w:val="0"/>
          <w:w w:val="100"/>
          <w:position w:val="0"/>
        </w:rPr>
        <w:t>（</w:t>
      </w:r>
      <w:bookmarkEnd w:id="704"/>
      <w:r>
        <w:rPr>
          <w:color w:val="000000"/>
          <w:spacing w:val="0"/>
          <w:w w:val="100"/>
          <w:position w:val="0"/>
        </w:rPr>
        <w:t>4）</w:t>
        <w:tab/>
        <w:t>将2020年实际情况与上年预测数据进行对比，评价评估报告中的未来现金流量的合理性。</w:t>
      </w:r>
    </w:p>
    <w:p>
      <w:pPr>
        <w:pStyle w:val="Style44"/>
        <w:keepNext w:val="0"/>
        <w:keepLines w:val="0"/>
        <w:widowControl w:val="0"/>
        <w:shd w:val="clear" w:color="auto" w:fill="auto"/>
        <w:tabs>
          <w:tab w:pos="879" w:val="left"/>
        </w:tabs>
        <w:bidi w:val="0"/>
        <w:spacing w:before="0" w:after="0" w:line="470" w:lineRule="exact"/>
        <w:ind w:left="0" w:right="0" w:firstLine="420"/>
        <w:jc w:val="both"/>
      </w:pPr>
      <w:bookmarkStart w:id="705" w:name="bookmark705"/>
      <w:r>
        <w:rPr>
          <w:b/>
          <w:bCs/>
          <w:color w:val="000000"/>
          <w:spacing w:val="0"/>
          <w:w w:val="100"/>
          <w:position w:val="0"/>
        </w:rPr>
        <w:t>四</w:t>
      </w:r>
      <w:bookmarkEnd w:id="705"/>
      <w:r>
        <w:rPr>
          <w:b/>
          <w:bCs/>
          <w:color w:val="000000"/>
          <w:spacing w:val="0"/>
          <w:w w:val="100"/>
          <w:position w:val="0"/>
        </w:rPr>
        <w:t>、</w:t>
        <w:tab/>
        <w:t>其他信息</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管理层对其他信息负责。其他信息包括美亚柏科2020年年度报告中涵盖的信息，但不包括财务报表和 我们的审计报告。</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表或我们在审计过程中了解到的情况存在重大不一致或者存在重大错报。</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基于我们已经执行的工作，如果我们确定其他信息存在重大错报，我们应当报告该事实。在这方面， 我们无任何事项需要报告。</w:t>
      </w:r>
    </w:p>
    <w:p>
      <w:pPr>
        <w:pStyle w:val="Style44"/>
        <w:keepNext w:val="0"/>
        <w:keepLines w:val="0"/>
        <w:widowControl w:val="0"/>
        <w:shd w:val="clear" w:color="auto" w:fill="auto"/>
        <w:tabs>
          <w:tab w:pos="898" w:val="left"/>
        </w:tabs>
        <w:bidi w:val="0"/>
        <w:spacing w:before="0" w:after="0" w:line="470" w:lineRule="exact"/>
        <w:ind w:left="0" w:right="0" w:firstLine="420"/>
        <w:jc w:val="both"/>
      </w:pPr>
      <w:bookmarkStart w:id="706" w:name="bookmark706"/>
      <w:r>
        <w:rPr>
          <w:b/>
          <w:bCs/>
          <w:color w:val="000000"/>
          <w:spacing w:val="0"/>
          <w:w w:val="100"/>
          <w:position w:val="0"/>
        </w:rPr>
        <w:t>五</w:t>
      </w:r>
      <w:bookmarkEnd w:id="706"/>
      <w:r>
        <w:rPr>
          <w:b/>
          <w:bCs/>
          <w:color w:val="000000"/>
          <w:spacing w:val="0"/>
          <w:w w:val="100"/>
          <w:position w:val="0"/>
        </w:rPr>
        <w:t>、</w:t>
        <w:tab/>
        <w:t>管理层和治理层对财务报表的责任</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美亚柏科管理层负责按照企业会计准则的规定编制财务报表，使其实现公允反映，并设计、执行和维 护必要的内部控制，以使财务报表不存在由于舞弊或错误导致的重大错报。</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在编制财务报表时，管理层负责评估美亚柏科的持续经营能力，披露与持续经营相关的事项（如适用）， 并运用持续经营假设，除非管理层计划清算美亚柏科、终止营运或别无其他现实的选择。</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治理层负责监督美亚柏科的财务报告过程。</w:t>
      </w:r>
    </w:p>
    <w:p>
      <w:pPr>
        <w:pStyle w:val="Style44"/>
        <w:keepNext w:val="0"/>
        <w:keepLines w:val="0"/>
        <w:widowControl w:val="0"/>
        <w:shd w:val="clear" w:color="auto" w:fill="auto"/>
        <w:tabs>
          <w:tab w:pos="898" w:val="left"/>
        </w:tabs>
        <w:bidi w:val="0"/>
        <w:spacing w:before="0" w:after="0" w:line="470" w:lineRule="exact"/>
        <w:ind w:left="0" w:right="0" w:firstLine="420"/>
        <w:jc w:val="both"/>
      </w:pPr>
      <w:bookmarkStart w:id="707" w:name="bookmark707"/>
      <w:r>
        <w:rPr>
          <w:b/>
          <w:bCs/>
          <w:color w:val="000000"/>
          <w:spacing w:val="0"/>
          <w:w w:val="100"/>
          <w:position w:val="0"/>
        </w:rPr>
        <w:t>六</w:t>
      </w:r>
      <w:bookmarkEnd w:id="707"/>
      <w:r>
        <w:rPr>
          <w:b/>
          <w:bCs/>
          <w:color w:val="000000"/>
          <w:spacing w:val="0"/>
          <w:w w:val="100"/>
          <w:position w:val="0"/>
        </w:rPr>
        <w:t>、</w:t>
        <w:tab/>
        <w:t>注册会计师对财务报表审计的责任</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存在时总能发现。错报可能由舞弊或错误所导致，如果合理预期错报单独或汇总起来可能影响财务报表使 用者依据财务报表作出的经济决策，则通常认为错报是重大的。</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在按照审计准则执行审计的过程中，我们运用职业判断，并保持职业怀疑。同时，我们也执行以下工 作：</w:t>
      </w:r>
    </w:p>
    <w:p>
      <w:pPr>
        <w:pStyle w:val="Style44"/>
        <w:keepNext w:val="0"/>
        <w:keepLines w:val="0"/>
        <w:widowControl w:val="0"/>
        <w:shd w:val="clear" w:color="auto" w:fill="auto"/>
        <w:bidi w:val="0"/>
        <w:spacing w:before="0" w:after="0" w:line="470"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 xml:space="preserve">1）识别和评估由于舞弊或错误导致的财务报表重大错报风险；设计和实施审计程序以应对这些风 </w:t>
      </w: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4"/>
        <w:keepNext w:val="0"/>
        <w:keepLines w:val="0"/>
        <w:widowControl w:val="0"/>
        <w:shd w:val="clear" w:color="auto" w:fill="auto"/>
        <w:tabs>
          <w:tab w:pos="908" w:val="left"/>
        </w:tabs>
        <w:bidi w:val="0"/>
        <w:spacing w:before="0" w:after="0" w:line="470" w:lineRule="exact"/>
        <w:ind w:left="0" w:right="0" w:firstLine="420"/>
        <w:jc w:val="both"/>
      </w:pPr>
      <w:bookmarkStart w:id="709" w:name="bookmark709"/>
      <w:r>
        <w:rPr>
          <w:color w:val="000000"/>
          <w:spacing w:val="0"/>
          <w:w w:val="100"/>
          <w:position w:val="0"/>
        </w:rPr>
        <w:t>（</w:t>
      </w:r>
      <w:bookmarkEnd w:id="709"/>
      <w:r>
        <w:rPr>
          <w:color w:val="000000"/>
          <w:spacing w:val="0"/>
          <w:w w:val="100"/>
          <w:position w:val="0"/>
        </w:rPr>
        <w:t>2）</w:t>
        <w:tab/>
        <w:t>了解与审计相关的内部控制，以设计恰当的审计程序。</w:t>
      </w:r>
    </w:p>
    <w:p>
      <w:pPr>
        <w:pStyle w:val="Style44"/>
        <w:keepNext w:val="0"/>
        <w:keepLines w:val="0"/>
        <w:widowControl w:val="0"/>
        <w:shd w:val="clear" w:color="auto" w:fill="auto"/>
        <w:tabs>
          <w:tab w:pos="908" w:val="left"/>
        </w:tabs>
        <w:bidi w:val="0"/>
        <w:spacing w:before="0" w:after="0" w:line="470" w:lineRule="exact"/>
        <w:ind w:left="0" w:right="0" w:firstLine="420"/>
        <w:jc w:val="both"/>
      </w:pPr>
      <w:bookmarkStart w:id="710" w:name="bookmark710"/>
      <w:r>
        <w:rPr>
          <w:color w:val="000000"/>
          <w:spacing w:val="0"/>
          <w:w w:val="100"/>
          <w:position w:val="0"/>
        </w:rPr>
        <w:t>（</w:t>
      </w:r>
      <w:bookmarkEnd w:id="710"/>
      <w:r>
        <w:rPr>
          <w:color w:val="000000"/>
          <w:spacing w:val="0"/>
          <w:w w:val="100"/>
          <w:position w:val="0"/>
        </w:rPr>
        <w:t>3）</w:t>
        <w:tab/>
        <w:t>评价管理层选用会计政策的恰当性和作出会计估计及相关披露的合理性。</w:t>
      </w:r>
    </w:p>
    <w:p>
      <w:pPr>
        <w:pStyle w:val="Style44"/>
        <w:keepNext w:val="0"/>
        <w:keepLines w:val="0"/>
        <w:widowControl w:val="0"/>
        <w:shd w:val="clear" w:color="auto" w:fill="auto"/>
        <w:tabs>
          <w:tab w:pos="1021" w:val="left"/>
        </w:tabs>
        <w:bidi w:val="0"/>
        <w:spacing w:before="0" w:after="0" w:line="470" w:lineRule="exact"/>
        <w:ind w:left="0" w:right="0" w:firstLine="420"/>
        <w:jc w:val="both"/>
      </w:pPr>
      <w:bookmarkStart w:id="711" w:name="bookmark711"/>
      <w:r>
        <w:rPr>
          <w:color w:val="000000"/>
          <w:spacing w:val="0"/>
          <w:w w:val="100"/>
          <w:position w:val="0"/>
        </w:rPr>
        <w:t>（</w:t>
      </w:r>
      <w:bookmarkEnd w:id="711"/>
      <w:r>
        <w:rPr>
          <w:color w:val="000000"/>
          <w:spacing w:val="0"/>
          <w:w w:val="100"/>
          <w:position w:val="0"/>
        </w:rPr>
        <w:t>4）</w:t>
        <w:tab/>
        <w:t>对管理层使用持续经营假设的恰当性得出结论。同时，根据获取的审计证据，就可能导致对美 亚柏科的持续经营能力产生重大疑虑的事项或情况是否存在重大不确定性得出结论。如果我们得出结论认 为存在重大不确定性，审计准则要求我们在审计报告中提请报告使用者注意财务报表中的相关披露；如果 披露不充分，我们应当发表非无保留意见。我们的结论基于截至审计报告日可获得的信息。然而，未来的 事项或情况可能导致美亚柏科不能持续经营。</w:t>
      </w:r>
    </w:p>
    <w:p>
      <w:pPr>
        <w:pStyle w:val="Style44"/>
        <w:keepNext w:val="0"/>
        <w:keepLines w:val="0"/>
        <w:widowControl w:val="0"/>
        <w:shd w:val="clear" w:color="auto" w:fill="auto"/>
        <w:tabs>
          <w:tab w:pos="1021" w:val="left"/>
        </w:tabs>
        <w:bidi w:val="0"/>
        <w:spacing w:before="0" w:after="0" w:line="470" w:lineRule="exact"/>
        <w:ind w:left="0" w:right="0" w:firstLine="420"/>
        <w:jc w:val="both"/>
      </w:pPr>
      <w:bookmarkStart w:id="712" w:name="bookmark712"/>
      <w:r>
        <w:rPr>
          <w:color w:val="000000"/>
          <w:spacing w:val="0"/>
          <w:w w:val="100"/>
          <w:position w:val="0"/>
        </w:rPr>
        <w:t>（</w:t>
      </w:r>
      <w:bookmarkEnd w:id="712"/>
      <w:r>
        <w:rPr>
          <w:color w:val="000000"/>
          <w:spacing w:val="0"/>
          <w:w w:val="100"/>
          <w:position w:val="0"/>
        </w:rPr>
        <w:t>5）</w:t>
        <w:tab/>
        <w:t>评价财务报表的总体列报、结构和内容（包括披露），并评价财务报表是否公允反映相关交易 和事项。</w:t>
      </w:r>
    </w:p>
    <w:p>
      <w:pPr>
        <w:pStyle w:val="Style44"/>
        <w:keepNext w:val="0"/>
        <w:keepLines w:val="0"/>
        <w:widowControl w:val="0"/>
        <w:shd w:val="clear" w:color="auto" w:fill="auto"/>
        <w:tabs>
          <w:tab w:pos="1016" w:val="left"/>
        </w:tabs>
        <w:bidi w:val="0"/>
        <w:spacing w:before="0" w:after="0" w:line="470" w:lineRule="exact"/>
        <w:ind w:left="0" w:right="0" w:firstLine="420"/>
        <w:jc w:val="both"/>
      </w:pPr>
      <w:bookmarkStart w:id="713" w:name="bookmark713"/>
      <w:r>
        <w:rPr>
          <w:color w:val="000000"/>
          <w:spacing w:val="0"/>
          <w:w w:val="100"/>
          <w:position w:val="0"/>
        </w:rPr>
        <w:t>（</w:t>
      </w:r>
      <w:bookmarkEnd w:id="713"/>
      <w:r>
        <w:rPr>
          <w:color w:val="000000"/>
          <w:spacing w:val="0"/>
          <w:w w:val="100"/>
          <w:position w:val="0"/>
        </w:rPr>
        <w:t>6）</w:t>
        <w:tab/>
        <w:t>就美亚柏科实体或业务活动的财务信息获取充分、适当的审计证据，以对财务报表发表审计意 见。我们负责指导、监督和执行集团审计，并对审计意见承担全部责任。</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44"/>
        <w:keepNext w:val="0"/>
        <w:keepLines w:val="0"/>
        <w:widowControl w:val="0"/>
        <w:shd w:val="clear" w:color="auto" w:fill="auto"/>
        <w:bidi w:val="0"/>
        <w:spacing w:before="0" w:after="680" w:line="470" w:lineRule="exact"/>
        <w:ind w:left="0" w:right="0" w:firstLine="420"/>
        <w:jc w:val="both"/>
      </w:pPr>
      <w:r>
        <w:rPr>
          <w:color w:val="000000"/>
          <w:spacing w:val="0"/>
          <w:w w:val="100"/>
          <w:position w:val="0"/>
        </w:rPr>
        <w:t>从与治理层沟通的事项中，我们确定哪些事项对当期财务报表审计最为重要，因而构成关键审计事项。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pStyle w:val="Style56"/>
        <w:keepNext w:val="0"/>
        <w:keepLines w:val="0"/>
        <w:widowControl w:val="0"/>
        <w:shd w:val="clear" w:color="auto" w:fill="auto"/>
        <w:tabs>
          <w:tab w:pos="5045" w:val="left"/>
        </w:tabs>
        <w:bidi w:val="0"/>
        <w:spacing w:before="0" w:line="240" w:lineRule="auto"/>
        <w:ind w:left="0" w:right="0" w:firstLine="720"/>
        <w:jc w:val="both"/>
      </w:pPr>
      <w:r>
        <w:rPr>
          <w:color w:val="000000"/>
          <w:spacing w:val="0"/>
          <w:w w:val="100"/>
          <w:position w:val="0"/>
          <w:sz w:val="24"/>
          <w:szCs w:val="24"/>
        </w:rPr>
        <w:t>中证天通会计师事务所</w:t>
        <w:tab/>
        <w:t>中国注册会计师：陈峰</w:t>
      </w:r>
    </w:p>
    <w:p>
      <w:pPr>
        <w:pStyle w:val="Style56"/>
        <w:keepNext w:val="0"/>
        <w:keepLines w:val="0"/>
        <w:widowControl w:val="0"/>
        <w:shd w:val="clear" w:color="auto" w:fill="auto"/>
        <w:tabs>
          <w:tab w:pos="5477" w:val="left"/>
        </w:tabs>
        <w:bidi w:val="0"/>
        <w:spacing w:before="0" w:line="240" w:lineRule="auto"/>
        <w:ind w:left="0" w:right="0" w:firstLine="960"/>
        <w:jc w:val="both"/>
      </w:pPr>
      <w:r>
        <w:rPr>
          <w:color w:val="000000"/>
          <w:spacing w:val="0"/>
          <w:w w:val="100"/>
          <w:position w:val="0"/>
          <w:sz w:val="24"/>
          <w:szCs w:val="24"/>
        </w:rPr>
        <w:t>（特殊普通合伙）</w:t>
        <w:tab/>
        <w:t>（项目合伙人）</w:t>
      </w:r>
    </w:p>
    <w:p>
      <w:pPr>
        <w:pStyle w:val="Style56"/>
        <w:keepNext w:val="0"/>
        <w:keepLines w:val="0"/>
        <w:widowControl w:val="0"/>
        <w:shd w:val="clear" w:color="auto" w:fill="auto"/>
        <w:bidi w:val="0"/>
        <w:spacing w:before="0" w:line="240" w:lineRule="auto"/>
        <w:ind w:left="5020" w:right="0" w:firstLine="0"/>
        <w:jc w:val="left"/>
      </w:pPr>
      <w:r>
        <w:rPr>
          <w:color w:val="000000"/>
          <w:spacing w:val="0"/>
          <w:w w:val="100"/>
          <w:position w:val="0"/>
          <w:sz w:val="24"/>
          <w:szCs w:val="24"/>
        </w:rPr>
        <w:t>中国注册会计师：易厚震</w:t>
      </w:r>
    </w:p>
    <w:p>
      <w:pPr>
        <w:pStyle w:val="Style56"/>
        <w:keepNext w:val="0"/>
        <w:keepLines w:val="0"/>
        <w:widowControl w:val="0"/>
        <w:shd w:val="clear" w:color="auto" w:fill="auto"/>
        <w:bidi w:val="0"/>
        <w:spacing w:before="0" w:line="240" w:lineRule="auto"/>
        <w:ind w:left="1200" w:right="0" w:firstLine="0"/>
        <w:jc w:val="both"/>
      </w:pPr>
      <w:r>
        <w:rPr>
          <w:color w:val="000000"/>
          <w:spacing w:val="0"/>
          <w:w w:val="100"/>
          <w:position w:val="0"/>
          <w:sz w:val="24"/>
          <w:szCs w:val="24"/>
        </w:rPr>
        <w:t>中国</w:t>
      </w:r>
      <w:r>
        <w:rPr>
          <w:b/>
          <w:bCs/>
          <w:color w:val="000000"/>
          <w:spacing w:val="0"/>
          <w:w w:val="100"/>
          <w:position w:val="0"/>
          <w:sz w:val="24"/>
          <w:szCs w:val="24"/>
        </w:rPr>
        <w:t>•</w:t>
      </w:r>
      <w:r>
        <w:rPr>
          <w:color w:val="000000"/>
          <w:spacing w:val="0"/>
          <w:w w:val="100"/>
          <w:position w:val="0"/>
          <w:sz w:val="24"/>
          <w:szCs w:val="24"/>
        </w:rPr>
        <w:t>北京</w:t>
      </w:r>
    </w:p>
    <w:p>
      <w:pPr>
        <w:pStyle w:val="Style56"/>
        <w:keepNext w:val="0"/>
        <w:keepLines w:val="0"/>
        <w:widowControl w:val="0"/>
        <w:shd w:val="clear" w:color="auto" w:fill="auto"/>
        <w:bidi w:val="0"/>
        <w:spacing w:before="0" w:line="240" w:lineRule="auto"/>
        <w:ind w:left="5160" w:right="0" w:firstLine="0"/>
        <w:jc w:val="lef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二一年三月二十九日</w:t>
      </w:r>
      <w:r>
        <w:br w:type="page"/>
      </w:r>
    </w:p>
    <w:p>
      <w:pPr>
        <w:pStyle w:val="Style27"/>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二</w:t>
      </w:r>
      <w:bookmarkEnd w:id="716"/>
      <w:r>
        <w:rPr>
          <w:color w:val="000000"/>
          <w:spacing w:val="0"/>
          <w:w w:val="100"/>
          <w:position w:val="0"/>
          <w:sz w:val="24"/>
          <w:szCs w:val="24"/>
        </w:rPr>
        <w:t>、财务报表</w:t>
      </w:r>
      <w:bookmarkEnd w:id="714"/>
      <w:bookmarkEnd w:id="715"/>
      <w:bookmarkEnd w:id="71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、合并资产负债表</w:t>
      </w:r>
      <w:bookmarkEnd w:id="718"/>
      <w:bookmarkEnd w:id="719"/>
      <w:bookmarkEnd w:id="72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编制单位：厦门市美亚柏科信息股份有限公司</w:t>
      </w:r>
    </w:p>
    <w:p>
      <w:pPr>
        <w:pStyle w:val="Style112"/>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69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1,228,809,181.32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1,165,028,886.98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1,590,471.00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11,126,193.79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747,113,863.16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796,779,217.13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64,429,207.66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71,916,407.64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99,497,274.22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81,769,179.20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2,728,224.66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2,414,206.76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563,066,334.23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436,676,432.39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219,813,244.78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71,363,955.47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47,609,830.08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2,995,683,531.84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2,610,906,147.21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69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25,009,233.56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20,661,440.39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362,850,551.52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383,528,353.61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275,683.98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442,139,781.73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387,910,370.69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6,964,949.36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166,738,658.04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63,074,689.62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26,650,513.38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84,954,299.51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542,202,213.88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542,202,213.88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15,065,962.18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11,509,976.74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60,821,706.52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42,420,038.86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50,231,805.84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1,649,589,640.72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1,589,242,164.83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4,645,273,172.56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4,200,148,312.04</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1,000,551.07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52,672,918.64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187,360,543.40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339,165,046.58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243,254,114.12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352,995,480.27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420,147,472.41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191,024,898.86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145,539,356.05</w:t>
            </w:r>
          </w:p>
        </w:tc>
      </w:tr>
    </w:tbl>
    <w:p>
      <w:pPr>
        <w:widowControl w:val="0"/>
        <w:spacing w:line="1" w:lineRule="exact"/>
      </w:pPr>
      <w:r>
        <w:br w:type="page"/>
      </w:r>
    </w:p>
    <w:tbl>
      <w:tblPr>
        <w:tblOverlap w:val="never"/>
        <w:jc w:val="center"/>
        <w:tblLayout w:type="fixed"/>
      </w:tblPr>
      <w:tblGrid>
        <w:gridCol w:w="5962"/>
        <w:gridCol w:w="169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97,878,384.23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80,657,827.17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104,281,671.31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117,714,143.46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2,482,896.12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1,208,653,839.22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1,129,107,313.76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20,590,763.78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15,461,984.57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48,227,220.41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41,649,019.26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19,731,725.08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29,477,303.59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88,549,709.27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86,588,307.42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1,297,203,548.49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1,215,695,621.18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806,666,645.00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803,993,717.00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738,823,465.84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673,391,879.02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62,138,667.00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80,782,965.00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173,371,413.05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260,015,289.56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57"/>
        <w:gridCol w:w="1704"/>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142,591,355.59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111,216,597.97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1,501,860,432.57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1,192,954,662.33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3,301,174,645.05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2,960,789,180.88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46,894,979.02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23,663,509.98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3,348,069,624.07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2,984,452,690.86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4,645,273,172.56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4,200,148,312.04</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400" behindDoc="0" locked="0" layoutInCell="1" allowOverlap="1">
                <wp:simplePos x="0" y="0"/>
                <wp:positionH relativeFrom="page">
                  <wp:posOffset>705485</wp:posOffset>
                </wp:positionH>
                <wp:positionV relativeFrom="margin">
                  <wp:posOffset>2136775</wp:posOffset>
                </wp:positionV>
                <wp:extent cx="941705" cy="149225"/>
                <wp:wrapTopAndBottom/>
                <wp:docPr id="82" name="Shape 8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法定代表人：滕达</w:t>
                            </w:r>
                          </w:p>
                        </w:txbxContent>
                      </wps:txbx>
                      <wps:bodyPr wrap="none" lIns="0" tIns="0" rIns="0" bIns="0">
                        <a:noAutoFit/>
                      </wps:bodyPr>
                    </wps:wsp>
                  </a:graphicData>
                </a:graphic>
              </wp:anchor>
            </w:drawing>
          </mc:Choice>
          <mc:Fallback>
            <w:pict>
              <v:shape id="_x0000_s1108" type="#_x0000_t202" style="position:absolute;margin-left:55.550000000000004pt;margin-top:168.25pt;width:74.150000000000006pt;height:11.75pt;z-index:-125829353;mso-wrap-distance-left:9.pt;mso-wrap-distance-top:12.pt;mso-wrap-distance-right:414.15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法定代表人：滕达</w:t>
                      </w:r>
                    </w:p>
                  </w:txbxContent>
                </v:textbox>
                <w10:wrap type="topAndBottom" anchorx="page" anchory="margin"/>
              </v:shape>
            </w:pict>
          </mc:Fallback>
        </mc:AlternateContent>
      </w:r>
      <w:r>
        <mc:AlternateContent>
          <mc:Choice Requires="wps">
            <w:drawing>
              <wp:anchor distT="152400" distB="3175" distL="2235835" distR="2574290" simplePos="0" relativeHeight="125829402" behindDoc="0" locked="0" layoutInCell="1" allowOverlap="1">
                <wp:simplePos x="0" y="0"/>
                <wp:positionH relativeFrom="page">
                  <wp:posOffset>2827020</wp:posOffset>
                </wp:positionH>
                <wp:positionV relativeFrom="margin">
                  <wp:posOffset>2136775</wp:posOffset>
                </wp:positionV>
                <wp:extent cx="1505585" cy="146050"/>
                <wp:wrapTopAndBottom/>
                <wp:docPr id="84" name="Shape 8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wps:txbx>
                      <wps:bodyPr wrap="none" lIns="0" tIns="0" rIns="0" bIns="0">
                        <a:noAutoFit/>
                      </wps:bodyPr>
                    </wps:wsp>
                  </a:graphicData>
                </a:graphic>
              </wp:anchor>
            </w:drawing>
          </mc:Choice>
          <mc:Fallback>
            <w:pict>
              <v:shape id="_x0000_s1110" type="#_x0000_t202" style="position:absolute;margin-left:222.59999999999999pt;margin-top:168.25pt;width:118.55pt;height:11.5pt;z-index:-125829351;mso-wrap-distance-left:176.05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v:textbox>
                <w10:wrap type="topAndBottom" anchorx="page" anchory="margin"/>
              </v:shape>
            </w:pict>
          </mc:Fallback>
        </mc:AlternateContent>
      </w:r>
      <w:r>
        <mc:AlternateContent>
          <mc:Choice Requires="wps">
            <w:drawing>
              <wp:anchor distT="152400" distB="0" distL="4914900" distR="114300" simplePos="0" relativeHeight="125829404" behindDoc="0" locked="0" layoutInCell="1" allowOverlap="1">
                <wp:simplePos x="0" y="0"/>
                <wp:positionH relativeFrom="page">
                  <wp:posOffset>5506085</wp:posOffset>
                </wp:positionH>
                <wp:positionV relativeFrom="margin">
                  <wp:posOffset>2136775</wp:posOffset>
                </wp:positionV>
                <wp:extent cx="1286510" cy="149225"/>
                <wp:wrapTopAndBottom/>
                <wp:docPr id="86" name="Shape 8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wps:txbx>
                      <wps:bodyPr wrap="none" lIns="0" tIns="0" rIns="0" bIns="0">
                        <a:noAutoFit/>
                      </wps:bodyPr>
                    </wps:wsp>
                  </a:graphicData>
                </a:graphic>
              </wp:anchor>
            </w:drawing>
          </mc:Choice>
          <mc:Fallback>
            <w:pict>
              <v:shape id="_x0000_s1112" type="#_x0000_t202" style="position:absolute;margin-left:433.55000000000001pt;margin-top:168.25pt;width:101.3pt;height:11.75pt;z-index:-125829349;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v:textbox>
                <w10:wrap type="topAndBottom" anchorx="page" anchory="margin"/>
              </v:shape>
            </w:pict>
          </mc:Fallback>
        </mc:AlternateContent>
      </w: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、母公司资产负债表</w:t>
      </w:r>
      <w:bookmarkEnd w:id="722"/>
      <w:bookmarkEnd w:id="723"/>
      <w:bookmarkEnd w:id="72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69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595,767,155.76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648,914,651.29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1,110,225.00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11,126,193.79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655,793,206.44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742,996,122.63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40,572,013.07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68,909,481.66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76,193,862.06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72,257,311.19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1,621,900.88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1,343,284.18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348,654,408.69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300,992,540.18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202,891,594.62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65,214,944.50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43,336,714.92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1,986,197,410.14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1,888,533,015.66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984,746,293.82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965,948,004.69</w:t>
            </w:r>
          </w:p>
        </w:tc>
      </w:tr>
    </w:tbl>
    <w:p>
      <w:pPr>
        <w:widowControl w:val="0"/>
        <w:spacing w:line="1" w:lineRule="exact"/>
      </w:pPr>
      <w:r>
        <w:br w:type="page"/>
      </w:r>
    </w:p>
    <w:tbl>
      <w:tblPr>
        <w:tblOverlap w:val="never"/>
        <w:jc w:val="center"/>
        <w:tblLayout w:type="fixed"/>
      </w:tblPr>
      <w:tblGrid>
        <w:gridCol w:w="5962"/>
        <w:gridCol w:w="169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362,450,551.52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383,128,353.61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24,816,552.09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29,253,156.70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341,301,578.93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293,850,886.65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2,619,590.62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1,452,832.24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148,962,032.22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39,943,909.27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16,731,314.14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78,458,612.06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5,702,491.72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4,111,594.63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30,004,079.99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23,363,394.94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49,758,609.20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1,918,041,585.23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1,869,269,353.99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3,904,238,995.37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3,757,802,369.65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1,000,551.07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53,192,038.64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187,360,543.40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268,820,539.15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237,826,246.28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279,572,341.70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281,238,538.37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112,005,980.50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91,370,841.90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34,118,295.17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30,771,205.06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77,881,389.62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99,593,919.40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2,482,896.12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830,740,228.64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928,080,947.03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69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20,590,763.78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15,461,984.57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42,993,460.41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34,119,019.26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19,263,490.33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28,890,587.74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82,847,714.52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78,471,591.57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913,587,943.16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1,006,552,538.60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806,666,645.00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803,993,717.00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966,976,018.67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903,526,704.59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62,138,667.00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80,782,965.00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173,371,413.05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260,015,289.56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142,591,355.59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111,216,597.97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963,184,286.90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753,280,486.93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2,990,651,052.21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2,751,249,831.05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3,904,238,995.37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3,757,802,369.65</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、合并利润表</w:t>
      </w:r>
      <w:bookmarkEnd w:id="726"/>
      <w:bookmarkEnd w:id="727"/>
      <w:bookmarkEnd w:id="72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2,386,098,335.14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2,067,410,376.33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2,386,098,335.14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2,067,410,376.33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1,975,997,713.49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1,777,811,789.04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1,011,641,557.16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914,978,071.54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20,716,430.79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17,446,177.82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273,618,058.67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269,441,385.43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315,188,116.63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288,785,529.28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364,984,509.18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293,172,950.66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-10,150,958.94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-6,012,325.69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1,835,462.52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1,129,384.07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12,303,048.97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9,205,778.50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81,178,693.49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71,544,865.24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4,594,297.52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-161,979.49</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3,347,793.17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-915,039.64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-35,870,913.10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-36,963,102.86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-35,334,153.51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-16,568,502.07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424,668,546.05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307,449,868.11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470,892.43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4,658,290.41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2,158,315.00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420,316,414.14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305,762,445.54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19,657,410.48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17,053,248.40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400,659,003.66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288,709,197.14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57"/>
        <w:gridCol w:w="1848"/>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400,659,003.66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288,709,197.14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374,620,968.32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289,675,573.16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26,038,035.34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-966,376.02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99,914,938.23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99,914,938.23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99,914,938.23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99,914,938.23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352,143,705.22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388,624,135.37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326,105,669.88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389,590,511.39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26,038,035.34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-966,376.02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bl>
    <w:p>
      <w:pPr>
        <w:widowControl w:val="0"/>
        <w:spacing w:after="5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312" w:val="left"/>
          <w:tab w:pos="7536" w:val="left"/>
        </w:tabs>
        <w:bidi w:val="0"/>
        <w:spacing w:before="0" w:after="380" w:line="240" w:lineRule="auto"/>
        <w:ind w:left="0" w:right="0" w:firstLine="0"/>
        <w:jc w:val="left"/>
      </w:pPr>
      <w:r>
        <w:rPr>
          <w:color w:val="000000"/>
          <w:spacing w:val="0"/>
          <w:w w:val="100"/>
          <w:position w:val="0"/>
        </w:rPr>
        <w:t>法定代表人：滕达</w:t>
        <w:tab/>
        <w:t>主管会计工作负责人：张乃军</w:t>
        <w:tab/>
        <w:t>会计机构负责人：陈志友</w:t>
      </w:r>
    </w:p>
    <w:p>
      <w:pPr>
        <w:pStyle w:val="Style32"/>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、母公司利润表</w:t>
      </w:r>
      <w:bookmarkEnd w:id="730"/>
      <w:bookmarkEnd w:id="731"/>
      <w:bookmarkEnd w:id="73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1,602,744,423.60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1,475,797,062.32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822,945,664.97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826,080,124.13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11,074,431.21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11,391,235.86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158,887,574.94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165,418,299.50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184,125,063.43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167,435,183.32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214,432,813.60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189,643,525.96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-5,767,111.25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-3,609,134.36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1,834,721.64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869,457.66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7,564,851.33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6,389,594.47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45,652,205.21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48,081,156.11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56,966,384.39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1,002,985.28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3,046,016.40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-435,334.07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-8,382,006.60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-19,301,349.52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-25,104,785.64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-13,559,173.17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286,177,784.06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135,661,446.61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71,728.86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236,253.11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4,232,897.10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982,005.26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282,016,615.82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134,915,694.46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6,397,617.77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-292,808.78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275,618,998.05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135,208,503.24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275,618,998.05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135,208,503.24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99,914,938.23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99,914,938.23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-48,515,298.44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99,914,938.23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227,103,699.61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235,123,441.47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、合并现金流量表</w:t>
      </w:r>
      <w:bookmarkEnd w:id="734"/>
      <w:bookmarkEnd w:id="735"/>
      <w:bookmarkEnd w:id="73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2,520,538,135.51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2,100,219,825.71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35,250,789.81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43,009,082.60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163,905,211.65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140,370,537.08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2,719,694,136.97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2,283,599,445.39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1,303,084,106.25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932,862,579.78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579,728,544.95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520,985,967.21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173,751,388.03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155,078,347.21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365,539,875.51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278,536,632.67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2,422,103,914.74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1,887,463,526.87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297,590,222.23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396,135,918.52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528,363,482.06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966,813,281.28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6,828,747.63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7,716,138.78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10,079,073.03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535,195,220.40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984,611,148.69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183,448,512.11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177,551,660.08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544,415,000.00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700,809,792.76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727,863,512.11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878,361,452.84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-192,668,291.71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106,249,695.85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39,929,329.51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84,141,045.00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747,727.27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107,099,329.51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84,141,045.00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60,149,842.78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1,487,470.96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77,913,656.64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64,460,564.22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1,057,220.00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2,731,601.12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139,120,719.42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68,679,636.30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-32,021,389.91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15,461,408.70</w:t>
            </w:r>
          </w:p>
        </w:tc>
      </w:tr>
    </w:tbl>
    <w:p>
      <w:pPr>
        <w:widowControl w:val="0"/>
        <w:spacing w:line="1" w:lineRule="exact"/>
      </w:pPr>
      <w:r>
        <w:br w:type="page"/>
      </w:r>
    </w:p>
    <w:tbl>
      <w:tblPr>
        <w:tblOverlap w:val="never"/>
        <w:jc w:val="center"/>
        <w:tblLayout w:type="fixed"/>
      </w:tblPr>
      <w:tblGrid>
        <w:gridCol w:w="5957"/>
        <w:gridCol w:w="1848"/>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356,300.77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72,355,741.88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518,203,323.84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795,337,757.62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277,134,433.78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867,693,499.50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795,337,757.62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6</w:t>
      </w:r>
      <w:bookmarkEnd w:id="740"/>
      <w:r>
        <w:rPr>
          <w:color w:val="000000"/>
          <w:spacing w:val="0"/>
          <w:w w:val="100"/>
          <w:position w:val="0"/>
        </w:rPr>
        <w:t>、母公司现金流量表</w:t>
      </w:r>
      <w:bookmarkEnd w:id="738"/>
      <w:bookmarkEnd w:id="739"/>
      <w:bookmarkEnd w:id="7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1,668,933,178.94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1,325,017,030.68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24,859,211.26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28,335,822.69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135,739,334.81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78,485,013.84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1,829,531,725.01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1,431,837,867.21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1,044,469,808.66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766,221,659.13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323,451,991.67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307,101,862.02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88,359,394.14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89,670,068.76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260,750,659.23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170,328,887.25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1,717,031,853.70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1,333,322,477.16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112,499,871.31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98,515,390.05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418,184,235.58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681,479,559.80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58,533,216.74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6,147,277.12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7,576,919.00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476,717,452.32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695,203,755.92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146,884,049.13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112,387,742.92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399,867,272.73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455,944,400.00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546,751,321.86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568,332,142.92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-70,033,869.54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126,871,613.00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39,181,602.24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81,891,045.00</w:t>
            </w:r>
          </w:p>
        </w:tc>
      </w:tr>
    </w:tbl>
    <w:p>
      <w:pPr>
        <w:widowControl w:val="0"/>
        <w:spacing w:line="1" w:lineRule="exact"/>
      </w:pPr>
      <w:r>
        <w:br w:type="page"/>
      </w:r>
    </w:p>
    <w:tbl>
      <w:tblPr>
        <w:tblOverlap w:val="never"/>
        <w:jc w:val="center"/>
        <w:tblLayout w:type="fixed"/>
      </w:tblPr>
      <w:tblGrid>
        <w:gridCol w:w="5962"/>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106,351,602.24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81,891,045.00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60,149,842.78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1,487,470.96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74,297,520.28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64,453,218.08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2,731,601.12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135,504,583.06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68,672,290.16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-29,152,980.82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13,218,754.84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314,673.65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12,992,403.45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238,920,431.54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356,671,406.50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117,750,974.96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369,663,809.95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356,671,406.50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7</w:t>
      </w:r>
      <w:bookmarkEnd w:id="744"/>
      <w:r>
        <w:rPr>
          <w:color w:val="000000"/>
          <w:spacing w:val="0"/>
          <w:w w:val="100"/>
          <w:position w:val="0"/>
        </w:rPr>
        <w:t>、合并所有者权益变动表</w:t>
      </w:r>
      <w:bookmarkEnd w:id="742"/>
      <w:bookmarkEnd w:id="743"/>
      <w:bookmarkEnd w:id="7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710"/>
        <w:gridCol w:w="427"/>
        <w:gridCol w:w="422"/>
        <w:gridCol w:w="312"/>
        <w:gridCol w:w="581"/>
        <w:gridCol w:w="586"/>
        <w:gridCol w:w="792"/>
        <w:gridCol w:w="422"/>
        <w:gridCol w:w="710"/>
        <w:gridCol w:w="566"/>
        <w:gridCol w:w="706"/>
        <w:gridCol w:w="307"/>
        <w:gridCol w:w="581"/>
        <w:gridCol w:w="586"/>
        <w:gridCol w:w="59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0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673,39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80,782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452,69</w:t>
            </w: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4,662.33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23,663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w:t>
            </w:r>
          </w:p>
        </w:tc>
      </w:tr>
      <w:tr>
        <w:trPr>
          <w:trHeight w:val="158"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803,993,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260,015,2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1,192,95</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452,69</w:t>
            </w:r>
          </w:p>
        </w:tc>
      </w:tr>
      <w:tr>
        <w:trPr>
          <w:trHeight w:val="149"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4,662.33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363,61</w:t>
            </w:r>
          </w:p>
        </w:tc>
      </w:tr>
    </w:tbl>
    <w:p>
      <w:pPr>
        <w:widowControl w:val="0"/>
        <w:spacing w:line="1" w:lineRule="exact"/>
      </w:pPr>
      <w:r>
        <w:br w:type="page"/>
      </w:r>
    </w:p>
    <w:tbl>
      <w:tblPr>
        <w:tblOverlap w:val="never"/>
        <w:jc w:val="center"/>
        <w:tblLayout w:type="fixed"/>
      </w:tblPr>
      <w:tblGrid>
        <w:gridCol w:w="1282"/>
        <w:gridCol w:w="710"/>
        <w:gridCol w:w="427"/>
        <w:gridCol w:w="422"/>
        <w:gridCol w:w="312"/>
        <w:gridCol w:w="581"/>
        <w:gridCol w:w="586"/>
        <w:gridCol w:w="792"/>
        <w:gridCol w:w="422"/>
        <w:gridCol w:w="710"/>
        <w:gridCol w:w="566"/>
        <w:gridCol w:w="706"/>
        <w:gridCol w:w="307"/>
        <w:gridCol w:w="586"/>
        <w:gridCol w:w="581"/>
        <w:gridCol w:w="590"/>
      </w:tblGrid>
      <w:tr>
        <w:trPr>
          <w:trHeight w:val="6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,586.8</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4,298.</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26,038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352,14</w:t>
            </w: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374,620,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3,705.</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968.32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59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65,431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86,748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889,43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87,638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58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35,451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38,124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747,72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w:t>
            </w:r>
          </w:p>
        </w:tc>
      </w:tr>
      <w:tr>
        <w:trPr>
          <w:trHeight w:val="163" w:hRule="exact"/>
        </w:trPr>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7.27</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141,70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48,766</w:t>
            </w:r>
          </w:p>
        </w:tc>
      </w:tr>
      <w:tr>
        <w:trPr>
          <w:trHeight w:val="302" w:hRule="exact"/>
        </w:trPr>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w:t>
            </w: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9,018.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w:t>
            </w:r>
          </w:p>
        </w:tc>
      </w:tr>
      <w:tr>
        <w:trPr>
          <w:trHeight w:val="42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3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w:t>
            </w:r>
          </w:p>
        </w:tc>
      </w:tr>
      <w:tr>
        <w:trPr>
          <w:trHeight w:val="158"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710"/>
        <w:gridCol w:w="427"/>
        <w:gridCol w:w="422"/>
        <w:gridCol w:w="312"/>
        <w:gridCol w:w="581"/>
        <w:gridCol w:w="586"/>
        <w:gridCol w:w="792"/>
        <w:gridCol w:w="422"/>
        <w:gridCol w:w="710"/>
        <w:gridCol w:w="566"/>
        <w:gridCol w:w="706"/>
        <w:gridCol w:w="307"/>
        <w:gridCol w:w="586"/>
        <w:gridCol w:w="581"/>
        <w:gridCol w:w="59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34,315,7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806,666,</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738,82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62,138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173,371,4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142,591,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1,501,86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0,432.57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174,64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46,894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069,62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0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582,32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34,813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131,69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97,552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979,09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22,434,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2,573,1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19,010.</w:t>
            </w:r>
          </w:p>
        </w:tc>
      </w:tr>
      <w:tr>
        <w:trPr>
          <w:trHeight w:val="149"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451.95</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586"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28,407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29,843,</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582,32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34,813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160,10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97,695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980,38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22,434,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2,602,9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62,549.</w:t>
            </w: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451.95</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384"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91,066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381,490</w:t>
            </w:r>
          </w:p>
        </w:tc>
      </w:tr>
      <w:tr>
        <w:trPr>
          <w:trHeight w:val="341"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,141.31</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6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99,914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289,67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5,573.</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389,59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0,511.</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-966,37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388,624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,135.37</w:t>
            </w: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9,160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,908.</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91,066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,111.6</w:t>
            </w:r>
          </w:p>
          <w:p>
            <w:pPr>
              <w:pStyle w:val="Style2"/>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45,969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,823.0</w:t>
            </w:r>
          </w:p>
          <w:p>
            <w:pPr>
              <w:pStyle w:val="Style2"/>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54,257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2,195,4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630.66</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9,160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,908.</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69,550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,729.3</w:t>
            </w:r>
          </w:p>
          <w:p>
            <w:pPr>
              <w:pStyle w:val="Style2"/>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78,711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,637.3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81,057,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112.26</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21,515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,382.2</w:t>
            </w:r>
          </w:p>
          <w:p>
            <w:pPr>
              <w:pStyle w:val="Style2"/>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45,969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,823.0</w:t>
            </w:r>
          </w:p>
          <w:p>
            <w:pPr>
              <w:pStyle w:val="Style2"/>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-24,604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,850.3</w:t>
            </w:r>
          </w:p>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7,475.</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6,624.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,624.72</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,850.3</w:t>
            </w:r>
          </w:p>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0,850.</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6,624.</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6,624.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,624.72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803,9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93,71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673,39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80,782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5,289.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954,66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789,18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23,663,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2,984,4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8</w:t>
      </w:r>
      <w:bookmarkEnd w:id="748"/>
      <w:r>
        <w:rPr>
          <w:color w:val="000000"/>
          <w:spacing w:val="0"/>
          <w:w w:val="100"/>
          <w:position w:val="0"/>
        </w:rPr>
        <w:t>、母公司所有者权益变动表</w:t>
      </w:r>
      <w:bookmarkEnd w:id="746"/>
      <w:bookmarkEnd w:id="747"/>
      <w:bookmarkEnd w:id="74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803,99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3,717.0</w:t>
            </w:r>
          </w:p>
          <w:p>
            <w:pPr>
              <w:pStyle w:val="Style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903,526,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80,782,9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753,28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0,486.9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2,751,249,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803,99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3,717.0</w:t>
            </w:r>
          </w:p>
          <w:p>
            <w:pPr>
              <w:pStyle w:val="Style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903,526,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80,782,9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753,28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0,486.9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2,751,249,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2,672,9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63,449,3</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-18,644,</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31,374,7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209,90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3,799.9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239,401,2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275,61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227,103,6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w:t>
            </w: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2,672,9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63,449,3</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84,766,54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2,672,9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35,451,4</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38,124,38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27,997,8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46,642,15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0,918.3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-72,469,01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27,561,8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-27,561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-72,469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-72,469,01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34,315,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806,66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6,645.0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966,976,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62,138,6</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173,371,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142,591,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963,18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4,286.9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2,990,651,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052.21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794,83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2,809.</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810,125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34,813,1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131,692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97,552,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693,887,3</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2,493,277,5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95.56</w:t>
            </w: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29,843,538.</w:t>
            </w:r>
          </w:p>
        </w:tc>
      </w:tr>
      <w:tr>
        <w:trPr>
          <w:trHeight w:val="346"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841.76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794,83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2,809.</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810,125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34,813,1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160,100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97,695,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695,179,4</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2,523,121,1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w:t>
            </w:r>
          </w:p>
        </w:tc>
      </w:tr>
      <w:tr>
        <w:trPr>
          <w:trHeight w:val="52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36"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45,969,8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58,101,02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228,128,69</w:t>
            </w:r>
          </w:p>
        </w:tc>
      </w:tr>
      <w:tr>
        <w:trPr>
          <w:trHeight w:val="49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794.94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938.23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r>
      <w:tr>
        <w:trPr>
          <w:trHeight w:val="36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235,123,44</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938.23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56,591,879.</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794.94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78,711,637.</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729.36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23,850,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45,969,8</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-22,119,757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-77,107,4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-63,586,624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-13,520,8</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-63,586,6</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-63,586,624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803,99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3,717.</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903,526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80,782,9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111,216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753,280,4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2,751,249,8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w:t>
            </w:r>
          </w:p>
        </w:tc>
      </w:tr>
    </w:tbl>
    <w:p>
      <w:pPr>
        <w:widowControl w:val="0"/>
        <w:spacing w:after="299" w:line="1" w:lineRule="exact"/>
      </w:pPr>
    </w:p>
    <w:p>
      <w:pPr>
        <w:pStyle w:val="Style27"/>
        <w:keepNext/>
        <w:keepLines/>
        <w:widowControl w:val="0"/>
        <w:shd w:val="clear" w:color="auto" w:fill="auto"/>
        <w:bidi w:val="0"/>
        <w:spacing w:before="0" w:after="20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sz w:val="24"/>
          <w:szCs w:val="24"/>
        </w:rPr>
        <w:t>三</w:t>
      </w:r>
      <w:bookmarkEnd w:id="752"/>
      <w:r>
        <w:rPr>
          <w:color w:val="000000"/>
          <w:spacing w:val="0"/>
          <w:w w:val="100"/>
          <w:position w:val="0"/>
          <w:sz w:val="24"/>
          <w:szCs w:val="24"/>
        </w:rPr>
        <w:t>、公司基本情况</w:t>
      </w:r>
      <w:bookmarkEnd w:id="750"/>
      <w:bookmarkEnd w:id="751"/>
      <w:bookmarkEnd w:id="753"/>
    </w:p>
    <w:p>
      <w:pPr>
        <w:pStyle w:val="Style44"/>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厦门市美亚柏科信息股份有限公司（以下简称“本公司”）是一家在福建省厦门市注册的股份有限公 司，由郭永芳、刘祥南、李国林、广州通连投资咨询有限公司等十六名发起人共同发起设立，经福建省厦 门市工商行政管理局核准登记，企业法人营业执照350298200005610号；2016年3月280，本公司经厦门市 市场监督管理局核准，取得统一社会信用代码为</w:t>
      </w:r>
      <w:r>
        <w:rPr>
          <w:color w:val="000000"/>
          <w:spacing w:val="0"/>
          <w:w w:val="100"/>
          <w:position w:val="0"/>
        </w:rPr>
        <w:t>91350200705420347R</w:t>
      </w:r>
      <w:r>
        <w:rPr>
          <w:color w:val="000000"/>
          <w:spacing w:val="0"/>
          <w:w w:val="100"/>
          <w:position w:val="0"/>
        </w:rPr>
        <w:t xml:space="preserve">的营业执照。本公司注册地址及总部 </w:t>
      </w:r>
      <w:r>
        <w:rPr>
          <w:color w:val="000000"/>
          <w:spacing w:val="0"/>
          <w:w w:val="100"/>
          <w:position w:val="0"/>
        </w:rPr>
        <w:t>地址：厦门市软件园二期观日路12号</w:t>
      </w:r>
      <w:r>
        <w:rPr>
          <w:color w:val="000000"/>
          <w:spacing w:val="0"/>
          <w:w w:val="100"/>
          <w:position w:val="0"/>
        </w:rPr>
        <w:t>102-40</w:t>
      </w:r>
      <w:r>
        <w:rPr>
          <w:color w:val="000000"/>
          <w:spacing w:val="0"/>
          <w:w w:val="100"/>
          <w:position w:val="0"/>
        </w:rPr>
        <w:t>2单元，法定代表人：滕达。</w:t>
      </w:r>
    </w:p>
    <w:p>
      <w:pPr>
        <w:pStyle w:val="Style4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本公司前身为原厦门市美亚柏科资讯科技有限公司，2009年9月22日在该公司基础上改组为股份有限 公司。</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根据本公司2010年第一次临时股东大会决议，并经中国证券监督管理委员会“证监许可[2011]263 号”文《关于核准厦门市美亚柏科信息股份有限公司首次公开发行股票并在创业板上市的批复》核准，本 公司申请首次向社会公开发行人民币普通股</w:t>
      </w:r>
      <w:r>
        <w:rPr>
          <w:color w:val="000000"/>
          <w:spacing w:val="0"/>
          <w:w w:val="100"/>
          <w:position w:val="0"/>
        </w:rPr>
        <w:t>（A</w:t>
      </w:r>
      <w:r>
        <w:rPr>
          <w:color w:val="000000"/>
          <w:spacing w:val="0"/>
          <w:w w:val="100"/>
          <w:position w:val="0"/>
        </w:rPr>
        <w:t>股）1,350万股，每股面值1元，实际发行每股价格</w:t>
      </w:r>
      <w:r>
        <w:rPr>
          <w:color w:val="000000"/>
          <w:spacing w:val="0"/>
          <w:w w:val="100"/>
          <w:position w:val="0"/>
        </w:rPr>
        <w:t>40.0</w:t>
      </w:r>
      <w:r>
        <w:rPr>
          <w:color w:val="000000"/>
          <w:spacing w:val="0"/>
          <w:w w:val="100"/>
          <w:position w:val="0"/>
        </w:rPr>
        <w:t>。元, 发行后本公司注册资本（股本）变更为</w:t>
      </w:r>
      <w:r>
        <w:rPr>
          <w:color w:val="000000"/>
          <w:spacing w:val="0"/>
          <w:w w:val="100"/>
          <w:position w:val="0"/>
        </w:rPr>
        <w:t>5,350.00</w:t>
      </w:r>
      <w:r>
        <w:rPr>
          <w:color w:val="000000"/>
          <w:spacing w:val="0"/>
          <w:w w:val="100"/>
          <w:position w:val="0"/>
        </w:rPr>
        <w:t>万元。本公司</w:t>
      </w:r>
      <w:r>
        <w:rPr>
          <w:color w:val="000000"/>
          <w:spacing w:val="0"/>
          <w:w w:val="100"/>
          <w:position w:val="0"/>
        </w:rPr>
        <w:t>A</w:t>
      </w:r>
      <w:r>
        <w:rPr>
          <w:color w:val="000000"/>
          <w:spacing w:val="0"/>
          <w:w w:val="100"/>
          <w:position w:val="0"/>
        </w:rPr>
        <w:t>股股票自2011年3月16日起在深圳证券交易 所创业板上市交易，证券简称为“美亚柏科”，证券代码为“300188”。</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根据2012年5月140本公司召开的2011年度股东大会审议通过2011年度利润分配方案，以2011年12月 31日总股本5, </w:t>
      </w:r>
      <w:r>
        <w:rPr>
          <w:color w:val="000000"/>
          <w:spacing w:val="0"/>
          <w:w w:val="100"/>
          <w:position w:val="0"/>
        </w:rPr>
        <w:t xml:space="preserve">350. </w:t>
      </w:r>
      <w:r>
        <w:rPr>
          <w:color w:val="000000"/>
          <w:spacing w:val="0"/>
          <w:w w:val="100"/>
          <w:position w:val="0"/>
        </w:rPr>
        <w:t xml:space="preserve">00万股为基数，以资本公积金每10股转增10股，共计转增5, </w:t>
      </w:r>
      <w:r>
        <w:rPr>
          <w:color w:val="000000"/>
          <w:spacing w:val="0"/>
          <w:w w:val="100"/>
          <w:position w:val="0"/>
        </w:rPr>
        <w:t>350.00</w:t>
      </w:r>
      <w:r>
        <w:rPr>
          <w:color w:val="000000"/>
          <w:spacing w:val="0"/>
          <w:w w:val="100"/>
          <w:position w:val="0"/>
        </w:rPr>
        <w:t>万股。根据2012年6 月15日本公司召开的2012年第一次临时股东大会决议、2012年7月6日第一届董事会第二十一次会议决议和 修改后的章程规定，本公司以定向增发方式向201名激励对象授予限制性人民币普通股</w:t>
      </w:r>
      <w:r>
        <w:rPr>
          <w:color w:val="000000"/>
          <w:spacing w:val="0"/>
          <w:w w:val="100"/>
          <w:position w:val="0"/>
        </w:rPr>
        <w:t>（A</w:t>
      </w:r>
      <w:r>
        <w:rPr>
          <w:color w:val="000000"/>
          <w:spacing w:val="0"/>
          <w:w w:val="100"/>
          <w:position w:val="0"/>
        </w:rPr>
        <w:t>股）</w:t>
      </w:r>
      <w:r>
        <w:rPr>
          <w:color w:val="000000"/>
          <w:spacing w:val="0"/>
          <w:w w:val="100"/>
          <w:position w:val="0"/>
        </w:rPr>
        <w:t>390.66</w:t>
      </w:r>
      <w:r>
        <w:rPr>
          <w:color w:val="000000"/>
          <w:spacing w:val="0"/>
          <w:w w:val="100"/>
          <w:position w:val="0"/>
        </w:rPr>
        <w:t>万股, 每股面值1元，授予价格每股</w:t>
      </w:r>
      <w:r>
        <w:rPr>
          <w:color w:val="000000"/>
          <w:spacing w:val="0"/>
          <w:w w:val="100"/>
          <w:position w:val="0"/>
        </w:rPr>
        <w:t>8.58</w:t>
      </w:r>
      <w:r>
        <w:rPr>
          <w:color w:val="000000"/>
          <w:spacing w:val="0"/>
          <w:w w:val="100"/>
          <w:position w:val="0"/>
        </w:rPr>
        <w:t xml:space="preserve">元，募集资金总额33,518, </w:t>
      </w:r>
      <w:r>
        <w:rPr>
          <w:color w:val="000000"/>
          <w:spacing w:val="0"/>
          <w:w w:val="100"/>
          <w:position w:val="0"/>
        </w:rPr>
        <w:t xml:space="preserve">628. </w:t>
      </w:r>
      <w:r>
        <w:rPr>
          <w:color w:val="000000"/>
          <w:spacing w:val="0"/>
          <w:w w:val="100"/>
          <w:position w:val="0"/>
        </w:rPr>
        <w:t>00元，其中计入股本</w:t>
      </w:r>
      <w:r>
        <w:rPr>
          <w:color w:val="000000"/>
          <w:spacing w:val="0"/>
          <w:w w:val="100"/>
          <w:position w:val="0"/>
        </w:rPr>
        <w:t>3,906,600.00</w:t>
      </w:r>
      <w:r>
        <w:rPr>
          <w:color w:val="000000"/>
          <w:spacing w:val="0"/>
          <w:w w:val="100"/>
          <w:position w:val="0"/>
        </w:rPr>
        <w:t>元，计 入资本公积</w:t>
      </w:r>
      <w:r>
        <w:rPr>
          <w:color w:val="000000"/>
          <w:spacing w:val="0"/>
          <w:w w:val="100"/>
          <w:position w:val="0"/>
        </w:rPr>
        <w:t>29,612,028.0</w:t>
      </w:r>
      <w:r>
        <w:rPr>
          <w:color w:val="000000"/>
          <w:spacing w:val="0"/>
          <w:w w:val="100"/>
          <w:position w:val="0"/>
        </w:rPr>
        <w:t>0元。上述增资后注册资本变更为人民币</w:t>
      </w:r>
      <w:r>
        <w:rPr>
          <w:color w:val="000000"/>
          <w:spacing w:val="0"/>
          <w:w w:val="100"/>
          <w:position w:val="0"/>
        </w:rPr>
        <w:t>110,906,600.00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根据2013年5月10日本公司召开的2012年度股东大会审议通过2012年度利润分配方案，以2012年12月 31日总股本</w:t>
      </w:r>
      <w:r>
        <w:rPr>
          <w:color w:val="000000"/>
          <w:spacing w:val="0"/>
          <w:w w:val="100"/>
          <w:position w:val="0"/>
        </w:rPr>
        <w:t>11,090.66</w:t>
      </w:r>
      <w:r>
        <w:rPr>
          <w:color w:val="000000"/>
          <w:spacing w:val="0"/>
          <w:w w:val="100"/>
          <w:position w:val="0"/>
        </w:rPr>
        <w:t>万股为基数，以资本公积金每10股转增10股，共计转增</w:t>
      </w:r>
      <w:r>
        <w:rPr>
          <w:color w:val="000000"/>
          <w:spacing w:val="0"/>
          <w:w w:val="100"/>
          <w:position w:val="0"/>
        </w:rPr>
        <w:t>11,090.66</w:t>
      </w:r>
      <w:r>
        <w:rPr>
          <w:color w:val="000000"/>
          <w:spacing w:val="0"/>
          <w:w w:val="100"/>
          <w:position w:val="0"/>
        </w:rPr>
        <w:t>万股，注册资本变 更为人民币221,813, 200元。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因部分激励对象离职，2014年度本公司回购注销限制性股票数量共计</w:t>
      </w:r>
      <w:r>
        <w:rPr>
          <w:color w:val="000000"/>
          <w:spacing w:val="0"/>
          <w:w w:val="100"/>
          <w:position w:val="0"/>
        </w:rPr>
        <w:t>23.16</w:t>
      </w:r>
      <w:r>
        <w:rPr>
          <w:color w:val="000000"/>
          <w:spacing w:val="0"/>
          <w:w w:val="100"/>
          <w:position w:val="0"/>
        </w:rPr>
        <w:t>万股，回购注销完成后， 本公司总股本从</w:t>
      </w:r>
      <w:r>
        <w:rPr>
          <w:color w:val="000000"/>
          <w:spacing w:val="0"/>
          <w:w w:val="100"/>
          <w:position w:val="0"/>
        </w:rPr>
        <w:t>22,181.3</w:t>
      </w:r>
      <w:r>
        <w:rPr>
          <w:color w:val="000000"/>
          <w:spacing w:val="0"/>
          <w:w w:val="100"/>
          <w:position w:val="0"/>
        </w:rPr>
        <w:t>2万股减至</w:t>
      </w:r>
      <w:r>
        <w:rPr>
          <w:color w:val="000000"/>
          <w:spacing w:val="0"/>
          <w:w w:val="100"/>
          <w:position w:val="0"/>
        </w:rPr>
        <w:t>22,158.16</w:t>
      </w:r>
      <w:r>
        <w:rPr>
          <w:color w:val="000000"/>
          <w:spacing w:val="0"/>
          <w:w w:val="100"/>
          <w:position w:val="0"/>
        </w:rPr>
        <w:t>万股，注册资本变更为人民币</w:t>
      </w:r>
      <w:r>
        <w:rPr>
          <w:color w:val="000000"/>
          <w:spacing w:val="0"/>
          <w:w w:val="100"/>
          <w:position w:val="0"/>
        </w:rPr>
        <w:t>221,581,600.00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根据2015年4月24日本公司召开的2014年度股东大会审议通过2014年度利润分配方案，以2014年12月 31日总股本</w:t>
      </w:r>
      <w:r>
        <w:rPr>
          <w:color w:val="000000"/>
          <w:spacing w:val="0"/>
          <w:w w:val="100"/>
          <w:position w:val="0"/>
        </w:rPr>
        <w:t>22,158.16</w:t>
      </w:r>
      <w:r>
        <w:rPr>
          <w:color w:val="000000"/>
          <w:spacing w:val="0"/>
          <w:w w:val="100"/>
          <w:position w:val="0"/>
        </w:rPr>
        <w:t>万股为基数，以资本公积金每10股转增10股，共计转增</w:t>
      </w:r>
      <w:r>
        <w:rPr>
          <w:color w:val="000000"/>
          <w:spacing w:val="0"/>
          <w:w w:val="100"/>
          <w:position w:val="0"/>
        </w:rPr>
        <w:t>22,158.16</w:t>
      </w:r>
      <w:r>
        <w:rPr>
          <w:color w:val="000000"/>
          <w:spacing w:val="0"/>
          <w:w w:val="100"/>
          <w:position w:val="0"/>
        </w:rPr>
        <w:t xml:space="preserve">万股，注册资本变 更为人民币443, 163, </w:t>
      </w:r>
      <w:r>
        <w:rPr>
          <w:color w:val="000000"/>
          <w:spacing w:val="0"/>
          <w:w w:val="100"/>
          <w:position w:val="0"/>
        </w:rPr>
        <w:t xml:space="preserve">200. </w:t>
      </w:r>
      <w:r>
        <w:rPr>
          <w:color w:val="000000"/>
          <w:spacing w:val="0"/>
          <w:w w:val="100"/>
          <w:position w:val="0"/>
        </w:rPr>
        <w:t>00元。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根据2015年10月30日本公司召开的2015年第三次临时股东大会决议，并经中国证券监督管理委员会 “证监许可【2015】 2919号”《关于核准厦门市美亚柏科信息股份有限公司向韦玉荣等发行股份购买资产 的批复》，核准本公司非公开发行</w:t>
      </w:r>
      <w:r>
        <w:rPr>
          <w:color w:val="000000"/>
          <w:spacing w:val="0"/>
          <w:w w:val="100"/>
          <w:position w:val="0"/>
        </w:rPr>
        <w:t>29,666,848.0</w:t>
      </w:r>
      <w:r>
        <w:rPr>
          <w:color w:val="000000"/>
          <w:spacing w:val="0"/>
          <w:w w:val="100"/>
          <w:position w:val="0"/>
        </w:rPr>
        <w:t>0股股份购买江苏税软软件科技有限公司100%股权，非公 开发行</w:t>
      </w:r>
      <w:r>
        <w:rPr>
          <w:color w:val="000000"/>
          <w:spacing w:val="0"/>
          <w:w w:val="100"/>
          <w:position w:val="0"/>
        </w:rPr>
        <w:t>14,424,358.0</w:t>
      </w:r>
      <w:r>
        <w:rPr>
          <w:color w:val="000000"/>
          <w:spacing w:val="0"/>
          <w:w w:val="100"/>
          <w:position w:val="0"/>
        </w:rPr>
        <w:t xml:space="preserve">0股股份购买珠海市新德汇信息技术有限公司49%股权，每股面值1元，发行价格每股 </w:t>
      </w:r>
      <w:r>
        <w:rPr>
          <w:color w:val="000000"/>
          <w:spacing w:val="0"/>
          <w:w w:val="100"/>
          <w:position w:val="0"/>
        </w:rPr>
        <w:t>18.3</w:t>
      </w:r>
      <w:r>
        <w:rPr>
          <w:color w:val="000000"/>
          <w:spacing w:val="0"/>
          <w:w w:val="100"/>
          <w:position w:val="0"/>
        </w:rPr>
        <w:t xml:space="preserve">1元。上述非公开发行股份后，注册资本变更为人民币487, 254, </w:t>
      </w:r>
      <w:r>
        <w:rPr>
          <w:color w:val="000000"/>
          <w:spacing w:val="0"/>
          <w:w w:val="100"/>
          <w:position w:val="0"/>
        </w:rPr>
        <w:t xml:space="preserve">406. </w:t>
      </w:r>
      <w:r>
        <w:rPr>
          <w:color w:val="000000"/>
          <w:spacing w:val="0"/>
          <w:w w:val="100"/>
          <w:position w:val="0"/>
        </w:rPr>
        <w:t>00元。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根据2016年12月2日本公司召开的2016年第三次临时股东大会决议、2016年12月7日第三届董事会第十 三次会议和修改后的章程规定，本公司以定向增发方式向471名激励对象授予限制性普通股</w:t>
      </w:r>
      <w:r>
        <w:rPr>
          <w:color w:val="000000"/>
          <w:spacing w:val="0"/>
          <w:w w:val="100"/>
          <w:position w:val="0"/>
        </w:rPr>
        <w:t>（A</w:t>
      </w:r>
      <w:r>
        <w:rPr>
          <w:color w:val="000000"/>
          <w:spacing w:val="0"/>
          <w:w w:val="100"/>
          <w:position w:val="0"/>
        </w:rPr>
        <w:t>股）</w:t>
      </w:r>
      <w:r>
        <w:rPr>
          <w:color w:val="000000"/>
          <w:spacing w:val="0"/>
          <w:w w:val="100"/>
          <w:position w:val="0"/>
        </w:rPr>
        <w:t xml:space="preserve">908. </w:t>
      </w:r>
      <w:r>
        <w:rPr>
          <w:color w:val="000000"/>
          <w:spacing w:val="0"/>
          <w:w w:val="100"/>
          <w:position w:val="0"/>
        </w:rPr>
        <w:t>61 万股，每股面值1元，发行价格每股</w:t>
      </w:r>
      <w:r>
        <w:rPr>
          <w:color w:val="000000"/>
          <w:spacing w:val="0"/>
          <w:w w:val="100"/>
          <w:position w:val="0"/>
        </w:rPr>
        <w:t>12.19</w:t>
      </w:r>
      <w:r>
        <w:rPr>
          <w:color w:val="000000"/>
          <w:spacing w:val="0"/>
          <w:w w:val="100"/>
          <w:position w:val="0"/>
        </w:rPr>
        <w:t xml:space="preserve">元，募集资金总额110, 759, </w:t>
      </w:r>
      <w:r>
        <w:rPr>
          <w:color w:val="000000"/>
          <w:spacing w:val="0"/>
          <w:w w:val="100"/>
          <w:position w:val="0"/>
        </w:rPr>
        <w:t xml:space="preserve">559. </w:t>
      </w:r>
      <w:r>
        <w:rPr>
          <w:color w:val="000000"/>
          <w:spacing w:val="0"/>
          <w:w w:val="100"/>
          <w:position w:val="0"/>
        </w:rPr>
        <w:t>00元，其中计入股本</w:t>
      </w:r>
      <w:r>
        <w:rPr>
          <w:color w:val="000000"/>
          <w:spacing w:val="0"/>
          <w:w w:val="100"/>
          <w:position w:val="0"/>
        </w:rPr>
        <w:t xml:space="preserve">9,086,100.00 </w:t>
      </w:r>
      <w:r>
        <w:rPr>
          <w:color w:val="000000"/>
          <w:spacing w:val="0"/>
          <w:w w:val="100"/>
          <w:position w:val="0"/>
        </w:rPr>
        <w:t>元，计入资本公积</w:t>
      </w:r>
      <w:r>
        <w:rPr>
          <w:color w:val="000000"/>
          <w:spacing w:val="0"/>
          <w:w w:val="100"/>
          <w:position w:val="0"/>
        </w:rPr>
        <w:t>101,673,459.00</w:t>
      </w:r>
      <w:r>
        <w:rPr>
          <w:color w:val="000000"/>
          <w:spacing w:val="0"/>
          <w:w w:val="100"/>
          <w:position w:val="0"/>
        </w:rPr>
        <w:t xml:space="preserve">元。上述增资后注册资本变更为人民币496, </w:t>
      </w:r>
      <w:r>
        <w:rPr>
          <w:color w:val="000000"/>
          <w:spacing w:val="0"/>
          <w:w w:val="100"/>
          <w:position w:val="0"/>
        </w:rPr>
        <w:t>340,506.00</w:t>
      </w:r>
      <w:r>
        <w:rPr>
          <w:color w:val="000000"/>
          <w:spacing w:val="0"/>
          <w:w w:val="100"/>
          <w:position w:val="0"/>
        </w:rPr>
        <w:t>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根据2017年6月28日召开的第三届董事会第十七次会议决议、2017年8月23日召开的第三届董事会第十 八次会议决议，本公司回购已离职的18名股权激励对象共计</w:t>
      </w:r>
      <w:r>
        <w:rPr>
          <w:color w:val="000000"/>
          <w:spacing w:val="0"/>
          <w:w w:val="100"/>
          <w:position w:val="0"/>
        </w:rPr>
        <w:t>223,700.00</w:t>
      </w:r>
      <w:r>
        <w:rPr>
          <w:color w:val="000000"/>
          <w:spacing w:val="0"/>
          <w:w w:val="100"/>
          <w:position w:val="0"/>
        </w:rPr>
        <w:t xml:space="preserve">股限制性股票，减少股本 </w:t>
      </w:r>
      <w:r>
        <w:rPr>
          <w:color w:val="000000"/>
          <w:spacing w:val="0"/>
          <w:w w:val="100"/>
          <w:position w:val="0"/>
        </w:rPr>
        <w:t>223,700.00</w:t>
      </w:r>
      <w:r>
        <w:rPr>
          <w:color w:val="000000"/>
          <w:spacing w:val="0"/>
          <w:w w:val="100"/>
          <w:position w:val="0"/>
        </w:rPr>
        <w:t xml:space="preserve">股，减少资本公积2, 494, </w:t>
      </w:r>
      <w:r>
        <w:rPr>
          <w:color w:val="000000"/>
          <w:spacing w:val="0"/>
          <w:w w:val="100"/>
          <w:position w:val="0"/>
        </w:rPr>
        <w:t xml:space="preserve">255. </w:t>
      </w:r>
      <w:r>
        <w:rPr>
          <w:color w:val="000000"/>
          <w:spacing w:val="0"/>
          <w:w w:val="100"/>
          <w:position w:val="0"/>
        </w:rPr>
        <w:t xml:space="preserve">00元。上述减资后注册资本变更为人民币496, 116, </w:t>
      </w:r>
      <w:r>
        <w:rPr>
          <w:color w:val="000000"/>
          <w:spacing w:val="0"/>
          <w:w w:val="100"/>
          <w:position w:val="0"/>
        </w:rPr>
        <w:t xml:space="preserve">806. </w:t>
      </w:r>
      <w:r>
        <w:rPr>
          <w:color w:val="000000"/>
          <w:spacing w:val="0"/>
          <w:w w:val="100"/>
          <w:position w:val="0"/>
        </w:rPr>
        <w:t>00元。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根据2017年11月13日召开的第三届董事会第二十一次会议，本公司向101名自然人定向发行限制性普 通股</w:t>
      </w:r>
      <w:r>
        <w:rPr>
          <w:color w:val="000000"/>
          <w:spacing w:val="0"/>
          <w:w w:val="100"/>
          <w:position w:val="0"/>
        </w:rPr>
        <w:t>（A</w:t>
      </w:r>
      <w:r>
        <w:rPr>
          <w:color w:val="000000"/>
          <w:spacing w:val="0"/>
          <w:w w:val="100"/>
          <w:position w:val="0"/>
        </w:rPr>
        <w:t>股）</w:t>
      </w:r>
      <w:r>
        <w:rPr>
          <w:color w:val="000000"/>
          <w:spacing w:val="0"/>
          <w:w w:val="100"/>
          <w:position w:val="0"/>
        </w:rPr>
        <w:t>91.39</w:t>
      </w:r>
      <w:r>
        <w:rPr>
          <w:color w:val="000000"/>
          <w:spacing w:val="0"/>
          <w:w w:val="100"/>
          <w:position w:val="0"/>
        </w:rPr>
        <w:t>万股，每股面值1</w:t>
      </w:r>
      <w:r>
        <w:rPr>
          <w:color w:val="000000"/>
          <w:spacing w:val="0"/>
          <w:w w:val="100"/>
          <w:position w:val="0"/>
        </w:rPr>
        <w:t>.00</w:t>
      </w:r>
      <w:r>
        <w:rPr>
          <w:color w:val="000000"/>
          <w:spacing w:val="0"/>
          <w:w w:val="100"/>
          <w:position w:val="0"/>
        </w:rPr>
        <w:t>元，发行价格每股</w:t>
      </w:r>
      <w:r>
        <w:rPr>
          <w:color w:val="000000"/>
          <w:spacing w:val="0"/>
          <w:w w:val="100"/>
          <w:position w:val="0"/>
        </w:rPr>
        <w:t>9.78</w:t>
      </w:r>
      <w:r>
        <w:rPr>
          <w:color w:val="000000"/>
          <w:spacing w:val="0"/>
          <w:w w:val="100"/>
          <w:position w:val="0"/>
        </w:rPr>
        <w:t xml:space="preserve">元，募集资金总额8, 937, </w:t>
      </w:r>
      <w:r>
        <w:rPr>
          <w:color w:val="000000"/>
          <w:spacing w:val="0"/>
          <w:w w:val="100"/>
          <w:position w:val="0"/>
        </w:rPr>
        <w:t xml:space="preserve">942. </w:t>
      </w:r>
      <w:r>
        <w:rPr>
          <w:color w:val="000000"/>
          <w:spacing w:val="0"/>
          <w:w w:val="100"/>
          <w:position w:val="0"/>
        </w:rPr>
        <w:t xml:space="preserve">00元，其中计 入股本913, </w:t>
      </w:r>
      <w:r>
        <w:rPr>
          <w:color w:val="000000"/>
          <w:spacing w:val="0"/>
          <w:w w:val="100"/>
          <w:position w:val="0"/>
        </w:rPr>
        <w:t xml:space="preserve">900. </w:t>
      </w:r>
      <w:r>
        <w:rPr>
          <w:color w:val="000000"/>
          <w:spacing w:val="0"/>
          <w:w w:val="100"/>
          <w:position w:val="0"/>
        </w:rPr>
        <w:t>00元，计入资本公积</w:t>
      </w:r>
      <w:r>
        <w:rPr>
          <w:color w:val="000000"/>
          <w:spacing w:val="0"/>
          <w:w w:val="100"/>
          <w:position w:val="0"/>
        </w:rPr>
        <w:t>8,024,042.00</w:t>
      </w:r>
      <w:r>
        <w:rPr>
          <w:color w:val="000000"/>
          <w:spacing w:val="0"/>
          <w:w w:val="100"/>
          <w:position w:val="0"/>
        </w:rPr>
        <w:t>元。上述增资后注册资本变更为人民币</w:t>
      </w:r>
      <w:r>
        <w:rPr>
          <w:color w:val="000000"/>
          <w:spacing w:val="0"/>
          <w:w w:val="100"/>
          <w:position w:val="0"/>
        </w:rPr>
        <w:t xml:space="preserve">497,030,706.00 </w:t>
      </w:r>
      <w:r>
        <w:rPr>
          <w:color w:val="000000"/>
          <w:spacing w:val="0"/>
          <w:w w:val="100"/>
          <w:position w:val="0"/>
        </w:rPr>
        <w:t>/元。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根据2018年4月170本公司召开的2017年度股东大会审议通过2017年度利润分配方案，以总股本 </w:t>
      </w:r>
      <w:r>
        <w:rPr>
          <w:color w:val="000000"/>
          <w:spacing w:val="0"/>
          <w:w w:val="100"/>
          <w:position w:val="0"/>
        </w:rPr>
        <w:t>496,803,986.00</w:t>
      </w:r>
      <w:r>
        <w:rPr>
          <w:color w:val="000000"/>
          <w:spacing w:val="0"/>
          <w:w w:val="100"/>
          <w:position w:val="0"/>
        </w:rPr>
        <w:t>股为基数，向全体股东每10股转增6股，共计转增</w:t>
      </w:r>
      <w:r>
        <w:rPr>
          <w:color w:val="000000"/>
          <w:spacing w:val="0"/>
          <w:w w:val="100"/>
          <w:position w:val="0"/>
        </w:rPr>
        <w:t>298,082,391.00</w:t>
      </w:r>
      <w:r>
        <w:rPr>
          <w:color w:val="000000"/>
          <w:spacing w:val="0"/>
          <w:w w:val="100"/>
          <w:position w:val="0"/>
        </w:rPr>
        <w:t>股，转增后本公司总股 本增加至</w:t>
      </w:r>
      <w:r>
        <w:rPr>
          <w:color w:val="000000"/>
          <w:spacing w:val="0"/>
          <w:w w:val="100"/>
          <w:position w:val="0"/>
        </w:rPr>
        <w:t>795,113,097.00</w:t>
      </w:r>
      <w:r>
        <w:rPr>
          <w:color w:val="000000"/>
          <w:spacing w:val="0"/>
          <w:w w:val="100"/>
          <w:position w:val="0"/>
        </w:rPr>
        <w:t>股。</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根据2017年11月130召开的第三届董事会第二十一次会议决议、2018年3月22日召开的第三届董事会 第二十五次会议决议、2018年10月24日召开的第四届董事会第二次会议决议，本公司回购已离职的21名股 权激励对象共计280,288.00股限制性股票，减少股本280,288.00股，减少资本公积2,786,282.00元，上述 减资后实收资本变更为人民币</w:t>
      </w:r>
      <w:r>
        <w:rPr>
          <w:color w:val="000000"/>
          <w:spacing w:val="0"/>
          <w:w w:val="100"/>
          <w:position w:val="0"/>
        </w:rPr>
        <w:t>794,832,809.00</w:t>
      </w:r>
      <w:r>
        <w:rPr>
          <w:color w:val="000000"/>
          <w:spacing w:val="0"/>
          <w:w w:val="100"/>
          <w:position w:val="0"/>
        </w:rPr>
        <w:t>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2019年4月18日，公司2018年年度股东大会审议通过了《2019年股票期权与限制性股票激励计划（草 案）》。2019年5月6日，公司向961名员工授予限制性股票，授予数量</w:t>
      </w:r>
      <w:r>
        <w:rPr>
          <w:color w:val="000000"/>
          <w:spacing w:val="0"/>
          <w:w w:val="100"/>
          <w:position w:val="0"/>
        </w:rPr>
        <w:t>957.79</w:t>
      </w:r>
      <w:r>
        <w:rPr>
          <w:color w:val="000000"/>
          <w:spacing w:val="0"/>
          <w:w w:val="100"/>
          <w:position w:val="0"/>
        </w:rPr>
        <w:t>万股，每股面值1元，发行价 格每股</w:t>
      </w:r>
      <w:r>
        <w:rPr>
          <w:color w:val="000000"/>
          <w:spacing w:val="0"/>
          <w:w w:val="100"/>
          <w:position w:val="0"/>
        </w:rPr>
        <w:t>8.55</w:t>
      </w:r>
      <w:r>
        <w:rPr>
          <w:color w:val="000000"/>
          <w:spacing w:val="0"/>
          <w:w w:val="100"/>
          <w:position w:val="0"/>
        </w:rPr>
        <w:t>元，募集资金总额</w:t>
      </w:r>
      <w:r>
        <w:rPr>
          <w:color w:val="000000"/>
          <w:spacing w:val="0"/>
          <w:w w:val="100"/>
          <w:position w:val="0"/>
        </w:rPr>
        <w:t xml:space="preserve">81,891,045. </w:t>
      </w:r>
      <w:r>
        <w:rPr>
          <w:color w:val="000000"/>
          <w:spacing w:val="0"/>
          <w:w w:val="100"/>
          <w:position w:val="0"/>
        </w:rPr>
        <w:t>00元，其中计入股本</w:t>
      </w:r>
      <w:r>
        <w:rPr>
          <w:color w:val="000000"/>
          <w:spacing w:val="0"/>
          <w:w w:val="100"/>
          <w:position w:val="0"/>
        </w:rPr>
        <w:t>9,577,900.00</w:t>
      </w:r>
      <w:r>
        <w:rPr>
          <w:color w:val="000000"/>
          <w:spacing w:val="0"/>
          <w:w w:val="100"/>
          <w:position w:val="0"/>
        </w:rPr>
        <w:t xml:space="preserve">元，计入资本公积 </w:t>
      </w:r>
      <w:r>
        <w:rPr>
          <w:color w:val="000000"/>
          <w:spacing w:val="0"/>
          <w:w w:val="100"/>
          <w:position w:val="0"/>
        </w:rPr>
        <w:t>72,313,145.00</w:t>
      </w:r>
      <w:r>
        <w:rPr>
          <w:color w:val="000000"/>
          <w:spacing w:val="0"/>
          <w:w w:val="100"/>
          <w:position w:val="0"/>
        </w:rPr>
        <w:t>元；向961名员工授予股票期权，授予数量</w:t>
      </w:r>
      <w:r>
        <w:rPr>
          <w:color w:val="000000"/>
          <w:spacing w:val="0"/>
          <w:w w:val="100"/>
          <w:position w:val="0"/>
        </w:rPr>
        <w:t xml:space="preserve">468. </w:t>
      </w:r>
      <w:r>
        <w:rPr>
          <w:color w:val="000000"/>
          <w:spacing w:val="0"/>
          <w:w w:val="100"/>
          <w:position w:val="0"/>
        </w:rPr>
        <w:t>54万股，每股授予价格</w:t>
      </w:r>
      <w:r>
        <w:rPr>
          <w:color w:val="000000"/>
          <w:spacing w:val="0"/>
          <w:w w:val="100"/>
          <w:position w:val="0"/>
        </w:rPr>
        <w:t>17.17</w:t>
      </w:r>
      <w:r>
        <w:rPr>
          <w:color w:val="000000"/>
          <w:spacing w:val="0"/>
          <w:w w:val="100"/>
          <w:position w:val="0"/>
        </w:rPr>
        <w:t>元。上述增资 后实收资本变更为人民币</w:t>
      </w:r>
      <w:r>
        <w:rPr>
          <w:color w:val="000000"/>
          <w:spacing w:val="0"/>
          <w:w w:val="100"/>
          <w:position w:val="0"/>
        </w:rPr>
        <w:t>804,410,709.00</w:t>
      </w:r>
      <w:r>
        <w:rPr>
          <w:color w:val="000000"/>
          <w:spacing w:val="0"/>
          <w:w w:val="100"/>
          <w:position w:val="0"/>
        </w:rPr>
        <w:t>元。</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2019年3月29日，公司实际控制人郭永芳、滕达及股东李国林、卓桂英、刘冬颖、苏学武、韦玉荣与 国投智能科技有限公司（以下简称“国投智能”）签署了《股份转让协议》，通过协议转让方式，向国投 智能转让美亚柏科合计</w:t>
      </w:r>
      <w:r>
        <w:rPr>
          <w:color w:val="000000"/>
          <w:spacing w:val="0"/>
          <w:w w:val="100"/>
          <w:position w:val="0"/>
        </w:rPr>
        <w:t>125,475,942.00</w:t>
      </w:r>
      <w:r>
        <w:rPr>
          <w:color w:val="000000"/>
          <w:spacing w:val="0"/>
          <w:w w:val="100"/>
          <w:position w:val="0"/>
        </w:rPr>
        <w:t xml:space="preserve">股的股份，占本公司总股本的15.79%。同时股东李国林、刘冬颖与 国投智能签署了《表决权委托协议》，李国林，刘冬颖另将其各自持有的27, </w:t>
      </w:r>
      <w:r>
        <w:rPr>
          <w:color w:val="000000"/>
          <w:spacing w:val="0"/>
          <w:w w:val="100"/>
          <w:position w:val="0"/>
        </w:rPr>
        <w:t>024,316.0</w:t>
      </w:r>
      <w:r>
        <w:rPr>
          <w:color w:val="000000"/>
          <w:spacing w:val="0"/>
          <w:w w:val="100"/>
          <w:position w:val="0"/>
        </w:rPr>
        <w:t>0股表决权不可撤 销的委托给国投智能行使。2019年6月10日，该事项获得国家市场监督管理总局批复。2019年7月4日，该 事项获得国务院国资委批复。2019年7月17日，上述协议转让股份完成过户登记手续。</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根据2019年7月17日召开的第四届董事会第九次会议，审议通过了《关于注销部分股票期权和回购注 销部分限制性股票的议案》。公司回购已离职的33名限制性股票激励对象和11名股权激励对象共计 </w:t>
      </w:r>
      <w:r>
        <w:rPr>
          <w:color w:val="000000"/>
          <w:spacing w:val="0"/>
          <w:w w:val="100"/>
          <w:position w:val="0"/>
        </w:rPr>
        <w:t>248,092.00</w:t>
      </w:r>
      <w:r>
        <w:rPr>
          <w:color w:val="000000"/>
          <w:spacing w:val="0"/>
          <w:w w:val="100"/>
          <w:position w:val="0"/>
        </w:rPr>
        <w:t>股限制性股票及</w:t>
      </w:r>
      <w:r>
        <w:rPr>
          <w:color w:val="000000"/>
          <w:spacing w:val="0"/>
          <w:w w:val="100"/>
          <w:position w:val="0"/>
        </w:rPr>
        <w:t>50,000.0</w:t>
      </w:r>
      <w:r>
        <w:rPr>
          <w:color w:val="000000"/>
          <w:spacing w:val="0"/>
          <w:w w:val="100"/>
          <w:position w:val="0"/>
        </w:rPr>
        <w:t>0股股票期权，减少股本</w:t>
      </w:r>
      <w:r>
        <w:rPr>
          <w:color w:val="000000"/>
          <w:spacing w:val="0"/>
          <w:w w:val="100"/>
          <w:position w:val="0"/>
        </w:rPr>
        <w:t>248,092.00</w:t>
      </w:r>
      <w:r>
        <w:rPr>
          <w:color w:val="000000"/>
          <w:spacing w:val="0"/>
          <w:w w:val="100"/>
          <w:position w:val="0"/>
        </w:rPr>
        <w:t>股，减少资本公积</w:t>
      </w:r>
      <w:r>
        <w:rPr>
          <w:color w:val="000000"/>
          <w:spacing w:val="0"/>
          <w:w w:val="100"/>
          <w:position w:val="0"/>
        </w:rPr>
        <w:t xml:space="preserve">1,568,043.64 </w:t>
      </w:r>
      <w:r>
        <w:rPr>
          <w:color w:val="000000"/>
          <w:spacing w:val="0"/>
          <w:w w:val="100"/>
          <w:position w:val="0"/>
        </w:rPr>
        <w:t>元，上述减资后实收资本变更为人民币</w:t>
      </w:r>
      <w:r>
        <w:rPr>
          <w:color w:val="000000"/>
          <w:spacing w:val="0"/>
          <w:w w:val="100"/>
          <w:position w:val="0"/>
        </w:rPr>
        <w:t>804,162,617.00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根据2019年9月29日召开的第四届董事会第十二次会议，审议通过了《关于注销部分股票期权和回购 注销部分限制性股票的议案》。公司回购已离职的18名限制性股票激励对象和21名股票期权激励对象共计 </w:t>
      </w:r>
      <w:r>
        <w:rPr>
          <w:color w:val="000000"/>
          <w:spacing w:val="0"/>
          <w:w w:val="100"/>
          <w:position w:val="0"/>
        </w:rPr>
        <w:t>168,900.00</w:t>
      </w:r>
      <w:r>
        <w:rPr>
          <w:color w:val="000000"/>
          <w:spacing w:val="0"/>
          <w:w w:val="100"/>
          <w:position w:val="0"/>
        </w:rPr>
        <w:t xml:space="preserve">股限制性股票及131, </w:t>
      </w:r>
      <w:r>
        <w:rPr>
          <w:color w:val="000000"/>
          <w:spacing w:val="0"/>
          <w:w w:val="100"/>
          <w:position w:val="0"/>
        </w:rPr>
        <w:t xml:space="preserve">700. </w:t>
      </w:r>
      <w:r>
        <w:rPr>
          <w:color w:val="000000"/>
          <w:spacing w:val="0"/>
          <w:w w:val="100"/>
          <w:position w:val="0"/>
        </w:rPr>
        <w:t>00股股票期权，减少股本</w:t>
      </w:r>
      <w:r>
        <w:rPr>
          <w:color w:val="000000"/>
          <w:spacing w:val="0"/>
          <w:w w:val="100"/>
          <w:position w:val="0"/>
        </w:rPr>
        <w:t>168,900.00</w:t>
      </w:r>
      <w:r>
        <w:rPr>
          <w:color w:val="000000"/>
          <w:spacing w:val="0"/>
          <w:w w:val="100"/>
          <w:position w:val="0"/>
        </w:rPr>
        <w:t>股，减少资本公积</w:t>
      </w:r>
      <w:r>
        <w:rPr>
          <w:color w:val="000000"/>
          <w:spacing w:val="0"/>
          <w:w w:val="100"/>
          <w:position w:val="0"/>
        </w:rPr>
        <w:t xml:space="preserve">1,194,372.00 </w:t>
      </w:r>
      <w:r>
        <w:rPr>
          <w:color w:val="000000"/>
          <w:spacing w:val="0"/>
          <w:w w:val="100"/>
          <w:position w:val="0"/>
        </w:rPr>
        <w:t>元，上述减资后实收资本变更为人民币</w:t>
      </w:r>
      <w:r>
        <w:rPr>
          <w:color w:val="000000"/>
          <w:spacing w:val="0"/>
          <w:w w:val="100"/>
          <w:position w:val="0"/>
        </w:rPr>
        <w:t>803,993,717.00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2020年1月23日，公司第四届董事会第十五次会议和第四届监事会第十四次会议审议通过了《关于向 激励对象授予2019年股票期权与限制性股票激励计划预留权益的议案》。2020年1月23日为本次股权激励 计划的预留权益授予日，公司向210名员工授予限制性股票，授予数量</w:t>
      </w:r>
      <w:r>
        <w:rPr>
          <w:color w:val="000000"/>
          <w:spacing w:val="0"/>
          <w:w w:val="100"/>
          <w:position w:val="0"/>
        </w:rPr>
        <w:t>134.00</w:t>
      </w:r>
      <w:r>
        <w:rPr>
          <w:color w:val="000000"/>
          <w:spacing w:val="0"/>
          <w:w w:val="100"/>
          <w:position w:val="0"/>
        </w:rPr>
        <w:t>万股，每股面值1元，授予价 格每股</w:t>
      </w:r>
      <w:r>
        <w:rPr>
          <w:color w:val="000000"/>
          <w:spacing w:val="0"/>
          <w:w w:val="100"/>
          <w:position w:val="0"/>
        </w:rPr>
        <w:t xml:space="preserve">10. </w:t>
      </w:r>
      <w:r>
        <w:rPr>
          <w:color w:val="000000"/>
          <w:spacing w:val="0"/>
          <w:w w:val="100"/>
          <w:position w:val="0"/>
        </w:rPr>
        <w:t>69元，募集资金总额</w:t>
      </w:r>
      <w:r>
        <w:rPr>
          <w:color w:val="000000"/>
          <w:spacing w:val="0"/>
          <w:w w:val="100"/>
          <w:position w:val="0"/>
        </w:rPr>
        <w:t>14,324,600.00</w:t>
      </w:r>
      <w:r>
        <w:rPr>
          <w:color w:val="000000"/>
          <w:spacing w:val="0"/>
          <w:w w:val="100"/>
          <w:position w:val="0"/>
        </w:rPr>
        <w:t xml:space="preserve">元，其中计入股本1, </w:t>
      </w:r>
      <w:r>
        <w:rPr>
          <w:color w:val="000000"/>
          <w:spacing w:val="0"/>
          <w:w w:val="100"/>
          <w:position w:val="0"/>
        </w:rPr>
        <w:t>340,000.00</w:t>
      </w:r>
      <w:r>
        <w:rPr>
          <w:color w:val="000000"/>
          <w:spacing w:val="0"/>
          <w:w w:val="100"/>
          <w:position w:val="0"/>
        </w:rPr>
        <w:t xml:space="preserve">元，计入资本公积 </w:t>
      </w:r>
      <w:r>
        <w:rPr>
          <w:color w:val="000000"/>
          <w:spacing w:val="0"/>
          <w:w w:val="100"/>
          <w:position w:val="0"/>
        </w:rPr>
        <w:t>12,984,600.00</w:t>
      </w:r>
      <w:r>
        <w:rPr>
          <w:color w:val="000000"/>
          <w:spacing w:val="0"/>
          <w:w w:val="100"/>
          <w:position w:val="0"/>
        </w:rPr>
        <w:t>元；向149名员工授予股票期权，授予数量</w:t>
      </w:r>
      <w:r>
        <w:rPr>
          <w:color w:val="000000"/>
          <w:spacing w:val="0"/>
          <w:w w:val="100"/>
          <w:position w:val="0"/>
        </w:rPr>
        <w:t>76.0</w:t>
      </w:r>
      <w:r>
        <w:rPr>
          <w:color w:val="000000"/>
          <w:spacing w:val="0"/>
          <w:w w:val="100"/>
          <w:position w:val="0"/>
        </w:rPr>
        <w:t>0万份，每份授予价格</w:t>
      </w:r>
      <w:r>
        <w:rPr>
          <w:color w:val="000000"/>
          <w:spacing w:val="0"/>
          <w:w w:val="100"/>
          <w:position w:val="0"/>
        </w:rPr>
        <w:t>21.3</w:t>
      </w:r>
      <w:r>
        <w:rPr>
          <w:color w:val="000000"/>
          <w:spacing w:val="0"/>
          <w:w w:val="100"/>
          <w:position w:val="0"/>
        </w:rPr>
        <w:t>7元。上述增资后 实收资本变更为人民币</w:t>
      </w:r>
      <w:r>
        <w:rPr>
          <w:color w:val="000000"/>
          <w:spacing w:val="0"/>
          <w:w w:val="100"/>
          <w:position w:val="0"/>
        </w:rPr>
        <w:t>805,333,717.00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根据2020年3月27日召开的第四届董事会第十六次会议和第四届监事会第十五次会议，审议通过了《关 于注销部分股票期权和回购注销部分限制性股票的议案》。公司回购已离职的18名限制性股票激励对象和 27名股票期权激励对象共计122, </w:t>
      </w:r>
      <w:r>
        <w:rPr>
          <w:color w:val="000000"/>
          <w:spacing w:val="0"/>
          <w:w w:val="100"/>
          <w:position w:val="0"/>
        </w:rPr>
        <w:t xml:space="preserve">400. </w:t>
      </w:r>
      <w:r>
        <w:rPr>
          <w:color w:val="000000"/>
          <w:spacing w:val="0"/>
          <w:w w:val="100"/>
          <w:position w:val="0"/>
        </w:rPr>
        <w:t>00股限制性股票及</w:t>
      </w:r>
      <w:r>
        <w:rPr>
          <w:color w:val="000000"/>
          <w:spacing w:val="0"/>
          <w:w w:val="100"/>
          <w:position w:val="0"/>
        </w:rPr>
        <w:t>123,500.00</w:t>
      </w:r>
      <w:r>
        <w:rPr>
          <w:color w:val="000000"/>
          <w:spacing w:val="0"/>
          <w:w w:val="100"/>
          <w:position w:val="0"/>
        </w:rPr>
        <w:t>份股票期权，减少股本</w:t>
      </w:r>
      <w:r>
        <w:rPr>
          <w:color w:val="000000"/>
          <w:spacing w:val="0"/>
          <w:w w:val="100"/>
          <w:position w:val="0"/>
        </w:rPr>
        <w:t>122,400.00</w:t>
      </w:r>
      <w:r>
        <w:rPr>
          <w:color w:val="000000"/>
          <w:spacing w:val="0"/>
          <w:w w:val="100"/>
          <w:position w:val="0"/>
        </w:rPr>
        <w:t>股， 减少资本公积</w:t>
      </w:r>
      <w:r>
        <w:rPr>
          <w:color w:val="000000"/>
          <w:spacing w:val="0"/>
          <w:w w:val="100"/>
          <w:position w:val="0"/>
        </w:rPr>
        <w:t>934,820.00</w:t>
      </w:r>
      <w:r>
        <w:rPr>
          <w:color w:val="000000"/>
          <w:spacing w:val="0"/>
          <w:w w:val="100"/>
          <w:position w:val="0"/>
        </w:rPr>
        <w:t>元，上述减资后实收资本变更为人民币</w:t>
      </w:r>
      <w:r>
        <w:rPr>
          <w:color w:val="000000"/>
          <w:spacing w:val="0"/>
          <w:w w:val="100"/>
          <w:position w:val="0"/>
        </w:rPr>
        <w:t>805,211,317.00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2020年6月1日，公司第四届董事会第十八次会议和第四届监事会第十六次会议审议通过了《关于公司 2019年股票期权与限制性股票激励计划首次授予部分第一个可行权/解除限售条件成就的议案》。于2020 年6月16日解锁2019年股票期权与限制性股票激励计划首次授予部分803名激励对象限制性股票共计 3,732, 360股；截止2020年12月31日，2019年股票期权与限制性股票激励计划首次授予部分776名激励对象 期权行权共计1,455,328份，募集资金总额</w:t>
      </w:r>
      <w:r>
        <w:rPr>
          <w:color w:val="000000"/>
          <w:spacing w:val="0"/>
          <w:w w:val="100"/>
          <w:position w:val="0"/>
        </w:rPr>
        <w:t>24,857,002.24</w:t>
      </w:r>
      <w:r>
        <w:rPr>
          <w:color w:val="000000"/>
          <w:spacing w:val="0"/>
          <w:w w:val="100"/>
          <w:position w:val="0"/>
        </w:rPr>
        <w:t>元，其中计入股本</w:t>
      </w:r>
      <w:r>
        <w:rPr>
          <w:color w:val="000000"/>
          <w:spacing w:val="0"/>
          <w:w w:val="100"/>
          <w:position w:val="0"/>
        </w:rPr>
        <w:t>1,455,328.00</w:t>
      </w:r>
      <w:r>
        <w:rPr>
          <w:color w:val="000000"/>
          <w:spacing w:val="0"/>
          <w:w w:val="100"/>
          <w:position w:val="0"/>
        </w:rPr>
        <w:t>元，计入资本公 积</w:t>
      </w:r>
      <w:r>
        <w:rPr>
          <w:color w:val="000000"/>
          <w:spacing w:val="0"/>
          <w:w w:val="100"/>
          <w:position w:val="0"/>
        </w:rPr>
        <w:t>23,401,674.24</w:t>
      </w:r>
      <w:r>
        <w:rPr>
          <w:color w:val="000000"/>
          <w:spacing w:val="0"/>
          <w:w w:val="100"/>
          <w:position w:val="0"/>
        </w:rPr>
        <w:t>元。上述增资后实收资本变更为人民币</w:t>
      </w:r>
      <w:r>
        <w:rPr>
          <w:color w:val="000000"/>
          <w:spacing w:val="0"/>
          <w:w w:val="100"/>
          <w:position w:val="0"/>
        </w:rPr>
        <w:t>806,666,645.00</w:t>
      </w:r>
      <w:r>
        <w:rPr>
          <w:color w:val="000000"/>
          <w:spacing w:val="0"/>
          <w:w w:val="100"/>
          <w:position w:val="0"/>
        </w:rPr>
        <w:t>元。</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本公司及其子公司（以下简称“本集团”）属电子信息行业，经营范围主要包括：系统集成、计算机 软件开发、信息咨询服务等。主要产品包括：网络空间安全产品、大数据智能化平台、网络开源情报、智 能装备制造。主要客户包括全国各级司法机关、行政执法部门。</w:t>
      </w:r>
    </w:p>
    <w:p>
      <w:pPr>
        <w:pStyle w:val="Style4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本财务报表及财务报表附注业经本公司第四届董事会第二十二次会议于2021年3月29日批准报出。</w:t>
      </w:r>
    </w:p>
    <w:p>
      <w:pPr>
        <w:pStyle w:val="Style4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本集团合并财务报表范围包括本公司及全部子公司，本报告期新设成立的子公司：常熟腾瑞智能科技 有限公司、广东新德汇司法鉴定所、厦门腾柏顺科技有限公司、澳门美新信息技术有限公司、中检美亚（厦 门）科技有限公司、福建大田柏科信息科技有限公司，合并财务报表范围变化情况详见本“附注八、合并 范围的变更”及“附注九、在其他主体中的权益”。</w:t>
      </w:r>
    </w:p>
    <w:p>
      <w:pPr>
        <w:pStyle w:val="Style27"/>
        <w:keepNext/>
        <w:keepLines/>
        <w:widowControl w:val="0"/>
        <w:shd w:val="clear" w:color="auto" w:fill="auto"/>
        <w:tabs>
          <w:tab w:pos="502" w:val="left"/>
        </w:tabs>
        <w:bidi w:val="0"/>
        <w:spacing w:before="0" w:after="340" w:line="240" w:lineRule="auto"/>
        <w:ind w:left="0" w:right="0" w:firstLine="0"/>
        <w:jc w:val="both"/>
      </w:pPr>
      <w:bookmarkStart w:id="754" w:name="bookmark754"/>
      <w:bookmarkStart w:id="755" w:name="bookmark755"/>
      <w:bookmarkStart w:id="756" w:name="bookmark756"/>
      <w:bookmarkStart w:id="757" w:name="bookmark757"/>
      <w:r>
        <w:rPr>
          <w:color w:val="000000"/>
          <w:spacing w:val="0"/>
          <w:w w:val="100"/>
          <w:position w:val="0"/>
          <w:sz w:val="24"/>
          <w:szCs w:val="24"/>
        </w:rPr>
        <w:t>四</w:t>
      </w:r>
      <w:bookmarkEnd w:id="756"/>
      <w:r>
        <w:rPr>
          <w:color w:val="000000"/>
          <w:spacing w:val="0"/>
          <w:w w:val="100"/>
          <w:position w:val="0"/>
          <w:sz w:val="24"/>
          <w:szCs w:val="24"/>
        </w:rPr>
        <w:t>、</w:t>
        <w:tab/>
        <w:t>财务报表的编制基础</w:t>
      </w:r>
      <w:bookmarkEnd w:id="754"/>
      <w:bookmarkEnd w:id="755"/>
      <w:bookmarkEnd w:id="757"/>
    </w:p>
    <w:p>
      <w:pPr>
        <w:pStyle w:val="Style32"/>
        <w:keepNext/>
        <w:keepLines/>
        <w:widowControl w:val="0"/>
        <w:shd w:val="clear" w:color="auto" w:fill="auto"/>
        <w:tabs>
          <w:tab w:pos="368" w:val="left"/>
        </w:tabs>
        <w:bidi w:val="0"/>
        <w:spacing w:before="0" w:after="0" w:line="48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w:t>
        <w:tab/>
        <w:t>编制基础</w:t>
      </w:r>
      <w:bookmarkEnd w:id="758"/>
      <w:bookmarkEnd w:id="759"/>
      <w:bookmarkEnd w:id="761"/>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本财务报表按照财政部颁布的企业会计准则及其应用指南、解释及其他有关规定（统称“企业会计准 则”）编制。此外，本集团还按照中国证监会《公开发行证券的公司信息披露编报规则第15号一财务报告 的一般规定》（2014年修订）披露有关财务信息。</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本财务报表以持续经营为基础列报。</w:t>
      </w:r>
    </w:p>
    <w:p>
      <w:pPr>
        <w:pStyle w:val="Style44"/>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32"/>
        <w:keepNext/>
        <w:keepLines/>
        <w:widowControl w:val="0"/>
        <w:shd w:val="clear" w:color="auto" w:fill="auto"/>
        <w:tabs>
          <w:tab w:pos="378" w:val="left"/>
        </w:tabs>
        <w:bidi w:val="0"/>
        <w:spacing w:before="0" w:after="0" w:line="48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w:t>
        <w:tab/>
        <w:t>持续经营</w:t>
      </w:r>
      <w:bookmarkEnd w:id="762"/>
      <w:bookmarkEnd w:id="763"/>
      <w:bookmarkEnd w:id="765"/>
    </w:p>
    <w:p>
      <w:pPr>
        <w:pStyle w:val="Style4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本集团利用所有可获得信息，未发现自报告期末起12个月内对持续经营能力产生重大疑虑的事项或情 况。</w:t>
      </w:r>
    </w:p>
    <w:p>
      <w:pPr>
        <w:pStyle w:val="Style27"/>
        <w:keepNext/>
        <w:keepLines/>
        <w:widowControl w:val="0"/>
        <w:shd w:val="clear" w:color="auto" w:fill="auto"/>
        <w:tabs>
          <w:tab w:pos="522" w:val="left"/>
        </w:tabs>
        <w:bidi w:val="0"/>
        <w:spacing w:before="0" w:after="42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sz w:val="24"/>
          <w:szCs w:val="24"/>
        </w:rPr>
        <w:t>五</w:t>
      </w:r>
      <w:bookmarkEnd w:id="768"/>
      <w:r>
        <w:rPr>
          <w:color w:val="000000"/>
          <w:spacing w:val="0"/>
          <w:w w:val="100"/>
          <w:position w:val="0"/>
          <w:sz w:val="24"/>
          <w:szCs w:val="24"/>
        </w:rPr>
        <w:t>、</w:t>
        <w:tab/>
        <w:t>重要会计政策及会计估计</w:t>
      </w:r>
      <w:bookmarkEnd w:id="766"/>
      <w:bookmarkEnd w:id="767"/>
      <w:bookmarkEnd w:id="769"/>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本集团根据自身生产经营特点，确定收入确认政策，具体会计政策参见附注五、</w:t>
      </w:r>
      <w:r>
        <w:rPr>
          <w:rFonts w:ascii="Times New Roman" w:eastAsia="Times New Roman" w:hAnsi="Times New Roman" w:cs="Times New Roman"/>
          <w:color w:val="000000"/>
          <w:spacing w:val="0"/>
          <w:w w:val="100"/>
          <w:position w:val="0"/>
        </w:rPr>
        <w:t>39</w:t>
      </w:r>
    </w:p>
    <w:p>
      <w:pPr>
        <w:pStyle w:val="Style32"/>
        <w:keepNext/>
        <w:keepLines/>
        <w:widowControl w:val="0"/>
        <w:shd w:val="clear" w:color="auto" w:fill="auto"/>
        <w:tabs>
          <w:tab w:pos="368" w:val="left"/>
        </w:tabs>
        <w:bidi w:val="0"/>
        <w:spacing w:before="0" w:after="200" w:line="467"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color w:val="000000"/>
          <w:spacing w:val="0"/>
          <w:w w:val="100"/>
          <w:position w:val="0"/>
        </w:rPr>
        <w:t>、</w:t>
        <w:tab/>
        <w:t>遵循企业会计准则的声明</w:t>
      </w:r>
      <w:bookmarkEnd w:id="770"/>
      <w:bookmarkEnd w:id="771"/>
      <w:bookmarkEnd w:id="773"/>
    </w:p>
    <w:p>
      <w:pPr>
        <w:pStyle w:val="Style44"/>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本财务报表符合企业会计准则的要求，真实、完整地反映了本集团2020年12月31日的合并及公司财务 状况以及2020年度的合并及公司经营成果和合并及公司现金流量等有关信息。</w:t>
      </w:r>
    </w:p>
    <w:p>
      <w:pPr>
        <w:pStyle w:val="Style32"/>
        <w:keepNext/>
        <w:keepLines/>
        <w:widowControl w:val="0"/>
        <w:shd w:val="clear" w:color="auto" w:fill="auto"/>
        <w:tabs>
          <w:tab w:pos="378" w:val="left"/>
        </w:tabs>
        <w:bidi w:val="0"/>
        <w:spacing w:before="0" w:after="0" w:line="48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bookmarkEnd w:id="776"/>
      <w:r>
        <w:rPr>
          <w:color w:val="000000"/>
          <w:spacing w:val="0"/>
          <w:w w:val="100"/>
          <w:position w:val="0"/>
        </w:rPr>
        <w:t>、</w:t>
        <w:tab/>
        <w:t>会计期间</w:t>
      </w:r>
      <w:bookmarkEnd w:id="774"/>
      <w:bookmarkEnd w:id="775"/>
      <w:bookmarkEnd w:id="777"/>
    </w:p>
    <w:p>
      <w:pPr>
        <w:pStyle w:val="Style44"/>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本集团会计年度为公历年度，即每年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0" w:line="48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3</w:t>
      </w:r>
      <w:bookmarkEnd w:id="780"/>
      <w:r>
        <w:rPr>
          <w:color w:val="000000"/>
          <w:spacing w:val="0"/>
          <w:w w:val="100"/>
          <w:position w:val="0"/>
        </w:rPr>
        <w:t>、</w:t>
        <w:tab/>
        <w:t>营业周期</w:t>
      </w:r>
      <w:bookmarkEnd w:id="778"/>
      <w:bookmarkEnd w:id="779"/>
      <w:bookmarkEnd w:id="781"/>
    </w:p>
    <w:p>
      <w:pPr>
        <w:pStyle w:val="Style44"/>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0" w:line="48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4</w:t>
      </w:r>
      <w:bookmarkEnd w:id="784"/>
      <w:r>
        <w:rPr>
          <w:color w:val="000000"/>
          <w:spacing w:val="0"/>
          <w:w w:val="100"/>
          <w:position w:val="0"/>
        </w:rPr>
        <w:t>、</w:t>
        <w:tab/>
        <w:t>记账本位币</w:t>
      </w:r>
      <w:bookmarkEnd w:id="782"/>
      <w:bookmarkEnd w:id="783"/>
      <w:bookmarkEnd w:id="785"/>
    </w:p>
    <w:p>
      <w:pPr>
        <w:pStyle w:val="Style44"/>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本集团及境内子公司以人民币为记账本位币。本集团编制本财务报表时所采用的货币为人民币。</w:t>
      </w:r>
    </w:p>
    <w:p>
      <w:pPr>
        <w:pStyle w:val="Style32"/>
        <w:keepNext/>
        <w:keepLines/>
        <w:widowControl w:val="0"/>
        <w:shd w:val="clear" w:color="auto" w:fill="auto"/>
        <w:tabs>
          <w:tab w:pos="363" w:val="left"/>
        </w:tabs>
        <w:bidi w:val="0"/>
        <w:spacing w:before="0" w:after="220" w:line="469"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5</w:t>
      </w:r>
      <w:bookmarkEnd w:id="788"/>
      <w:r>
        <w:rPr>
          <w:color w:val="000000"/>
          <w:spacing w:val="0"/>
          <w:w w:val="100"/>
          <w:position w:val="0"/>
        </w:rPr>
        <w:t>、</w:t>
        <w:tab/>
        <w:t>同一控制下和非同一控制下企业合并的会计处理方法</w:t>
      </w:r>
      <w:bookmarkEnd w:id="786"/>
      <w:bookmarkEnd w:id="787"/>
      <w:bookmarkEnd w:id="789"/>
    </w:p>
    <w:p>
      <w:pPr>
        <w:pStyle w:val="Style44"/>
        <w:keepNext w:val="0"/>
        <w:keepLines w:val="0"/>
        <w:widowControl w:val="0"/>
        <w:shd w:val="clear" w:color="auto" w:fill="auto"/>
        <w:tabs>
          <w:tab w:pos="798" w:val="left"/>
        </w:tabs>
        <w:bidi w:val="0"/>
        <w:spacing w:before="0" w:after="0" w:line="469" w:lineRule="exact"/>
        <w:ind w:left="0" w:right="0" w:firstLine="440"/>
        <w:jc w:val="both"/>
      </w:pPr>
      <w:bookmarkStart w:id="790" w:name="bookmark790"/>
      <w:r>
        <w:rPr>
          <w:color w:val="000000"/>
          <w:spacing w:val="0"/>
          <w:w w:val="100"/>
          <w:position w:val="0"/>
        </w:rPr>
        <w:t>1</w:t>
      </w:r>
      <w:bookmarkEnd w:id="790"/>
      <w:r>
        <w:rPr>
          <w:color w:val="000000"/>
          <w:spacing w:val="0"/>
          <w:w w:val="100"/>
          <w:position w:val="0"/>
        </w:rPr>
        <w:t>）</w:t>
        <w:tab/>
        <w:t>同一控制下的企业合并</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同一控制下的企业合并，合并方以支付现金、转让非现金资产或承担债务方式作为合并对价的，合并 日按被合并方所有者权益在最终控制方合并财务报表中的账面价值的份额作为长期股权投资的初始投资 成本。长期股权投资初始投资成本与支付的现金、转让的非现金资产以及所承担债务账面价值之间的差额, 调整资本公积；资本公积不足冲减的，调整留存收益。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合并方以发行权益性证券作为合并对价的，合并日按被合并方所有者权益在最终控制方合并财务报表 中的账面价值的份额作为长期股权投资的初始投资成本。按照发行股份的面值总额作为股本，长期股权投 资初始投资成本与所发行股份面值总额之间的差额，调整资本公积；资本公积不足冲减的，调整留存收益。</w:t>
      </w:r>
    </w:p>
    <w:p>
      <w:pPr>
        <w:pStyle w:val="Style44"/>
        <w:keepNext w:val="0"/>
        <w:keepLines w:val="0"/>
        <w:widowControl w:val="0"/>
        <w:shd w:val="clear" w:color="auto" w:fill="auto"/>
        <w:tabs>
          <w:tab w:pos="812" w:val="left"/>
        </w:tabs>
        <w:bidi w:val="0"/>
        <w:spacing w:before="0" w:after="0" w:line="469" w:lineRule="exact"/>
        <w:ind w:left="0" w:right="0" w:firstLine="440"/>
        <w:jc w:val="both"/>
      </w:pPr>
      <w:bookmarkStart w:id="791" w:name="bookmark791"/>
      <w:r>
        <w:rPr>
          <w:color w:val="000000"/>
          <w:spacing w:val="0"/>
          <w:w w:val="100"/>
          <w:position w:val="0"/>
        </w:rPr>
        <w:t>2</w:t>
      </w:r>
      <w:bookmarkEnd w:id="791"/>
      <w:r>
        <w:rPr>
          <w:color w:val="000000"/>
          <w:spacing w:val="0"/>
          <w:w w:val="100"/>
          <w:position w:val="0"/>
        </w:rPr>
        <w:t>）</w:t>
        <w:tab/>
        <w:t>非同一控制下的企业合并</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本集团在购买日对作为企业合并对价付出的资产、发生或承担的负债按照公允价值计量。公允价值与 其账面价值的差额，计入当期损益。本集团在购买日对合并成本进行分配。</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本集团对合并成本大于合并中取得的被购买方可辨认净资产公允价值份额的差额，确认为商誉；合并 成本小于合并中取得的被购买方可辨认净资产公允价值份额的差额，计入当期损益。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企业合并中取得的被购买方除无形资产外的其他各项资产（不仅限于被购买方原已确认的资产），其 所带来的经济利益很可能流入本集团且公允价值能够可靠计量的，单独确认并按公允价值计量；公允价值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他各项负债，履行有关义务很可能导致经济利益流出本集团且公允价值能够可靠计量的，单独确认并按照 公允价值计量；取得的被购买方或有负债，其公允价值能可靠计量的，单独确认为负债并按照公允价值计 量。</w:t>
      </w:r>
    </w:p>
    <w:p>
      <w:pPr>
        <w:pStyle w:val="Style44"/>
        <w:keepNext w:val="0"/>
        <w:keepLines w:val="0"/>
        <w:widowControl w:val="0"/>
        <w:shd w:val="clear" w:color="auto" w:fill="auto"/>
        <w:tabs>
          <w:tab w:pos="812" w:val="left"/>
        </w:tabs>
        <w:bidi w:val="0"/>
        <w:spacing w:before="0" w:after="0" w:line="469" w:lineRule="exact"/>
        <w:ind w:left="0" w:right="0" w:firstLine="440"/>
        <w:jc w:val="both"/>
      </w:pPr>
      <w:bookmarkStart w:id="792" w:name="bookmark792"/>
      <w:r>
        <w:rPr>
          <w:color w:val="000000"/>
          <w:spacing w:val="0"/>
          <w:w w:val="100"/>
          <w:position w:val="0"/>
        </w:rPr>
        <w:t>3</w:t>
      </w:r>
      <w:bookmarkEnd w:id="792"/>
      <w:r>
        <w:rPr>
          <w:color w:val="000000"/>
          <w:spacing w:val="0"/>
          <w:w w:val="100"/>
          <w:position w:val="0"/>
        </w:rPr>
        <w:t>）</w:t>
        <w:tab/>
        <w:t>企业合并中有关交易费用的处理</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2"/>
        <w:keepNext/>
        <w:keepLines/>
        <w:widowControl w:val="0"/>
        <w:shd w:val="clear" w:color="auto" w:fill="auto"/>
        <w:tabs>
          <w:tab w:pos="363" w:val="left"/>
        </w:tabs>
        <w:bidi w:val="0"/>
        <w:spacing w:before="0" w:after="220" w:line="469"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6</w:t>
      </w:r>
      <w:bookmarkEnd w:id="795"/>
      <w:r>
        <w:rPr>
          <w:color w:val="000000"/>
          <w:spacing w:val="0"/>
          <w:w w:val="100"/>
          <w:position w:val="0"/>
        </w:rPr>
        <w:t>、</w:t>
        <w:tab/>
        <w:t>合并财务报表的编制方法</w:t>
      </w:r>
      <w:bookmarkEnd w:id="793"/>
      <w:bookmarkEnd w:id="794"/>
      <w:bookmarkEnd w:id="796"/>
    </w:p>
    <w:p>
      <w:pPr>
        <w:pStyle w:val="Style44"/>
        <w:keepNext w:val="0"/>
        <w:keepLines w:val="0"/>
        <w:widowControl w:val="0"/>
        <w:shd w:val="clear" w:color="auto" w:fill="auto"/>
        <w:bidi w:val="0"/>
        <w:spacing w:before="0" w:after="0" w:line="466" w:lineRule="exact"/>
        <w:ind w:left="0" w:right="0" w:firstLine="440"/>
        <w:jc w:val="both"/>
      </w:pPr>
      <w:bookmarkStart w:id="797" w:name="bookmark797"/>
      <w:r>
        <w:rPr>
          <w:color w:val="000000"/>
          <w:spacing w:val="0"/>
          <w:w w:val="100"/>
          <w:position w:val="0"/>
        </w:rPr>
        <w:t>1</w:t>
      </w:r>
      <w:bookmarkEnd w:id="797"/>
      <w:r>
        <w:rPr>
          <w:color w:val="000000"/>
          <w:spacing w:val="0"/>
          <w:w w:val="100"/>
          <w:position w:val="0"/>
        </w:rPr>
        <w:t>）合并范围</w:t>
      </w:r>
    </w:p>
    <w:p>
      <w:pPr>
        <w:pStyle w:val="Style4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合并财务报表的合并范围以控制为基础予以确定。控制，是指本公司拥有对被投资单位的权力，通过 参与被投资单位的相关活动而享有可变回报，并且有能力运用对被投资单位的权力影响其回报金额。子公 </w:t>
      </w:r>
      <w:r>
        <w:rPr>
          <w:color w:val="000000"/>
          <w:spacing w:val="0"/>
          <w:w w:val="100"/>
          <w:position w:val="0"/>
        </w:rPr>
        <w:t>司，是指被本公司控制的主体（含企业、被投资单位中可分割的部分、结构化主体等）。</w:t>
      </w:r>
    </w:p>
    <w:p>
      <w:pPr>
        <w:pStyle w:val="Style44"/>
        <w:keepNext w:val="0"/>
        <w:keepLines w:val="0"/>
        <w:widowControl w:val="0"/>
        <w:shd w:val="clear" w:color="auto" w:fill="auto"/>
        <w:tabs>
          <w:tab w:pos="783" w:val="left"/>
        </w:tabs>
        <w:bidi w:val="0"/>
        <w:spacing w:before="0" w:after="120" w:line="469" w:lineRule="exact"/>
        <w:ind w:left="0" w:right="0" w:firstLine="420"/>
        <w:jc w:val="both"/>
      </w:pPr>
      <w:bookmarkStart w:id="798" w:name="bookmark798"/>
      <w:r>
        <w:rPr>
          <w:color w:val="000000"/>
          <w:spacing w:val="0"/>
          <w:w w:val="100"/>
          <w:position w:val="0"/>
        </w:rPr>
        <w:t>2</w:t>
      </w:r>
      <w:bookmarkEnd w:id="798"/>
      <w:r>
        <w:rPr>
          <w:color w:val="000000"/>
          <w:spacing w:val="0"/>
          <w:w w:val="100"/>
          <w:position w:val="0"/>
        </w:rPr>
        <w:t>）</w:t>
        <w:tab/>
        <w:t>合并财务报表的编制方法</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44"/>
        <w:keepNext w:val="0"/>
        <w:keepLines w:val="0"/>
        <w:widowControl w:val="0"/>
        <w:shd w:val="clear" w:color="auto" w:fill="auto"/>
        <w:tabs>
          <w:tab w:pos="783" w:val="left"/>
        </w:tabs>
        <w:bidi w:val="0"/>
        <w:spacing w:before="0" w:after="120" w:line="469" w:lineRule="exact"/>
        <w:ind w:left="0" w:right="0" w:firstLine="420"/>
        <w:jc w:val="both"/>
      </w:pPr>
      <w:bookmarkStart w:id="799" w:name="bookmark799"/>
      <w:r>
        <w:rPr>
          <w:color w:val="000000"/>
          <w:spacing w:val="0"/>
          <w:w w:val="100"/>
          <w:position w:val="0"/>
        </w:rPr>
        <w:t>3</w:t>
      </w:r>
      <w:bookmarkEnd w:id="799"/>
      <w:r>
        <w:rPr>
          <w:color w:val="000000"/>
          <w:spacing w:val="0"/>
          <w:w w:val="100"/>
          <w:position w:val="0"/>
        </w:rPr>
        <w:t>）</w:t>
        <w:tab/>
        <w:t>购买子公司少数股东股权</w:t>
      </w:r>
    </w:p>
    <w:p>
      <w:pPr>
        <w:pStyle w:val="Style4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之间的差额，均调整合并资产负债表中的资本公积（股本溢价），资本公积不足冲减的，调整留存收益。</w:t>
      </w:r>
    </w:p>
    <w:p>
      <w:pPr>
        <w:pStyle w:val="Style44"/>
        <w:keepNext w:val="0"/>
        <w:keepLines w:val="0"/>
        <w:widowControl w:val="0"/>
        <w:shd w:val="clear" w:color="auto" w:fill="auto"/>
        <w:tabs>
          <w:tab w:pos="783" w:val="left"/>
        </w:tabs>
        <w:bidi w:val="0"/>
        <w:spacing w:before="0" w:after="120" w:line="467" w:lineRule="exact"/>
        <w:ind w:left="0" w:right="0" w:firstLine="420"/>
        <w:jc w:val="both"/>
      </w:pPr>
      <w:bookmarkStart w:id="800" w:name="bookmark800"/>
      <w:r>
        <w:rPr>
          <w:color w:val="000000"/>
          <w:spacing w:val="0"/>
          <w:w w:val="100"/>
          <w:position w:val="0"/>
        </w:rPr>
        <w:t>4</w:t>
      </w:r>
      <w:bookmarkEnd w:id="800"/>
      <w:r>
        <w:rPr>
          <w:color w:val="000000"/>
          <w:spacing w:val="0"/>
          <w:w w:val="100"/>
          <w:position w:val="0"/>
        </w:rPr>
        <w:t>）</w:t>
        <w:tab/>
        <w:t>丧失子公司控制权的处理</w:t>
      </w:r>
    </w:p>
    <w:p>
      <w:pPr>
        <w:pStyle w:val="Style44"/>
        <w:keepNext w:val="0"/>
        <w:keepLines w:val="0"/>
        <w:widowControl w:val="0"/>
        <w:shd w:val="clear" w:color="auto" w:fill="auto"/>
        <w:bidi w:val="0"/>
        <w:spacing w:before="0" w:after="120" w:line="470" w:lineRule="exact"/>
        <w:ind w:left="0" w:right="0" w:firstLine="42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44"/>
        <w:keepNext w:val="0"/>
        <w:keepLines w:val="0"/>
        <w:widowControl w:val="0"/>
        <w:shd w:val="clear" w:color="auto" w:fill="auto"/>
        <w:bidi w:val="0"/>
        <w:spacing w:before="0" w:after="420" w:line="475" w:lineRule="exact"/>
        <w:ind w:left="0" w:right="0" w:firstLine="42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2"/>
        <w:keepNext/>
        <w:keepLines/>
        <w:widowControl w:val="0"/>
        <w:shd w:val="clear" w:color="auto" w:fill="auto"/>
        <w:bidi w:val="0"/>
        <w:spacing w:before="0" w:after="120" w:line="48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7</w:t>
      </w:r>
      <w:bookmarkEnd w:id="803"/>
      <w:r>
        <w:rPr>
          <w:color w:val="000000"/>
          <w:spacing w:val="0"/>
          <w:w w:val="100"/>
          <w:position w:val="0"/>
        </w:rPr>
        <w:t>、合营安排分类及共同经营会计处理方法</w:t>
      </w:r>
      <w:bookmarkEnd w:id="801"/>
      <w:bookmarkEnd w:id="802"/>
      <w:bookmarkEnd w:id="804"/>
    </w:p>
    <w:p>
      <w:pPr>
        <w:pStyle w:val="Style32"/>
        <w:keepNext/>
        <w:keepLines/>
        <w:widowControl w:val="0"/>
        <w:shd w:val="clear" w:color="auto" w:fill="auto"/>
        <w:tabs>
          <w:tab w:pos="378" w:val="left"/>
        </w:tabs>
        <w:bidi w:val="0"/>
        <w:spacing w:before="0" w:after="200" w:line="468" w:lineRule="exact"/>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8</w:t>
      </w:r>
      <w:bookmarkEnd w:id="807"/>
      <w:r>
        <w:rPr>
          <w:color w:val="000000"/>
          <w:spacing w:val="0"/>
          <w:w w:val="100"/>
          <w:position w:val="0"/>
        </w:rPr>
        <w:t>、</w:t>
        <w:tab/>
        <w:t>现金及现金等价物的确定标准</w:t>
      </w:r>
      <w:bookmarkEnd w:id="805"/>
      <w:bookmarkEnd w:id="806"/>
      <w:bookmarkEnd w:id="808"/>
    </w:p>
    <w:p>
      <w:pPr>
        <w:pStyle w:val="Style44"/>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现金是指库存现金以及可以随时用于支付的存款。现金等价物，是指本集团持有的期限短、流动性强、 易于转换为已知金额现金、价值变动风险很小的投资。</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9</w:t>
      </w:r>
      <w:bookmarkEnd w:id="811"/>
      <w:r>
        <w:rPr>
          <w:color w:val="000000"/>
          <w:spacing w:val="0"/>
          <w:w w:val="100"/>
          <w:position w:val="0"/>
        </w:rPr>
        <w:t>、</w:t>
        <w:tab/>
        <w:t>外币业务和外币报表折算</w:t>
      </w:r>
      <w:bookmarkEnd w:id="809"/>
      <w:bookmarkEnd w:id="810"/>
      <w:bookmarkEnd w:id="812"/>
    </w:p>
    <w:p>
      <w:pPr>
        <w:pStyle w:val="Style44"/>
        <w:keepNext w:val="0"/>
        <w:keepLines w:val="0"/>
        <w:widowControl w:val="0"/>
        <w:shd w:val="clear" w:color="auto" w:fill="auto"/>
        <w:tabs>
          <w:tab w:pos="813" w:val="left"/>
        </w:tabs>
        <w:bidi w:val="0"/>
        <w:spacing w:before="0" w:after="0" w:line="468" w:lineRule="exact"/>
        <w:ind w:left="0" w:right="0" w:firstLine="440"/>
        <w:jc w:val="both"/>
      </w:pPr>
      <w:bookmarkStart w:id="813" w:name="bookmark813"/>
      <w:r>
        <w:rPr>
          <w:color w:val="000000"/>
          <w:spacing w:val="0"/>
          <w:w w:val="100"/>
          <w:position w:val="0"/>
        </w:rPr>
        <w:t>1</w:t>
      </w:r>
      <w:bookmarkEnd w:id="813"/>
      <w:r>
        <w:rPr>
          <w:color w:val="000000"/>
          <w:spacing w:val="0"/>
          <w:w w:val="100"/>
          <w:position w:val="0"/>
        </w:rPr>
        <w:t>）</w:t>
        <w:tab/>
        <w:t>外币业务</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本集团发生的外币交易，采用交易发生日的即期汇率折合为本位币记账。</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44"/>
        <w:keepNext w:val="0"/>
        <w:keepLines w:val="0"/>
        <w:widowControl w:val="0"/>
        <w:shd w:val="clear" w:color="auto" w:fill="auto"/>
        <w:tabs>
          <w:tab w:pos="827" w:val="left"/>
        </w:tabs>
        <w:bidi w:val="0"/>
        <w:spacing w:before="0" w:after="0" w:line="468" w:lineRule="exact"/>
        <w:ind w:left="0" w:right="0" w:firstLine="440"/>
        <w:jc w:val="both"/>
      </w:pPr>
      <w:bookmarkStart w:id="814" w:name="bookmark814"/>
      <w:r>
        <w:rPr>
          <w:color w:val="000000"/>
          <w:spacing w:val="0"/>
          <w:w w:val="100"/>
          <w:position w:val="0"/>
        </w:rPr>
        <w:t>2</w:t>
      </w:r>
      <w:bookmarkEnd w:id="814"/>
      <w:r>
        <w:rPr>
          <w:color w:val="000000"/>
          <w:spacing w:val="0"/>
          <w:w w:val="100"/>
          <w:position w:val="0"/>
        </w:rPr>
        <w:t>）</w:t>
        <w:tab/>
        <w:t>外币财务报表的折算</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资产负债表日，对境外子公司外币财务报表进行折算时，资产负债表中的资产和负债项目，采用资产 负债表日的即期汇率折算，股东权益项目除“未分配利润”夕卜，其他项目采用发生日的即期汇率折算。</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利润表中的收入和费用项目，采用交易发生日的即期汇率折算。</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现金流量表所有项目均按照现金流量发生日的即期汇率折算。汇率变动对现金的影响额作为调节项 目，在现金流量表中单独列示“汇率变动对现金及现金等价物的影响”项目反映。</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由于财务报表折算而产生的差额，在资产负债表股东权益项目下的“其他综合收益”项目反映。</w:t>
      </w:r>
    </w:p>
    <w:p>
      <w:pPr>
        <w:pStyle w:val="Style4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32"/>
        <w:keepNext/>
        <w:keepLines/>
        <w:widowControl w:val="0"/>
        <w:shd w:val="clear" w:color="auto" w:fill="auto"/>
        <w:tabs>
          <w:tab w:pos="469" w:val="left"/>
        </w:tabs>
        <w:bidi w:val="0"/>
        <w:spacing w:before="0" w:after="0" w:line="480"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5"/>
      <w:bookmarkEnd w:id="816"/>
      <w:bookmarkEnd w:id="818"/>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金融工具是指形成一个企业的金融资产，并形成其他单位的金融负债或权益工具的合同。</w:t>
      </w:r>
    </w:p>
    <w:p>
      <w:pPr>
        <w:pStyle w:val="Style44"/>
        <w:keepNext w:val="0"/>
        <w:keepLines w:val="0"/>
        <w:widowControl w:val="0"/>
        <w:shd w:val="clear" w:color="auto" w:fill="auto"/>
        <w:tabs>
          <w:tab w:pos="794" w:val="left"/>
        </w:tabs>
        <w:bidi w:val="0"/>
        <w:spacing w:before="0" w:after="0" w:line="468" w:lineRule="exact"/>
        <w:ind w:left="0" w:right="0" w:firstLine="440"/>
        <w:jc w:val="both"/>
      </w:pPr>
      <w:bookmarkStart w:id="819" w:name="bookmark819"/>
      <w:r>
        <w:rPr>
          <w:color w:val="000000"/>
          <w:spacing w:val="0"/>
          <w:w w:val="100"/>
          <w:position w:val="0"/>
        </w:rPr>
        <w:t>1</w:t>
      </w:r>
      <w:bookmarkEnd w:id="819"/>
      <w:r>
        <w:rPr>
          <w:color w:val="000000"/>
          <w:spacing w:val="0"/>
          <w:w w:val="100"/>
          <w:position w:val="0"/>
        </w:rPr>
        <w:t>、</w:t>
        <w:tab/>
        <w:t>金融工具的确认和终止确认</w:t>
      </w:r>
    </w:p>
    <w:p>
      <w:pPr>
        <w:pStyle w:val="Style44"/>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本集团于成为金融工具合同的一方时确认一项金融资产或金融负债。金融资产满足下列条件之一的， 终止确认：</w:t>
      </w:r>
    </w:p>
    <w:p>
      <w:pPr>
        <w:pStyle w:val="Style44"/>
        <w:keepNext w:val="0"/>
        <w:keepLines w:val="0"/>
        <w:widowControl w:val="0"/>
        <w:numPr>
          <w:ilvl w:val="0"/>
          <w:numId w:val="9"/>
        </w:numPr>
        <w:shd w:val="clear" w:color="auto" w:fill="auto"/>
        <w:tabs>
          <w:tab w:pos="832" w:val="left"/>
        </w:tabs>
        <w:bidi w:val="0"/>
        <w:spacing w:before="0" w:after="0" w:line="456" w:lineRule="exact"/>
        <w:ind w:left="0" w:right="0" w:firstLine="440"/>
        <w:jc w:val="both"/>
      </w:pPr>
      <w:bookmarkStart w:id="820" w:name="bookmark820"/>
      <w:bookmarkEnd w:id="820"/>
      <w:r>
        <w:rPr>
          <w:color w:val="000000"/>
          <w:spacing w:val="0"/>
          <w:w w:val="100"/>
          <w:position w:val="0"/>
        </w:rPr>
        <w:t>收取该金融资产现金流量的合同权利终止；</w:t>
      </w:r>
    </w:p>
    <w:p>
      <w:pPr>
        <w:pStyle w:val="Style44"/>
        <w:keepNext w:val="0"/>
        <w:keepLines w:val="0"/>
        <w:widowControl w:val="0"/>
        <w:numPr>
          <w:ilvl w:val="0"/>
          <w:numId w:val="9"/>
        </w:numPr>
        <w:shd w:val="clear" w:color="auto" w:fill="auto"/>
        <w:tabs>
          <w:tab w:pos="837" w:val="left"/>
        </w:tabs>
        <w:bidi w:val="0"/>
        <w:spacing w:before="0" w:after="0" w:line="456" w:lineRule="exact"/>
        <w:ind w:left="0" w:right="0" w:firstLine="440"/>
        <w:jc w:val="both"/>
      </w:pPr>
      <w:bookmarkStart w:id="821" w:name="bookmark821"/>
      <w:bookmarkEnd w:id="821"/>
      <w:r>
        <w:rPr>
          <w:color w:val="000000"/>
          <w:spacing w:val="0"/>
          <w:w w:val="100"/>
          <w:position w:val="0"/>
        </w:rPr>
        <w:t>该金融资产已转移，且符合下述金融资产转移的终止确认条件。</w:t>
      </w:r>
    </w:p>
    <w:p>
      <w:pPr>
        <w:pStyle w:val="Style44"/>
        <w:keepNext w:val="0"/>
        <w:keepLines w:val="0"/>
        <w:widowControl w:val="0"/>
        <w:shd w:val="clear" w:color="auto" w:fill="auto"/>
        <w:tabs>
          <w:tab w:pos="808" w:val="left"/>
        </w:tabs>
        <w:bidi w:val="0"/>
        <w:spacing w:before="0" w:after="100" w:line="456" w:lineRule="exact"/>
        <w:ind w:left="0" w:right="0" w:firstLine="440"/>
        <w:jc w:val="both"/>
      </w:pPr>
      <w:bookmarkStart w:id="822" w:name="bookmark822"/>
      <w:r>
        <w:rPr>
          <w:color w:val="000000"/>
          <w:spacing w:val="0"/>
          <w:w w:val="100"/>
          <w:position w:val="0"/>
        </w:rPr>
        <w:t>2</w:t>
      </w:r>
      <w:bookmarkEnd w:id="822"/>
      <w:r>
        <w:rPr>
          <w:color w:val="000000"/>
          <w:spacing w:val="0"/>
          <w:w w:val="100"/>
          <w:position w:val="0"/>
        </w:rPr>
        <w:t>、</w:t>
        <w:tab/>
        <w:t>金融资产分类和计量</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本集团在初始确认时根据管理金融资产的业务模式和金融资产的合同现金流量特征，将金融资产分为 以下三类：以摊余成本计量的金融资产、以公允价值计量且其变动计入其他综合收益的金融资产、以公允 价值计量且其变动计入当期损益的金融资产。</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第一类：以摊余成本计量的金融资产</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本集团将同时符合下列条件且未被指定为以公允价值计量且其变动计入当期损益的金融资产，分类为 以摊余成本计量的金融资产：</w:t>
      </w:r>
    </w:p>
    <w:p>
      <w:pPr>
        <w:pStyle w:val="Style44"/>
        <w:keepNext w:val="0"/>
        <w:keepLines w:val="0"/>
        <w:widowControl w:val="0"/>
        <w:numPr>
          <w:ilvl w:val="0"/>
          <w:numId w:val="11"/>
        </w:numPr>
        <w:shd w:val="clear" w:color="auto" w:fill="auto"/>
        <w:tabs>
          <w:tab w:pos="798" w:val="left"/>
        </w:tabs>
        <w:bidi w:val="0"/>
        <w:spacing w:before="0" w:after="0" w:line="471" w:lineRule="exact"/>
        <w:ind w:left="0" w:right="0" w:firstLine="420"/>
        <w:jc w:val="both"/>
      </w:pPr>
      <w:bookmarkStart w:id="823" w:name="bookmark823"/>
      <w:bookmarkEnd w:id="823"/>
      <w:r>
        <w:rPr>
          <w:color w:val="000000"/>
          <w:spacing w:val="0"/>
          <w:w w:val="100"/>
          <w:position w:val="0"/>
        </w:rPr>
        <w:t>本集团管理该金融资产的业务模式是以收取合同现金流量为目标；</w:t>
      </w:r>
    </w:p>
    <w:p>
      <w:pPr>
        <w:pStyle w:val="Style44"/>
        <w:keepNext w:val="0"/>
        <w:keepLines w:val="0"/>
        <w:widowControl w:val="0"/>
        <w:numPr>
          <w:ilvl w:val="0"/>
          <w:numId w:val="11"/>
        </w:numPr>
        <w:shd w:val="clear" w:color="auto" w:fill="auto"/>
        <w:tabs>
          <w:tab w:pos="801" w:val="left"/>
        </w:tabs>
        <w:bidi w:val="0"/>
        <w:spacing w:before="0" w:after="0" w:line="471" w:lineRule="exact"/>
        <w:ind w:left="0" w:right="0" w:firstLine="420"/>
        <w:jc w:val="both"/>
      </w:pPr>
      <w:bookmarkStart w:id="824" w:name="bookmark824"/>
      <w:bookmarkEnd w:id="824"/>
      <w:r>
        <w:rPr>
          <w:color w:val="000000"/>
          <w:spacing w:val="0"/>
          <w:w w:val="100"/>
          <w:position w:val="0"/>
        </w:rPr>
        <w:t>该金融资产的合同条款规定，在特定日期产生的现金流量，仅为对本金和以未偿付本金金额为基 础的利息的支付。</w:t>
      </w:r>
    </w:p>
    <w:p>
      <w:pPr>
        <w:pStyle w:val="Style44"/>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初始确认后，对于该类金融资产采用实际利率法以摊余成本计量。以摊余成本计量且不属于任何套期 关系的一部分的金融资产所产生的利得或损失，在终止确认、按照实际利率法摊销或确认减值时，计入当 期损益。</w:t>
      </w:r>
    </w:p>
    <w:p>
      <w:pPr>
        <w:pStyle w:val="Style44"/>
        <w:keepNext w:val="0"/>
        <w:keepLines w:val="0"/>
        <w:widowControl w:val="0"/>
        <w:shd w:val="clear" w:color="auto" w:fill="auto"/>
        <w:bidi w:val="0"/>
        <w:spacing w:before="0" w:after="0" w:line="471" w:lineRule="exact"/>
        <w:ind w:left="0" w:right="0" w:firstLine="420"/>
        <w:jc w:val="left"/>
      </w:pPr>
      <w:r>
        <w:rPr>
          <w:color w:val="000000"/>
          <w:spacing w:val="0"/>
          <w:w w:val="100"/>
          <w:position w:val="0"/>
        </w:rPr>
        <w:t>第二类：以公允价值计量且其变动计入其他综合收益的金融资产 本集团将同时符合下列条件的金融资产，分类为以公允价值计量且其变动计入其他综合收益的金融资 产：</w:t>
      </w:r>
    </w:p>
    <w:p>
      <w:pPr>
        <w:pStyle w:val="Style44"/>
        <w:keepNext w:val="0"/>
        <w:keepLines w:val="0"/>
        <w:widowControl w:val="0"/>
        <w:numPr>
          <w:ilvl w:val="0"/>
          <w:numId w:val="13"/>
        </w:numPr>
        <w:shd w:val="clear" w:color="auto" w:fill="auto"/>
        <w:tabs>
          <w:tab w:pos="798" w:val="left"/>
        </w:tabs>
        <w:bidi w:val="0"/>
        <w:spacing w:before="0" w:after="0" w:line="471" w:lineRule="exact"/>
        <w:ind w:left="0" w:right="0" w:firstLine="420"/>
        <w:jc w:val="both"/>
      </w:pPr>
      <w:bookmarkStart w:id="825" w:name="bookmark825"/>
      <w:bookmarkEnd w:id="825"/>
      <w:r>
        <w:rPr>
          <w:color w:val="000000"/>
          <w:spacing w:val="0"/>
          <w:w w:val="100"/>
          <w:position w:val="0"/>
        </w:rPr>
        <w:t>本集团管理该金融资产的业务模式既以收取合同现金流量为目标又以出售该金融资产为目标；</w:t>
      </w:r>
    </w:p>
    <w:p>
      <w:pPr>
        <w:pStyle w:val="Style44"/>
        <w:keepNext w:val="0"/>
        <w:keepLines w:val="0"/>
        <w:widowControl w:val="0"/>
        <w:numPr>
          <w:ilvl w:val="0"/>
          <w:numId w:val="13"/>
        </w:numPr>
        <w:shd w:val="clear" w:color="auto" w:fill="auto"/>
        <w:tabs>
          <w:tab w:pos="796" w:val="left"/>
        </w:tabs>
        <w:bidi w:val="0"/>
        <w:spacing w:before="0" w:after="0" w:line="471" w:lineRule="exact"/>
        <w:ind w:left="0" w:right="0" w:firstLine="420"/>
        <w:jc w:val="both"/>
      </w:pPr>
      <w:bookmarkStart w:id="826" w:name="bookmark826"/>
      <w:bookmarkEnd w:id="826"/>
      <w:r>
        <w:rPr>
          <w:color w:val="000000"/>
          <w:spacing w:val="0"/>
          <w:w w:val="100"/>
          <w:position w:val="0"/>
        </w:rPr>
        <w:t>该金融资产的合同条款规定，在特定日期产生的现金流量，仅为对本金和以未偿付本金金额为基 础的利息的支付。</w:t>
      </w:r>
    </w:p>
    <w:p>
      <w:pPr>
        <w:pStyle w:val="Style44"/>
        <w:keepNext w:val="0"/>
        <w:keepLines w:val="0"/>
        <w:widowControl w:val="0"/>
        <w:shd w:val="clear" w:color="auto" w:fill="auto"/>
        <w:bidi w:val="0"/>
        <w:spacing w:before="0" w:after="40" w:line="471" w:lineRule="exact"/>
        <w:ind w:left="0" w:right="0" w:firstLine="420"/>
        <w:jc w:val="both"/>
      </w:pPr>
      <w:r>
        <w:rPr>
          <w:color w:val="000000"/>
          <w:spacing w:val="0"/>
          <w:w w:val="100"/>
          <w:position w:val="0"/>
        </w:rPr>
        <w:t>初始确认后，对于该类金融资产以公允价值进行后续计量。采用实际利率法计算的利息、减值损失或 利得及汇兑损益计入当期损益，其他利得或损失计入其他综合收益。终止确认时，将之前计入其他综合收 益的累计利得或损失从其他综合收益中转出，计入当期损益。</w:t>
      </w:r>
    </w:p>
    <w:p>
      <w:pPr>
        <w:pStyle w:val="Style44"/>
        <w:keepNext w:val="0"/>
        <w:keepLines w:val="0"/>
        <w:widowControl w:val="0"/>
        <w:shd w:val="clear" w:color="auto" w:fill="auto"/>
        <w:bidi w:val="0"/>
        <w:spacing w:before="0" w:after="0" w:line="398" w:lineRule="exact"/>
        <w:ind w:left="0" w:right="0" w:firstLine="420"/>
        <w:jc w:val="both"/>
        <w:rPr>
          <w:sz w:val="18"/>
          <w:szCs w:val="18"/>
        </w:rPr>
      </w:pPr>
      <w:r>
        <w:rPr>
          <w:color w:val="000000"/>
          <w:spacing w:val="0"/>
          <w:w w:val="100"/>
          <w:position w:val="0"/>
          <w:sz w:val="20"/>
          <w:szCs w:val="20"/>
        </w:rPr>
        <w:t xml:space="preserve">本集团将非交易性权益工具投资指定为以公允价值计量且其变动计入其他综合收益的金融资产，当该 金融资产终止确认时，之前计入其他综合收益的累计利得或损失应当从其他综合收益中转出，计入留存收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44"/>
        <w:keepNext w:val="0"/>
        <w:keepLines w:val="0"/>
        <w:widowControl w:val="0"/>
        <w:shd w:val="clear" w:color="auto" w:fill="auto"/>
        <w:bidi w:val="0"/>
        <w:spacing w:before="0" w:after="40" w:line="472" w:lineRule="exact"/>
        <w:ind w:left="0" w:right="0" w:firstLine="0"/>
        <w:jc w:val="both"/>
      </w:pPr>
      <w:r>
        <w:rPr>
          <w:color w:val="000000"/>
          <w:spacing w:val="0"/>
          <w:w w:val="100"/>
          <w:position w:val="0"/>
        </w:rPr>
        <w:t>益。</w:t>
      </w:r>
    </w:p>
    <w:p>
      <w:pPr>
        <w:pStyle w:val="Style44"/>
        <w:keepNext w:val="0"/>
        <w:keepLines w:val="0"/>
        <w:widowControl w:val="0"/>
        <w:shd w:val="clear" w:color="auto" w:fill="auto"/>
        <w:bidi w:val="0"/>
        <w:spacing w:before="0" w:after="0" w:line="472" w:lineRule="exact"/>
        <w:ind w:left="0" w:right="0" w:firstLine="420"/>
        <w:jc w:val="both"/>
      </w:pPr>
      <w:r>
        <w:rPr>
          <w:color w:val="000000"/>
          <w:spacing w:val="0"/>
          <w:w w:val="100"/>
          <w:position w:val="0"/>
        </w:rPr>
        <w:t>第三类：以公允价值计量且其变动计入当期损益的金融资产</w:t>
      </w:r>
    </w:p>
    <w:p>
      <w:pPr>
        <w:pStyle w:val="Style44"/>
        <w:keepNext w:val="0"/>
        <w:keepLines w:val="0"/>
        <w:widowControl w:val="0"/>
        <w:shd w:val="clear" w:color="auto" w:fill="auto"/>
        <w:bidi w:val="0"/>
        <w:spacing w:before="0" w:after="0" w:line="472" w:lineRule="exact"/>
        <w:ind w:left="0" w:right="0" w:firstLine="420"/>
        <w:jc w:val="both"/>
      </w:pPr>
      <w:r>
        <w:rPr>
          <w:color w:val="000000"/>
          <w:spacing w:val="0"/>
          <w:w w:val="100"/>
          <w:position w:val="0"/>
        </w:rPr>
        <w:t>除上述以摊余成本计量和以公允价值计量且其变动计入其他综合收益的金融资产外，本集团将其余所 有的金融资产分类为以公允价值计量且其变动计入当期损益的金融资产。</w:t>
      </w:r>
    </w:p>
    <w:p>
      <w:pPr>
        <w:pStyle w:val="Style44"/>
        <w:keepNext w:val="0"/>
        <w:keepLines w:val="0"/>
        <w:widowControl w:val="0"/>
        <w:shd w:val="clear" w:color="auto" w:fill="auto"/>
        <w:bidi w:val="0"/>
        <w:spacing w:before="0" w:after="40" w:line="472" w:lineRule="exact"/>
        <w:ind w:left="0" w:right="0" w:firstLine="420"/>
        <w:jc w:val="both"/>
      </w:pPr>
      <w:r>
        <w:rPr>
          <w:color w:val="000000"/>
          <w:spacing w:val="0"/>
          <w:w w:val="100"/>
          <w:position w:val="0"/>
        </w:rPr>
        <w:t>在初始确认时，为消除或显著减少会计错配，本集团会将部分应以摊余成本计量或以公允价值计量且 其变动计入其他综合收益的金融资产不可撤销地指定为以公允价值计量且其变动计入当期损益的金融资 产。</w:t>
      </w:r>
    </w:p>
    <w:p>
      <w:pPr>
        <w:pStyle w:val="Style44"/>
        <w:keepNext w:val="0"/>
        <w:keepLines w:val="0"/>
        <w:widowControl w:val="0"/>
        <w:shd w:val="clear" w:color="auto" w:fill="auto"/>
        <w:tabs>
          <w:tab w:pos="783" w:val="left"/>
        </w:tabs>
        <w:bidi w:val="0"/>
        <w:spacing w:before="0" w:after="0" w:line="469" w:lineRule="exact"/>
        <w:ind w:left="0" w:right="0" w:firstLine="420"/>
        <w:jc w:val="both"/>
      </w:pPr>
      <w:bookmarkStart w:id="827" w:name="bookmark827"/>
      <w:r>
        <w:rPr>
          <w:color w:val="000000"/>
          <w:spacing w:val="0"/>
          <w:w w:val="100"/>
          <w:position w:val="0"/>
        </w:rPr>
        <w:t>3</w:t>
      </w:r>
      <w:bookmarkEnd w:id="827"/>
      <w:r>
        <w:rPr>
          <w:color w:val="000000"/>
          <w:spacing w:val="0"/>
          <w:w w:val="100"/>
          <w:position w:val="0"/>
        </w:rPr>
        <w:t>、</w:t>
        <w:tab/>
        <w:t>金融负债分类和计量</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本集团的金融负债于初始确认时分类为：以公允价值计量且其变动计入当期损益的金融负债、以摊余 成本计量的金融负债。对于未划分为以公允价值计量且其变动计入当期损益的金融负债的，相关交易费用 计入其初始确认金额。</w:t>
      </w:r>
    </w:p>
    <w:p>
      <w:pPr>
        <w:pStyle w:val="Style44"/>
        <w:keepNext w:val="0"/>
        <w:keepLines w:val="0"/>
        <w:widowControl w:val="0"/>
        <w:shd w:val="clear" w:color="auto" w:fill="auto"/>
        <w:tabs>
          <w:tab w:pos="908" w:val="left"/>
        </w:tabs>
        <w:bidi w:val="0"/>
        <w:spacing w:before="0" w:after="0" w:line="469" w:lineRule="exact"/>
        <w:ind w:left="0" w:right="0" w:firstLine="420"/>
        <w:jc w:val="both"/>
      </w:pPr>
      <w:bookmarkStart w:id="828" w:name="bookmark828"/>
      <w:r>
        <w:rPr>
          <w:color w:val="000000"/>
          <w:spacing w:val="0"/>
          <w:w w:val="100"/>
          <w:position w:val="0"/>
        </w:rPr>
        <w:t>（</w:t>
      </w:r>
      <w:bookmarkEnd w:id="828"/>
      <w:r>
        <w:rPr>
          <w:color w:val="000000"/>
          <w:spacing w:val="0"/>
          <w:w w:val="100"/>
          <w:position w:val="0"/>
        </w:rPr>
        <w:t>1）</w:t>
        <w:tab/>
        <w:t>以公允价值计量且其变动计入当期损益的金融负债。</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44"/>
        <w:keepNext w:val="0"/>
        <w:keepLines w:val="0"/>
        <w:widowControl w:val="0"/>
        <w:shd w:val="clear" w:color="auto" w:fill="auto"/>
        <w:tabs>
          <w:tab w:pos="908" w:val="left"/>
        </w:tabs>
        <w:bidi w:val="0"/>
        <w:spacing w:before="0" w:after="0" w:line="469" w:lineRule="exact"/>
        <w:ind w:left="0" w:right="0" w:firstLine="420"/>
        <w:jc w:val="both"/>
      </w:pPr>
      <w:bookmarkStart w:id="829" w:name="bookmark829"/>
      <w:r>
        <w:rPr>
          <w:color w:val="000000"/>
          <w:spacing w:val="0"/>
          <w:w w:val="100"/>
          <w:position w:val="0"/>
        </w:rPr>
        <w:t>（</w:t>
      </w:r>
      <w:bookmarkEnd w:id="829"/>
      <w:r>
        <w:rPr>
          <w:color w:val="000000"/>
          <w:spacing w:val="0"/>
          <w:w w:val="100"/>
          <w:position w:val="0"/>
        </w:rPr>
        <w:t>2）</w:t>
        <w:tab/>
        <w:t>以摊余成本计量的金融负债</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其他金融负债采用实际利率法，按摊余成本进行后续计量，终止确认或摊销产生的利得或损失计入当 期损益。</w:t>
      </w:r>
    </w:p>
    <w:p>
      <w:pPr>
        <w:pStyle w:val="Style44"/>
        <w:keepNext w:val="0"/>
        <w:keepLines w:val="0"/>
        <w:widowControl w:val="0"/>
        <w:shd w:val="clear" w:color="auto" w:fill="auto"/>
        <w:bidi w:val="0"/>
        <w:spacing w:before="0" w:after="0" w:line="469" w:lineRule="exact"/>
        <w:ind w:left="0" w:right="0" w:firstLine="420"/>
        <w:jc w:val="left"/>
      </w:pPr>
      <w:r>
        <w:rPr>
          <w:color w:val="000000"/>
          <w:spacing w:val="0"/>
          <w:w w:val="100"/>
          <w:position w:val="0"/>
        </w:rPr>
        <w:t>金融负债与权益工具的区分</w:t>
      </w:r>
    </w:p>
    <w:p>
      <w:pPr>
        <w:pStyle w:val="Style44"/>
        <w:keepNext w:val="0"/>
        <w:keepLines w:val="0"/>
        <w:widowControl w:val="0"/>
        <w:shd w:val="clear" w:color="auto" w:fill="auto"/>
        <w:bidi w:val="0"/>
        <w:spacing w:before="0" w:after="0" w:line="469" w:lineRule="exact"/>
        <w:ind w:left="0" w:right="0" w:firstLine="420"/>
        <w:jc w:val="left"/>
      </w:pPr>
      <w:r>
        <w:rPr>
          <w:color w:val="000000"/>
          <w:spacing w:val="0"/>
          <w:w w:val="100"/>
          <w:position w:val="0"/>
        </w:rPr>
        <w:t>金融负债，是指符合下列条件之一的负债：</w:t>
      </w:r>
    </w:p>
    <w:p>
      <w:pPr>
        <w:pStyle w:val="Style44"/>
        <w:keepNext w:val="0"/>
        <w:keepLines w:val="0"/>
        <w:widowControl w:val="0"/>
        <w:numPr>
          <w:ilvl w:val="0"/>
          <w:numId w:val="15"/>
        </w:numPr>
        <w:shd w:val="clear" w:color="auto" w:fill="auto"/>
        <w:tabs>
          <w:tab w:pos="812" w:val="left"/>
        </w:tabs>
        <w:bidi w:val="0"/>
        <w:spacing w:before="0" w:after="0" w:line="469" w:lineRule="exact"/>
        <w:ind w:left="0" w:right="0" w:firstLine="420"/>
        <w:jc w:val="left"/>
      </w:pPr>
      <w:bookmarkStart w:id="830" w:name="bookmark830"/>
      <w:bookmarkEnd w:id="830"/>
      <w:r>
        <w:rPr>
          <w:color w:val="000000"/>
          <w:spacing w:val="0"/>
          <w:w w:val="100"/>
          <w:position w:val="0"/>
        </w:rPr>
        <w:t>向其他方交付现金或其他金融资产的合同义务。</w:t>
      </w:r>
    </w:p>
    <w:p>
      <w:pPr>
        <w:pStyle w:val="Style44"/>
        <w:keepNext w:val="0"/>
        <w:keepLines w:val="0"/>
        <w:widowControl w:val="0"/>
        <w:numPr>
          <w:ilvl w:val="0"/>
          <w:numId w:val="15"/>
        </w:numPr>
        <w:shd w:val="clear" w:color="auto" w:fill="auto"/>
        <w:tabs>
          <w:tab w:pos="817" w:val="left"/>
        </w:tabs>
        <w:bidi w:val="0"/>
        <w:spacing w:before="0" w:after="0" w:line="469" w:lineRule="exact"/>
        <w:ind w:left="0" w:right="0" w:firstLine="420"/>
        <w:jc w:val="left"/>
      </w:pPr>
      <w:bookmarkStart w:id="831" w:name="bookmark831"/>
      <w:bookmarkEnd w:id="831"/>
      <w:r>
        <w:rPr>
          <w:color w:val="000000"/>
          <w:spacing w:val="0"/>
          <w:w w:val="100"/>
          <w:position w:val="0"/>
        </w:rPr>
        <w:t>在潜在不利条件下，与其他方交换金融资产或金融负债的合同义务。</w:t>
      </w:r>
    </w:p>
    <w:p>
      <w:pPr>
        <w:pStyle w:val="Style44"/>
        <w:keepNext w:val="0"/>
        <w:keepLines w:val="0"/>
        <w:widowControl w:val="0"/>
        <w:numPr>
          <w:ilvl w:val="0"/>
          <w:numId w:val="15"/>
        </w:numPr>
        <w:shd w:val="clear" w:color="auto" w:fill="auto"/>
        <w:tabs>
          <w:tab w:pos="795" w:val="left"/>
        </w:tabs>
        <w:bidi w:val="0"/>
        <w:spacing w:before="0" w:after="0" w:line="469" w:lineRule="exact"/>
        <w:ind w:left="0" w:right="0" w:firstLine="420"/>
        <w:jc w:val="both"/>
      </w:pPr>
      <w:bookmarkStart w:id="832" w:name="bookmark832"/>
      <w:bookmarkEnd w:id="832"/>
      <w:r>
        <w:rPr>
          <w:color w:val="000000"/>
          <w:spacing w:val="0"/>
          <w:w w:val="100"/>
          <w:position w:val="0"/>
        </w:rPr>
        <w:t>将来须用或可用企业自身权益工具进行结算的非衍生工具合同，且企业根据该合同将交付可变数量 的自身权益工具。</w:t>
      </w:r>
    </w:p>
    <w:p>
      <w:pPr>
        <w:pStyle w:val="Style44"/>
        <w:keepNext w:val="0"/>
        <w:keepLines w:val="0"/>
        <w:widowControl w:val="0"/>
        <w:numPr>
          <w:ilvl w:val="0"/>
          <w:numId w:val="15"/>
        </w:numPr>
        <w:shd w:val="clear" w:color="auto" w:fill="auto"/>
        <w:tabs>
          <w:tab w:pos="805" w:val="left"/>
        </w:tabs>
        <w:bidi w:val="0"/>
        <w:spacing w:before="0" w:after="0" w:line="469" w:lineRule="exact"/>
        <w:ind w:left="0" w:right="0" w:firstLine="420"/>
        <w:jc w:val="both"/>
      </w:pPr>
      <w:bookmarkStart w:id="833" w:name="bookmark833"/>
      <w:bookmarkEnd w:id="833"/>
      <w:r>
        <w:rPr>
          <w:color w:val="000000"/>
          <w:spacing w:val="0"/>
          <w:w w:val="100"/>
          <w:position w:val="0"/>
        </w:rPr>
        <w:t>将来须用或可用企业自身权益工具进行结算的衍生工具合同，但以固定数量的自身权益工具交换固 定金额的现金或其他金融资产的衍生工具合同除外。</w:t>
      </w:r>
    </w:p>
    <w:p>
      <w:pPr>
        <w:pStyle w:val="Style44"/>
        <w:keepNext w:val="0"/>
        <w:keepLines w:val="0"/>
        <w:widowControl w:val="0"/>
        <w:shd w:val="clear" w:color="auto" w:fill="auto"/>
        <w:bidi w:val="0"/>
        <w:spacing w:before="0" w:after="0" w:line="469" w:lineRule="exact"/>
        <w:ind w:left="0" w:right="0" w:firstLine="420"/>
        <w:jc w:val="left"/>
      </w:pPr>
      <w:r>
        <w:rPr>
          <w:color w:val="000000"/>
          <w:spacing w:val="0"/>
          <w:w w:val="100"/>
          <w:position w:val="0"/>
        </w:rPr>
        <w:t>权益工具，是指能证明拥有某个企业在扣除所有负债后的资产中剩余权益的合同。</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如果本集团不能无条件地避免以交付现金或其他金融资产来履行一项合同义务，则该合同义务符合金 融负债的定义。</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如果一项金融工具须用或可用本集团自身权益工具进行结算，需要考虑用于结算该工具的本集团自身 权益工具，是作为现金或其他金融资产的替代品，还是为了使该工具持有方享有在发行方扣除所有负债后 的资产中的剩余权益。如果是前者，该工具是本集团的金融负债；如果是后者，该工具是本集团的权益工 具。</w:t>
      </w:r>
    </w:p>
    <w:p>
      <w:pPr>
        <w:pStyle w:val="Style44"/>
        <w:keepNext w:val="0"/>
        <w:keepLines w:val="0"/>
        <w:widowControl w:val="0"/>
        <w:shd w:val="clear" w:color="auto" w:fill="auto"/>
        <w:tabs>
          <w:tab w:pos="788" w:val="left"/>
        </w:tabs>
        <w:bidi w:val="0"/>
        <w:spacing w:before="0" w:after="0" w:line="469" w:lineRule="exact"/>
        <w:ind w:left="0" w:right="0" w:firstLine="420"/>
        <w:jc w:val="both"/>
      </w:pPr>
      <w:bookmarkStart w:id="834" w:name="bookmark834"/>
      <w:r>
        <w:rPr>
          <w:color w:val="000000"/>
          <w:spacing w:val="0"/>
          <w:w w:val="100"/>
          <w:position w:val="0"/>
        </w:rPr>
        <w:t>4</w:t>
      </w:r>
      <w:bookmarkEnd w:id="834"/>
      <w:r>
        <w:rPr>
          <w:color w:val="000000"/>
          <w:spacing w:val="0"/>
          <w:w w:val="100"/>
          <w:position w:val="0"/>
        </w:rPr>
        <w:t>、</w:t>
        <w:tab/>
        <w:t>金融工具的公允价值</w:t>
      </w:r>
    </w:p>
    <w:p>
      <w:pPr>
        <w:pStyle w:val="Style44"/>
        <w:keepNext w:val="0"/>
        <w:keepLines w:val="0"/>
        <w:widowControl w:val="0"/>
        <w:shd w:val="clear" w:color="auto" w:fill="auto"/>
        <w:bidi w:val="0"/>
        <w:spacing w:before="0" w:after="0" w:line="469" w:lineRule="exact"/>
        <w:ind w:left="0" w:right="0" w:firstLine="420"/>
        <w:jc w:val="left"/>
      </w:pPr>
      <w:r>
        <w:rPr>
          <w:color w:val="000000"/>
          <w:spacing w:val="0"/>
          <w:w w:val="100"/>
          <w:position w:val="0"/>
        </w:rPr>
        <w:t>金融资产和金融负债的公允价值确定方法见附注五、43之（3）。</w:t>
      </w:r>
    </w:p>
    <w:p>
      <w:pPr>
        <w:pStyle w:val="Style44"/>
        <w:keepNext w:val="0"/>
        <w:keepLines w:val="0"/>
        <w:widowControl w:val="0"/>
        <w:shd w:val="clear" w:color="auto" w:fill="auto"/>
        <w:tabs>
          <w:tab w:pos="788" w:val="left"/>
        </w:tabs>
        <w:bidi w:val="0"/>
        <w:spacing w:before="0" w:after="0" w:line="469" w:lineRule="exact"/>
        <w:ind w:left="0" w:right="0" w:firstLine="420"/>
        <w:jc w:val="both"/>
      </w:pPr>
      <w:bookmarkStart w:id="835" w:name="bookmark835"/>
      <w:r>
        <w:rPr>
          <w:color w:val="000000"/>
          <w:spacing w:val="0"/>
          <w:w w:val="100"/>
          <w:position w:val="0"/>
        </w:rPr>
        <w:t>5</w:t>
      </w:r>
      <w:bookmarkEnd w:id="835"/>
      <w:r>
        <w:rPr>
          <w:color w:val="000000"/>
          <w:spacing w:val="0"/>
          <w:w w:val="100"/>
          <w:position w:val="0"/>
        </w:rPr>
        <w:t>、</w:t>
        <w:tab/>
        <w:t>金融资产减值</w:t>
      </w:r>
    </w:p>
    <w:p>
      <w:pPr>
        <w:pStyle w:val="Style4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本集团对于以摊余成本计量的金融资产、以公允价值计量且其变动计入其他综合收益的债务工具投 </w:t>
      </w:r>
      <w:r>
        <w:rPr>
          <w:color w:val="000000"/>
          <w:spacing w:val="0"/>
          <w:w w:val="100"/>
          <w:position w:val="0"/>
        </w:rPr>
        <w:t>资、合同资产和财务担保合同等，以预期信用损失为基础确认损失准备。</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本公司考虑有关过去事项、当前状况以及对未来经济状况的预测等合理且有依据的信息，计算并确认 预期信用损失。</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于每个资产负债表日，本公司对于处于不同阶段的金融工具的预期信用损失分别进行计量。金融工具 自初始确认后信用风险未显著增加的，处于第一阶段，本公司按照未来12个月内的预期信用损失计量损 失准备；金融工具自初始确认后信用风险已显著增加但尚未发生信用减值的，处于第二阶段，本公司按照 该工具整个存续期的预期信用损失计量损失准备；金融工具自初始确认后已经发生信用减值的，处于第三 阶段，本公司按照该工具整个存续期的预期信用损失计量损失准备。</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加，按照未来12个月内的预期信用损失计量损失准备。</w:t>
      </w:r>
    </w:p>
    <w:p>
      <w:pPr>
        <w:pStyle w:val="Style44"/>
        <w:keepNext w:val="0"/>
        <w:keepLines w:val="0"/>
        <w:widowControl w:val="0"/>
        <w:shd w:val="clear" w:color="auto" w:fill="auto"/>
        <w:tabs>
          <w:tab w:pos="808" w:val="left"/>
        </w:tabs>
        <w:bidi w:val="0"/>
        <w:spacing w:before="0" w:after="0" w:line="467" w:lineRule="exact"/>
        <w:ind w:left="0" w:right="0" w:firstLine="440"/>
        <w:jc w:val="both"/>
      </w:pPr>
      <w:bookmarkStart w:id="836" w:name="bookmark836"/>
      <w:r>
        <w:rPr>
          <w:color w:val="000000"/>
          <w:spacing w:val="0"/>
          <w:w w:val="100"/>
          <w:position w:val="0"/>
        </w:rPr>
        <w:t>6</w:t>
      </w:r>
      <w:bookmarkEnd w:id="836"/>
      <w:r>
        <w:rPr>
          <w:color w:val="000000"/>
          <w:spacing w:val="0"/>
          <w:w w:val="100"/>
          <w:position w:val="0"/>
        </w:rPr>
        <w:t>、</w:t>
        <w:tab/>
        <w:t>金融资产转移</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金融资产转移，是指将金融资产让与或交付给该金融资产发行方以外的另一方（转入方）。</w:t>
      </w:r>
    </w:p>
    <w:p>
      <w:pPr>
        <w:pStyle w:val="Style4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本集团已将金融资产所有权上几乎所有的风险和报酬转移给转入方的，终止确认该金融资产；保留了 金融资产所有权上几乎所有的风险和报酬的，不终止确认该金融资产。</w:t>
      </w:r>
    </w:p>
    <w:p>
      <w:pPr>
        <w:pStyle w:val="Style4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44"/>
        <w:keepNext w:val="0"/>
        <w:keepLines w:val="0"/>
        <w:widowControl w:val="0"/>
        <w:shd w:val="clear" w:color="auto" w:fill="auto"/>
        <w:tabs>
          <w:tab w:pos="808" w:val="left"/>
        </w:tabs>
        <w:bidi w:val="0"/>
        <w:spacing w:before="0" w:after="0" w:line="467" w:lineRule="exact"/>
        <w:ind w:left="0" w:right="0" w:firstLine="440"/>
        <w:jc w:val="both"/>
      </w:pPr>
      <w:bookmarkStart w:id="837" w:name="bookmark837"/>
      <w:r>
        <w:rPr>
          <w:color w:val="000000"/>
          <w:spacing w:val="0"/>
          <w:w w:val="100"/>
          <w:position w:val="0"/>
        </w:rPr>
        <w:t>7</w:t>
      </w:r>
      <w:bookmarkEnd w:id="837"/>
      <w:r>
        <w:rPr>
          <w:color w:val="000000"/>
          <w:spacing w:val="0"/>
          <w:w w:val="100"/>
          <w:position w:val="0"/>
        </w:rPr>
        <w:t>、</w:t>
        <w:tab/>
        <w:t>金融资产和金融负债的抵销</w:t>
      </w:r>
    </w:p>
    <w:p>
      <w:pPr>
        <w:pStyle w:val="Style4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当本集团具有抵销已确认金融资产和金融负债的法定权利，且目前可执行该种法定权利，同时本集团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2"/>
        <w:keepNext/>
        <w:keepLines/>
        <w:widowControl w:val="0"/>
        <w:shd w:val="clear" w:color="auto" w:fill="auto"/>
        <w:tabs>
          <w:tab w:pos="469" w:val="left"/>
        </w:tabs>
        <w:bidi w:val="0"/>
        <w:spacing w:before="0" w:after="0" w:line="48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8"/>
      <w:bookmarkEnd w:id="839"/>
      <w:bookmarkEnd w:id="841"/>
    </w:p>
    <w:p>
      <w:pPr>
        <w:pStyle w:val="Style44"/>
        <w:keepNext w:val="0"/>
        <w:keepLines w:val="0"/>
        <w:widowControl w:val="0"/>
        <w:shd w:val="clear" w:color="auto" w:fill="auto"/>
        <w:bidi w:val="0"/>
        <w:spacing w:before="0" w:after="340" w:line="467" w:lineRule="exact"/>
        <w:ind w:left="0" w:right="0" w:firstLine="0"/>
        <w:jc w:val="both"/>
      </w:pPr>
      <w:r>
        <w:rPr>
          <w:color w:val="000000"/>
          <w:spacing w:val="0"/>
          <w:w w:val="100"/>
          <w:position w:val="0"/>
        </w:rPr>
        <w:t>本公司应收票据均为银行承兑汇票，无显著回收风险，不计提预期信用损失准备。</w:t>
      </w:r>
    </w:p>
    <w:p>
      <w:pPr>
        <w:pStyle w:val="Style32"/>
        <w:keepNext/>
        <w:keepLines/>
        <w:widowControl w:val="0"/>
        <w:shd w:val="clear" w:color="auto" w:fill="auto"/>
        <w:tabs>
          <w:tab w:pos="469" w:val="left"/>
        </w:tabs>
        <w:bidi w:val="0"/>
        <w:spacing w:before="0" w:after="0" w:line="48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2"/>
      <w:bookmarkEnd w:id="843"/>
      <w:bookmarkEnd w:id="845"/>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对于存在客观证据表明存在减值，以及其他适用于单项评估的应收款项，单独进行减值测试，确认预 期信用损失，计提单项减值准备。对于不存在减值客观证据的应收款项或当单项金融资产无法以合理成本 评估预期信用损失的信息时，本集团依据信用风险特征将应收款项划分为若干组合，在组合基础上计算预</w:t>
      </w:r>
      <w:r>
        <w:br w:type="page"/>
      </w:r>
    </w:p>
    <w:tbl>
      <w:tblPr>
        <w:tblOverlap w:val="never"/>
        <w:jc w:val="left"/>
        <w:tblLayout w:type="fixed"/>
      </w:tblPr>
      <w:tblGrid>
        <w:gridCol w:w="3749"/>
        <w:gridCol w:w="5155"/>
      </w:tblGrid>
      <w:tr>
        <w:trPr>
          <w:trHeight w:val="365"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期信用损失，确定组合的依据如下：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预期信用损失准备计提方法</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bl>
    <w:p>
      <w:pPr>
        <w:pStyle w:val="Style44"/>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对于划分为销售货款及其他的应收款项，本集团参考历史信用损失经验，结合当前状况以及对未来经 济状况的预测，编制应收款项账龄与整个存续期预期信用损失率对照表，计算预期信用损失，本集团确定 的预期信用损失率如下：</w:t>
      </w:r>
    </w:p>
    <w:tbl>
      <w:tblPr>
        <w:tblOverlap w:val="never"/>
        <w:jc w:val="left"/>
        <w:tblLayout w:type="fixed"/>
      </w:tblPr>
      <w:tblGrid>
        <w:gridCol w:w="3778"/>
        <w:gridCol w:w="5050"/>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44"/>
        <w:keepNext w:val="0"/>
        <w:keepLines w:val="0"/>
        <w:widowControl w:val="0"/>
        <w:shd w:val="clear" w:color="auto" w:fill="auto"/>
        <w:bidi w:val="0"/>
        <w:spacing w:before="0" w:after="340" w:line="469" w:lineRule="exact"/>
        <w:ind w:left="0" w:right="0" w:firstLine="0"/>
        <w:jc w:val="left"/>
      </w:pPr>
      <w:r>
        <w:rPr>
          <w:color w:val="000000"/>
          <w:spacing w:val="0"/>
          <w:w w:val="100"/>
          <w:position w:val="0"/>
        </w:rPr>
        <w:t>对于划分为合并范围内应收款项等无显著回收风险的应收款项，不计提预期信用损失准备。</w:t>
      </w:r>
    </w:p>
    <w:p>
      <w:pPr>
        <w:pStyle w:val="Style32"/>
        <w:keepNext/>
        <w:keepLines/>
        <w:widowControl w:val="0"/>
        <w:shd w:val="clear" w:color="auto" w:fill="auto"/>
        <w:tabs>
          <w:tab w:pos="469" w:val="left"/>
        </w:tabs>
        <w:bidi w:val="0"/>
        <w:spacing w:before="0" w:after="160" w:line="48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6"/>
      <w:bookmarkEnd w:id="847"/>
      <w:bookmarkEnd w:id="84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69" w:val="left"/>
        </w:tabs>
        <w:bidi w:val="0"/>
        <w:spacing w:before="0" w:after="160" w:line="48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0"/>
      <w:bookmarkEnd w:id="851"/>
      <w:bookmarkEnd w:id="85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4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对于存在客观证据表明存在减值，以及其他适用于单项评估的应收款项，单独进行减值测试，确认预 期信用损失，计提单项减值准备。对于不存在减值客观证据的应收款项或当单项金融资产无法以合理成本 评估预期信用损失的信息时，本集团依据信用风险特征将应收款项划分为若干组合，在组合基础上计算预 期信用损失，确定组合的依据如下：</w:t>
      </w:r>
    </w:p>
    <w:tbl>
      <w:tblPr>
        <w:tblOverlap w:val="never"/>
        <w:jc w:val="center"/>
        <w:tblLayout w:type="fixed"/>
      </w:tblPr>
      <w:tblGrid>
        <w:gridCol w:w="4085"/>
        <w:gridCol w:w="5592"/>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预期信用损失准备计提方法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销售货款及其他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bl>
    <w:p>
      <w:pPr>
        <w:widowControl w:val="0"/>
        <w:spacing w:after="99" w:line="1" w:lineRule="exact"/>
      </w:pPr>
    </w:p>
    <w:p>
      <w:pPr>
        <w:pStyle w:val="Style4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对于划分为销售货款及其他的应收款项，本集团参考历史信用损失经验，结合当前状况以及对未来经</w:t>
      </w:r>
    </w:p>
    <w:p>
      <w:pPr>
        <w:pStyle w:val="Style4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济状况的预测，编制应收款项账龄与整个存续期预期信用损失率对照表，计算预期信用损失，本集团确定</w:t>
      </w:r>
    </w:p>
    <w:p>
      <w:pPr>
        <w:pStyle w:val="Style36"/>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的预期信用损失率如下:</w:t>
      </w:r>
    </w:p>
    <w:tbl>
      <w:tblPr>
        <w:tblOverlap w:val="never"/>
        <w:jc w:val="center"/>
        <w:tblLayout w:type="fixed"/>
      </w:tblPr>
      <w:tblGrid>
        <w:gridCol w:w="4147"/>
        <w:gridCol w:w="553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159" w:line="1" w:lineRule="exact"/>
      </w:pPr>
    </w:p>
    <w:p>
      <w:pPr>
        <w:pStyle w:val="Style4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对于划分为员工暂借款、应收退税款及合并范围内应收款项等无显著回收风险的应收款项，不计提预期信</w:t>
      </w:r>
    </w:p>
    <w:p>
      <w:pPr>
        <w:pStyle w:val="Style44"/>
        <w:keepNext w:val="0"/>
        <w:keepLines w:val="0"/>
        <w:widowControl w:val="0"/>
        <w:shd w:val="clear" w:color="auto" w:fill="auto"/>
        <w:bidi w:val="0"/>
        <w:spacing w:before="0" w:after="420" w:line="240" w:lineRule="auto"/>
        <w:ind w:left="0" w:right="0" w:firstLine="0"/>
        <w:jc w:val="both"/>
      </w:pPr>
      <w:r>
        <w:rPr>
          <w:color w:val="000000"/>
          <w:spacing w:val="0"/>
          <w:w w:val="100"/>
          <w:position w:val="0"/>
        </w:rPr>
        <w:t>用损失准备。</w:t>
      </w:r>
    </w:p>
    <w:p>
      <w:pPr>
        <w:pStyle w:val="Style32"/>
        <w:keepNext/>
        <w:keepLines/>
        <w:widowControl w:val="0"/>
        <w:shd w:val="clear" w:color="auto" w:fill="auto"/>
        <w:bidi w:val="0"/>
        <w:spacing w:before="0" w:after="22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54"/>
      <w:bookmarkEnd w:id="855"/>
      <w:bookmarkEnd w:id="857"/>
    </w:p>
    <w:p>
      <w:pPr>
        <w:pStyle w:val="Style44"/>
        <w:keepNext w:val="0"/>
        <w:keepLines w:val="0"/>
        <w:widowControl w:val="0"/>
        <w:shd w:val="clear" w:color="auto" w:fill="auto"/>
        <w:tabs>
          <w:tab w:pos="793" w:val="left"/>
        </w:tabs>
        <w:bidi w:val="0"/>
        <w:spacing w:before="0" w:after="0" w:line="470" w:lineRule="exact"/>
        <w:ind w:left="0" w:right="0" w:firstLine="420"/>
        <w:jc w:val="both"/>
      </w:pPr>
      <w:bookmarkStart w:id="858" w:name="bookmark858"/>
      <w:r>
        <w:rPr>
          <w:color w:val="000000"/>
          <w:spacing w:val="0"/>
          <w:w w:val="100"/>
          <w:position w:val="0"/>
        </w:rPr>
        <w:t>1</w:t>
      </w:r>
      <w:bookmarkEnd w:id="858"/>
      <w:r>
        <w:rPr>
          <w:color w:val="000000"/>
          <w:spacing w:val="0"/>
          <w:w w:val="100"/>
          <w:position w:val="0"/>
        </w:rPr>
        <w:t>）</w:t>
        <w:tab/>
        <w:t>存货的分类</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本集团存货分为原材料、在产品、低值易耗品、库存商品、发出商品等。</w:t>
      </w:r>
    </w:p>
    <w:p>
      <w:pPr>
        <w:pStyle w:val="Style44"/>
        <w:keepNext w:val="0"/>
        <w:keepLines w:val="0"/>
        <w:widowControl w:val="0"/>
        <w:shd w:val="clear" w:color="auto" w:fill="auto"/>
        <w:tabs>
          <w:tab w:pos="807" w:val="left"/>
        </w:tabs>
        <w:bidi w:val="0"/>
        <w:spacing w:before="0" w:after="0" w:line="470" w:lineRule="exact"/>
        <w:ind w:left="0" w:right="0" w:firstLine="420"/>
        <w:jc w:val="both"/>
      </w:pPr>
      <w:bookmarkStart w:id="859" w:name="bookmark859"/>
      <w:r>
        <w:rPr>
          <w:color w:val="000000"/>
          <w:spacing w:val="0"/>
          <w:w w:val="100"/>
          <w:position w:val="0"/>
        </w:rPr>
        <w:t>2</w:t>
      </w:r>
      <w:bookmarkEnd w:id="859"/>
      <w:r>
        <w:rPr>
          <w:color w:val="000000"/>
          <w:spacing w:val="0"/>
          <w:w w:val="100"/>
          <w:position w:val="0"/>
        </w:rPr>
        <w:t>）</w:t>
        <w:tab/>
        <w:t>发出存货的计价方法</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本集团存货取得时按实际成本计价。原材料、在产品、库存商品、发出商品等发出时采用加权平均法 计价。</w:t>
      </w:r>
    </w:p>
    <w:p>
      <w:pPr>
        <w:pStyle w:val="Style44"/>
        <w:keepNext w:val="0"/>
        <w:keepLines w:val="0"/>
        <w:widowControl w:val="0"/>
        <w:shd w:val="clear" w:color="auto" w:fill="auto"/>
        <w:tabs>
          <w:tab w:pos="807" w:val="left"/>
        </w:tabs>
        <w:bidi w:val="0"/>
        <w:spacing w:before="0" w:after="0" w:line="470" w:lineRule="exact"/>
        <w:ind w:left="0" w:right="0" w:firstLine="420"/>
        <w:jc w:val="both"/>
      </w:pPr>
      <w:bookmarkStart w:id="860" w:name="bookmark860"/>
      <w:r>
        <w:rPr>
          <w:color w:val="000000"/>
          <w:spacing w:val="0"/>
          <w:w w:val="100"/>
          <w:position w:val="0"/>
        </w:rPr>
        <w:t>3</w:t>
      </w:r>
      <w:bookmarkEnd w:id="860"/>
      <w:r>
        <w:rPr>
          <w:color w:val="000000"/>
          <w:spacing w:val="0"/>
          <w:w w:val="100"/>
          <w:position w:val="0"/>
        </w:rPr>
        <w:t>）</w:t>
        <w:tab/>
        <w:t>存货可变现净值的确定依据及存货跌从准备的计提方法</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资产负债表日，存货成本高于其可变现净值的，计提存货跌价准备。本集团通常按照单个存货项目计 提存货跌价准备，资产负债表日，以前减记存货价值的影响因素已经消失的，存货跌价准备在原己计提的 金额内转回。</w:t>
      </w:r>
    </w:p>
    <w:p>
      <w:pPr>
        <w:pStyle w:val="Style44"/>
        <w:keepNext w:val="0"/>
        <w:keepLines w:val="0"/>
        <w:widowControl w:val="0"/>
        <w:shd w:val="clear" w:color="auto" w:fill="auto"/>
        <w:tabs>
          <w:tab w:pos="807" w:val="left"/>
        </w:tabs>
        <w:bidi w:val="0"/>
        <w:spacing w:before="0" w:after="0" w:line="470" w:lineRule="exact"/>
        <w:ind w:left="0" w:right="0" w:firstLine="420"/>
        <w:jc w:val="both"/>
      </w:pPr>
      <w:bookmarkStart w:id="861" w:name="bookmark861"/>
      <w:r>
        <w:rPr>
          <w:color w:val="000000"/>
          <w:spacing w:val="0"/>
          <w:w w:val="100"/>
          <w:position w:val="0"/>
        </w:rPr>
        <w:t>4</w:t>
      </w:r>
      <w:bookmarkEnd w:id="861"/>
      <w:r>
        <w:rPr>
          <w:color w:val="000000"/>
          <w:spacing w:val="0"/>
          <w:w w:val="100"/>
          <w:position w:val="0"/>
        </w:rPr>
        <w:t>）</w:t>
        <w:tab/>
        <w:t>存货的盘存制度</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本集团的存货盘存制度为永续盘存制。</w:t>
      </w:r>
    </w:p>
    <w:p>
      <w:pPr>
        <w:pStyle w:val="Style44"/>
        <w:keepNext w:val="0"/>
        <w:keepLines w:val="0"/>
        <w:widowControl w:val="0"/>
        <w:shd w:val="clear" w:color="auto" w:fill="auto"/>
        <w:tabs>
          <w:tab w:pos="807" w:val="left"/>
        </w:tabs>
        <w:bidi w:val="0"/>
        <w:spacing w:before="0" w:after="0" w:line="470" w:lineRule="exact"/>
        <w:ind w:left="0" w:right="0" w:firstLine="420"/>
        <w:jc w:val="both"/>
      </w:pPr>
      <w:bookmarkStart w:id="862" w:name="bookmark862"/>
      <w:r>
        <w:rPr>
          <w:color w:val="000000"/>
          <w:spacing w:val="0"/>
          <w:w w:val="100"/>
          <w:position w:val="0"/>
        </w:rPr>
        <w:t>5</w:t>
      </w:r>
      <w:bookmarkEnd w:id="862"/>
      <w:r>
        <w:rPr>
          <w:color w:val="000000"/>
          <w:spacing w:val="0"/>
          <w:w w:val="100"/>
          <w:position w:val="0"/>
        </w:rPr>
        <w:t>）</w:t>
        <w:tab/>
        <w:t>低值易耗品的摊销方法</w:t>
      </w:r>
    </w:p>
    <w:p>
      <w:pPr>
        <w:pStyle w:val="Style44"/>
        <w:keepNext w:val="0"/>
        <w:keepLines w:val="0"/>
        <w:widowControl w:val="0"/>
        <w:shd w:val="clear" w:color="auto" w:fill="auto"/>
        <w:bidi w:val="0"/>
        <w:spacing w:before="0" w:after="180" w:line="470" w:lineRule="exact"/>
        <w:ind w:left="0" w:right="0" w:firstLine="420"/>
        <w:jc w:val="both"/>
      </w:pPr>
      <w:r>
        <w:rPr>
          <w:color w:val="000000"/>
          <w:spacing w:val="0"/>
          <w:w w:val="100"/>
          <w:position w:val="0"/>
        </w:rPr>
        <w:t>本集团低值易耗品领用时采用一次转销法摊销。</w:t>
      </w:r>
    </w:p>
    <w:p>
      <w:pPr>
        <w:pStyle w:val="Style32"/>
        <w:keepNext/>
        <w:keepLines/>
        <w:widowControl w:val="0"/>
        <w:shd w:val="clear" w:color="auto" w:fill="auto"/>
        <w:tabs>
          <w:tab w:pos="469" w:val="left"/>
        </w:tabs>
        <w:bidi w:val="0"/>
        <w:spacing w:before="0" w:after="200" w:line="467" w:lineRule="exact"/>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3"/>
      <w:bookmarkEnd w:id="864"/>
      <w:bookmarkEnd w:id="866"/>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本集团已向客户转让商品而有权收取对价的权利，且该权利取决于时间流逝之外的其他因素的，确认 为合同资产。本公司拥有的无条件（即仅取决于时间流逝）向客户收取对价的权利作为应收款项单独列示。</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合同资产和合同负债在资产负债表中单独列示。同一合同下的合同资产和合同负债以净额列示，净额 为借方余额的，根据其流动性在“合同资产”或“其他非流动资产”项目中列示；净额为贷方余额的，根 据其流动性在“合同负债”或“其他非流动负债”项目中列示。</w:t>
      </w:r>
    </w:p>
    <w:p>
      <w:pPr>
        <w:pStyle w:val="Style44"/>
        <w:keepNext w:val="0"/>
        <w:keepLines w:val="0"/>
        <w:widowControl w:val="0"/>
        <w:shd w:val="clear" w:color="auto" w:fill="auto"/>
        <w:bidi w:val="0"/>
        <w:spacing w:before="0" w:after="200" w:line="468" w:lineRule="exact"/>
        <w:ind w:left="0" w:right="0" w:firstLine="0"/>
        <w:jc w:val="both"/>
      </w:pPr>
      <w:r>
        <w:rPr>
          <w:color w:val="000000"/>
          <w:spacing w:val="0"/>
          <w:w w:val="100"/>
          <w:position w:val="0"/>
        </w:rPr>
        <w:t>本集团合同资产以预期信用损失为基础确认损失准备，对合同资产的预期信用损失的确定方法及会计处理 方法详见金融工具减值。</w:t>
      </w:r>
    </w:p>
    <w:p>
      <w:pPr>
        <w:pStyle w:val="Style32"/>
        <w:keepNext/>
        <w:keepLines/>
        <w:widowControl w:val="0"/>
        <w:shd w:val="clear" w:color="auto" w:fill="auto"/>
        <w:tabs>
          <w:tab w:pos="469" w:val="left"/>
        </w:tabs>
        <w:bidi w:val="0"/>
        <w:spacing w:before="0" w:after="200" w:line="467" w:lineRule="exact"/>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7"/>
      <w:bookmarkEnd w:id="868"/>
      <w:bookmarkEnd w:id="870"/>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本集团合同成本包括为合同取得成本和合同履约成本：</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合同取得成本</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本集团为取得合同发生的增量成本且该成本预期能够收回的，本集团将其作为合同取得成本确认为一 项资产。本集团为取得合同发生的、除预期能够收回的增量成本之外的其他支出于发生时计入当期损益。 对于摊销期限不超过一年的合同取得成本，在发生时计入当期损益；摊销期限超过一年的，在“其他非流 动资产</w:t>
      </w:r>
      <w:r>
        <w:rPr>
          <w:color w:val="000000"/>
          <w:spacing w:val="0"/>
          <w:w w:val="100"/>
          <w:position w:val="0"/>
        </w:rPr>
        <w:t>”</w:t>
      </w:r>
      <w:r>
        <w:rPr>
          <w:color w:val="000000"/>
          <w:spacing w:val="0"/>
          <w:w w:val="100"/>
          <w:position w:val="0"/>
        </w:rPr>
        <w:t>项目中列示。</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合同履约成本</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本集团为履行合同发生的成本，不属于存货、固定资产、无形资产等其他企业会计准则规范范围且同 时满足下列条件的，本集团将其作为合同履约成本确认为一项资产：</w:t>
      </w:r>
    </w:p>
    <w:p>
      <w:pPr>
        <w:pStyle w:val="Style44"/>
        <w:keepNext w:val="0"/>
        <w:keepLines w:val="0"/>
        <w:widowControl w:val="0"/>
        <w:numPr>
          <w:ilvl w:val="0"/>
          <w:numId w:val="17"/>
        </w:numPr>
        <w:shd w:val="clear" w:color="auto" w:fill="auto"/>
        <w:tabs>
          <w:tab w:pos="795" w:val="left"/>
        </w:tabs>
        <w:bidi w:val="0"/>
        <w:spacing w:before="0" w:after="0" w:line="467" w:lineRule="exact"/>
        <w:ind w:left="0" w:right="0" w:firstLine="440"/>
        <w:jc w:val="both"/>
      </w:pPr>
      <w:bookmarkStart w:id="871" w:name="bookmark871"/>
      <w:bookmarkEnd w:id="871"/>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44"/>
        <w:keepNext w:val="0"/>
        <w:keepLines w:val="0"/>
        <w:widowControl w:val="0"/>
        <w:numPr>
          <w:ilvl w:val="0"/>
          <w:numId w:val="17"/>
        </w:numPr>
        <w:shd w:val="clear" w:color="auto" w:fill="auto"/>
        <w:tabs>
          <w:tab w:pos="837" w:val="left"/>
        </w:tabs>
        <w:bidi w:val="0"/>
        <w:spacing w:before="0" w:after="0" w:line="467" w:lineRule="exact"/>
        <w:ind w:left="0" w:right="0" w:firstLine="440"/>
        <w:jc w:val="both"/>
      </w:pPr>
      <w:bookmarkStart w:id="872" w:name="bookmark872"/>
      <w:bookmarkEnd w:id="872"/>
      <w:r>
        <w:rPr>
          <w:color w:val="000000"/>
          <w:spacing w:val="0"/>
          <w:w w:val="100"/>
          <w:position w:val="0"/>
        </w:rPr>
        <w:t>该成本增加了本集团未来用于履行履约义务的资源；</w:t>
      </w:r>
    </w:p>
    <w:p>
      <w:pPr>
        <w:pStyle w:val="Style44"/>
        <w:keepNext w:val="0"/>
        <w:keepLines w:val="0"/>
        <w:widowControl w:val="0"/>
        <w:numPr>
          <w:ilvl w:val="0"/>
          <w:numId w:val="17"/>
        </w:numPr>
        <w:shd w:val="clear" w:color="auto" w:fill="auto"/>
        <w:tabs>
          <w:tab w:pos="837" w:val="left"/>
        </w:tabs>
        <w:bidi w:val="0"/>
        <w:spacing w:before="0" w:after="0" w:line="467" w:lineRule="exact"/>
        <w:ind w:left="0" w:right="0" w:firstLine="440"/>
        <w:jc w:val="both"/>
      </w:pPr>
      <w:bookmarkStart w:id="873" w:name="bookmark873"/>
      <w:bookmarkEnd w:id="873"/>
      <w:r>
        <w:rPr>
          <w:color w:val="000000"/>
          <w:spacing w:val="0"/>
          <w:w w:val="100"/>
          <w:position w:val="0"/>
        </w:rPr>
        <w:t>该成本预期能够收回。</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本集团对合同取得成本确认的资产和合同履约成本确认的资产（以下简称“与合同成本有关的资 产”）采用与该资产相关的商品或服务收入确认相同的基础进行摊销，计入当期损益。</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当与合同成本有关的资产的账面价值高于下列两项的差额时，本集团对超出部分计提减值准备，并确 认为资产减值损失：</w:t>
      </w:r>
    </w:p>
    <w:p>
      <w:pPr>
        <w:pStyle w:val="Style44"/>
        <w:keepNext w:val="0"/>
        <w:keepLines w:val="0"/>
        <w:widowControl w:val="0"/>
        <w:numPr>
          <w:ilvl w:val="0"/>
          <w:numId w:val="19"/>
        </w:numPr>
        <w:shd w:val="clear" w:color="auto" w:fill="auto"/>
        <w:tabs>
          <w:tab w:pos="392" w:val="left"/>
        </w:tabs>
        <w:bidi w:val="0"/>
        <w:spacing w:before="0" w:after="0" w:line="467" w:lineRule="exact"/>
        <w:ind w:left="0" w:right="0" w:firstLine="0"/>
        <w:jc w:val="left"/>
      </w:pPr>
      <w:bookmarkStart w:id="874" w:name="bookmark874"/>
      <w:bookmarkEnd w:id="874"/>
      <w:r>
        <w:rPr>
          <w:color w:val="000000"/>
          <w:spacing w:val="0"/>
          <w:w w:val="100"/>
          <w:position w:val="0"/>
        </w:rPr>
        <w:t>本集团因转让与该资产相关的商品或服务预期能够取得的剩余对价；</w:t>
      </w:r>
    </w:p>
    <w:p>
      <w:pPr>
        <w:pStyle w:val="Style44"/>
        <w:keepNext w:val="0"/>
        <w:keepLines w:val="0"/>
        <w:widowControl w:val="0"/>
        <w:numPr>
          <w:ilvl w:val="0"/>
          <w:numId w:val="19"/>
        </w:numPr>
        <w:shd w:val="clear" w:color="auto" w:fill="auto"/>
        <w:tabs>
          <w:tab w:pos="397" w:val="left"/>
        </w:tabs>
        <w:bidi w:val="0"/>
        <w:spacing w:before="0" w:after="0" w:line="467" w:lineRule="exact"/>
        <w:ind w:left="0" w:right="0" w:firstLine="0"/>
        <w:jc w:val="left"/>
      </w:pPr>
      <w:bookmarkStart w:id="875" w:name="bookmark875"/>
      <w:bookmarkEnd w:id="875"/>
      <w:r>
        <w:rPr>
          <w:color w:val="000000"/>
          <w:spacing w:val="0"/>
          <w:w w:val="100"/>
          <w:position w:val="0"/>
        </w:rPr>
        <w:t>为转让该相关商品或服务估计将要发生的成本。</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计提减值准备后，如以前期间减值的因素发生变化，使得上述两项差额高于该资产账面价值的，转回 原己计提的资产减值准备，并计入当期损益，但转回后的资产账面价值不超过假定不计提减值准备情况下 该资产在转回日的账面价值。</w:t>
      </w:r>
    </w:p>
    <w:p>
      <w:pPr>
        <w:pStyle w:val="Style44"/>
        <w:keepNext w:val="0"/>
        <w:keepLines w:val="0"/>
        <w:widowControl w:val="0"/>
        <w:shd w:val="clear" w:color="auto" w:fill="auto"/>
        <w:bidi w:val="0"/>
        <w:spacing w:before="0" w:after="420" w:line="469" w:lineRule="exact"/>
        <w:ind w:left="0" w:right="0" w:firstLine="440"/>
        <w:jc w:val="left"/>
      </w:pPr>
      <w:r>
        <w:rPr>
          <w:color w:val="000000"/>
          <w:spacing w:val="0"/>
          <w:w w:val="100"/>
          <w:position w:val="0"/>
        </w:rPr>
        <w:t>本集团确认为资产的合同履约成本，初始确认时摊销期限不超过一年或一个正常营业周期，在“存 货”项目中列示，初始确认时摊销期限超过一年或一个正常营业周期，在“其他非流动资产”项目中列示。 确认为资产的合同取得成本，初始确认时摊销期限不超过一年或一个正常营业周期，在“其他流动资产” 项目中列示。</w:t>
      </w:r>
    </w:p>
    <w:p>
      <w:pPr>
        <w:pStyle w:val="Style32"/>
        <w:keepNext/>
        <w:keepLines/>
        <w:widowControl w:val="0"/>
        <w:shd w:val="clear" w:color="auto" w:fill="auto"/>
        <w:tabs>
          <w:tab w:pos="469" w:val="left"/>
        </w:tabs>
        <w:bidi w:val="0"/>
        <w:spacing w:before="0" w:after="160" w:line="48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6"/>
      <w:bookmarkEnd w:id="877"/>
      <w:bookmarkEnd w:id="87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69" w:val="left"/>
        </w:tabs>
        <w:bidi w:val="0"/>
        <w:spacing w:before="0" w:after="160" w:line="48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0"/>
      <w:bookmarkEnd w:id="881"/>
      <w:bookmarkEnd w:id="88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160" w:line="48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4"/>
      <w:bookmarkEnd w:id="885"/>
      <w:bookmarkEnd w:id="88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160" w:line="48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8"/>
      <w:bookmarkEnd w:id="889"/>
      <w:bookmarkEnd w:id="89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0" w:line="48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2"/>
      <w:bookmarkEnd w:id="893"/>
      <w:bookmarkEnd w:id="895"/>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长期股权投资包括对子公司、合营企业和联营企业的权益性投资。本集团能够对被投资单位施加重大 影响的，为本集团的联营企业。</w:t>
      </w:r>
    </w:p>
    <w:p>
      <w:pPr>
        <w:pStyle w:val="Style44"/>
        <w:keepNext w:val="0"/>
        <w:keepLines w:val="0"/>
        <w:widowControl w:val="0"/>
        <w:shd w:val="clear" w:color="auto" w:fill="auto"/>
        <w:tabs>
          <w:tab w:pos="913" w:val="left"/>
        </w:tabs>
        <w:bidi w:val="0"/>
        <w:spacing w:before="0" w:after="0" w:line="468" w:lineRule="exact"/>
        <w:ind w:left="0" w:right="0" w:firstLine="540"/>
        <w:jc w:val="both"/>
      </w:pPr>
      <w:bookmarkStart w:id="896" w:name="bookmark896"/>
      <w:r>
        <w:rPr>
          <w:color w:val="000000"/>
          <w:spacing w:val="0"/>
          <w:w w:val="100"/>
          <w:position w:val="0"/>
        </w:rPr>
        <w:t>1</w:t>
      </w:r>
      <w:bookmarkEnd w:id="896"/>
      <w:r>
        <w:rPr>
          <w:color w:val="000000"/>
          <w:spacing w:val="0"/>
          <w:w w:val="100"/>
          <w:position w:val="0"/>
        </w:rPr>
        <w:t>）</w:t>
        <w:tab/>
        <w:t>初始投资成本确定</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44"/>
        <w:keepNext w:val="0"/>
        <w:keepLines w:val="0"/>
        <w:widowControl w:val="0"/>
        <w:shd w:val="clear" w:color="auto" w:fill="auto"/>
        <w:bidi w:val="0"/>
        <w:spacing w:before="0" w:after="0" w:line="468" w:lineRule="exact"/>
        <w:ind w:left="0" w:right="0" w:firstLine="0"/>
        <w:jc w:val="left"/>
      </w:pPr>
      <w:r>
        <w:rPr>
          <w:color w:val="000000"/>
          <w:spacing w:val="0"/>
          <w:w w:val="100"/>
          <w:position w:val="0"/>
        </w:rPr>
        <w:t>对于其他方式取得的长期股权投资：支付现金取得的长期股权投资，按照实际支付的购买价款作为初始投 资成本；发行权益性证券取得的长期股权投资，以发行权益性证券的公允价值作为初始投资成本。</w:t>
      </w:r>
    </w:p>
    <w:p>
      <w:pPr>
        <w:pStyle w:val="Style44"/>
        <w:keepNext w:val="0"/>
        <w:keepLines w:val="0"/>
        <w:widowControl w:val="0"/>
        <w:shd w:val="clear" w:color="auto" w:fill="auto"/>
        <w:tabs>
          <w:tab w:pos="927" w:val="left"/>
        </w:tabs>
        <w:bidi w:val="0"/>
        <w:spacing w:before="0" w:after="0" w:line="468" w:lineRule="exact"/>
        <w:ind w:left="0" w:right="0" w:firstLine="540"/>
        <w:jc w:val="both"/>
      </w:pPr>
      <w:bookmarkStart w:id="897" w:name="bookmark897"/>
      <w:r>
        <w:rPr>
          <w:color w:val="000000"/>
          <w:spacing w:val="0"/>
          <w:w w:val="100"/>
          <w:position w:val="0"/>
        </w:rPr>
        <w:t>2</w:t>
      </w:r>
      <w:bookmarkEnd w:id="897"/>
      <w:r>
        <w:rPr>
          <w:color w:val="000000"/>
          <w:spacing w:val="0"/>
          <w:w w:val="100"/>
          <w:position w:val="0"/>
        </w:rPr>
        <w:t>）</w:t>
        <w:tab/>
        <w:t>后续计量及损益确认方法</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对子公司的投资，采用成本法核算，除非投资符合持有待售的条件；对联营企业和合营企业的投资， </w:t>
      </w:r>
      <w:r>
        <w:rPr>
          <w:color w:val="000000"/>
          <w:spacing w:val="0"/>
          <w:w w:val="100"/>
          <w:position w:val="0"/>
        </w:rPr>
        <w:t>米用权益法核算。</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44"/>
        <w:keepNext w:val="0"/>
        <w:keepLines w:val="0"/>
        <w:widowControl w:val="0"/>
        <w:shd w:val="clear" w:color="auto" w:fill="auto"/>
        <w:bidi w:val="0"/>
        <w:spacing w:before="0" w:after="40" w:line="469" w:lineRule="exact"/>
        <w:ind w:left="0" w:right="0" w:firstLine="0"/>
        <w:jc w:val="both"/>
      </w:pPr>
      <w:r>
        <w:rPr>
          <w:color w:val="000000"/>
          <w:spacing w:val="0"/>
          <w:w w:val="100"/>
          <w:position w:val="0"/>
        </w:rPr>
        <w:t>采用权益法核算时，按照应享有或应分担的被投资单位实现的净损益和其他综合收益的份额，分别确认投 资收益和其他综合收益，同时调整长期股权投资的账面价值；按照被投资单位宣告分派的利润或现金股利 计算应享有的部分，相应减少长期股权投资的账面价值；被投资单位除净损益、其他综合收益和利润分配 以外所有者权益的其他变动，调整长期股权投资的账面价值并计入资本公积（其他资本公积）。在确认应 享有被投资单位净损益的份额时，以取得投资时被投资单位各项可辨认资产等的公允价值为基础，并按照 本集团的会计政策及会计期间，对被投资单位的净利润进行调整后确认。</w:t>
      </w:r>
    </w:p>
    <w:p>
      <w:pPr>
        <w:pStyle w:val="Style44"/>
        <w:keepNext w:val="0"/>
        <w:keepLines w:val="0"/>
        <w:widowControl w:val="0"/>
        <w:shd w:val="clear" w:color="auto" w:fill="auto"/>
        <w:bidi w:val="0"/>
        <w:spacing w:before="0" w:after="0" w:line="422" w:lineRule="exact"/>
        <w:ind w:left="0" w:right="0" w:firstLine="440"/>
        <w:jc w:val="both"/>
        <w:rPr>
          <w:sz w:val="18"/>
          <w:szCs w:val="18"/>
        </w:rPr>
      </w:pPr>
      <w:r>
        <w:rPr>
          <w:color w:val="000000"/>
          <w:spacing w:val="0"/>
          <w:w w:val="100"/>
          <w:position w:val="0"/>
          <w:sz w:val="20"/>
          <w:szCs w:val="20"/>
        </w:rPr>
        <w:t xml:space="preserve">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44"/>
        <w:keepNext w:val="0"/>
        <w:keepLines w:val="0"/>
        <w:widowControl w:val="0"/>
        <w:shd w:val="clear" w:color="auto" w:fill="auto"/>
        <w:bidi w:val="0"/>
        <w:spacing w:before="0" w:after="40" w:line="469" w:lineRule="exact"/>
        <w:ind w:left="0" w:right="0" w:firstLine="0"/>
        <w:jc w:val="left"/>
      </w:pPr>
      <w:r>
        <w:rPr>
          <w:color w:val="000000"/>
          <w:spacing w:val="0"/>
          <w:w w:val="100"/>
          <w:position w:val="0"/>
        </w:rPr>
        <w:t>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共同控制或重大影响之日改按《企业会计准则第22号一金融工具确认和计量》进行会计处理，公允价值与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处置后的剩余股权不能对被投资单位实施共同控制或施加重大影响的，改按《企业会计准则第22号一金融 工具确认和计量》的有关规定进行会计处理，其在丧失控制之日的公允价值与账面价值之间的差额计入当 期损益。</w:t>
      </w:r>
    </w:p>
    <w:p>
      <w:pPr>
        <w:pStyle w:val="Style44"/>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本集团与联营企业及合营企业之间发生的未实现内部交易损益按照持股比例计算归属于本集团的部 分，在抵销基础上确认投资损益。但本集团与被投资单位发生的未实现内部交易损失，属于所转让资产减 值损失的，不予以抵销。</w:t>
      </w:r>
    </w:p>
    <w:p>
      <w:pPr>
        <w:pStyle w:val="Style44"/>
        <w:keepNext w:val="0"/>
        <w:keepLines w:val="0"/>
        <w:widowControl w:val="0"/>
        <w:shd w:val="clear" w:color="auto" w:fill="auto"/>
        <w:tabs>
          <w:tab w:pos="793" w:val="left"/>
        </w:tabs>
        <w:bidi w:val="0"/>
        <w:spacing w:before="0" w:after="0" w:line="469" w:lineRule="exact"/>
        <w:ind w:left="0" w:right="0" w:firstLine="440"/>
        <w:jc w:val="both"/>
      </w:pPr>
      <w:bookmarkStart w:id="898" w:name="bookmark898"/>
      <w:r>
        <w:rPr>
          <w:color w:val="000000"/>
          <w:spacing w:val="0"/>
          <w:w w:val="100"/>
          <w:position w:val="0"/>
        </w:rPr>
        <w:t>3</w:t>
      </w:r>
      <w:bookmarkEnd w:id="898"/>
      <w:r>
        <w:rPr>
          <w:color w:val="000000"/>
          <w:spacing w:val="0"/>
          <w:w w:val="100"/>
          <w:position w:val="0"/>
        </w:rPr>
        <w:t>）</w:t>
        <w:tab/>
        <w:t>确定对被投资单位具有共同控制、重大影响的依据</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当本公司直接或通过子公司间接拥有被投资单位20% （含20%）以上但低于50%的表决权股份时，一般 认为对被投资单位具有重大影响，除非有明确证据表明该种情况下不能参与被投资单位的生产经营决策， 不形成重大影响；本集团拥有被投资单位20%（不含）以下的表决权股份时，一般不认为对被投资单位具 有重大影响，除非有明确证据表明该种情况下能够参与被投资单位的生产经营决策，形成重大影响。</w:t>
      </w:r>
    </w:p>
    <w:p>
      <w:pPr>
        <w:pStyle w:val="Style44"/>
        <w:keepNext w:val="0"/>
        <w:keepLines w:val="0"/>
        <w:widowControl w:val="0"/>
        <w:shd w:val="clear" w:color="auto" w:fill="auto"/>
        <w:tabs>
          <w:tab w:pos="798" w:val="left"/>
        </w:tabs>
        <w:bidi w:val="0"/>
        <w:spacing w:before="0" w:after="0" w:line="469" w:lineRule="exact"/>
        <w:ind w:left="0" w:right="0" w:firstLine="440"/>
        <w:jc w:val="both"/>
      </w:pPr>
      <w:bookmarkStart w:id="899" w:name="bookmark899"/>
      <w:r>
        <w:rPr>
          <w:color w:val="000000"/>
          <w:spacing w:val="0"/>
          <w:w w:val="100"/>
          <w:position w:val="0"/>
        </w:rPr>
        <w:t>4</w:t>
      </w:r>
      <w:bookmarkEnd w:id="899"/>
      <w:r>
        <w:rPr>
          <w:color w:val="000000"/>
          <w:spacing w:val="0"/>
          <w:w w:val="100"/>
          <w:position w:val="0"/>
        </w:rPr>
        <w:t>）</w:t>
        <w:tab/>
        <w:t>减值测试方法及减值准备计提方法</w:t>
      </w:r>
    </w:p>
    <w:p>
      <w:pPr>
        <w:pStyle w:val="Style44"/>
        <w:keepNext w:val="0"/>
        <w:keepLines w:val="0"/>
        <w:widowControl w:val="0"/>
        <w:shd w:val="clear" w:color="auto" w:fill="auto"/>
        <w:bidi w:val="0"/>
        <w:spacing w:before="0" w:after="420" w:line="469" w:lineRule="exact"/>
        <w:ind w:left="0" w:right="0" w:firstLine="0"/>
        <w:jc w:val="left"/>
      </w:pPr>
      <w:r>
        <w:rPr>
          <w:color w:val="000000"/>
          <w:spacing w:val="0"/>
          <w:w w:val="100"/>
          <w:position w:val="0"/>
        </w:rPr>
        <w:t>对子公司、联营企业及合营企业的投资，计提资产减值的方法见附注五、31。</w:t>
      </w:r>
    </w:p>
    <w:p>
      <w:pPr>
        <w:pStyle w:val="Style32"/>
        <w:keepNext/>
        <w:keepLines/>
        <w:widowControl w:val="0"/>
        <w:shd w:val="clear" w:color="auto" w:fill="auto"/>
        <w:bidi w:val="0"/>
        <w:spacing w:before="0" w:after="140" w:line="48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00"/>
      <w:bookmarkEnd w:id="901"/>
      <w:bookmarkEnd w:id="90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0" w:line="463" w:lineRule="exact"/>
        <w:ind w:left="0" w:right="0" w:firstLine="0"/>
        <w:jc w:val="left"/>
      </w:pPr>
      <w:r>
        <w:rPr>
          <w:color w:val="000000"/>
          <w:spacing w:val="0"/>
          <w:w w:val="100"/>
          <w:position w:val="0"/>
        </w:rPr>
        <w:t>折旧或摊销方法</w:t>
      </w:r>
    </w:p>
    <w:p>
      <w:pPr>
        <w:pStyle w:val="Style4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投资性房地产是指为赚取租金或资本增值，或两者兼有而持有的房地产。本集团投资性房地产包括已 出租的土地使用权、持有并准备增值后转让的土地使用权、已出租的建筑物。</w:t>
      </w:r>
    </w:p>
    <w:p>
      <w:pPr>
        <w:pStyle w:val="Style44"/>
        <w:keepNext w:val="0"/>
        <w:keepLines w:val="0"/>
        <w:widowControl w:val="0"/>
        <w:shd w:val="clear" w:color="auto" w:fill="auto"/>
        <w:bidi w:val="0"/>
        <w:spacing w:before="0" w:after="80" w:line="463" w:lineRule="exact"/>
        <w:ind w:left="0" w:right="0" w:firstLine="440"/>
        <w:jc w:val="both"/>
      </w:pPr>
      <w:r>
        <w:rPr>
          <w:color w:val="000000"/>
          <w:spacing w:val="0"/>
          <w:w w:val="100"/>
          <w:position w:val="0"/>
        </w:rPr>
        <w:t>本集团投资性房地产按照取得时的成本进行初始计量，并按照固定资产或无形资产的有关规定，按期 计提折旧或摊销。本集团确定投资性房地产的年折旧率如下：</w:t>
      </w:r>
    </w:p>
    <w:tbl>
      <w:tblPr>
        <w:tblOverlap w:val="never"/>
        <w:jc w:val="left"/>
        <w:tblLayout w:type="fixed"/>
      </w:tblPr>
      <w:tblGrid>
        <w:gridCol w:w="2702"/>
        <w:gridCol w:w="2112"/>
        <w:gridCol w:w="2117"/>
        <w:gridCol w:w="2141"/>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使用年限（年）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rPr>
              <w:t>％</w:t>
            </w:r>
          </w:p>
        </w:tc>
      </w:tr>
      <w:tr>
        <w:trPr>
          <w:trHeight w:val="32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出租的建筑物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3.17-4.75</w:t>
            </w:r>
          </w:p>
        </w:tc>
      </w:tr>
    </w:tbl>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采用成本模式进行后续计量的投资性房地产，计提资产减值方法见附注五、31。</w:t>
      </w:r>
    </w:p>
    <w:p>
      <w:pPr>
        <w:pStyle w:val="Style4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32"/>
        <w:keepNext/>
        <w:keepLines/>
        <w:widowControl w:val="0"/>
        <w:shd w:val="clear" w:color="auto" w:fill="auto"/>
        <w:bidi w:val="0"/>
        <w:spacing w:before="0" w:after="0" w:line="48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04"/>
      <w:bookmarkEnd w:id="905"/>
      <w:bookmarkEnd w:id="907"/>
    </w:p>
    <w:p>
      <w:pPr>
        <w:pStyle w:val="Style75"/>
        <w:keepNext/>
        <w:keepLines/>
        <w:widowControl w:val="0"/>
        <w:shd w:val="clear" w:color="auto" w:fill="auto"/>
        <w:tabs>
          <w:tab w:pos="488" w:val="left"/>
        </w:tabs>
        <w:bidi w:val="0"/>
        <w:spacing w:before="0" w:after="200" w:line="468" w:lineRule="exact"/>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08"/>
      <w:bookmarkEnd w:id="909"/>
      <w:bookmarkEnd w:id="911"/>
    </w:p>
    <w:p>
      <w:pPr>
        <w:pStyle w:val="Style44"/>
        <w:keepNext w:val="0"/>
        <w:keepLines w:val="0"/>
        <w:widowControl w:val="0"/>
        <w:shd w:val="clear" w:color="auto" w:fill="auto"/>
        <w:bidi w:val="0"/>
        <w:spacing w:before="0" w:after="200" w:line="468" w:lineRule="exact"/>
        <w:ind w:left="0" w:right="0" w:firstLine="0"/>
        <w:jc w:val="both"/>
      </w:pPr>
      <w:r>
        <w:rPr>
          <w:color w:val="000000"/>
          <w:spacing w:val="0"/>
          <w:w w:val="100"/>
          <w:position w:val="0"/>
        </w:rPr>
        <w:t>本集团固定资产是指为生产商品、提供劳务、出租或经营管理而持有的，使用寿命超过一个会计年度的有 形资产。与该固定资产有关的经济利益很可能流入企业，并且该固定资产的成本能够可靠地计量时，固定 资产才能予以确认。本集团固定资产按照取得时的实际成本进行初始计量。</w:t>
      </w:r>
    </w:p>
    <w:p>
      <w:pPr>
        <w:pStyle w:val="Style75"/>
        <w:keepNext/>
        <w:keepLines/>
        <w:widowControl w:val="0"/>
        <w:shd w:val="clear" w:color="auto" w:fill="auto"/>
        <w:tabs>
          <w:tab w:pos="488" w:val="left"/>
        </w:tabs>
        <w:bidi w:val="0"/>
        <w:spacing w:before="0" w:after="340" w:line="468"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12"/>
      <w:bookmarkEnd w:id="913"/>
      <w:bookmarkEnd w:id="915"/>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w:t>
            </w:r>
          </w:p>
        </w:tc>
      </w:tr>
    </w:tbl>
    <w:p>
      <w:pPr>
        <w:pStyle w:val="Style44"/>
        <w:keepNext w:val="0"/>
        <w:keepLines w:val="0"/>
        <w:widowControl w:val="0"/>
        <w:shd w:val="clear" w:color="auto" w:fill="auto"/>
        <w:bidi w:val="0"/>
        <w:spacing w:before="0" w:after="0" w:line="466" w:lineRule="exact"/>
        <w:ind w:left="0" w:right="0" w:firstLine="0"/>
        <w:jc w:val="both"/>
      </w:pPr>
      <w:r>
        <w:rPr>
          <w:color w:val="000000"/>
          <w:spacing w:val="0"/>
          <w:w w:val="100"/>
          <w:position w:val="0"/>
        </w:rPr>
        <w:t>本集团采用年限平均法计提折旧。固定资产自达到预定可使用状态时开始计提折旧，终止确认时或划分为 持有待售非流动资产时停止计提折旧。其中，己计提减值准备的固定资产，还应扣除已计提的固定资产减 值准备累计金额计算确定折旧率。</w:t>
      </w:r>
    </w:p>
    <w:p>
      <w:pPr>
        <w:pStyle w:val="Style44"/>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固定资产的减值测试方法、减值准备计提方法见附注五、31。</w:t>
      </w:r>
    </w:p>
    <w:p>
      <w:pPr>
        <w:pStyle w:val="Style44"/>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每年年度终了，本集团对固定资产的使用寿命、预计净残值和折旧方法进行复核。</w:t>
      </w:r>
    </w:p>
    <w:p>
      <w:pPr>
        <w:pStyle w:val="Style44"/>
        <w:keepNext w:val="0"/>
        <w:keepLines w:val="0"/>
        <w:widowControl w:val="0"/>
        <w:shd w:val="clear" w:color="auto" w:fill="auto"/>
        <w:bidi w:val="0"/>
        <w:spacing w:before="0" w:after="0" w:line="462"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44"/>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大修理费用</w:t>
      </w:r>
    </w:p>
    <w:p>
      <w:pPr>
        <w:pStyle w:val="Style44"/>
        <w:keepNext w:val="0"/>
        <w:keepLines w:val="0"/>
        <w:widowControl w:val="0"/>
        <w:shd w:val="clear" w:color="auto" w:fill="auto"/>
        <w:bidi w:val="0"/>
        <w:spacing w:before="0" w:after="200" w:line="462" w:lineRule="exact"/>
        <w:ind w:left="0" w:right="0" w:firstLine="440"/>
        <w:jc w:val="both"/>
      </w:pPr>
      <w:r>
        <w:rPr>
          <w:color w:val="000000"/>
          <w:spacing w:val="0"/>
          <w:w w:val="100"/>
          <w:position w:val="0"/>
        </w:rPr>
        <w:t>本集团对固定资产进行定期检查发生的大修理费用，有确凿证据表明符合固定资产确认条件的部分， 计入固定资产成本，不符合固定资产确认条件的计入当期损益。固定资产在定期大修理间隔期间，照提折 旧。</w:t>
      </w:r>
    </w:p>
    <w:p>
      <w:pPr>
        <w:pStyle w:val="Style75"/>
        <w:keepNext/>
        <w:keepLines/>
        <w:widowControl w:val="0"/>
        <w:shd w:val="clear" w:color="auto" w:fill="auto"/>
        <w:bidi w:val="0"/>
        <w:spacing w:before="0" w:after="200" w:line="462" w:lineRule="exact"/>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6"/>
      <w:bookmarkEnd w:id="917"/>
      <w:bookmarkEnd w:id="919"/>
    </w:p>
    <w:p>
      <w:pPr>
        <w:pStyle w:val="Style32"/>
        <w:keepNext/>
        <w:keepLines/>
        <w:widowControl w:val="0"/>
        <w:shd w:val="clear" w:color="auto" w:fill="auto"/>
        <w:tabs>
          <w:tab w:pos="478" w:val="left"/>
        </w:tabs>
        <w:bidi w:val="0"/>
        <w:spacing w:before="0" w:after="220" w:line="469" w:lineRule="exact"/>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20"/>
      <w:bookmarkEnd w:id="921"/>
      <w:bookmarkEnd w:id="923"/>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44"/>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在建工程在达到预定可使用状态时转入固定资产。</w:t>
      </w:r>
    </w:p>
    <w:p>
      <w:pPr>
        <w:pStyle w:val="Style44"/>
        <w:keepNext w:val="0"/>
        <w:keepLines w:val="0"/>
        <w:widowControl w:val="0"/>
        <w:shd w:val="clear" w:color="auto" w:fill="auto"/>
        <w:bidi w:val="0"/>
        <w:spacing w:before="0" w:after="220" w:line="470" w:lineRule="exact"/>
        <w:ind w:left="0" w:right="0" w:firstLine="520"/>
        <w:jc w:val="both"/>
      </w:pPr>
      <w:r>
        <w:rPr>
          <w:color w:val="000000"/>
          <w:spacing w:val="0"/>
          <w:w w:val="100"/>
          <w:position w:val="0"/>
        </w:rPr>
        <w:t>在建工程计提资产减值方法见附注五、31。</w:t>
      </w:r>
    </w:p>
    <w:p>
      <w:pPr>
        <w:pStyle w:val="Style32"/>
        <w:keepNext/>
        <w:keepLines/>
        <w:widowControl w:val="0"/>
        <w:shd w:val="clear" w:color="auto" w:fill="auto"/>
        <w:tabs>
          <w:tab w:pos="478" w:val="left"/>
        </w:tabs>
        <w:bidi w:val="0"/>
        <w:spacing w:before="0" w:after="140" w:line="469" w:lineRule="exact"/>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24"/>
      <w:bookmarkEnd w:id="925"/>
      <w:bookmarkEnd w:id="927"/>
    </w:p>
    <w:p>
      <w:pPr>
        <w:pStyle w:val="Style44"/>
        <w:keepNext w:val="0"/>
        <w:keepLines w:val="0"/>
        <w:widowControl w:val="0"/>
        <w:shd w:val="clear" w:color="auto" w:fill="auto"/>
        <w:bidi w:val="0"/>
        <w:spacing w:before="0" w:after="140" w:line="469" w:lineRule="exact"/>
        <w:ind w:left="0" w:right="0" w:firstLine="52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69" w:lineRule="exact"/>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28"/>
      <w:bookmarkEnd w:id="929"/>
      <w:bookmarkEnd w:id="931"/>
    </w:p>
    <w:p>
      <w:pPr>
        <w:pStyle w:val="Style44"/>
        <w:keepNext w:val="0"/>
        <w:keepLines w:val="0"/>
        <w:widowControl w:val="0"/>
        <w:shd w:val="clear" w:color="auto" w:fill="auto"/>
        <w:bidi w:val="0"/>
        <w:spacing w:before="0" w:after="140" w:line="469" w:lineRule="exact"/>
        <w:ind w:left="0" w:right="0" w:firstLine="52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69" w:lineRule="exact"/>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2"/>
      <w:bookmarkEnd w:id="933"/>
      <w:bookmarkEnd w:id="935"/>
    </w:p>
    <w:p>
      <w:pPr>
        <w:pStyle w:val="Style44"/>
        <w:keepNext w:val="0"/>
        <w:keepLines w:val="0"/>
        <w:widowControl w:val="0"/>
        <w:shd w:val="clear" w:color="auto" w:fill="auto"/>
        <w:bidi w:val="0"/>
        <w:spacing w:before="0" w:after="140" w:line="469" w:lineRule="exact"/>
        <w:ind w:left="0" w:right="0" w:firstLine="52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69" w:lineRule="exact"/>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36"/>
      <w:bookmarkEnd w:id="937"/>
      <w:bookmarkEnd w:id="939"/>
    </w:p>
    <w:p>
      <w:pPr>
        <w:pStyle w:val="Style44"/>
        <w:keepNext w:val="0"/>
        <w:keepLines w:val="0"/>
        <w:widowControl w:val="0"/>
        <w:shd w:val="clear" w:color="auto" w:fill="auto"/>
        <w:bidi w:val="0"/>
        <w:spacing w:before="0" w:after="140" w:line="469" w:lineRule="exact"/>
        <w:ind w:left="0" w:right="0" w:firstLine="52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69" w:lineRule="exact"/>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40"/>
      <w:bookmarkEnd w:id="941"/>
      <w:bookmarkEnd w:id="943"/>
    </w:p>
    <w:p>
      <w:pPr>
        <w:pStyle w:val="Style75"/>
        <w:keepNext/>
        <w:keepLines/>
        <w:widowControl w:val="0"/>
        <w:shd w:val="clear" w:color="auto" w:fill="auto"/>
        <w:bidi w:val="0"/>
        <w:spacing w:before="0" w:after="220" w:line="469" w:lineRule="exact"/>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4"/>
      <w:bookmarkEnd w:id="945"/>
      <w:bookmarkEnd w:id="947"/>
    </w:p>
    <w:p>
      <w:pPr>
        <w:pStyle w:val="Style44"/>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本集团无形资产包括计算机软件、商标权、开发支出、武汉大千无形资产评估增值、中检美亚无形资 产评估增值等。</w:t>
      </w:r>
    </w:p>
    <w:p>
      <w:pPr>
        <w:pStyle w:val="Style44"/>
        <w:keepNext w:val="0"/>
        <w:keepLines w:val="0"/>
        <w:widowControl w:val="0"/>
        <w:shd w:val="clear" w:color="auto" w:fill="auto"/>
        <w:bidi w:val="0"/>
        <w:spacing w:before="0" w:after="220" w:line="467" w:lineRule="exact"/>
        <w:ind w:left="0" w:right="0" w:firstLine="52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36"/>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使用寿命有限的无形资产摊销方法如下:</w:t>
      </w:r>
    </w:p>
    <w:tbl>
      <w:tblPr>
        <w:tblOverlap w:val="never"/>
        <w:jc w:val="left"/>
        <w:tblLayout w:type="fixed"/>
      </w:tblPr>
      <w:tblGrid>
        <w:gridCol w:w="2971"/>
        <w:gridCol w:w="1973"/>
        <w:gridCol w:w="2304"/>
        <w:gridCol w:w="1824"/>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武汉大千无形资产评估增值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中检美亚无形资产评估增值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本集团于每年年度终了，对使用寿命有限的无形资产的使用寿命及摊销方法进行复核，与以前估计不 同的，调整原先估计数，并按会计估计变更处理。</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44"/>
        <w:keepNext w:val="0"/>
        <w:keepLines w:val="0"/>
        <w:widowControl w:val="0"/>
        <w:shd w:val="clear" w:color="auto" w:fill="auto"/>
        <w:bidi w:val="0"/>
        <w:spacing w:before="0" w:after="220" w:line="468" w:lineRule="exact"/>
        <w:ind w:left="0" w:right="0" w:firstLine="0"/>
        <w:jc w:val="left"/>
      </w:pPr>
      <w:r>
        <w:rPr>
          <w:color w:val="000000"/>
          <w:spacing w:val="0"/>
          <w:w w:val="100"/>
          <w:position w:val="0"/>
        </w:rPr>
        <w:t>无形资产计提资产减值方法见附注五31。</w:t>
      </w:r>
    </w:p>
    <w:p>
      <w:pPr>
        <w:pStyle w:val="Style75"/>
        <w:keepNext/>
        <w:keepLines/>
        <w:widowControl w:val="0"/>
        <w:numPr>
          <w:ilvl w:val="0"/>
          <w:numId w:val="21"/>
        </w:numPr>
        <w:shd w:val="clear" w:color="auto" w:fill="auto"/>
        <w:bidi w:val="0"/>
        <w:spacing w:before="0" w:after="220" w:line="469" w:lineRule="exact"/>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内部研究开发支出会计政策</w:t>
      </w:r>
      <w:bookmarkEnd w:id="948"/>
      <w:bookmarkEnd w:id="949"/>
      <w:bookmarkEnd w:id="951"/>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本集团将内部研究开发项目的支出，区分为研究阶段支出和开发阶段支出。</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研究阶段的支出，于发生时计入当期损益。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本集团研究开发项目在满足上述条件，通过技术可行性及经济可行性研究，形成项目立项后，进入开 发阶段。</w:t>
      </w:r>
    </w:p>
    <w:p>
      <w:pPr>
        <w:pStyle w:val="Style4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己资本化的开发阶段的支出在资产负债表上列示为开发支出，自该项目达到预定可使用状态之日转为 无形资产。</w:t>
      </w:r>
    </w:p>
    <w:p>
      <w:pPr>
        <w:pStyle w:val="Style32"/>
        <w:keepNext/>
        <w:keepLines/>
        <w:widowControl w:val="0"/>
        <w:shd w:val="clear" w:color="auto" w:fill="auto"/>
        <w:bidi w:val="0"/>
        <w:spacing w:before="0" w:after="0" w:line="48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52"/>
      <w:bookmarkEnd w:id="953"/>
      <w:bookmarkEnd w:id="955"/>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对子公司、联营企业和合营企业的长期股权投资、采用成本模式进行后续计量的投资性房地产、固定 资产、在建工程、无形资产、商誉等(存货、递延所得税资产、金融资产除外)的资产减值，按以下方法 确定：</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w:t>
      </w:r>
      <w:r>
        <w:rPr>
          <w:color w:val="000000"/>
          <w:spacing w:val="0"/>
          <w:w w:val="100"/>
          <w:position w:val="0"/>
        </w:rPr>
        <w:t>立于其他资产或者资产组的现金流入为依据。</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4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失。商誉资产减值损失一经确认，在以后会计期间不再转回。</w:t>
      </w:r>
    </w:p>
    <w:p>
      <w:pPr>
        <w:pStyle w:val="Style32"/>
        <w:keepNext/>
        <w:keepLines/>
        <w:widowControl w:val="0"/>
        <w:shd w:val="clear" w:color="auto" w:fill="auto"/>
        <w:tabs>
          <w:tab w:pos="478" w:val="left"/>
        </w:tabs>
        <w:bidi w:val="0"/>
        <w:spacing w:before="0" w:after="0" w:line="48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56"/>
      <w:bookmarkEnd w:id="957"/>
      <w:bookmarkEnd w:id="959"/>
    </w:p>
    <w:p>
      <w:pPr>
        <w:pStyle w:val="Style44"/>
        <w:keepNext w:val="0"/>
        <w:keepLines w:val="0"/>
        <w:widowControl w:val="0"/>
        <w:shd w:val="clear" w:color="auto" w:fill="auto"/>
        <w:bidi w:val="0"/>
        <w:spacing w:before="0" w:after="420" w:line="470" w:lineRule="exact"/>
        <w:ind w:left="0" w:right="0" w:firstLine="0"/>
        <w:jc w:val="left"/>
      </w:pPr>
      <w:r>
        <w:rPr>
          <w:color w:val="000000"/>
          <w:spacing w:val="0"/>
          <w:w w:val="100"/>
          <w:position w:val="0"/>
        </w:rPr>
        <w:t>本集团发生的长期待摊费用按实际成本计价，并按预计受益期限平均摊销。对不能使以后会计期间受益的 长期待摊费用项目，其摊余价值全部计入当期损益。</w:t>
      </w:r>
    </w:p>
    <w:p>
      <w:pPr>
        <w:pStyle w:val="Style32"/>
        <w:keepNext/>
        <w:keepLines/>
        <w:widowControl w:val="0"/>
        <w:shd w:val="clear" w:color="auto" w:fill="auto"/>
        <w:tabs>
          <w:tab w:pos="478" w:val="left"/>
        </w:tabs>
        <w:bidi w:val="0"/>
        <w:spacing w:before="0" w:after="0" w:line="48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60"/>
      <w:bookmarkEnd w:id="961"/>
      <w:bookmarkEnd w:id="963"/>
    </w:p>
    <w:p>
      <w:pPr>
        <w:pStyle w:val="Style4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本集团将已收或应收客户对价而应向客户转让商品或提供服务的义务列示为合同负债。</w:t>
      </w:r>
    </w:p>
    <w:p>
      <w:pPr>
        <w:pStyle w:val="Style32"/>
        <w:keepNext/>
        <w:keepLines/>
        <w:widowControl w:val="0"/>
        <w:shd w:val="clear" w:color="auto" w:fill="auto"/>
        <w:tabs>
          <w:tab w:pos="478" w:val="left"/>
        </w:tabs>
        <w:bidi w:val="0"/>
        <w:spacing w:before="0" w:after="0" w:line="48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64"/>
      <w:bookmarkEnd w:id="965"/>
      <w:bookmarkEnd w:id="967"/>
    </w:p>
    <w:p>
      <w:pPr>
        <w:pStyle w:val="Style75"/>
        <w:keepNext/>
        <w:keepLines/>
        <w:widowControl w:val="0"/>
        <w:numPr>
          <w:ilvl w:val="0"/>
          <w:numId w:val="23"/>
        </w:numPr>
        <w:shd w:val="clear" w:color="auto" w:fill="auto"/>
        <w:tabs>
          <w:tab w:pos="488" w:val="left"/>
        </w:tabs>
        <w:bidi w:val="0"/>
        <w:spacing w:before="0" w:after="0" w:line="470" w:lineRule="exact"/>
        <w:ind w:left="0" w:right="0" w:firstLine="0"/>
        <w:jc w:val="both"/>
      </w:pPr>
      <w:bookmarkStart w:id="968" w:name="bookmark968"/>
      <w:bookmarkStart w:id="969" w:name="bookmark969"/>
      <w:bookmarkStart w:id="970" w:name="bookmark970"/>
      <w:bookmarkStart w:id="971" w:name="bookmark971"/>
      <w:bookmarkEnd w:id="970"/>
      <w:r>
        <w:rPr>
          <w:color w:val="000000"/>
          <w:spacing w:val="0"/>
          <w:w w:val="100"/>
          <w:position w:val="0"/>
        </w:rPr>
        <w:t>短期薪酬的会计处理方法</w:t>
      </w:r>
      <w:bookmarkEnd w:id="968"/>
      <w:bookmarkEnd w:id="969"/>
      <w:bookmarkEnd w:id="971"/>
    </w:p>
    <w:p>
      <w:pPr>
        <w:pStyle w:val="Style44"/>
        <w:keepNext w:val="0"/>
        <w:keepLines w:val="0"/>
        <w:widowControl w:val="0"/>
        <w:shd w:val="clear" w:color="auto" w:fill="auto"/>
        <w:bidi w:val="0"/>
        <w:spacing w:before="0" w:after="0" w:line="470" w:lineRule="exact"/>
        <w:ind w:left="0" w:right="0" w:firstLine="0"/>
        <w:jc w:val="both"/>
      </w:pPr>
      <w:r>
        <w:rPr>
          <w:color w:val="000000"/>
          <w:spacing w:val="0"/>
          <w:w w:val="100"/>
          <w:position w:val="0"/>
        </w:rPr>
        <w:t>本集团在职工提供服务的会计期间，将实际发生的职工工资、奖金、按规定的基准和比例为职工缴纳的医 疗保险费、工伤保险费和生育保险费等社会保险费和住房公积金，确认为负债，并计入当期损益或相关资 产成本。如果该负债预期在职工提供相关服务的年度报告期结束后十二个月内不能完全支付，且财务影响 重大的，则该负债将以折现后的金额计量。</w:t>
      </w:r>
    </w:p>
    <w:p>
      <w:pPr>
        <w:pStyle w:val="Style75"/>
        <w:keepNext/>
        <w:keepLines/>
        <w:widowControl w:val="0"/>
        <w:numPr>
          <w:ilvl w:val="0"/>
          <w:numId w:val="23"/>
        </w:numPr>
        <w:shd w:val="clear" w:color="auto" w:fill="auto"/>
        <w:tabs>
          <w:tab w:pos="488" w:val="left"/>
        </w:tabs>
        <w:bidi w:val="0"/>
        <w:spacing w:before="0" w:after="0" w:line="470" w:lineRule="exact"/>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离职后福利的会计处理方法</w:t>
      </w:r>
      <w:bookmarkEnd w:id="972"/>
      <w:bookmarkEnd w:id="973"/>
      <w:bookmarkEnd w:id="975"/>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4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设定提存计划包括基本养老保险、失业保险以及企业年金计划等。</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75"/>
        <w:keepNext/>
        <w:keepLines/>
        <w:widowControl w:val="0"/>
        <w:shd w:val="clear" w:color="auto" w:fill="auto"/>
        <w:tabs>
          <w:tab w:pos="488" w:val="left"/>
        </w:tabs>
        <w:bidi w:val="0"/>
        <w:spacing w:before="0" w:after="0" w:line="470"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76"/>
      <w:bookmarkEnd w:id="977"/>
      <w:bookmarkEnd w:id="979"/>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75"/>
        <w:keepNext/>
        <w:keepLines/>
        <w:widowControl w:val="0"/>
        <w:shd w:val="clear" w:color="auto" w:fill="auto"/>
        <w:tabs>
          <w:tab w:pos="488" w:val="left"/>
        </w:tabs>
        <w:bidi w:val="0"/>
        <w:spacing w:before="0" w:after="0" w:line="469"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0"/>
      <w:bookmarkEnd w:id="981"/>
      <w:bookmarkEnd w:id="983"/>
    </w:p>
    <w:p>
      <w:pPr>
        <w:pStyle w:val="Style4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 酬成本中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color w:val="000000"/>
          <w:spacing w:val="0"/>
          <w:w w:val="100"/>
          <w:position w:val="0"/>
        </w:rPr>
        <w:t>''</w:t>
      </w:r>
      <w:r>
        <w:rPr>
          <w:color w:val="000000"/>
          <w:spacing w:val="0"/>
          <w:w w:val="100"/>
          <w:position w:val="0"/>
        </w:rPr>
        <w:t>部分计入当期损益或相关资产成本。</w:t>
      </w:r>
    </w:p>
    <w:p>
      <w:pPr>
        <w:pStyle w:val="Style32"/>
        <w:keepNext/>
        <w:keepLines/>
        <w:widowControl w:val="0"/>
        <w:shd w:val="clear" w:color="auto" w:fill="auto"/>
        <w:tabs>
          <w:tab w:pos="478" w:val="left"/>
        </w:tabs>
        <w:bidi w:val="0"/>
        <w:spacing w:before="0" w:after="160" w:line="480"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84"/>
      <w:bookmarkEnd w:id="985"/>
      <w:bookmarkEnd w:id="98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60" w:line="48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88"/>
      <w:bookmarkEnd w:id="989"/>
      <w:bookmarkEnd w:id="99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0" w:line="48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92"/>
      <w:bookmarkEnd w:id="993"/>
      <w:bookmarkEnd w:id="995"/>
    </w:p>
    <w:p>
      <w:pPr>
        <w:pStyle w:val="Style44"/>
        <w:keepNext w:val="0"/>
        <w:keepLines w:val="0"/>
        <w:widowControl w:val="0"/>
        <w:shd w:val="clear" w:color="auto" w:fill="auto"/>
        <w:tabs>
          <w:tab w:pos="813" w:val="left"/>
        </w:tabs>
        <w:bidi w:val="0"/>
        <w:spacing w:before="0" w:after="0" w:line="464" w:lineRule="exact"/>
        <w:ind w:left="0" w:right="0" w:firstLine="440"/>
        <w:jc w:val="both"/>
      </w:pPr>
      <w:bookmarkStart w:id="996" w:name="bookmark996"/>
      <w:r>
        <w:rPr>
          <w:color w:val="000000"/>
          <w:spacing w:val="0"/>
          <w:w w:val="100"/>
          <w:position w:val="0"/>
        </w:rPr>
        <w:t>1</w:t>
      </w:r>
      <w:bookmarkEnd w:id="996"/>
      <w:r>
        <w:rPr>
          <w:color w:val="000000"/>
          <w:spacing w:val="0"/>
          <w:w w:val="100"/>
          <w:position w:val="0"/>
        </w:rPr>
        <w:t>）</w:t>
        <w:tab/>
        <w:t>股份支付的种类</w:t>
      </w:r>
    </w:p>
    <w:p>
      <w:pPr>
        <w:pStyle w:val="Style4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本集团股份支付分为以权益结算的股份支付和以现金结算的股份支付。</w:t>
      </w:r>
    </w:p>
    <w:p>
      <w:pPr>
        <w:pStyle w:val="Style44"/>
        <w:keepNext w:val="0"/>
        <w:keepLines w:val="0"/>
        <w:widowControl w:val="0"/>
        <w:shd w:val="clear" w:color="auto" w:fill="auto"/>
        <w:tabs>
          <w:tab w:pos="827" w:val="left"/>
        </w:tabs>
        <w:bidi w:val="0"/>
        <w:spacing w:before="0" w:after="0" w:line="464" w:lineRule="exact"/>
        <w:ind w:left="0" w:right="0" w:firstLine="440"/>
        <w:jc w:val="both"/>
      </w:pPr>
      <w:bookmarkStart w:id="997" w:name="bookmark997"/>
      <w:r>
        <w:rPr>
          <w:color w:val="000000"/>
          <w:spacing w:val="0"/>
          <w:w w:val="100"/>
          <w:position w:val="0"/>
        </w:rPr>
        <w:t>2</w:t>
      </w:r>
      <w:bookmarkEnd w:id="997"/>
      <w:r>
        <w:rPr>
          <w:color w:val="000000"/>
          <w:spacing w:val="0"/>
          <w:w w:val="100"/>
          <w:position w:val="0"/>
        </w:rPr>
        <w:t>）</w:t>
        <w:tab/>
        <w:t>权益工具公允价值的确定方法</w:t>
      </w:r>
    </w:p>
    <w:p>
      <w:pPr>
        <w:pStyle w:val="Style4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color w:val="000000"/>
          <w:spacing w:val="0"/>
          <w:w w:val="100"/>
          <w:position w:val="0"/>
        </w:rPr>
        <w:t>A、</w:t>
      </w:r>
      <w:r>
        <w:rPr>
          <w:color w:val="000000"/>
          <w:spacing w:val="0"/>
          <w:w w:val="100"/>
          <w:position w:val="0"/>
        </w:rPr>
        <w:t>期权的行权价格；</w:t>
      </w:r>
      <w:r>
        <w:rPr>
          <w:color w:val="000000"/>
          <w:spacing w:val="0"/>
          <w:w w:val="100"/>
          <w:position w:val="0"/>
        </w:rPr>
        <w:t>B、</w:t>
      </w:r>
      <w:r>
        <w:rPr>
          <w:color w:val="000000"/>
          <w:spacing w:val="0"/>
          <w:w w:val="100"/>
          <w:position w:val="0"/>
        </w:rPr>
        <w:t>期权的有效期；</w:t>
      </w:r>
      <w:r>
        <w:rPr>
          <w:color w:val="000000"/>
          <w:spacing w:val="0"/>
          <w:w w:val="100"/>
          <w:position w:val="0"/>
        </w:rPr>
        <w:t>C、</w:t>
      </w:r>
      <w:r>
        <w:rPr>
          <w:color w:val="000000"/>
          <w:spacing w:val="0"/>
          <w:w w:val="100"/>
          <w:position w:val="0"/>
        </w:rPr>
        <w:t>标的股份的现行价格；</w:t>
      </w:r>
      <w:r>
        <w:rPr>
          <w:color w:val="000000"/>
          <w:spacing w:val="0"/>
          <w:w w:val="100"/>
          <w:position w:val="0"/>
        </w:rPr>
        <w:t>D、</w:t>
      </w:r>
      <w:r>
        <w:rPr>
          <w:color w:val="000000"/>
          <w:spacing w:val="0"/>
          <w:w w:val="100"/>
          <w:position w:val="0"/>
        </w:rPr>
        <w:t>股价预计波动率；</w:t>
      </w:r>
      <w:r>
        <w:rPr>
          <w:color w:val="000000"/>
          <w:spacing w:val="0"/>
          <w:w w:val="100"/>
          <w:position w:val="0"/>
        </w:rPr>
        <w:t xml:space="preserve">E、 </w:t>
      </w:r>
      <w:r>
        <w:rPr>
          <w:color w:val="000000"/>
          <w:spacing w:val="0"/>
          <w:w w:val="100"/>
          <w:position w:val="0"/>
        </w:rPr>
        <w:t>股份的预计股利；</w:t>
      </w:r>
      <w:r>
        <w:rPr>
          <w:color w:val="000000"/>
          <w:spacing w:val="0"/>
          <w:w w:val="100"/>
          <w:position w:val="0"/>
        </w:rPr>
        <w:t>F、</w:t>
      </w:r>
      <w:r>
        <w:rPr>
          <w:color w:val="000000"/>
          <w:spacing w:val="0"/>
          <w:w w:val="100"/>
          <w:position w:val="0"/>
        </w:rPr>
        <w:t>期权有效期内的无风险利率。</w:t>
      </w:r>
    </w:p>
    <w:p>
      <w:pPr>
        <w:pStyle w:val="Style44"/>
        <w:keepNext w:val="0"/>
        <w:keepLines w:val="0"/>
        <w:widowControl w:val="0"/>
        <w:shd w:val="clear" w:color="auto" w:fill="auto"/>
        <w:tabs>
          <w:tab w:pos="827" w:val="left"/>
        </w:tabs>
        <w:bidi w:val="0"/>
        <w:spacing w:before="0" w:after="0" w:line="464" w:lineRule="exact"/>
        <w:ind w:left="0" w:right="0" w:firstLine="440"/>
        <w:jc w:val="both"/>
      </w:pPr>
      <w:bookmarkStart w:id="998" w:name="bookmark998"/>
      <w:r>
        <w:rPr>
          <w:color w:val="000000"/>
          <w:spacing w:val="0"/>
          <w:w w:val="100"/>
          <w:position w:val="0"/>
        </w:rPr>
        <w:t>3</w:t>
      </w:r>
      <w:bookmarkEnd w:id="998"/>
      <w:r>
        <w:rPr>
          <w:color w:val="000000"/>
          <w:spacing w:val="0"/>
          <w:w w:val="100"/>
          <w:position w:val="0"/>
        </w:rPr>
        <w:t>）</w:t>
        <w:tab/>
        <w:t>确定可行权权益工具最佳估计数的依据</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等待期内每个资产负债表日，本集团根据最新取得的可行权职工人数变动等后续信息作出最佳估计， </w:t>
      </w:r>
      <w:r>
        <w:rPr>
          <w:color w:val="000000"/>
          <w:spacing w:val="0"/>
          <w:w w:val="100"/>
          <w:position w:val="0"/>
        </w:rPr>
        <w:t>修正预计可行权的权益工具数量。在可行权日，最终预计可行权权益工具的数量应当与实际可行权数量一 致。</w:t>
      </w:r>
    </w:p>
    <w:p>
      <w:pPr>
        <w:pStyle w:val="Style44"/>
        <w:keepNext w:val="0"/>
        <w:keepLines w:val="0"/>
        <w:widowControl w:val="0"/>
        <w:shd w:val="clear" w:color="auto" w:fill="auto"/>
        <w:bidi w:val="0"/>
        <w:spacing w:before="0" w:after="0" w:line="467" w:lineRule="exact"/>
        <w:ind w:left="0" w:right="0" w:firstLine="440"/>
        <w:jc w:val="left"/>
      </w:pPr>
      <w:bookmarkStart w:id="999" w:name="bookmark999"/>
      <w:r>
        <w:rPr>
          <w:color w:val="000000"/>
          <w:spacing w:val="0"/>
          <w:w w:val="100"/>
          <w:position w:val="0"/>
        </w:rPr>
        <w:t>4</w:t>
      </w:r>
      <w:bookmarkEnd w:id="999"/>
      <w:r>
        <w:rPr>
          <w:color w:val="000000"/>
          <w:spacing w:val="0"/>
          <w:w w:val="100"/>
          <w:position w:val="0"/>
        </w:rPr>
        <w:t>）实施、修改、终止股份支付计划的相关会计处理</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以现金结算的股份支付，按照本集团承担的以股份或其他权益工具为基础计算确定的负债的公允价值 计量。授予后立即可行权的，在授予日以本集团承担负债的公允价值计入相关成本或费用，相应增加负债。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本集团对股份支付计划进行修改时，若修改增加了所授予权益工具的公允价值，按照权益工具公允价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条款和条件，则仍继续对取得的服务进行会计处理，视同该变更从未发生，除非本集团取消了部分或全部 已授予的权益工具。</w:t>
      </w:r>
    </w:p>
    <w:p>
      <w:pPr>
        <w:pStyle w:val="Style44"/>
        <w:keepNext w:val="0"/>
        <w:keepLines w:val="0"/>
        <w:widowControl w:val="0"/>
        <w:shd w:val="clear" w:color="auto" w:fill="auto"/>
        <w:bidi w:val="0"/>
        <w:spacing w:before="0" w:after="420" w:line="469" w:lineRule="exact"/>
        <w:ind w:left="0" w:right="0" w:firstLine="0"/>
        <w:jc w:val="both"/>
      </w:pPr>
      <w:r>
        <w:rPr>
          <w:color w:val="000000"/>
          <w:spacing w:val="0"/>
          <w:w w:val="100"/>
          <w:position w:val="0"/>
        </w:rPr>
        <w:t>在等待期内，如果取消了授予的权益工具（因未满足可行权条件的非市场条件而被取消的除外），本集团 对取消所授予的权益性工具作为加速行权处理，将剩余等待期内应确认的金额立即计入当期损益，同时确 认资本公积。职工或其他方能够选择满足非可行权条件但在等待期内未满足的，本集团将其作为授予权益 工具的取消处理。</w:t>
      </w:r>
    </w:p>
    <w:p>
      <w:pPr>
        <w:pStyle w:val="Style32"/>
        <w:keepNext/>
        <w:keepLines/>
        <w:widowControl w:val="0"/>
        <w:shd w:val="clear" w:color="auto" w:fill="auto"/>
        <w:tabs>
          <w:tab w:pos="425" w:val="left"/>
        </w:tabs>
        <w:bidi w:val="0"/>
        <w:spacing w:before="0" w:after="140" w:line="48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00"/>
      <w:bookmarkEnd w:id="1001"/>
      <w:bookmarkEnd w:id="1003"/>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25" w:val="left"/>
        </w:tabs>
        <w:bidi w:val="0"/>
        <w:spacing w:before="0" w:after="140" w:line="48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04"/>
      <w:bookmarkEnd w:id="1005"/>
      <w:bookmarkEnd w:id="100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1、收入确认的基本原则</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本集团在履行了合同中的履约义务，即在客户取得相关商品或服务的控制权时确认收入。</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本集团于合同开始日对合同进行评估，识别合同所包含的各单项履约义务，并确定各单项履约义务是 在某一时段内履行，还是在某一时点履行。</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单独售价的相对比例，将交易价格分摊至各单项履约义务，按照分摊至各单项履约义务的交易价格计量收 入。</w:t>
      </w:r>
    </w:p>
    <w:p>
      <w:pPr>
        <w:pStyle w:val="Style44"/>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满足下列条件之一的，属于在某一时段内履行履约义务，否则，属于在某一时点履行履约义务：</w:t>
      </w:r>
    </w:p>
    <w:p>
      <w:pPr>
        <w:pStyle w:val="Style44"/>
        <w:keepNext w:val="0"/>
        <w:keepLines w:val="0"/>
        <w:widowControl w:val="0"/>
        <w:shd w:val="clear" w:color="auto" w:fill="auto"/>
        <w:tabs>
          <w:tab w:pos="908" w:val="left"/>
        </w:tabs>
        <w:bidi w:val="0"/>
        <w:spacing w:before="0" w:after="0" w:line="474" w:lineRule="exact"/>
        <w:ind w:left="0" w:right="0" w:firstLine="420"/>
        <w:jc w:val="left"/>
      </w:pPr>
      <w:bookmarkStart w:id="1008" w:name="bookmark1008"/>
      <w:r>
        <w:rPr>
          <w:color w:val="000000"/>
          <w:spacing w:val="0"/>
          <w:w w:val="100"/>
          <w:position w:val="0"/>
        </w:rPr>
        <w:t>（</w:t>
      </w:r>
      <w:bookmarkEnd w:id="1008"/>
      <w:r>
        <w:rPr>
          <w:color w:val="000000"/>
          <w:spacing w:val="0"/>
          <w:w w:val="100"/>
          <w:position w:val="0"/>
        </w:rPr>
        <w:t>1）</w:t>
        <w:tab/>
        <w:t>客户在本集团履约的同时即取得并消耗本集团履约所带来的经济利益；</w:t>
      </w:r>
    </w:p>
    <w:p>
      <w:pPr>
        <w:pStyle w:val="Style44"/>
        <w:keepNext w:val="0"/>
        <w:keepLines w:val="0"/>
        <w:widowControl w:val="0"/>
        <w:shd w:val="clear" w:color="auto" w:fill="auto"/>
        <w:tabs>
          <w:tab w:pos="908" w:val="left"/>
        </w:tabs>
        <w:bidi w:val="0"/>
        <w:spacing w:before="0" w:after="0" w:line="474" w:lineRule="exact"/>
        <w:ind w:left="0" w:right="0" w:firstLine="420"/>
        <w:jc w:val="left"/>
      </w:pPr>
      <w:bookmarkStart w:id="1009" w:name="bookmark1009"/>
      <w:r>
        <w:rPr>
          <w:color w:val="000000"/>
          <w:spacing w:val="0"/>
          <w:w w:val="100"/>
          <w:position w:val="0"/>
        </w:rPr>
        <w:t>（</w:t>
      </w:r>
      <w:bookmarkEnd w:id="1009"/>
      <w:r>
        <w:rPr>
          <w:color w:val="000000"/>
          <w:spacing w:val="0"/>
          <w:w w:val="100"/>
          <w:position w:val="0"/>
        </w:rPr>
        <w:t>2）</w:t>
        <w:tab/>
        <w:t>客户能够控制本集团履约过程中在建的商品或服务；</w:t>
      </w:r>
    </w:p>
    <w:p>
      <w:pPr>
        <w:pStyle w:val="Style44"/>
        <w:keepNext w:val="0"/>
        <w:keepLines w:val="0"/>
        <w:widowControl w:val="0"/>
        <w:shd w:val="clear" w:color="auto" w:fill="auto"/>
        <w:tabs>
          <w:tab w:pos="1011" w:val="left"/>
        </w:tabs>
        <w:bidi w:val="0"/>
        <w:spacing w:before="0" w:after="0" w:line="474" w:lineRule="exact"/>
        <w:ind w:left="0" w:right="0" w:firstLine="420"/>
        <w:jc w:val="both"/>
      </w:pPr>
      <w:bookmarkStart w:id="1010" w:name="bookmark1010"/>
      <w:r>
        <w:rPr>
          <w:color w:val="000000"/>
          <w:spacing w:val="0"/>
          <w:w w:val="100"/>
          <w:position w:val="0"/>
        </w:rPr>
        <w:t>（</w:t>
      </w:r>
      <w:bookmarkEnd w:id="1010"/>
      <w:r>
        <w:rPr>
          <w:color w:val="000000"/>
          <w:spacing w:val="0"/>
          <w:w w:val="100"/>
          <w:position w:val="0"/>
        </w:rPr>
        <w:t>3）</w:t>
        <w:tab/>
        <w:t>本集团履约过程中所产出的商品或服务具有不可替代用途，且本集团在整个合同期间内有权就 累计至今已完成的履约部分收取款项。</w:t>
      </w:r>
    </w:p>
    <w:p>
      <w:pPr>
        <w:pStyle w:val="Style44"/>
        <w:keepNext w:val="0"/>
        <w:keepLines w:val="0"/>
        <w:widowControl w:val="0"/>
        <w:shd w:val="clear" w:color="auto" w:fill="auto"/>
        <w:bidi w:val="0"/>
        <w:spacing w:before="0" w:after="0" w:line="474" w:lineRule="exact"/>
        <w:ind w:left="0" w:right="0" w:firstLine="420"/>
        <w:jc w:val="both"/>
      </w:pPr>
      <w:r>
        <w:rPr>
          <w:color w:val="000000"/>
          <w:spacing w:val="0"/>
          <w:w w:val="100"/>
          <w:position w:val="0"/>
        </w:rPr>
        <w:t>对于在某一时段内履行的履约义务，本集团在该段时间内按照履约进度确认收入。履约进度不能合理 确定时，已经发生的成本预计能够得到补偿的，按照已经发生的成本金额确认收入，直到履约进度能够合 理确定为止。</w:t>
      </w:r>
    </w:p>
    <w:p>
      <w:pPr>
        <w:pStyle w:val="Style44"/>
        <w:keepNext w:val="0"/>
        <w:keepLines w:val="0"/>
        <w:widowControl w:val="0"/>
        <w:shd w:val="clear" w:color="auto" w:fill="auto"/>
        <w:bidi w:val="0"/>
        <w:spacing w:before="0" w:after="0" w:line="474" w:lineRule="exact"/>
        <w:ind w:left="0" w:right="0" w:firstLine="420"/>
        <w:jc w:val="left"/>
      </w:pPr>
      <w:r>
        <w:rPr>
          <w:color w:val="000000"/>
          <w:spacing w:val="0"/>
          <w:w w:val="100"/>
          <w:position w:val="0"/>
        </w:rPr>
        <w:t>对于在某一时点履行的履约义务，在客户取得相关商品或服务控制权时确认收入。</w:t>
      </w:r>
    </w:p>
    <w:p>
      <w:pPr>
        <w:pStyle w:val="Style44"/>
        <w:keepNext w:val="0"/>
        <w:keepLines w:val="0"/>
        <w:widowControl w:val="0"/>
        <w:shd w:val="clear" w:color="auto" w:fill="auto"/>
        <w:bidi w:val="0"/>
        <w:spacing w:before="0" w:after="0" w:line="474" w:lineRule="exact"/>
        <w:ind w:left="0" w:right="0" w:firstLine="420"/>
        <w:jc w:val="left"/>
      </w:pPr>
      <w:r>
        <w:rPr>
          <w:color w:val="000000"/>
          <w:spacing w:val="0"/>
          <w:w w:val="100"/>
          <w:position w:val="0"/>
        </w:rPr>
        <w:t>在判断客户是否已取得商品控制权时，本集团考虑下列迹象：</w:t>
      </w:r>
    </w:p>
    <w:p>
      <w:pPr>
        <w:pStyle w:val="Style44"/>
        <w:keepNext w:val="0"/>
        <w:keepLines w:val="0"/>
        <w:widowControl w:val="0"/>
        <w:shd w:val="clear" w:color="auto" w:fill="auto"/>
        <w:tabs>
          <w:tab w:pos="908" w:val="left"/>
        </w:tabs>
        <w:bidi w:val="0"/>
        <w:spacing w:before="0" w:after="0" w:line="474" w:lineRule="exact"/>
        <w:ind w:left="0" w:right="0" w:firstLine="420"/>
        <w:jc w:val="left"/>
      </w:pPr>
      <w:bookmarkStart w:id="1011" w:name="bookmark1011"/>
      <w:r>
        <w:rPr>
          <w:color w:val="000000"/>
          <w:spacing w:val="0"/>
          <w:w w:val="100"/>
          <w:position w:val="0"/>
        </w:rPr>
        <w:t>（</w:t>
      </w:r>
      <w:bookmarkEnd w:id="1011"/>
      <w:r>
        <w:rPr>
          <w:color w:val="000000"/>
          <w:spacing w:val="0"/>
          <w:w w:val="100"/>
          <w:position w:val="0"/>
        </w:rPr>
        <w:t>1）</w:t>
        <w:tab/>
        <w:t>本集团就该商品享有现时收款权利，即客户就该商品负有现时付款义务；</w:t>
      </w:r>
    </w:p>
    <w:p>
      <w:pPr>
        <w:pStyle w:val="Style44"/>
        <w:keepNext w:val="0"/>
        <w:keepLines w:val="0"/>
        <w:widowControl w:val="0"/>
        <w:shd w:val="clear" w:color="auto" w:fill="auto"/>
        <w:tabs>
          <w:tab w:pos="908" w:val="left"/>
        </w:tabs>
        <w:bidi w:val="0"/>
        <w:spacing w:before="0" w:after="0" w:line="474" w:lineRule="exact"/>
        <w:ind w:left="0" w:right="0" w:firstLine="420"/>
        <w:jc w:val="left"/>
      </w:pPr>
      <w:bookmarkStart w:id="1012" w:name="bookmark1012"/>
      <w:r>
        <w:rPr>
          <w:color w:val="000000"/>
          <w:spacing w:val="0"/>
          <w:w w:val="100"/>
          <w:position w:val="0"/>
        </w:rPr>
        <w:t>（</w:t>
      </w:r>
      <w:bookmarkEnd w:id="1012"/>
      <w:r>
        <w:rPr>
          <w:color w:val="000000"/>
          <w:spacing w:val="0"/>
          <w:w w:val="100"/>
          <w:position w:val="0"/>
        </w:rPr>
        <w:t>2）</w:t>
        <w:tab/>
        <w:t>本集团已将该商品的法定所有权转移给客户，即客户已拥有该商品的法定所有权；</w:t>
      </w:r>
    </w:p>
    <w:p>
      <w:pPr>
        <w:pStyle w:val="Style44"/>
        <w:keepNext w:val="0"/>
        <w:keepLines w:val="0"/>
        <w:widowControl w:val="0"/>
        <w:shd w:val="clear" w:color="auto" w:fill="auto"/>
        <w:tabs>
          <w:tab w:pos="908" w:val="left"/>
        </w:tabs>
        <w:bidi w:val="0"/>
        <w:spacing w:before="0" w:after="0" w:line="474" w:lineRule="exact"/>
        <w:ind w:left="0" w:right="0" w:firstLine="420"/>
        <w:jc w:val="left"/>
      </w:pPr>
      <w:bookmarkStart w:id="1013" w:name="bookmark1013"/>
      <w:r>
        <w:rPr>
          <w:color w:val="000000"/>
          <w:spacing w:val="0"/>
          <w:w w:val="100"/>
          <w:position w:val="0"/>
        </w:rPr>
        <w:t>（</w:t>
      </w:r>
      <w:bookmarkEnd w:id="1013"/>
      <w:r>
        <w:rPr>
          <w:color w:val="000000"/>
          <w:spacing w:val="0"/>
          <w:w w:val="100"/>
          <w:position w:val="0"/>
        </w:rPr>
        <w:t>3）</w:t>
        <w:tab/>
        <w:t>本集团已将该商品实物转移给客户，即客户已实物占有该商品；</w:t>
      </w:r>
    </w:p>
    <w:p>
      <w:pPr>
        <w:pStyle w:val="Style44"/>
        <w:keepNext w:val="0"/>
        <w:keepLines w:val="0"/>
        <w:widowControl w:val="0"/>
        <w:shd w:val="clear" w:color="auto" w:fill="auto"/>
        <w:tabs>
          <w:tab w:pos="1016" w:val="left"/>
        </w:tabs>
        <w:bidi w:val="0"/>
        <w:spacing w:before="0" w:after="0" w:line="474" w:lineRule="exact"/>
        <w:ind w:left="0" w:right="0" w:firstLine="420"/>
        <w:jc w:val="both"/>
      </w:pPr>
      <w:bookmarkStart w:id="1014" w:name="bookmark1014"/>
      <w:r>
        <w:rPr>
          <w:color w:val="000000"/>
          <w:spacing w:val="0"/>
          <w:w w:val="100"/>
          <w:position w:val="0"/>
        </w:rPr>
        <w:t>（</w:t>
      </w:r>
      <w:bookmarkEnd w:id="1014"/>
      <w:r>
        <w:rPr>
          <w:color w:val="000000"/>
          <w:spacing w:val="0"/>
          <w:w w:val="100"/>
          <w:position w:val="0"/>
        </w:rPr>
        <w:t>4）</w:t>
        <w:tab/>
        <w:t>本集团已将该商品所有权上的主要风险和报酬转移给客户，即客户已取得该商品所有权上的主 要风险和报酬；</w:t>
      </w:r>
    </w:p>
    <w:p>
      <w:pPr>
        <w:pStyle w:val="Style44"/>
        <w:keepNext w:val="0"/>
        <w:keepLines w:val="0"/>
        <w:widowControl w:val="0"/>
        <w:shd w:val="clear" w:color="auto" w:fill="auto"/>
        <w:tabs>
          <w:tab w:pos="908" w:val="left"/>
        </w:tabs>
        <w:bidi w:val="0"/>
        <w:spacing w:before="0" w:after="0" w:line="474" w:lineRule="exact"/>
        <w:ind w:left="0" w:right="0" w:firstLine="420"/>
        <w:jc w:val="both"/>
      </w:pPr>
      <w:bookmarkStart w:id="1015" w:name="bookmark1015"/>
      <w:r>
        <w:rPr>
          <w:color w:val="000000"/>
          <w:spacing w:val="0"/>
          <w:w w:val="100"/>
          <w:position w:val="0"/>
        </w:rPr>
        <w:t>（</w:t>
      </w:r>
      <w:bookmarkEnd w:id="1015"/>
      <w:r>
        <w:rPr>
          <w:color w:val="000000"/>
          <w:spacing w:val="0"/>
          <w:w w:val="100"/>
          <w:position w:val="0"/>
        </w:rPr>
        <w:t>5）</w:t>
        <w:tab/>
        <w:t>客户已接受该商品；</w:t>
      </w:r>
    </w:p>
    <w:p>
      <w:pPr>
        <w:pStyle w:val="Style44"/>
        <w:keepNext w:val="0"/>
        <w:keepLines w:val="0"/>
        <w:widowControl w:val="0"/>
        <w:shd w:val="clear" w:color="auto" w:fill="auto"/>
        <w:tabs>
          <w:tab w:pos="908" w:val="left"/>
        </w:tabs>
        <w:bidi w:val="0"/>
        <w:spacing w:before="0" w:after="0" w:line="474" w:lineRule="exact"/>
        <w:ind w:left="0" w:right="0" w:firstLine="420"/>
        <w:jc w:val="left"/>
      </w:pPr>
      <w:bookmarkStart w:id="1016" w:name="bookmark1016"/>
      <w:r>
        <w:rPr>
          <w:color w:val="000000"/>
          <w:spacing w:val="0"/>
          <w:w w:val="100"/>
          <w:position w:val="0"/>
        </w:rPr>
        <w:t>（</w:t>
      </w:r>
      <w:bookmarkEnd w:id="1016"/>
      <w:r>
        <w:rPr>
          <w:color w:val="000000"/>
          <w:spacing w:val="0"/>
          <w:w w:val="100"/>
          <w:position w:val="0"/>
        </w:rPr>
        <w:t>6）</w:t>
        <w:tab/>
        <w:t>其他表明客户已取得商品控制权的迹象。</w:t>
      </w:r>
    </w:p>
    <w:p>
      <w:pPr>
        <w:pStyle w:val="Style44"/>
        <w:keepNext w:val="0"/>
        <w:keepLines w:val="0"/>
        <w:widowControl w:val="0"/>
        <w:shd w:val="clear" w:color="auto" w:fill="auto"/>
        <w:bidi w:val="0"/>
        <w:spacing w:before="0" w:after="0" w:line="463" w:lineRule="exact"/>
        <w:ind w:left="0" w:right="0" w:firstLine="420"/>
        <w:jc w:val="left"/>
      </w:pPr>
      <w:r>
        <w:rPr>
          <w:color w:val="000000"/>
          <w:spacing w:val="0"/>
          <w:w w:val="100"/>
          <w:position w:val="0"/>
        </w:rPr>
        <w:t>本集团分摊至各单项履约义务的交易价格是本集团因向客户转让商品或服务而预期有权收取的对价 金额，不包括代第三方收取的款项以及预期将退还给客户的款项。</w:t>
      </w:r>
    </w:p>
    <w:p>
      <w:pPr>
        <w:pStyle w:val="Style44"/>
        <w:keepNext w:val="0"/>
        <w:keepLines w:val="0"/>
        <w:widowControl w:val="0"/>
        <w:shd w:val="clear" w:color="auto" w:fill="auto"/>
        <w:bidi w:val="0"/>
        <w:spacing w:before="0" w:after="0" w:line="463" w:lineRule="exact"/>
        <w:ind w:left="0" w:right="0" w:firstLine="420"/>
        <w:jc w:val="left"/>
      </w:pPr>
      <w:r>
        <w:rPr>
          <w:color w:val="000000"/>
          <w:spacing w:val="0"/>
          <w:w w:val="100"/>
          <w:position w:val="0"/>
        </w:rPr>
        <w:t>合同中存在可变对价的，本集团按照期望值或最可能发生金额确定可变对价的最佳估计数，但包含可 变对价的交易价格，不超过在相关不确定性消除时累计已确认收入极可能不会发生重大转回的金额。</w:t>
      </w:r>
    </w:p>
    <w:p>
      <w:pPr>
        <w:pStyle w:val="Style44"/>
        <w:keepNext w:val="0"/>
        <w:keepLines w:val="0"/>
        <w:widowControl w:val="0"/>
        <w:shd w:val="clear" w:color="auto" w:fill="auto"/>
        <w:bidi w:val="0"/>
        <w:spacing w:before="0" w:after="40" w:line="474" w:lineRule="exact"/>
        <w:ind w:left="0" w:right="0" w:firstLine="340"/>
        <w:jc w:val="both"/>
      </w:pPr>
      <w:r>
        <w:rPr>
          <w:color w:val="000000"/>
          <w:spacing w:val="0"/>
          <w:w w:val="100"/>
          <w:position w:val="0"/>
        </w:rPr>
        <w:t xml:space="preserve">合同中存在重大融资成分的，本集团按照假定客户在取得商品或服务控制权时即以现金支付的应付金 </w:t>
      </w:r>
      <w:r>
        <w:rPr>
          <w:color w:val="000000"/>
          <w:spacing w:val="0"/>
          <w:w w:val="100"/>
          <w:position w:val="0"/>
        </w:rPr>
        <w:t>额确定交易价格。该交易价格与合同对价之间的差额，在合同期间内采用实际利率法摊销。合同开始日， 本集团预计客户取得商品或服务控制权与客户支付价款间隔不超过一年的，不考虑合同中存在的重大融资 成分。</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2、收入确认的具体方法</w:t>
      </w:r>
    </w:p>
    <w:p>
      <w:pPr>
        <w:pStyle w:val="Style44"/>
        <w:keepNext w:val="0"/>
        <w:keepLines w:val="0"/>
        <w:widowControl w:val="0"/>
        <w:shd w:val="clear" w:color="auto" w:fill="auto"/>
        <w:tabs>
          <w:tab w:pos="898" w:val="left"/>
        </w:tabs>
        <w:bidi w:val="0"/>
        <w:spacing w:before="0" w:after="0" w:line="468" w:lineRule="exact"/>
        <w:ind w:left="0" w:right="0" w:firstLine="440"/>
        <w:jc w:val="both"/>
      </w:pPr>
      <w:bookmarkStart w:id="1017" w:name="bookmark1017"/>
      <w:r>
        <w:rPr>
          <w:color w:val="000000"/>
          <w:spacing w:val="0"/>
          <w:w w:val="100"/>
          <w:position w:val="0"/>
        </w:rPr>
        <w:t>（</w:t>
      </w:r>
      <w:bookmarkEnd w:id="1017"/>
      <w:r>
        <w:rPr>
          <w:color w:val="000000"/>
          <w:spacing w:val="0"/>
          <w:w w:val="100"/>
          <w:position w:val="0"/>
        </w:rPr>
        <w:t>1）</w:t>
        <w:tab/>
        <w:t>软硬件产品销售合同</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本集团销售的电子数据取证设备、视频分析及专项执法装备、数据采集分析软件及相关设备配件等产 品通常为本集团生产的标准化产品，无需复杂的安装调试，在产品交付并经客户验收合格后确认收入。如 产品分批次交货验收，本集团将分批次确认收入。</w:t>
      </w:r>
    </w:p>
    <w:p>
      <w:pPr>
        <w:pStyle w:val="Style44"/>
        <w:keepNext w:val="0"/>
        <w:keepLines w:val="0"/>
        <w:widowControl w:val="0"/>
        <w:shd w:val="clear" w:color="auto" w:fill="auto"/>
        <w:tabs>
          <w:tab w:pos="898" w:val="left"/>
        </w:tabs>
        <w:bidi w:val="0"/>
        <w:spacing w:before="0" w:after="0" w:line="468" w:lineRule="exact"/>
        <w:ind w:left="0" w:right="0" w:firstLine="440"/>
        <w:jc w:val="both"/>
      </w:pPr>
      <w:bookmarkStart w:id="1018" w:name="bookmark1018"/>
      <w:r>
        <w:rPr>
          <w:color w:val="000000"/>
          <w:spacing w:val="0"/>
          <w:w w:val="100"/>
          <w:position w:val="0"/>
        </w:rPr>
        <w:t>（</w:t>
      </w:r>
      <w:bookmarkEnd w:id="1018"/>
      <w:r>
        <w:rPr>
          <w:color w:val="000000"/>
          <w:spacing w:val="0"/>
          <w:w w:val="100"/>
          <w:position w:val="0"/>
        </w:rPr>
        <w:t>2）</w:t>
        <w:tab/>
        <w:t>系统集成类建设合同</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本集团的系统集成类建设项目主要包括大数据智能化平台等系统化建设项目及相关系统升级建设。该 类合同包括交付硬件、软件和系统集成等多项承诺，各项承诺间具有高度的关联性，本集团需要对其进行 整合，向客户最终交付的是组合产出，因此，本集团将此类合同识别为单项履约义务。此类合同在项目实 施完成并经客户验收合格取得客户签字的验收报告后确认收入。</w:t>
      </w:r>
    </w:p>
    <w:p>
      <w:pPr>
        <w:pStyle w:val="Style44"/>
        <w:keepNext w:val="0"/>
        <w:keepLines w:val="0"/>
        <w:widowControl w:val="0"/>
        <w:shd w:val="clear" w:color="auto" w:fill="auto"/>
        <w:tabs>
          <w:tab w:pos="898" w:val="left"/>
        </w:tabs>
        <w:bidi w:val="0"/>
        <w:spacing w:before="0" w:after="0" w:line="468" w:lineRule="exact"/>
        <w:ind w:left="0" w:right="0" w:firstLine="440"/>
        <w:jc w:val="both"/>
      </w:pPr>
      <w:bookmarkStart w:id="1019" w:name="bookmark1019"/>
      <w:r>
        <w:rPr>
          <w:color w:val="000000"/>
          <w:spacing w:val="0"/>
          <w:w w:val="100"/>
          <w:position w:val="0"/>
        </w:rPr>
        <w:t>（</w:t>
      </w:r>
      <w:bookmarkEnd w:id="1019"/>
      <w:r>
        <w:rPr>
          <w:color w:val="000000"/>
          <w:spacing w:val="0"/>
          <w:w w:val="100"/>
          <w:position w:val="0"/>
        </w:rPr>
        <w:t>3）</w:t>
        <w:tab/>
        <w:t>技术服务合同</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本集团技术服务合同主要为向客户提供的技术支持、软件升级、技术咨询以及技术培训等。对于此类 合同，本集团综合考虑服务性质、服务期间、服务的交付方式等因素，判断其为某一时段内履行履约义务 还是某一时点履行履约义务。如为某一时段内履行的履约义务，本集团将按履约进度确认收入，如为某一 时点履行的履约义务，本集团将在服务成果交付并经客户验收通过后确认收入。合同约定有明确的产出指 标的，本集团将按照产出法确定提供服务的履约进度；对于产出指标无法明确计量的合同，采用投入法确 定提供服务的履约进度。</w:t>
      </w:r>
    </w:p>
    <w:p>
      <w:pPr>
        <w:pStyle w:val="Style4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对于本集团部分软硬件产品销售或系统集成类建设合同中还约定提供后期技术服务的，如：本集团签 订的部分系统集成类建设合同约定提供后期的运维服务，本集团根据合同的具体约定，将其进行分拆为软 硬件产品销售或系统集成类建设和技术服务等多项履约业务，并分别按上述不同业务类型的收入确认方法 确认收入。</w:t>
      </w:r>
    </w:p>
    <w:p>
      <w:pPr>
        <w:pStyle w:val="Style32"/>
        <w:keepNext/>
        <w:keepLines/>
        <w:widowControl w:val="0"/>
        <w:shd w:val="clear" w:color="auto" w:fill="auto"/>
        <w:bidi w:val="0"/>
        <w:spacing w:before="0" w:after="0" w:line="48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4</w:t>
      </w:r>
      <w:bookmarkEnd w:id="102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20"/>
      <w:bookmarkEnd w:id="1021"/>
      <w:bookmarkEnd w:id="1023"/>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政府补助在满足政府补助所附条件并能够收到时确认。</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对于货币性资产的政府补助，按照收到或应收的金额计量。对于非货币性资产的政府补助，按照公允 价值计量；公允价值不能够可靠取得的，按照名义金额1元计量。</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与资产相关的政府补助，冲减相关资产的账面价值，或者确认为递延收益并在能够满足政府补助所附 条件后，在相关资产使用期限内按照合理、系统的方法分期计入损益。与收益相关的政府补助，用于补偿 已发生的相关成本费用或损失的，计入当期损益或冲减相关成本；用于补偿以后期间的相关成本费用或损 失的，则计入递延收益，在能够满足政府补助所附条件后，于相关成本费用或损失确认期间计入当期损益 或冲减相关成本。按照名义金额计量的政府补助，直接计入当期损益。本集团对相同或类似的政府补助业 务，采用一致的方法处理。</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44"/>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32"/>
        <w:keepNext/>
        <w:keepLines/>
        <w:widowControl w:val="0"/>
        <w:shd w:val="clear" w:color="auto" w:fill="auto"/>
        <w:bidi w:val="0"/>
        <w:spacing w:before="0" w:after="0" w:line="48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4"/>
      <w:bookmarkEnd w:id="1025"/>
      <w:bookmarkEnd w:id="1027"/>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本集团所得税包括当期所得税和递延所得税。当期所得税和递延所得税作为所得税费用或收益计入当 期损益，但下述情况除外：</w:t>
      </w:r>
    </w:p>
    <w:p>
      <w:pPr>
        <w:pStyle w:val="Style44"/>
        <w:keepNext w:val="0"/>
        <w:keepLines w:val="0"/>
        <w:widowControl w:val="0"/>
        <w:shd w:val="clear" w:color="auto" w:fill="auto"/>
        <w:tabs>
          <w:tab w:pos="911" w:val="left"/>
        </w:tabs>
        <w:bidi w:val="0"/>
        <w:spacing w:before="0" w:after="0" w:line="468" w:lineRule="exact"/>
        <w:ind w:left="0" w:right="0" w:firstLine="440"/>
        <w:jc w:val="both"/>
      </w:pPr>
      <w:bookmarkStart w:id="1028" w:name="bookmark1028"/>
      <w:r>
        <w:rPr>
          <w:color w:val="000000"/>
          <w:spacing w:val="0"/>
          <w:w w:val="100"/>
          <w:position w:val="0"/>
        </w:rPr>
        <w:t>（</w:t>
      </w:r>
      <w:bookmarkEnd w:id="1028"/>
      <w:r>
        <w:rPr>
          <w:color w:val="000000"/>
          <w:spacing w:val="0"/>
          <w:w w:val="100"/>
          <w:position w:val="0"/>
        </w:rPr>
        <w:t>1）</w:t>
        <w:tab/>
        <w:t>由于企业合并产生的所得税调整商誉；</w:t>
      </w:r>
    </w:p>
    <w:p>
      <w:pPr>
        <w:pStyle w:val="Style44"/>
        <w:keepNext w:val="0"/>
        <w:keepLines w:val="0"/>
        <w:widowControl w:val="0"/>
        <w:shd w:val="clear" w:color="auto" w:fill="auto"/>
        <w:tabs>
          <w:tab w:pos="911" w:val="left"/>
        </w:tabs>
        <w:bidi w:val="0"/>
        <w:spacing w:before="0" w:after="0" w:line="468" w:lineRule="exact"/>
        <w:ind w:left="0" w:right="0" w:firstLine="440"/>
        <w:jc w:val="both"/>
      </w:pPr>
      <w:bookmarkStart w:id="1029" w:name="bookmark1029"/>
      <w:r>
        <w:rPr>
          <w:color w:val="000000"/>
          <w:spacing w:val="0"/>
          <w:w w:val="100"/>
          <w:position w:val="0"/>
        </w:rPr>
        <w:t>（</w:t>
      </w:r>
      <w:bookmarkEnd w:id="1029"/>
      <w:r>
        <w:rPr>
          <w:color w:val="000000"/>
          <w:spacing w:val="0"/>
          <w:w w:val="100"/>
          <w:position w:val="0"/>
        </w:rPr>
        <w:t>2）</w:t>
        <w:tab/>
        <w:t>与直接计入股东权益的交易或者事项相关的所得税计入股东权益。</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本集团于资产负债表日，对资产或负债的账面价值与其计税基础之间的暂时性差异，按照资产负债表 债务法确认递延所得税资产或递延所得税负债。</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本集团对所有应纳税暂时性差异均确认为递延所得税负债，除非应纳税暂时性差异是在以下交易中产 生的：</w:t>
      </w:r>
    </w:p>
    <w:p>
      <w:pPr>
        <w:pStyle w:val="Style44"/>
        <w:keepNext w:val="0"/>
        <w:keepLines w:val="0"/>
        <w:widowControl w:val="0"/>
        <w:shd w:val="clear" w:color="auto" w:fill="auto"/>
        <w:tabs>
          <w:tab w:pos="992" w:val="left"/>
        </w:tabs>
        <w:bidi w:val="0"/>
        <w:spacing w:before="0" w:after="0" w:line="468" w:lineRule="exact"/>
        <w:ind w:left="0" w:right="0" w:firstLine="440"/>
        <w:jc w:val="both"/>
      </w:pPr>
      <w:bookmarkStart w:id="1030" w:name="bookmark1030"/>
      <w:r>
        <w:rPr>
          <w:color w:val="000000"/>
          <w:spacing w:val="0"/>
          <w:w w:val="100"/>
          <w:position w:val="0"/>
        </w:rPr>
        <w:t>（</w:t>
      </w:r>
      <w:bookmarkEnd w:id="1030"/>
      <w:r>
        <w:rPr>
          <w:color w:val="000000"/>
          <w:spacing w:val="0"/>
          <w:w w:val="100"/>
          <w:position w:val="0"/>
        </w:rPr>
        <w:t>1）</w:t>
        <w:tab/>
        <w:t>商誉的初始确认，或者同时具有以下特征的交易中产生的资产或负债的初始确认：该项交易不 是企业合并，并且交易发生时既不影响会计利润也不影响应纳税所得额；</w:t>
      </w:r>
    </w:p>
    <w:p>
      <w:pPr>
        <w:pStyle w:val="Style44"/>
        <w:keepNext w:val="0"/>
        <w:keepLines w:val="0"/>
        <w:widowControl w:val="0"/>
        <w:shd w:val="clear" w:color="auto" w:fill="auto"/>
        <w:tabs>
          <w:tab w:pos="997" w:val="left"/>
        </w:tabs>
        <w:bidi w:val="0"/>
        <w:spacing w:before="0" w:after="220" w:line="468" w:lineRule="exact"/>
        <w:ind w:left="0" w:right="0" w:firstLine="440"/>
        <w:jc w:val="both"/>
      </w:pPr>
      <w:bookmarkStart w:id="1031" w:name="bookmark1031"/>
      <w:r>
        <w:rPr>
          <w:color w:val="000000"/>
          <w:spacing w:val="0"/>
          <w:w w:val="100"/>
          <w:position w:val="0"/>
        </w:rPr>
        <w:t>（</w:t>
      </w:r>
      <w:bookmarkEnd w:id="1031"/>
      <w:r>
        <w:rPr>
          <w:color w:val="000000"/>
          <w:spacing w:val="0"/>
          <w:w w:val="100"/>
          <w:position w:val="0"/>
        </w:rPr>
        <w:t>2）</w:t>
        <w:tab/>
        <w:t>对于子公司、联营公司及合营企业投资相关的应纳税暂时性差异，该暂时性差异转回的时间能 够控制并且该暂时性差异在可预见的未来很可能不会转回。</w:t>
      </w:r>
    </w:p>
    <w:p>
      <w:pPr>
        <w:pStyle w:val="Style44"/>
        <w:keepNext w:val="0"/>
        <w:keepLines w:val="0"/>
        <w:widowControl w:val="0"/>
        <w:shd w:val="clear" w:color="auto" w:fill="auto"/>
        <w:bidi w:val="0"/>
        <w:spacing w:before="0" w:after="0" w:line="477" w:lineRule="exact"/>
        <w:ind w:left="0" w:right="0" w:firstLine="440"/>
        <w:jc w:val="both"/>
      </w:pPr>
      <w:r>
        <w:rPr>
          <w:color w:val="000000"/>
          <w:spacing w:val="0"/>
          <w:w w:val="100"/>
          <w:position w:val="0"/>
        </w:rPr>
        <w:t>本集团以很可能取得用来抵扣可抵扣暂时性差异的应纳税所得额为限，确认由可抵扣暂时性差异产生 的递延所得税资产，除非可抵扣暂时性差异是在以下交易中产生的：</w:t>
      </w:r>
    </w:p>
    <w:p>
      <w:pPr>
        <w:pStyle w:val="Style44"/>
        <w:keepNext w:val="0"/>
        <w:keepLines w:val="0"/>
        <w:widowControl w:val="0"/>
        <w:shd w:val="clear" w:color="auto" w:fill="auto"/>
        <w:tabs>
          <w:tab w:pos="928" w:val="left"/>
        </w:tabs>
        <w:bidi w:val="0"/>
        <w:spacing w:before="0" w:after="0" w:line="477" w:lineRule="exact"/>
        <w:ind w:left="0" w:right="0" w:firstLine="440"/>
        <w:jc w:val="both"/>
      </w:pPr>
      <w:bookmarkStart w:id="1032" w:name="bookmark1032"/>
      <w:r>
        <w:rPr>
          <w:color w:val="000000"/>
          <w:spacing w:val="0"/>
          <w:w w:val="100"/>
          <w:position w:val="0"/>
        </w:rPr>
        <w:t>（</w:t>
      </w:r>
      <w:bookmarkEnd w:id="1032"/>
      <w:r>
        <w:rPr>
          <w:color w:val="000000"/>
          <w:spacing w:val="0"/>
          <w:w w:val="100"/>
          <w:position w:val="0"/>
        </w:rPr>
        <w:t>1）</w:t>
        <w:tab/>
        <w:t>该项交易不是企业合并，并且交易发生时既不影响会计利润也不影响应纳税所得额；</w:t>
      </w:r>
    </w:p>
    <w:p>
      <w:pPr>
        <w:pStyle w:val="Style44"/>
        <w:keepNext w:val="0"/>
        <w:keepLines w:val="0"/>
        <w:widowControl w:val="0"/>
        <w:shd w:val="clear" w:color="auto" w:fill="auto"/>
        <w:tabs>
          <w:tab w:pos="1021" w:val="left"/>
        </w:tabs>
        <w:bidi w:val="0"/>
        <w:spacing w:before="0" w:after="0" w:line="477" w:lineRule="exact"/>
        <w:ind w:left="0" w:right="0" w:firstLine="440"/>
        <w:jc w:val="both"/>
      </w:pPr>
      <w:bookmarkStart w:id="1033" w:name="bookmark1033"/>
      <w:r>
        <w:rPr>
          <w:color w:val="000000"/>
          <w:spacing w:val="0"/>
          <w:w w:val="100"/>
          <w:position w:val="0"/>
        </w:rPr>
        <w:t>（</w:t>
      </w:r>
      <w:bookmarkEnd w:id="1033"/>
      <w:r>
        <w:rPr>
          <w:color w:val="000000"/>
          <w:spacing w:val="0"/>
          <w:w w:val="100"/>
          <w:position w:val="0"/>
        </w:rPr>
        <w:t>2）</w:t>
        <w:tab/>
        <w:t>对于子公司、联营公司及合营企业投资相关的可抵扣暂时性差异，未能同时满足：暂时性差异 在可预见的未来很可能转回，且未来很可能获得用来抵扣可抵扣暂时性差异的应纳税所得额。</w:t>
      </w:r>
    </w:p>
    <w:p>
      <w:pPr>
        <w:pStyle w:val="Style44"/>
        <w:keepNext w:val="0"/>
        <w:keepLines w:val="0"/>
        <w:widowControl w:val="0"/>
        <w:shd w:val="clear" w:color="auto" w:fill="auto"/>
        <w:bidi w:val="0"/>
        <w:spacing w:before="0" w:after="420" w:line="477" w:lineRule="exact"/>
        <w:ind w:left="0" w:right="0" w:firstLine="440"/>
        <w:jc w:val="both"/>
      </w:pPr>
      <w:r>
        <w:rPr>
          <w:color w:val="000000"/>
          <w:spacing w:val="0"/>
          <w:w w:val="100"/>
          <w:position w:val="0"/>
        </w:rPr>
        <w:t>本集团于资产负债表日，对于递延所得税资产和递延所得税负债，根据税法规定，按照预期收回该资 产或清偿该负债期间的适用税率计量，并反映资产负债表日预期收回资产或清偿负债方式的所得税影响。 本集团于资产负债表日，对递延所得税资产的账面价值进行复核。如果未来期间很可能无法获得足够的应 纳税所得额用以抵扣递延所得税资产的利益，则减记递延所得税资产的账面价值。在很可能获得足够的应 纳税所得额时，减记的金额予以转回。</w:t>
      </w:r>
    </w:p>
    <w:p>
      <w:pPr>
        <w:pStyle w:val="Style32"/>
        <w:keepNext/>
        <w:keepLines/>
        <w:widowControl w:val="0"/>
        <w:shd w:val="clear" w:color="auto" w:fill="auto"/>
        <w:bidi w:val="0"/>
        <w:spacing w:before="0" w:after="0" w:line="494"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34"/>
      <w:bookmarkEnd w:id="1035"/>
      <w:bookmarkEnd w:id="1037"/>
    </w:p>
    <w:p>
      <w:pPr>
        <w:pStyle w:val="Style75"/>
        <w:keepNext/>
        <w:keepLines/>
        <w:widowControl w:val="0"/>
        <w:shd w:val="clear" w:color="auto" w:fill="auto"/>
        <w:tabs>
          <w:tab w:pos="488" w:val="left"/>
        </w:tabs>
        <w:bidi w:val="0"/>
        <w:spacing w:before="0" w:after="200" w:line="474"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38"/>
      <w:bookmarkEnd w:id="1039"/>
      <w:bookmarkEnd w:id="1041"/>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本集团将实质上转移了与资产所有权有关的全部风险和报酬的租赁确认为融资租赁，除融资租赁之外 的其他租赁确认为经营租赁。</w:t>
      </w:r>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本集团作为出租人</w:t>
      </w:r>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经营租赁中的租金，本集团在租赁期内各个期间按照直线法确认当期损益。发生的初始直接费用，计 入当期损益。</w:t>
      </w:r>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本集团作为承租人</w:t>
      </w:r>
    </w:p>
    <w:p>
      <w:pPr>
        <w:pStyle w:val="Style44"/>
        <w:keepNext w:val="0"/>
        <w:keepLines w:val="0"/>
        <w:widowControl w:val="0"/>
        <w:shd w:val="clear" w:color="auto" w:fill="auto"/>
        <w:bidi w:val="0"/>
        <w:spacing w:before="0" w:after="200" w:line="474" w:lineRule="exact"/>
        <w:ind w:left="0" w:right="0" w:firstLine="440"/>
        <w:jc w:val="both"/>
      </w:pPr>
      <w:r>
        <w:rPr>
          <w:color w:val="000000"/>
          <w:spacing w:val="0"/>
          <w:w w:val="100"/>
          <w:position w:val="0"/>
        </w:rPr>
        <w:t>经营租赁中的租金，本集团在租赁期内各个期间按照直线法计入相关资产成本或当期损益；发生的初 始直接费用，计入当期损益。</w:t>
      </w:r>
    </w:p>
    <w:p>
      <w:pPr>
        <w:pStyle w:val="Style75"/>
        <w:keepNext/>
        <w:keepLines/>
        <w:widowControl w:val="0"/>
        <w:shd w:val="clear" w:color="auto" w:fill="auto"/>
        <w:tabs>
          <w:tab w:pos="488" w:val="left"/>
        </w:tabs>
        <w:bidi w:val="0"/>
        <w:spacing w:before="0" w:after="200" w:line="474" w:lineRule="exact"/>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42"/>
      <w:bookmarkEnd w:id="1043"/>
      <w:bookmarkEnd w:id="1045"/>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本集团作为出租人</w:t>
      </w:r>
    </w:p>
    <w:p>
      <w:pPr>
        <w:pStyle w:val="Style4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融资租赁中，在租赁期开始日本集团按最低租赁收款额与初始直接费用之和作为应收融资租赁款的入 账价值，同时记录未担保余值；将最低租赁收款额、初始直接费用及未担保余值之和与其现值之和的差额 确认为未实现融资收益。未实现融资收益在租赁期内各个期间采用实际利率法计算确认当期的融资收入。</w:t>
      </w:r>
    </w:p>
    <w:p>
      <w:pPr>
        <w:pStyle w:val="Style32"/>
        <w:keepNext/>
        <w:keepLines/>
        <w:widowControl w:val="0"/>
        <w:shd w:val="clear" w:color="auto" w:fill="auto"/>
        <w:bidi w:val="0"/>
        <w:spacing w:before="0" w:after="220" w:line="469" w:lineRule="exact"/>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46"/>
      <w:bookmarkEnd w:id="1047"/>
      <w:bookmarkEnd w:id="1049"/>
    </w:p>
    <w:p>
      <w:pPr>
        <w:pStyle w:val="Style32"/>
        <w:keepNext/>
        <w:keepLines/>
        <w:widowControl w:val="0"/>
        <w:shd w:val="clear" w:color="auto" w:fill="auto"/>
        <w:tabs>
          <w:tab w:pos="811" w:val="left"/>
        </w:tabs>
        <w:bidi w:val="0"/>
        <w:spacing w:before="0" w:after="100" w:line="469" w:lineRule="exact"/>
        <w:ind w:left="0" w:right="0" w:firstLine="340"/>
        <w:jc w:val="both"/>
      </w:pPr>
      <w:bookmarkStart w:id="1046" w:name="bookmark1046"/>
      <w:bookmarkStart w:id="1047" w:name="bookmark1047"/>
      <w:bookmarkStart w:id="1050" w:name="bookmark1050"/>
      <w:r>
        <w:rPr>
          <w:color w:val="000000"/>
          <w:spacing w:val="0"/>
          <w:w w:val="100"/>
          <w:position w:val="0"/>
        </w:rPr>
        <w:t>（</w:t>
      </w:r>
      <w:bookmarkEnd w:id="1050"/>
      <w:r>
        <w:rPr>
          <w:color w:val="000000"/>
          <w:spacing w:val="0"/>
          <w:w w:val="100"/>
          <w:position w:val="0"/>
        </w:rPr>
        <w:t>1）</w:t>
        <w:tab/>
        <w:t>回购股份</w:t>
      </w:r>
      <w:bookmarkEnd w:id="1046"/>
      <w:bookmarkEnd w:id="1047"/>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本集团回购的股份在注销或者转让之前，作为库存股管理，回购股份的全部支出转作库存股成本。股 份回购中支付的对价和交易费用减少所有者权益，回购、转让或注销本公司股份时，不确认利得或损失。</w:t>
      </w:r>
    </w:p>
    <w:p>
      <w:pPr>
        <w:pStyle w:val="Style44"/>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44"/>
        <w:keepNext w:val="0"/>
        <w:keepLines w:val="0"/>
        <w:widowControl w:val="0"/>
        <w:shd w:val="clear" w:color="auto" w:fill="auto"/>
        <w:tabs>
          <w:tab w:pos="811" w:val="left"/>
        </w:tabs>
        <w:bidi w:val="0"/>
        <w:spacing w:before="0" w:after="100" w:line="469" w:lineRule="exact"/>
        <w:ind w:left="0" w:right="0" w:firstLine="340"/>
        <w:jc w:val="both"/>
      </w:pPr>
      <w:bookmarkStart w:id="1051" w:name="bookmark1051"/>
      <w:r>
        <w:rPr>
          <w:b/>
          <w:bCs/>
          <w:color w:val="000000"/>
          <w:spacing w:val="0"/>
          <w:w w:val="100"/>
          <w:position w:val="0"/>
        </w:rPr>
        <w:t>（</w:t>
      </w:r>
      <w:bookmarkEnd w:id="1051"/>
      <w:r>
        <w:rPr>
          <w:b/>
          <w:bCs/>
          <w:color w:val="000000"/>
          <w:spacing w:val="0"/>
          <w:w w:val="100"/>
          <w:position w:val="0"/>
        </w:rPr>
        <w:t>2）</w:t>
        <w:tab/>
        <w:t>限制性股票</w:t>
      </w:r>
    </w:p>
    <w:p>
      <w:pPr>
        <w:pStyle w:val="Style44"/>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股权激励计划中，本集团授予被激励对象限制性股票，被激励对象先认购股票，如果后续未达到股权 激励计划规定的解锁条件，则本集团按照事先约定的价格回购股票。向职工发行的限制性股票按有关规定 履行了注册登记等增资手续的，在授予日，本集团根据收到的职工缴纳的认股款确认股本和资本公积（股 本溢价）；同时就回购义务确认库存股和其他应付款。</w:t>
      </w:r>
    </w:p>
    <w:p>
      <w:pPr>
        <w:pStyle w:val="Style44"/>
        <w:keepNext w:val="0"/>
        <w:keepLines w:val="0"/>
        <w:widowControl w:val="0"/>
        <w:shd w:val="clear" w:color="auto" w:fill="auto"/>
        <w:tabs>
          <w:tab w:pos="811" w:val="left"/>
        </w:tabs>
        <w:bidi w:val="0"/>
        <w:spacing w:before="0" w:after="100" w:line="469" w:lineRule="exact"/>
        <w:ind w:left="0" w:right="0" w:firstLine="340"/>
        <w:jc w:val="both"/>
      </w:pPr>
      <w:bookmarkStart w:id="1052" w:name="bookmark1052"/>
      <w:r>
        <w:rPr>
          <w:b/>
          <w:bCs/>
          <w:color w:val="000000"/>
          <w:spacing w:val="0"/>
          <w:w w:val="100"/>
          <w:position w:val="0"/>
        </w:rPr>
        <w:t>（</w:t>
      </w:r>
      <w:bookmarkEnd w:id="1052"/>
      <w:r>
        <w:rPr>
          <w:b/>
          <w:bCs/>
          <w:color w:val="000000"/>
          <w:spacing w:val="0"/>
          <w:w w:val="100"/>
          <w:position w:val="0"/>
        </w:rPr>
        <w:t>3）</w:t>
        <w:tab/>
        <w:t>公允价值计量</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本集团以公允价值计量相关资产或负债，假定出售资产或者转移负债的有序交易在相关资产或负债的 主要市场进行；不存在主要市场的，本集团假定该交易在相关资产或负债的最有利市场进行。主要市场（或 最有利市场）是本集团在计量日能够进入的交易市场。本集团采用市场参与者在对该资产或负债定价时为 实现其经济利益最大化所使用的假设。</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存在活跃市场的金融资产或金融负债，本集团采用活跃市场中的报价确定其公允价值。金融工具不存 在活跃市场的，本集团采用估值技术确定其公允价值。</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w:t>
        <w:br w:type="page"/>
      </w:r>
      <w:r>
        <w:rPr>
          <w:color w:val="000000"/>
          <w:spacing w:val="0"/>
          <w:w w:val="100"/>
          <w:position w:val="0"/>
        </w:rPr>
        <w:t>输入值；第三层次输入值，是相关资产或负债的不可观察输入值。</w:t>
      </w:r>
    </w:p>
    <w:p>
      <w:pPr>
        <w:pStyle w:val="Style4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每个资产负债表日，本集团对在财务报表中确认的持续以公允价值计量的资产和负债进行重新评估, 以确定是否在公允价值计量层次之间发生转换。</w:t>
      </w:r>
    </w:p>
    <w:p>
      <w:pPr>
        <w:pStyle w:val="Style32"/>
        <w:keepNext/>
        <w:keepLines/>
        <w:widowControl w:val="0"/>
        <w:shd w:val="clear" w:color="auto" w:fill="auto"/>
        <w:bidi w:val="0"/>
        <w:spacing w:before="0" w:after="0" w:line="48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4</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53"/>
      <w:bookmarkEnd w:id="1054"/>
      <w:bookmarkEnd w:id="1056"/>
    </w:p>
    <w:p>
      <w:pPr>
        <w:pStyle w:val="Style75"/>
        <w:keepNext/>
        <w:keepLines/>
        <w:widowControl w:val="0"/>
        <w:shd w:val="clear" w:color="auto" w:fill="auto"/>
        <w:bidi w:val="0"/>
        <w:spacing w:before="0" w:after="340" w:line="466" w:lineRule="exact"/>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7"/>
      <w:bookmarkEnd w:id="1058"/>
      <w:bookmarkEnd w:id="1060"/>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02"/>
        <w:gridCol w:w="1277"/>
        <w:gridCol w:w="39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财政部于2017年7月5日发布了《关于修订印发〈企业 会计准则第14号-收入〉的通知》（财会[2017]22号）， 要求在境内外同时上市的企业以及在境外上市并采用国 际财务报告准则或企业会计准则编制财务报表的企业， 自2018年1月1日起施行；其他境内上市企业，自2020 年1月1日起施行；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 第十七次会议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根据新旧准则衔接规定，公司自2020年1月1日 起执行新收入准则，首次执行新收入准则的累积 影响仅调整首次执行新收入准则当年年初留存收 益及财务报表其他相关项目金额，不涉及对公司 以前年度的追溯调整。本次会计政策变更不会对 公司财务状况、经营成果和现金流量产生重大影 响。</w:t>
            </w:r>
          </w:p>
        </w:tc>
      </w:tr>
      <w:tr>
        <w:trPr>
          <w:trHeight w:val="57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财政部于2019年12月10日发布了《企业会计准则解释 第13号》（财会〔2019〕 21号）（以下简称”解释第13 号</w:t>
            </w:r>
            <w:r>
              <w:rPr>
                <w:color w:val="000000"/>
                <w:spacing w:val="0"/>
                <w:w w:val="100"/>
                <w:position w:val="0"/>
              </w:rPr>
              <w:t>”），</w:t>
            </w:r>
            <w:r>
              <w:rPr>
                <w:color w:val="000000"/>
                <w:spacing w:val="0"/>
                <w:w w:val="100"/>
                <w:position w:val="0"/>
              </w:rPr>
              <w:t>自2020年1月1日起施行，不要求追溯调整。解 释第13号完善了以下内容：①关联方的认定：解释第 13号明确了以下情形构成关联方：企业与其所属企业集 团的其他成员单位（包括母公司和子公司）的合营企业 或联营企业；企业的合营企业与企业的其他合营企业或 联营企业。此外，解释第13号也明确了仅仅同受一方重 大影响的两方或两方以上的企业不构成关联方，并补充 说明了联营企业包括联营企业及其子公司，合营企业包 括合营企业及其子公司。②业务的定义：解释第13号完 善了业务构成的三个要素，细化了构成业务的判断条件， 同时引入”集中度测试”选择，以在一定程度上简化非同 一控制下取得组合是否构成业务的判断等问题。本公司 自2020年1月1日起执行解释第13号，采用未来适用 法对该会计政策变更进行会计处理，比较财务报表不做 调整，执行解释第13号未对本公司财务状况和经营成果 产生重大影响。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本公司自2020年1月1日起执行解释第13号， 采用未来适用法对该会计政策变更进行会计处 理，比较财务报表不做调整，执行解释第13号未 对本公司财务状况和经营成果产生重大影响。</w:t>
            </w:r>
          </w:p>
        </w:tc>
      </w:tr>
    </w:tbl>
    <w:p>
      <w:pPr>
        <w:pStyle w:val="Style44"/>
        <w:keepNext w:val="0"/>
        <w:keepLines w:val="0"/>
        <w:widowControl w:val="0"/>
        <w:shd w:val="clear" w:color="auto" w:fill="auto"/>
        <w:bidi w:val="0"/>
        <w:spacing w:before="0" w:after="340" w:line="475" w:lineRule="exact"/>
        <w:ind w:left="0" w:right="0" w:firstLine="0"/>
        <w:jc w:val="left"/>
      </w:pPr>
      <w:r>
        <w:rPr>
          <w:color w:val="000000"/>
          <w:spacing w:val="0"/>
          <w:w w:val="100"/>
          <w:position w:val="0"/>
        </w:rPr>
        <w:t>本集团将在</w:t>
      </w:r>
      <w:r>
        <w:rPr>
          <w:rFonts w:ascii="Times New Roman" w:eastAsia="Times New Roman" w:hAnsi="Times New Roman" w:cs="Times New Roman"/>
          <w:color w:val="000000"/>
          <w:spacing w:val="0"/>
          <w:w w:val="100"/>
          <w:position w:val="0"/>
        </w:rPr>
        <w:t>2020</w:t>
      </w:r>
      <w:r>
        <w:rPr>
          <w:color w:val="000000"/>
          <w:spacing w:val="0"/>
          <w:w w:val="100"/>
          <w:position w:val="0"/>
        </w:rPr>
        <w:t>年定期报告中披露与原规定相比，执行新收入准则对财务报告相关项目的影响情况，财务 报表的项目列报变化。详见本附注五、</w:t>
      </w:r>
      <w:r>
        <w:rPr>
          <w:rFonts w:ascii="Times New Roman" w:eastAsia="Times New Roman" w:hAnsi="Times New Roman" w:cs="Times New Roman"/>
          <w:color w:val="000000"/>
          <w:spacing w:val="0"/>
          <w:w w:val="100"/>
          <w:position w:val="0"/>
        </w:rPr>
        <w:t>44</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 当年年初财务报表相关项目情况。</w:t>
      </w:r>
    </w:p>
    <w:p>
      <w:pPr>
        <w:pStyle w:val="Style75"/>
        <w:keepNext/>
        <w:keepLines/>
        <w:widowControl w:val="0"/>
        <w:shd w:val="clear" w:color="auto" w:fill="auto"/>
        <w:tabs>
          <w:tab w:pos="488"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61"/>
      <w:bookmarkEnd w:id="1062"/>
      <w:bookmarkEnd w:id="106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488"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65"/>
      <w:bookmarkEnd w:id="1066"/>
      <w:bookmarkEnd w:id="10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1,165,028,886.98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1,165,028,886.98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11,126,193.79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11,126,193.79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796,779,217.13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648,579,501.99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-148,199,715.14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71,916,407.64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71,916,407.64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81,769,179.20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81,769,179.20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2,414,206.76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2,414,206.76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436,676,432.39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436,676,432.39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148,199,715.14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148,199,715.14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47,609,830.08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47,609,830.08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2,610,906,147.21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2,610,906,147.21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20,661,440.39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20,661,440.39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383,528,353.61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383,528,353.61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275,683.98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387,910,370.69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387,910,370.69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63,074,689.62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63,074,689.62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84,954,299.51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84,954,299.51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542,202,213.88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542,202,213.88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11,509,976.74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11,509,976.74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42,420,038.86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42,420,038.86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50,231,805.84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50,231,805.84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1,589,242,164.83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1,589,242,164.83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4,200,148,312.04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4,200,148,312.04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187,360,543.40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187,360,543.40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243,254,114.12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243,254,114.12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352,995,480.27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-352,995,480.27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352,995,480.27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352,995,480.27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145,539,356.05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145,539,356.05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80,657,827.17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80,657,827.17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117,714,143.46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117,714,143.46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1,129,107,313.76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1,129,107,313.76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15,461,984.57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15,461,984.57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41,649,019.26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41,649,019.26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29,477,303.59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29,477,303.59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86,588,307.42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86,588,307.42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1,215,695,621.18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1,215,695,621.18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803,993,717.00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803,993,717.00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673,391,879.02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673,391,879.02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80,782,965.00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80,782,965.00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260,015,289.56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260,015,289.56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111,216,597.97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111,216,597.97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1,192,954,662.33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1,192,954,662.33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2,960,789,180.88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2,960,789,180.88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23,663,509.98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23,663,509.98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2,984,452,690.86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2,984,452,690.86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4,200,148,312.04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4,200,148,312.04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648,914,651.29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648,914,651.29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11,126,193.79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11,126,193.79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742,996,122.63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612,853,792.10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-130,142,330.53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68,909,481.66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68,909,481.66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72,257,311.19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72,257,311.19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1,343,284.18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1,343,284.18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300,992,540.18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300,992,540.18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130,142,330.53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130,142,330.53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43,336,714.92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43,336,714.92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1,888,533,015.66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1,888,533,015.66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965,948,004.69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965,948,004.69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383,128,353.61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383,128,353.61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29,253,156.70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29,253,156.70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293,850,886.65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293,850,886.65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1,452,832.24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1,452,832.24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39,943,909.27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39,943,909.27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78,458,612.06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78,458,612.06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4,111,594.63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4,111,594.63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23,363,394.94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23,363,394.94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49,758,609.20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49,758,609.20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1,869,269,353.99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1,869,269,353.99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3,757,802,369.65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3,757,802,369.65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187,360,543.40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187,360,543.40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237,826,246.28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237,826,246.28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279,572,341.70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-279,572,341.70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279,572,341.70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279,572,341.70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91,370,841.90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91,370,841.90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30,771,205.06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30,771,205.06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99,593,919.40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99,593,919.40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1,585,849.29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1,585,849.29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928,080,947.03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928,080,947.03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270"/>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15,461,984.57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15,461,984.57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34,119,019.26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34,119,019.26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28,890,587.74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28,890,587.74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78,471,591.57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78,471,591.57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1,006,552,538.60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1,006,552,538.60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803,993,717.00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803,993,717.00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903,526,704.59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903,526,704.59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80,782,965.00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80,782,965.00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260,015,289.56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260,015,289.56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111,216,597.97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111,216,597.97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753,280,486.93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753,280,486.93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2,751,249,831.05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2,751,249,831.05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3,757,802,369.65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3,757,802,369.65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调整情况说明</w:t>
      </w:r>
    </w:p>
    <w:p>
      <w:pPr>
        <w:pStyle w:val="Style44"/>
        <w:keepNext w:val="0"/>
        <w:keepLines w:val="0"/>
        <w:widowControl w:val="0"/>
        <w:shd w:val="clear" w:color="auto" w:fill="auto"/>
        <w:bidi w:val="0"/>
        <w:spacing w:before="0" w:after="220" w:line="475" w:lineRule="exact"/>
        <w:ind w:left="0" w:right="0" w:firstLine="0"/>
        <w:jc w:val="both"/>
      </w:pPr>
      <w:r>
        <w:rPr>
          <w:color w:val="000000"/>
          <w:spacing w:val="0"/>
          <w:w w:val="100"/>
          <w:position w:val="0"/>
        </w:rPr>
        <w:t>财政部于2017年颁布了修订后的《企业会计准则第14号一收入》（财会[2017]22号），本公司于2020年01月 010起执行上述新收入准则。根据衔接规定，对可比期间信息不予调整，首日执行新准则与原准则的差异 追溯调整本报告期期初未分配利润及财务报表其他相关项目。</w:t>
      </w:r>
    </w:p>
    <w:p>
      <w:pPr>
        <w:pStyle w:val="Style75"/>
        <w:keepNext/>
        <w:keepLines/>
        <w:widowControl w:val="0"/>
        <w:shd w:val="clear" w:color="auto" w:fill="auto"/>
        <w:tabs>
          <w:tab w:pos="488" w:val="left"/>
        </w:tabs>
        <w:bidi w:val="0"/>
        <w:spacing w:before="0" w:line="475" w:lineRule="exact"/>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shd w:val="clear" w:color="auto" w:fill="FFFFFF"/>
        </w:rPr>
        <w:t>（</w:t>
      </w:r>
      <w:bookmarkEnd w:id="107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9"/>
      <w:bookmarkEnd w:id="1070"/>
      <w:bookmarkEnd w:id="1072"/>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73"/>
      <w:bookmarkEnd w:id="1074"/>
      <w:bookmarkEnd w:id="1076"/>
    </w:p>
    <w:p>
      <w:pPr>
        <w:pStyle w:val="Style27"/>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sz w:val="24"/>
          <w:szCs w:val="24"/>
        </w:rPr>
        <w:t>六</w:t>
      </w:r>
      <w:bookmarkEnd w:id="1079"/>
      <w:r>
        <w:rPr>
          <w:color w:val="000000"/>
          <w:spacing w:val="0"/>
          <w:w w:val="100"/>
          <w:position w:val="0"/>
          <w:sz w:val="24"/>
          <w:szCs w:val="24"/>
        </w:rPr>
        <w:t>、税项</w:t>
      </w:r>
      <w:bookmarkEnd w:id="1077"/>
      <w:bookmarkEnd w:id="1078"/>
      <w:bookmarkEnd w:id="1080"/>
    </w:p>
    <w:p>
      <w:pPr>
        <w:pStyle w:val="Style32"/>
        <w:keepNext/>
        <w:keepLines/>
        <w:widowControl w:val="0"/>
        <w:shd w:val="clear" w:color="auto" w:fill="auto"/>
        <w:bidi w:val="0"/>
        <w:spacing w:before="0" w:after="32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81"/>
      <w:bookmarkEnd w:id="1082"/>
      <w:bookmarkEnd w:id="1083"/>
    </w:p>
    <w:tbl>
      <w:tblPr>
        <w:tblOverlap w:val="never"/>
        <w:jc w:val="center"/>
        <w:tblLayout w:type="fixed"/>
      </w:tblPr>
      <w:tblGrid>
        <w:gridCol w:w="3197"/>
        <w:gridCol w:w="2482"/>
        <w:gridCol w:w="39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w:t>
            </w:r>
            <w:r>
              <w:rPr>
                <w:color w:val="000000"/>
                <w:spacing w:val="0"/>
                <w:w w:val="100"/>
                <w:position w:val="0"/>
              </w:rPr>
              <w:t>、</w:t>
            </w:r>
            <w:r>
              <w:rPr>
                <w:rFonts w:ascii="Times New Roman" w:eastAsia="Times New Roman" w:hAnsi="Times New Roman" w:cs="Times New Roman"/>
                <w:color w:val="000000"/>
                <w:spacing w:val="0"/>
                <w:w w:val="100"/>
                <w:position w:val="0"/>
              </w:rPr>
              <w:t>9.00</w:t>
            </w:r>
            <w:r>
              <w:rPr>
                <w:color w:val="000000"/>
                <w:spacing w:val="0"/>
                <w:w w:val="100"/>
                <w:position w:val="0"/>
              </w:rPr>
              <w:t xml:space="preserve">&gt; </w:t>
            </w:r>
            <w:r>
              <w:rPr>
                <w:rFonts w:ascii="Times New Roman" w:eastAsia="Times New Roman" w:hAnsi="Times New Roman" w:cs="Times New Roman"/>
                <w:color w:val="000000"/>
                <w:spacing w:val="0"/>
                <w:w w:val="100"/>
                <w:position w:val="0"/>
              </w:rPr>
              <w:t>6.00</w:t>
            </w:r>
            <w:r>
              <w:rPr>
                <w:color w:val="000000"/>
                <w:spacing w:val="0"/>
                <w:w w:val="100"/>
                <w:position w:val="0"/>
              </w:rPr>
              <w:t xml:space="preserve">&gt; </w:t>
            </w: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3.00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w:t>
            </w:r>
            <w:r>
              <w:rPr>
                <w:color w:val="000000"/>
                <w:spacing w:val="0"/>
                <w:w w:val="100"/>
                <w:position w:val="0"/>
              </w:rPr>
              <w:t xml:space="preserve">&gt; </w:t>
            </w: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r>
              <w:rPr>
                <w:color w:val="000000"/>
                <w:spacing w:val="0"/>
                <w:w w:val="100"/>
                <w:position w:val="0"/>
              </w:rPr>
              <w:t>、</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16.50</w:t>
            </w:r>
            <w:r>
              <w:rPr>
                <w:color w:val="000000"/>
                <w:spacing w:val="0"/>
                <w:w w:val="100"/>
                <w:position w:val="0"/>
              </w:rPr>
              <w:t>、</w:t>
            </w:r>
            <w:r>
              <w:rPr>
                <w:rFonts w:ascii="Times New Roman" w:eastAsia="Times New Roman" w:hAnsi="Times New Roman" w:cs="Times New Roman"/>
                <w:color w:val="000000"/>
                <w:spacing w:val="0"/>
                <w:w w:val="100"/>
                <w:position w:val="0"/>
              </w:rPr>
              <w:t>15.00</w:t>
            </w:r>
            <w:r>
              <w:rPr>
                <w:color w:val="000000"/>
                <w:spacing w:val="0"/>
                <w:w w:val="100"/>
                <w:position w:val="0"/>
              </w:rPr>
              <w:t>、</w:t>
            </w:r>
            <w:r>
              <w:rPr>
                <w:rFonts w:ascii="Times New Roman" w:eastAsia="Times New Roman" w:hAnsi="Times New Roman" w:cs="Times New Roman"/>
                <w:color w:val="000000"/>
                <w:spacing w:val="0"/>
                <w:w w:val="100"/>
                <w:position w:val="0"/>
              </w:rPr>
              <w:t>12.50</w:t>
            </w:r>
            <w:r>
              <w:rPr>
                <w:color w:val="000000"/>
                <w:spacing w:val="0"/>
                <w:w w:val="100"/>
                <w:position w:val="0"/>
              </w:rPr>
              <w:t>、</w:t>
            </w:r>
            <w:r>
              <w:rPr>
                <w:rFonts w:ascii="Times New Roman" w:eastAsia="Times New Roman" w:hAnsi="Times New Roman" w:cs="Times New Roman"/>
                <w:color w:val="000000"/>
                <w:spacing w:val="0"/>
                <w:w w:val="100"/>
                <w:position w:val="0"/>
              </w:rPr>
              <w:t>12.00</w:t>
            </w:r>
            <w:r>
              <w:rPr>
                <w:color w:val="000000"/>
                <w:spacing w:val="0"/>
                <w:w w:val="100"/>
                <w:position w:val="0"/>
              </w:rPr>
              <w:t>、</w:t>
            </w: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6245"/>
        <w:gridCol w:w="334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厦门美亚柏科信息安全研究所有限公司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厦门安胜网络科技有限公司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厦门美亚亿安信息科技有限公司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无锡博盾信息科技有限公司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常熟腾瑞智能科技有限公司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澳门美新信息技术有限公司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福建美亚榕安科技有限公司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北京美亚宏数科技有限责任公司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厦门美亚天信会议服务有限公司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北京美亚柏科网络安全科技有限公司（曾用名：北京美亚京安科技有限公司）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厦门美银智投科技有限公司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云南美亚信安信息技术有限公司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陕西美亚秦安信息科技有限公司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中检美亚（北京）科技有限公司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bl>
    <w:p>
      <w:pPr>
        <w:widowControl w:val="0"/>
        <w:spacing w:line="1" w:lineRule="exact"/>
      </w:pPr>
    </w:p>
    <w:tbl>
      <w:tblPr>
        <w:tblOverlap w:val="never"/>
        <w:jc w:val="center"/>
        <w:tblLayout w:type="fixed"/>
      </w:tblPr>
      <w:tblGrid>
        <w:gridCol w:w="6245"/>
        <w:gridCol w:w="334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中检美亚（厦门）科技有限公司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甘肃美亚陇安信息科技有限公司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四川美亚川安信息科技有限公司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福建大田柏科信息科技有限公司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厦门腾柏顺科技有限公司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广东新德汇司法鉴定所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bl>
    <w:p>
      <w:pPr>
        <w:widowControl w:val="0"/>
        <w:spacing w:after="99" w:line="1" w:lineRule="exact"/>
      </w:pPr>
    </w:p>
    <w:p>
      <w:pPr>
        <w:pStyle w:val="Style32"/>
        <w:keepNext/>
        <w:keepLines/>
        <w:widowControl w:val="0"/>
        <w:shd w:val="clear" w:color="auto" w:fill="auto"/>
        <w:bidi w:val="0"/>
        <w:spacing w:before="0" w:after="220" w:line="469" w:lineRule="exact"/>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84"/>
      <w:bookmarkEnd w:id="1085"/>
      <w:bookmarkEnd w:id="1086"/>
    </w:p>
    <w:p>
      <w:pPr>
        <w:pStyle w:val="Style44"/>
        <w:keepNext w:val="0"/>
        <w:keepLines w:val="0"/>
        <w:widowControl w:val="0"/>
        <w:shd w:val="clear" w:color="auto" w:fill="auto"/>
        <w:tabs>
          <w:tab w:pos="752" w:val="left"/>
        </w:tabs>
        <w:bidi w:val="0"/>
        <w:spacing w:before="0" w:after="0" w:line="469" w:lineRule="exact"/>
        <w:ind w:left="0" w:right="0" w:firstLine="440"/>
        <w:jc w:val="both"/>
      </w:pPr>
      <w:bookmarkStart w:id="1087" w:name="bookmark1087"/>
      <w:r>
        <w:rPr>
          <w:color w:val="000000"/>
          <w:spacing w:val="0"/>
          <w:w w:val="100"/>
          <w:position w:val="0"/>
        </w:rPr>
        <w:t>1</w:t>
      </w:r>
      <w:bookmarkEnd w:id="1087"/>
      <w:r>
        <w:rPr>
          <w:color w:val="000000"/>
          <w:spacing w:val="0"/>
          <w:w w:val="100"/>
          <w:position w:val="0"/>
        </w:rPr>
        <w:t>、</w:t>
        <w:tab/>
        <w:t>增值税</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根据《国务院关于印发进一步鼓励软件产业和集成电路产业发展若干政策的通知》（国发〔2011） 4 号）、《关于软件产品增值税政策的通知》（财税〔2011） 100号）规定，对增值税一般纳税人销售其自 行开发生产的软件产品，按法定税率征收增值税后，对其增值税实际税负超过3%的部分实行即征即退政 策。</w:t>
      </w:r>
    </w:p>
    <w:p>
      <w:pPr>
        <w:pStyle w:val="Style44"/>
        <w:keepNext w:val="0"/>
        <w:keepLines w:val="0"/>
        <w:widowControl w:val="0"/>
        <w:shd w:val="clear" w:color="auto" w:fill="auto"/>
        <w:tabs>
          <w:tab w:pos="752" w:val="left"/>
        </w:tabs>
        <w:bidi w:val="0"/>
        <w:spacing w:before="0" w:after="0" w:line="469" w:lineRule="exact"/>
        <w:ind w:left="0" w:right="0" w:firstLine="440"/>
        <w:jc w:val="both"/>
      </w:pPr>
      <w:bookmarkStart w:id="1088" w:name="bookmark1088"/>
      <w:r>
        <w:rPr>
          <w:color w:val="000000"/>
          <w:spacing w:val="0"/>
          <w:w w:val="100"/>
          <w:position w:val="0"/>
        </w:rPr>
        <w:t>2</w:t>
      </w:r>
      <w:bookmarkEnd w:id="1088"/>
      <w:r>
        <w:rPr>
          <w:color w:val="000000"/>
          <w:spacing w:val="0"/>
          <w:w w:val="100"/>
          <w:position w:val="0"/>
        </w:rPr>
        <w:t>、</w:t>
        <w:tab/>
        <w:t>企业所得税</w:t>
      </w:r>
    </w:p>
    <w:p>
      <w:pPr>
        <w:pStyle w:val="Style44"/>
        <w:keepNext w:val="0"/>
        <w:keepLines w:val="0"/>
        <w:widowControl w:val="0"/>
        <w:shd w:val="clear" w:color="auto" w:fill="auto"/>
        <w:tabs>
          <w:tab w:pos="956" w:val="left"/>
        </w:tabs>
        <w:bidi w:val="0"/>
        <w:spacing w:before="0" w:after="0" w:line="469" w:lineRule="exact"/>
        <w:ind w:left="0" w:right="0" w:firstLine="440"/>
        <w:jc w:val="both"/>
      </w:pPr>
      <w:bookmarkStart w:id="1089" w:name="bookmark1089"/>
      <w:r>
        <w:rPr>
          <w:color w:val="000000"/>
          <w:spacing w:val="0"/>
          <w:w w:val="100"/>
          <w:position w:val="0"/>
        </w:rPr>
        <w:t>（</w:t>
      </w:r>
      <w:bookmarkEnd w:id="1089"/>
      <w:r>
        <w:rPr>
          <w:color w:val="000000"/>
          <w:spacing w:val="0"/>
          <w:w w:val="100"/>
          <w:position w:val="0"/>
        </w:rPr>
        <w:t>1）</w:t>
        <w:tab/>
        <w:t>2008年9月，本公司经厦门市科学技术局、厦门市财政局、厦门市国税局、厦门市地税局以厦科 联〔2008） 65号文获得高新技术企业认定，高新技术企业证书认定有效期三年；2011年9月，本公司再次 获得高新技术企业认定。根据国科火字〔2015） 28号文，本公司再次获得高新技术企业认定，发证日期为 2014年9月30日，证书编号</w:t>
      </w:r>
      <w:r>
        <w:rPr>
          <w:color w:val="000000"/>
          <w:spacing w:val="0"/>
          <w:w w:val="100"/>
          <w:position w:val="0"/>
        </w:rPr>
        <w:t xml:space="preserve">GR201435100149； </w:t>
      </w:r>
      <w:r>
        <w:rPr>
          <w:color w:val="000000"/>
          <w:spacing w:val="0"/>
          <w:w w:val="100"/>
          <w:position w:val="0"/>
        </w:rPr>
        <w:t>2017年10月10日，本公司再次获得高新技术企业认定，证书 编号：</w:t>
      </w:r>
      <w:r>
        <w:rPr>
          <w:color w:val="000000"/>
          <w:spacing w:val="0"/>
          <w:w w:val="100"/>
          <w:position w:val="0"/>
        </w:rPr>
        <w:t xml:space="preserve">GR201735100074； </w:t>
      </w:r>
      <w:r>
        <w:rPr>
          <w:color w:val="000000"/>
          <w:spacing w:val="0"/>
          <w:w w:val="100"/>
          <w:position w:val="0"/>
        </w:rPr>
        <w:t>2020年10月21日，本公司再次获得高新技术企业认定，证书编号：</w:t>
      </w:r>
      <w:r>
        <w:rPr>
          <w:color w:val="000000"/>
          <w:spacing w:val="0"/>
          <w:w w:val="100"/>
          <w:position w:val="0"/>
        </w:rPr>
        <w:t xml:space="preserve">GR202035100082, </w:t>
      </w:r>
      <w:r>
        <w:rPr>
          <w:color w:val="000000"/>
          <w:spacing w:val="0"/>
          <w:w w:val="100"/>
          <w:position w:val="0"/>
        </w:rPr>
        <w:t>本公司根据有关规定，高新技术企业享受减按15%的税率征收企业所得税。</w:t>
      </w:r>
    </w:p>
    <w:p>
      <w:pPr>
        <w:pStyle w:val="Style4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根据《关于促进集成电路产业和软件产业高质量发展企业所得税政策的公告》（财政部税务总局发 展改革委工业和信息化部公告2020年第45号），国家鼓励的重点集成电路设计企业和软件企业，自获利 年度起，第一年至第五年免征企业所得税，接续年度减按10%的税率征收企业所得税。国家鼓励的重点集 成电路设计和软件企业清单由国家发展改革委、工业和信息化部会同财政部、税务总局等相关部门制定。 本公司预计能够符合该税收优惠政策，故2020年度企业所得税按10%的税率确认。</w:t>
      </w:r>
    </w:p>
    <w:p>
      <w:pPr>
        <w:pStyle w:val="Style44"/>
        <w:keepNext w:val="0"/>
        <w:keepLines w:val="0"/>
        <w:widowControl w:val="0"/>
        <w:shd w:val="clear" w:color="auto" w:fill="auto"/>
        <w:tabs>
          <w:tab w:pos="956" w:val="left"/>
        </w:tabs>
        <w:bidi w:val="0"/>
        <w:spacing w:before="0" w:after="100" w:line="469" w:lineRule="exact"/>
        <w:ind w:left="0" w:right="0" w:firstLine="500"/>
        <w:jc w:val="both"/>
      </w:pPr>
      <w:bookmarkStart w:id="1090" w:name="bookmark1090"/>
      <w:r>
        <w:rPr>
          <w:color w:val="000000"/>
          <w:spacing w:val="0"/>
          <w:w w:val="100"/>
          <w:position w:val="0"/>
        </w:rPr>
        <w:t>（</w:t>
      </w:r>
      <w:bookmarkEnd w:id="1090"/>
      <w:r>
        <w:rPr>
          <w:color w:val="000000"/>
          <w:spacing w:val="0"/>
          <w:w w:val="100"/>
          <w:position w:val="0"/>
        </w:rPr>
        <w:t>2）</w:t>
        <w:tab/>
        <w:t>2014年9月30日，子公司美亚研究所经厦门市科学技术局、厦门市财政局、厦门市国家税务局、 福建省厦门市地方税务局认定为高新技术企业，证书编号：</w:t>
      </w:r>
      <w:r>
        <w:rPr>
          <w:color w:val="000000"/>
          <w:spacing w:val="0"/>
          <w:w w:val="100"/>
          <w:position w:val="0"/>
        </w:rPr>
        <w:t xml:space="preserve">GR201435100154； </w:t>
      </w:r>
      <w:r>
        <w:rPr>
          <w:color w:val="000000"/>
          <w:spacing w:val="0"/>
          <w:w w:val="100"/>
          <w:position w:val="0"/>
        </w:rPr>
        <w:t>2017年10月10日，美亚研究 所再次获得高新技术企业认定，证书编号：</w:t>
      </w:r>
      <w:r>
        <w:rPr>
          <w:color w:val="000000"/>
          <w:spacing w:val="0"/>
          <w:w w:val="100"/>
          <w:position w:val="0"/>
        </w:rPr>
        <w:t xml:space="preserve">GR201735100130； </w:t>
      </w:r>
      <w:r>
        <w:rPr>
          <w:color w:val="000000"/>
          <w:spacing w:val="0"/>
          <w:w w:val="100"/>
          <w:position w:val="0"/>
        </w:rPr>
        <w:t>2020年10月21日，美亚研究所再次获得高新 技术企业认定，证书编号：</w:t>
      </w:r>
      <w:r>
        <w:rPr>
          <w:color w:val="000000"/>
          <w:spacing w:val="0"/>
          <w:w w:val="100"/>
          <w:position w:val="0"/>
        </w:rPr>
        <w:t>GR202035100143，</w:t>
      </w:r>
      <w:r>
        <w:rPr>
          <w:color w:val="000000"/>
          <w:spacing w:val="0"/>
          <w:w w:val="100"/>
          <w:position w:val="0"/>
        </w:rPr>
        <w:t>根据有关规定，2020年度享受减按15%的税率征收企业所得 税。</w:t>
      </w:r>
    </w:p>
    <w:p>
      <w:pPr>
        <w:pStyle w:val="Style44"/>
        <w:keepNext w:val="0"/>
        <w:keepLines w:val="0"/>
        <w:widowControl w:val="0"/>
        <w:numPr>
          <w:ilvl w:val="0"/>
          <w:numId w:val="25"/>
        </w:numPr>
        <w:shd w:val="clear" w:color="auto" w:fill="auto"/>
        <w:tabs>
          <w:tab w:pos="956" w:val="left"/>
        </w:tabs>
        <w:bidi w:val="0"/>
        <w:spacing w:before="0" w:after="0" w:line="471" w:lineRule="exact"/>
        <w:ind w:left="0" w:right="0" w:firstLine="440"/>
        <w:jc w:val="left"/>
      </w:pPr>
      <w:bookmarkStart w:id="1091" w:name="bookmark1091"/>
      <w:bookmarkEnd w:id="1091"/>
      <w:r>
        <w:rPr>
          <w:color w:val="000000"/>
          <w:spacing w:val="0"/>
          <w:w w:val="100"/>
          <w:position w:val="0"/>
        </w:rPr>
        <w:t>2011年11月17日，子公司珠海新德汇经广东省科学技术厅、广东省财政厅、广东省国家税务局、 广东省地方税务局认定为高新技术企业，证书编号：</w:t>
      </w:r>
      <w:r>
        <w:rPr>
          <w:color w:val="000000"/>
          <w:spacing w:val="0"/>
          <w:w w:val="100"/>
          <w:position w:val="0"/>
        </w:rPr>
        <w:t xml:space="preserve">GR201144000598； </w:t>
      </w:r>
      <w:r>
        <w:rPr>
          <w:color w:val="000000"/>
          <w:spacing w:val="0"/>
          <w:w w:val="100"/>
          <w:position w:val="0"/>
        </w:rPr>
        <w:t>2014年10月9日再次获得高新技术 企业认定，证书编号：</w:t>
      </w:r>
      <w:r>
        <w:rPr>
          <w:color w:val="000000"/>
          <w:spacing w:val="0"/>
          <w:w w:val="100"/>
          <w:position w:val="0"/>
        </w:rPr>
        <w:t xml:space="preserve">GR201444000050； </w:t>
      </w:r>
      <w:r>
        <w:rPr>
          <w:color w:val="000000"/>
          <w:spacing w:val="0"/>
          <w:w w:val="100"/>
          <w:position w:val="0"/>
        </w:rPr>
        <w:t>2017年12月11日，珠海新德汇再次获得高新技术企业认定，证书 编号：</w:t>
      </w:r>
      <w:r>
        <w:rPr>
          <w:color w:val="000000"/>
          <w:spacing w:val="0"/>
          <w:w w:val="100"/>
          <w:position w:val="0"/>
        </w:rPr>
        <w:t xml:space="preserve">GR201744006210； </w:t>
      </w:r>
      <w:r>
        <w:rPr>
          <w:color w:val="000000"/>
          <w:spacing w:val="0"/>
          <w:w w:val="100"/>
          <w:position w:val="0"/>
        </w:rPr>
        <w:t>2021年1月15日，珠海新德汇取得科学技术部火炬高技术产业开发中心《关于广 东省2020年第一批高新技术企业备案的复函》(国科火字〔2021) 21号)，珠海新德汇被认定为高新技术 企业。根据有关规定，2020年度享受减按15%的税率征收企业所得税。</w:t>
      </w:r>
    </w:p>
    <w:p>
      <w:pPr>
        <w:pStyle w:val="Style44"/>
        <w:keepNext w:val="0"/>
        <w:keepLines w:val="0"/>
        <w:widowControl w:val="0"/>
        <w:numPr>
          <w:ilvl w:val="0"/>
          <w:numId w:val="25"/>
        </w:numPr>
        <w:shd w:val="clear" w:color="auto" w:fill="auto"/>
        <w:tabs>
          <w:tab w:pos="966" w:val="left"/>
        </w:tabs>
        <w:bidi w:val="0"/>
        <w:spacing w:before="0" w:after="0" w:line="471" w:lineRule="exact"/>
        <w:ind w:left="0" w:right="0" w:firstLine="440"/>
        <w:jc w:val="left"/>
      </w:pPr>
      <w:bookmarkStart w:id="1092" w:name="bookmark1092"/>
      <w:bookmarkEnd w:id="1092"/>
      <w:r>
        <w:rPr>
          <w:color w:val="000000"/>
          <w:spacing w:val="0"/>
          <w:w w:val="100"/>
          <w:position w:val="0"/>
        </w:rPr>
        <w:t xml:space="preserve">2012年11月29日，子公司美亚中敏经厦门市科学技术局、厦门市财政局、厦门市国家税务局、 厦门市地方税务局认定为高新技术企业；2015年6月29日，再次获得高新技术企业认定，证书编号： </w:t>
      </w:r>
      <w:r>
        <w:rPr>
          <w:color w:val="000000"/>
          <w:spacing w:val="0"/>
          <w:w w:val="100"/>
          <w:position w:val="0"/>
        </w:rPr>
        <w:t xml:space="preserve">GF201535100002； </w:t>
      </w:r>
      <w:r>
        <w:rPr>
          <w:color w:val="000000"/>
          <w:spacing w:val="0"/>
          <w:w w:val="100"/>
          <w:position w:val="0"/>
        </w:rPr>
        <w:t>2018年12月3日，美亚中敏再次获得高新技术企业认定，证书编号：</w:t>
      </w:r>
      <w:r>
        <w:rPr>
          <w:color w:val="000000"/>
          <w:spacing w:val="0"/>
          <w:w w:val="100"/>
          <w:position w:val="0"/>
        </w:rPr>
        <w:t xml:space="preserve">GR201835100570， </w:t>
      </w:r>
      <w:r>
        <w:rPr>
          <w:color w:val="000000"/>
          <w:spacing w:val="0"/>
          <w:w w:val="100"/>
          <w:position w:val="0"/>
        </w:rPr>
        <w:t>根据有关规定，2020年度享受减按15%的税率征收企业所得税。</w:t>
      </w:r>
    </w:p>
    <w:p>
      <w:pPr>
        <w:pStyle w:val="Style44"/>
        <w:keepNext w:val="0"/>
        <w:keepLines w:val="0"/>
        <w:widowControl w:val="0"/>
        <w:numPr>
          <w:ilvl w:val="0"/>
          <w:numId w:val="25"/>
        </w:numPr>
        <w:shd w:val="clear" w:color="auto" w:fill="auto"/>
        <w:tabs>
          <w:tab w:pos="961" w:val="left"/>
        </w:tabs>
        <w:bidi w:val="0"/>
        <w:spacing w:before="0" w:after="0" w:line="471" w:lineRule="exact"/>
        <w:ind w:left="0" w:right="0" w:firstLine="440"/>
        <w:jc w:val="left"/>
      </w:pPr>
      <w:bookmarkStart w:id="1093" w:name="bookmark1093"/>
      <w:bookmarkEnd w:id="1093"/>
      <w:r>
        <w:rPr>
          <w:color w:val="000000"/>
          <w:spacing w:val="0"/>
          <w:w w:val="100"/>
          <w:position w:val="0"/>
        </w:rPr>
        <w:t>2016年12月1日，子公司安胜科技经厦门市科学技术局、厦门市财政局、厦门市国家税务局、福 建省厦门市地方税务局认定为高新技术企业，证书编号：</w:t>
      </w:r>
      <w:r>
        <w:rPr>
          <w:color w:val="000000"/>
          <w:spacing w:val="0"/>
          <w:w w:val="100"/>
          <w:position w:val="0"/>
        </w:rPr>
        <w:t xml:space="preserve">GR201635100333； </w:t>
      </w:r>
      <w:r>
        <w:rPr>
          <w:color w:val="000000"/>
          <w:spacing w:val="0"/>
          <w:w w:val="100"/>
          <w:position w:val="0"/>
        </w:rPr>
        <w:t>2019年11月21日，安胜科技再 次获得高新技术企业认定，证书编号：</w:t>
      </w:r>
      <w:r>
        <w:rPr>
          <w:color w:val="000000"/>
          <w:spacing w:val="0"/>
          <w:w w:val="100"/>
          <w:position w:val="0"/>
        </w:rPr>
        <w:t>GR201935100404，</w:t>
      </w:r>
      <w:r>
        <w:rPr>
          <w:color w:val="000000"/>
          <w:spacing w:val="0"/>
          <w:w w:val="100"/>
          <w:position w:val="0"/>
        </w:rPr>
        <w:t>根据有关规定，2020年度享受减按15%的税率征 收企业所得税。</w:t>
      </w:r>
    </w:p>
    <w:p>
      <w:pPr>
        <w:pStyle w:val="Style44"/>
        <w:keepNext w:val="0"/>
        <w:keepLines w:val="0"/>
        <w:widowControl w:val="0"/>
        <w:numPr>
          <w:ilvl w:val="0"/>
          <w:numId w:val="25"/>
        </w:numPr>
        <w:shd w:val="clear" w:color="auto" w:fill="auto"/>
        <w:tabs>
          <w:tab w:pos="961" w:val="left"/>
        </w:tabs>
        <w:bidi w:val="0"/>
        <w:spacing w:before="0" w:after="0" w:line="471" w:lineRule="exact"/>
        <w:ind w:left="0" w:right="0" w:firstLine="440"/>
        <w:jc w:val="left"/>
      </w:pPr>
      <w:bookmarkStart w:id="1094" w:name="bookmark1094"/>
      <w:bookmarkEnd w:id="1094"/>
      <w:r>
        <w:rPr>
          <w:color w:val="000000"/>
          <w:spacing w:val="0"/>
          <w:w w:val="100"/>
          <w:position w:val="0"/>
        </w:rPr>
        <w:t>2016年11月30日，子公司江苏税软经江苏省科技厅、江苏省财政厅、江苏省国家税务局、江苏 省地方税务局认定为高新技术企业，证书编号：</w:t>
      </w:r>
      <w:r>
        <w:rPr>
          <w:color w:val="000000"/>
          <w:spacing w:val="0"/>
          <w:w w:val="100"/>
          <w:position w:val="0"/>
        </w:rPr>
        <w:t xml:space="preserve">GR201632001848； </w:t>
      </w:r>
      <w:r>
        <w:rPr>
          <w:color w:val="000000"/>
          <w:spacing w:val="0"/>
          <w:w w:val="100"/>
          <w:position w:val="0"/>
        </w:rPr>
        <w:t>2019年11月22日，江苏税软再次获得高 新技术企业认定，证书编号：</w:t>
      </w:r>
      <w:r>
        <w:rPr>
          <w:color w:val="000000"/>
          <w:spacing w:val="0"/>
          <w:w w:val="100"/>
          <w:position w:val="0"/>
        </w:rPr>
        <w:t>GR201932002246</w:t>
      </w:r>
      <w:r>
        <w:rPr>
          <w:color w:val="000000"/>
          <w:spacing w:val="0"/>
          <w:w w:val="100"/>
          <w:position w:val="0"/>
        </w:rPr>
        <w:t>，根据有关规定，2020年度享受减按15%的税率征收企业所 得税。</w:t>
      </w:r>
    </w:p>
    <w:p>
      <w:pPr>
        <w:pStyle w:val="Style44"/>
        <w:keepNext w:val="0"/>
        <w:keepLines w:val="0"/>
        <w:widowControl w:val="0"/>
        <w:numPr>
          <w:ilvl w:val="0"/>
          <w:numId w:val="25"/>
        </w:numPr>
        <w:shd w:val="clear" w:color="auto" w:fill="auto"/>
        <w:tabs>
          <w:tab w:pos="961" w:val="left"/>
        </w:tabs>
        <w:bidi w:val="0"/>
        <w:spacing w:before="0" w:after="0" w:line="471" w:lineRule="exact"/>
        <w:ind w:left="0" w:right="0" w:firstLine="440"/>
        <w:jc w:val="left"/>
      </w:pPr>
      <w:bookmarkStart w:id="1095" w:name="bookmark1095"/>
      <w:bookmarkEnd w:id="1095"/>
      <w:r>
        <w:rPr>
          <w:color w:val="000000"/>
          <w:spacing w:val="0"/>
          <w:w w:val="100"/>
          <w:position w:val="0"/>
        </w:rPr>
        <w:t>2020年12月1日，子公司武汉大千经湖北省科技厅、湖北省财政厅、国家税务总局湖北省税务局 认定为高新技术企业，证书编号：</w:t>
      </w:r>
      <w:r>
        <w:rPr>
          <w:color w:val="000000"/>
          <w:spacing w:val="0"/>
          <w:w w:val="100"/>
          <w:position w:val="0"/>
        </w:rPr>
        <w:t xml:space="preserve">GR202042000392 </w:t>
      </w:r>
      <w:r>
        <w:rPr>
          <w:color w:val="000000"/>
          <w:spacing w:val="0"/>
          <w:w w:val="100"/>
          <w:position w:val="0"/>
        </w:rPr>
        <w:t>；根据有关规定，2020年度享受减按15%的税率征收企 业所得税。</w:t>
      </w:r>
    </w:p>
    <w:p>
      <w:pPr>
        <w:pStyle w:val="Style44"/>
        <w:keepNext w:val="0"/>
        <w:keepLines w:val="0"/>
        <w:widowControl w:val="0"/>
        <w:numPr>
          <w:ilvl w:val="0"/>
          <w:numId w:val="25"/>
        </w:numPr>
        <w:shd w:val="clear" w:color="auto" w:fill="auto"/>
        <w:tabs>
          <w:tab w:pos="961" w:val="left"/>
        </w:tabs>
        <w:bidi w:val="0"/>
        <w:spacing w:before="0" w:after="0" w:line="471" w:lineRule="exact"/>
        <w:ind w:left="0" w:right="0" w:firstLine="440"/>
        <w:jc w:val="left"/>
      </w:pPr>
      <w:bookmarkStart w:id="1096" w:name="bookmark1096"/>
      <w:bookmarkEnd w:id="1096"/>
      <w:r>
        <w:rPr>
          <w:color w:val="000000"/>
          <w:spacing w:val="0"/>
          <w:w w:val="100"/>
          <w:position w:val="0"/>
        </w:rPr>
        <w:t>2020年10月21日，子公司美亚亿安经厦门市科学技术局、厦门市财政局、国家税务总局厦门市 税务局认定为高新技术企业，证书编号：</w:t>
      </w:r>
      <w:r>
        <w:rPr>
          <w:color w:val="000000"/>
          <w:spacing w:val="0"/>
          <w:w w:val="100"/>
          <w:position w:val="0"/>
        </w:rPr>
        <w:t>GR202035100085，</w:t>
      </w:r>
      <w:r>
        <w:rPr>
          <w:color w:val="000000"/>
          <w:spacing w:val="0"/>
          <w:w w:val="100"/>
          <w:position w:val="0"/>
        </w:rPr>
        <w:t>根据有关规定，美亚亿安享受减按15%的税率 征收企业所得税。</w:t>
      </w:r>
    </w:p>
    <w:p>
      <w:pPr>
        <w:pStyle w:val="Style44"/>
        <w:keepNext w:val="0"/>
        <w:keepLines w:val="0"/>
        <w:widowControl w:val="0"/>
        <w:shd w:val="clear" w:color="auto" w:fill="auto"/>
        <w:bidi w:val="0"/>
        <w:spacing w:before="0" w:after="0" w:line="471" w:lineRule="exact"/>
        <w:ind w:left="0" w:right="0" w:firstLine="440"/>
        <w:jc w:val="left"/>
      </w:pPr>
      <w:r>
        <w:rPr>
          <w:color w:val="000000"/>
          <w:spacing w:val="0"/>
          <w:w w:val="100"/>
          <w:position w:val="0"/>
        </w:rPr>
        <w:t>2020年9月15日，子公司美亚亿安通过厦门市软件行业协会软件企业认证，取得“厦</w:t>
      </w:r>
      <w:r>
        <w:rPr>
          <w:color w:val="000000"/>
          <w:spacing w:val="0"/>
          <w:w w:val="100"/>
          <w:position w:val="0"/>
        </w:rPr>
        <w:t xml:space="preserve">RQ-2020-0089” </w:t>
      </w:r>
      <w:r>
        <w:rPr>
          <w:color w:val="000000"/>
          <w:spacing w:val="0"/>
          <w:w w:val="100"/>
          <w:position w:val="0"/>
        </w:rPr>
        <w:t>软件企业证书。根据《关于促进集成电路产业和软件产业高质量发展企业所得税政策的公告》(财政部税 务总局发展改革委工业和信息化部公告2020年第45号)，国家鼓励的集成电路设计、装备、材料、封装、 测试企业和软件企业，自获利年度起，第一年至第二年免征企业所得税，第三年至第五年按照25%的法定税 率减半征收企业所得税。2020年为美亚亿安取得软件企业证书后的首个获利年度，美亚亿安预计能够符合 该税收优惠政策，故2020年度企业所得税按免征进行确认。</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（9 ） 2018年9月19日，子公司美亚商鼎通过厦门市软件行业协会软件企业认证，取得“厦 </w:t>
      </w:r>
      <w:r>
        <w:rPr>
          <w:color w:val="000000"/>
          <w:spacing w:val="0"/>
          <w:w w:val="100"/>
          <w:position w:val="0"/>
        </w:rPr>
        <w:t>RQ-2018-0128"</w:t>
      </w:r>
      <w:r>
        <w:rPr>
          <w:color w:val="000000"/>
          <w:spacing w:val="0"/>
          <w:w w:val="100"/>
          <w:position w:val="0"/>
        </w:rPr>
        <w:t>软件企业证书。根据《关于集成电路设计和软件产业企业所得税政策的公告》（财政部税 务总局公告2019年第68号）规定，依法成立且符合条件的集成电路设计企业和软件企业，在2018年12月31 日前自获利年度起计算优惠期，第一年至第二年免征企业所得税，第三年至第五年按照25%的法定税率减 半征收企业所得税，并享受至期满为止。2017年为美亚商鼎首个获利年度，2020年度享受减按12.5%的税 率征收企业所得税。</w:t>
      </w:r>
    </w:p>
    <w:p>
      <w:pPr>
        <w:pStyle w:val="Style44"/>
        <w:keepNext w:val="0"/>
        <w:keepLines w:val="0"/>
        <w:widowControl w:val="0"/>
        <w:shd w:val="clear" w:color="auto" w:fill="auto"/>
        <w:tabs>
          <w:tab w:pos="1105" w:val="left"/>
        </w:tabs>
        <w:bidi w:val="0"/>
        <w:spacing w:before="0" w:after="0" w:line="469" w:lineRule="exact"/>
        <w:ind w:left="0" w:right="0" w:firstLine="440"/>
        <w:jc w:val="both"/>
      </w:pPr>
      <w:bookmarkStart w:id="1097" w:name="bookmark1097"/>
      <w:r>
        <w:rPr>
          <w:color w:val="000000"/>
          <w:spacing w:val="0"/>
          <w:w w:val="100"/>
          <w:position w:val="0"/>
        </w:rPr>
        <w:t>（</w:t>
      </w:r>
      <w:bookmarkEnd w:id="1097"/>
      <w:r>
        <w:rPr>
          <w:color w:val="000000"/>
          <w:spacing w:val="0"/>
          <w:w w:val="100"/>
          <w:position w:val="0"/>
        </w:rPr>
        <w:t>10）</w:t>
        <w:tab/>
        <w:t xml:space="preserve">2016年11月30日，子公司无锡博盾通过江苏省软件行业协会软件企业认证，取得“苏 </w:t>
      </w:r>
      <w:r>
        <w:rPr>
          <w:color w:val="000000"/>
          <w:spacing w:val="0"/>
          <w:w w:val="100"/>
          <w:position w:val="0"/>
        </w:rPr>
        <w:t>RQ-2016-B0264”</w:t>
      </w:r>
      <w:r>
        <w:rPr>
          <w:color w:val="000000"/>
          <w:spacing w:val="0"/>
          <w:w w:val="100"/>
          <w:position w:val="0"/>
        </w:rPr>
        <w:t>软件企业证书。根据《关于进一步鼓励软件产业和集成电路产业发展企业所得税政策的 通知》（财税〔2012） 27号）规定，对新办集成电路设计企业和符合条件的软件企业，经认定后，在2017 年12月31日前自获利年度起，享受企业所得税“两免三减半”优惠政策。无锡博盾尚未盈利，尚未开始享 受两免三减半政策。</w:t>
      </w:r>
    </w:p>
    <w:p>
      <w:pPr>
        <w:pStyle w:val="Style44"/>
        <w:keepNext w:val="0"/>
        <w:keepLines w:val="0"/>
        <w:widowControl w:val="0"/>
        <w:shd w:val="clear" w:color="auto" w:fill="auto"/>
        <w:tabs>
          <w:tab w:pos="1105" w:val="left"/>
        </w:tabs>
        <w:bidi w:val="0"/>
        <w:spacing w:before="0" w:after="500" w:line="469" w:lineRule="exact"/>
        <w:ind w:left="0" w:right="0" w:firstLine="440"/>
        <w:jc w:val="both"/>
      </w:pPr>
      <w:bookmarkStart w:id="1098" w:name="bookmark1098"/>
      <w:r>
        <w:rPr>
          <w:color w:val="000000"/>
          <w:spacing w:val="0"/>
          <w:w w:val="100"/>
          <w:position w:val="0"/>
        </w:rPr>
        <w:t>（</w:t>
      </w:r>
      <w:bookmarkEnd w:id="1098"/>
      <w:r>
        <w:rPr>
          <w:color w:val="000000"/>
          <w:spacing w:val="0"/>
          <w:w w:val="100"/>
          <w:position w:val="0"/>
        </w:rPr>
        <w:t>11）</w:t>
        <w:tab/>
        <w:t>根据《中华人民共和国企业所得税法》及实施条例和《财政部、国家税务总局关于实施小微企 业普惠性税收减免政策的通知》（财税〔2019） 13号），对小型微利企业年应纳税所得额不超过100万元 的部分，减按25%计入应纳税所得额，按20%的税率缴纳企业所得税；对年应纳税所得额超过100万元但不 超过300万元的部分，减按50%计入应纳税所得额，按20%的税率缴纳企业所得税。本公司子公司美亚榕安、 武汉大千、美亚宏数、国信宏数、美亚智讯、美亚天信、北京网络、美银智投、美亚信安、美亚秦安、中 检美亚（北京）、中检美亚（厦门）、美亚陇安、美亚川安、大田柏科、腾柏顺科技、司法鉴定所2020年 度享受小微企业普惠性税收减免政策。</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2"/>
        <w:keepNext/>
        <w:keepLines/>
        <w:widowControl w:val="0"/>
        <w:shd w:val="clear" w:color="auto" w:fill="auto"/>
        <w:bidi w:val="0"/>
        <w:spacing w:before="0" w:after="120" w:line="480" w:lineRule="auto"/>
        <w:ind w:left="0" w:right="0" w:firstLine="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color w:val="000000"/>
          <w:spacing w:val="0"/>
          <w:w w:val="100"/>
          <w:position w:val="0"/>
        </w:rPr>
        <w:t>、其他</w:t>
      </w:r>
      <w:bookmarkEnd w:id="1099"/>
      <w:bookmarkEnd w:id="1100"/>
      <w:bookmarkEnd w:id="1102"/>
    </w:p>
    <w:p>
      <w:pPr>
        <w:pStyle w:val="Style27"/>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sz w:val="24"/>
          <w:szCs w:val="24"/>
        </w:rPr>
        <w:t>七</w:t>
      </w:r>
      <w:bookmarkEnd w:id="1105"/>
      <w:r>
        <w:rPr>
          <w:color w:val="000000"/>
          <w:spacing w:val="0"/>
          <w:w w:val="100"/>
          <w:position w:val="0"/>
          <w:sz w:val="24"/>
          <w:szCs w:val="24"/>
        </w:rPr>
        <w:t>、合并财务报表项目注释</w:t>
      </w:r>
      <w:bookmarkEnd w:id="1103"/>
      <w:bookmarkEnd w:id="1104"/>
      <w:bookmarkEnd w:id="1106"/>
    </w:p>
    <w:p>
      <w:pPr>
        <w:pStyle w:val="Style32"/>
        <w:keepNext/>
        <w:keepLines/>
        <w:widowControl w:val="0"/>
        <w:shd w:val="clear" w:color="auto" w:fill="auto"/>
        <w:bidi w:val="0"/>
        <w:spacing w:before="0" w:after="120" w:line="480" w:lineRule="auto"/>
        <w:ind w:left="0" w:right="0" w:firstLine="0"/>
        <w:jc w:val="both"/>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7"/>
      <w:bookmarkEnd w:id="1108"/>
      <w:bookmarkEnd w:id="110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698"/>
        <w:gridCol w:w="22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1,205,041,779.25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1,152,934,649.73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23,765,902.07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12,060,724.20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1,228,809,181.32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1,165,028,886.98</w:t>
            </w:r>
          </w:p>
        </w:tc>
      </w:tr>
    </w:tbl>
    <w:p>
      <w:pPr>
        <w:widowControl w:val="0"/>
        <w:spacing w:line="1" w:lineRule="exact"/>
      </w:pPr>
    </w:p>
    <w:tbl>
      <w:tblPr>
        <w:tblOverlap w:val="never"/>
        <w:jc w:val="center"/>
        <w:tblLayout w:type="fixed"/>
      </w:tblPr>
      <w:tblGrid>
        <w:gridCol w:w="4685"/>
        <w:gridCol w:w="2693"/>
        <w:gridCol w:w="22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46,669,988.21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29,358,262.74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4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注1：银行存款期末余额</w:t>
      </w:r>
      <w:r>
        <w:rPr>
          <w:color w:val="000000"/>
          <w:spacing w:val="0"/>
          <w:w w:val="100"/>
          <w:position w:val="0"/>
        </w:rPr>
        <w:t>1,205,041,779.25</w:t>
      </w:r>
      <w:r>
        <w:rPr>
          <w:color w:val="000000"/>
          <w:spacing w:val="0"/>
          <w:w w:val="100"/>
          <w:position w:val="0"/>
        </w:rPr>
        <w:t>元，其中：定期存款</w:t>
      </w:r>
      <w:r>
        <w:rPr>
          <w:color w:val="000000"/>
          <w:spacing w:val="0"/>
          <w:w w:val="100"/>
          <w:position w:val="0"/>
        </w:rPr>
        <w:t>343,445,693.61</w:t>
      </w:r>
      <w:r>
        <w:rPr>
          <w:color w:val="000000"/>
          <w:spacing w:val="0"/>
          <w:w w:val="100"/>
          <w:position w:val="0"/>
        </w:rPr>
        <w:t xml:space="preserve">元（其中定期存单 </w:t>
      </w:r>
      <w:r>
        <w:rPr>
          <w:color w:val="000000"/>
          <w:spacing w:val="0"/>
          <w:w w:val="100"/>
          <w:position w:val="0"/>
        </w:rPr>
        <w:t>29,000,000.00</w:t>
      </w:r>
      <w:r>
        <w:rPr>
          <w:color w:val="000000"/>
          <w:spacing w:val="0"/>
          <w:w w:val="100"/>
          <w:position w:val="0"/>
        </w:rPr>
        <w:t>元用于长期借款质押，详见附注七、（45）长期借款），在编制现金流量表时不作为现金 及现金等价物。</w:t>
      </w:r>
    </w:p>
    <w:p>
      <w:pPr>
        <w:pStyle w:val="Style4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注2 :其他货币资金期末余额</w:t>
      </w:r>
      <w:r>
        <w:rPr>
          <w:color w:val="000000"/>
          <w:spacing w:val="0"/>
          <w:w w:val="100"/>
          <w:position w:val="0"/>
        </w:rPr>
        <w:t>23,765,902.07</w:t>
      </w:r>
      <w:r>
        <w:rPr>
          <w:color w:val="000000"/>
          <w:spacing w:val="0"/>
          <w:w w:val="100"/>
          <w:position w:val="0"/>
        </w:rPr>
        <w:t>元，其中保函保证金</w:t>
      </w:r>
      <w:r>
        <w:rPr>
          <w:color w:val="000000"/>
          <w:spacing w:val="0"/>
          <w:w w:val="100"/>
          <w:position w:val="0"/>
        </w:rPr>
        <w:t>8,733,112.21</w:t>
      </w:r>
      <w:r>
        <w:rPr>
          <w:color w:val="000000"/>
          <w:spacing w:val="0"/>
          <w:w w:val="100"/>
          <w:position w:val="0"/>
        </w:rPr>
        <w:t xml:space="preserve">元、承兑保证金 8,936, </w:t>
      </w:r>
      <w:r>
        <w:rPr>
          <w:color w:val="000000"/>
          <w:spacing w:val="0"/>
          <w:w w:val="100"/>
          <w:position w:val="0"/>
        </w:rPr>
        <w:t xml:space="preserve">876. </w:t>
      </w:r>
      <w:r>
        <w:rPr>
          <w:color w:val="000000"/>
          <w:spacing w:val="0"/>
          <w:w w:val="100"/>
          <w:position w:val="0"/>
        </w:rPr>
        <w:t>00元在编制现金流量表时不作为现金及现金等价物。</w:t>
      </w:r>
    </w:p>
    <w:p>
      <w:pPr>
        <w:pStyle w:val="Style44"/>
        <w:keepNext w:val="0"/>
        <w:keepLines w:val="0"/>
        <w:widowControl w:val="0"/>
        <w:shd w:val="clear" w:color="auto" w:fill="auto"/>
        <w:bidi w:val="0"/>
        <w:spacing w:before="0" w:after="200" w:line="478" w:lineRule="exact"/>
        <w:ind w:left="0" w:right="0" w:firstLine="440"/>
        <w:jc w:val="both"/>
      </w:pPr>
      <w:r>
        <w:rPr>
          <w:color w:val="000000"/>
          <w:spacing w:val="0"/>
          <w:w w:val="100"/>
          <w:position w:val="0"/>
        </w:rPr>
        <w:t>注3：除上述之外，截止2020年12月31日，本集团不存在抵押、质押或冻结、或存放在境外且资金汇 回受到限制的款项。</w:t>
      </w:r>
    </w:p>
    <w:p>
      <w:pPr>
        <w:pStyle w:val="Style32"/>
        <w:keepNext/>
        <w:keepLines/>
        <w:widowControl w:val="0"/>
        <w:shd w:val="clear" w:color="auto" w:fill="auto"/>
        <w:tabs>
          <w:tab w:pos="378" w:val="left"/>
        </w:tabs>
        <w:bidi w:val="0"/>
        <w:spacing w:before="0" w:after="380" w:line="479" w:lineRule="exact"/>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w:t>
        <w:tab/>
        <w:t>交易性金融资产</w:t>
      </w:r>
      <w:bookmarkEnd w:id="1110"/>
      <w:bookmarkEnd w:id="1111"/>
      <w:bookmarkEnd w:id="111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479" w:lineRule="exact"/>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color w:val="000000"/>
          <w:spacing w:val="0"/>
          <w:w w:val="100"/>
          <w:position w:val="0"/>
        </w:rPr>
        <w:t>、</w:t>
        <w:tab/>
        <w:t>衍生金融资产</w:t>
      </w:r>
      <w:bookmarkEnd w:id="1114"/>
      <w:bookmarkEnd w:id="1115"/>
      <w:bookmarkEnd w:id="111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120" w:line="479" w:lineRule="exact"/>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4</w:t>
      </w:r>
      <w:bookmarkEnd w:id="1120"/>
      <w:r>
        <w:rPr>
          <w:color w:val="000000"/>
          <w:spacing w:val="0"/>
          <w:w w:val="100"/>
          <w:position w:val="0"/>
        </w:rPr>
        <w:t>、</w:t>
        <w:tab/>
        <w:t>应收票据</w:t>
      </w:r>
      <w:bookmarkEnd w:id="1118"/>
      <w:bookmarkEnd w:id="1119"/>
      <w:bookmarkEnd w:id="1121"/>
    </w:p>
    <w:p>
      <w:pPr>
        <w:pStyle w:val="Style75"/>
        <w:keepNext/>
        <w:keepLines/>
        <w:widowControl w:val="0"/>
        <w:shd w:val="clear" w:color="auto" w:fill="auto"/>
        <w:bidi w:val="0"/>
        <w:spacing w:before="0" w:after="380" w:line="479" w:lineRule="exact"/>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2"/>
      <w:bookmarkEnd w:id="1123"/>
      <w:bookmarkEnd w:id="112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1,110,225.00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11,126,193.79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480,246.00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1,590,471.00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11,126,193.79</w:t>
            </w:r>
          </w:p>
        </w:tc>
      </w:tr>
    </w:tbl>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79" w:line="1" w:lineRule="exact"/>
      </w:pPr>
    </w:p>
    <w:p>
      <w:pPr>
        <w:pStyle w:val="Style75"/>
        <w:keepNext/>
        <w:keepLines/>
        <w:widowControl w:val="0"/>
        <w:shd w:val="clear" w:color="auto" w:fill="auto"/>
        <w:tabs>
          <w:tab w:pos="488" w:val="left"/>
        </w:tabs>
        <w:bidi w:val="0"/>
        <w:spacing w:before="0" w:after="26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26"/>
      <w:bookmarkEnd w:id="1127"/>
      <w:bookmarkEnd w:id="1129"/>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20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488" w:val="left"/>
        </w:tabs>
        <w:bidi w:val="0"/>
        <w:spacing w:before="0" w:after="26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30"/>
      <w:bookmarkEnd w:id="1131"/>
      <w:bookmarkEnd w:id="1133"/>
    </w:p>
    <w:p>
      <w:pPr>
        <w:pStyle w:val="Style29"/>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34"/>
      <w:bookmarkEnd w:id="1135"/>
      <w:bookmarkEnd w:id="113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38"/>
      <w:bookmarkEnd w:id="1139"/>
      <w:bookmarkEnd w:id="114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42"/>
      <w:bookmarkEnd w:id="1143"/>
      <w:bookmarkEnd w:id="114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5</w:t>
      </w:r>
      <w:bookmarkEnd w:id="1148"/>
      <w:r>
        <w:rPr>
          <w:color w:val="000000"/>
          <w:spacing w:val="0"/>
          <w:w w:val="100"/>
          <w:position w:val="0"/>
        </w:rPr>
        <w:t>、应收账款</w:t>
      </w:r>
      <w:bookmarkEnd w:id="1146"/>
      <w:bookmarkEnd w:id="1147"/>
      <w:bookmarkEnd w:id="1149"/>
    </w:p>
    <w:p>
      <w:pPr>
        <w:pStyle w:val="Style75"/>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0"/>
      <w:bookmarkEnd w:id="1151"/>
      <w:bookmarkEnd w:id="115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797"/>
        <w:gridCol w:w="802"/>
        <w:gridCol w:w="787"/>
        <w:gridCol w:w="94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876,378,</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129,264,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747,113,8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744,403,0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95,823,50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648,579,50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876,378,</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129,264,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747,113,8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744,403,0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95,823,50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648,579,50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876,378,</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129,264,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747,113,8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744,403,0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95,823,50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648,579,50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541,240,230.53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27,062,011.54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165,354,341.86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16,535,434.18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96,339,095.21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28,901,728.56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27,506,586.32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13,753,293.17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14,630,383.48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11,704,306.79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31,307,731.58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31,307,731.58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876,378,368.98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129,264,505.82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541,240,230.53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165,354,341.86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96,339,095.21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73,444,701.38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27,506,586.32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14,630,383.48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31,307,731.58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876,378,368.98</w:t>
            </w:r>
          </w:p>
        </w:tc>
      </w:tr>
    </w:tbl>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4"/>
      <w:bookmarkEnd w:id="1155"/>
      <w:bookmarkEnd w:id="115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272"/>
        <w:gridCol w:w="1133"/>
        <w:gridCol w:w="710"/>
        <w:gridCol w:w="830"/>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95,823,502.17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33,441,003.65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129,264,505.82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95,823,502.17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33,441,003.65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129,264,505.82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58"/>
      <w:bookmarkEnd w:id="1159"/>
      <w:bookmarkEnd w:id="116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62"/>
      <w:bookmarkEnd w:id="1163"/>
      <w:bookmarkEnd w:id="11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2419"/>
        <w:gridCol w:w="3485"/>
        <w:gridCol w:w="253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76,655,500.00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6,821,625.00</w:t>
            </w:r>
          </w:p>
        </w:tc>
      </w:tr>
    </w:tbl>
    <w:p>
      <w:pPr>
        <w:widowControl w:val="0"/>
        <w:spacing w:line="1" w:lineRule="exact"/>
      </w:pPr>
      <w:r>
        <w:br w:type="page"/>
      </w:r>
    </w:p>
    <w:tbl>
      <w:tblPr>
        <w:tblOverlap w:val="never"/>
        <w:jc w:val="center"/>
        <w:tblLayout w:type="fixed"/>
      </w:tblPr>
      <w:tblGrid>
        <w:gridCol w:w="1142"/>
        <w:gridCol w:w="2410"/>
        <w:gridCol w:w="3494"/>
        <w:gridCol w:w="25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47,392,200.00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2,370,750.00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33,499,100.25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1,729,717.06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29,827,500.00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8,938,250.00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16,895,297.71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844,764.89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204,269,597.96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75"/>
        <w:keepNext/>
        <w:keepLines/>
        <w:widowControl w:val="0"/>
        <w:shd w:val="clear" w:color="auto" w:fill="auto"/>
        <w:tabs>
          <w:tab w:pos="488" w:val="left"/>
        </w:tabs>
        <w:bidi w:val="0"/>
        <w:spacing w:before="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66"/>
      <w:bookmarkEnd w:id="1167"/>
      <w:bookmarkEnd w:id="1169"/>
    </w:p>
    <w:p>
      <w:pPr>
        <w:pStyle w:val="Style4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期末无因金融资产转移而终止确认的应收账款情况。</w:t>
      </w:r>
    </w:p>
    <w:p>
      <w:pPr>
        <w:pStyle w:val="Style75"/>
        <w:keepNext/>
        <w:keepLines/>
        <w:widowControl w:val="0"/>
        <w:shd w:val="clear" w:color="auto" w:fill="auto"/>
        <w:tabs>
          <w:tab w:pos="488" w:val="left"/>
        </w:tabs>
        <w:bidi w:val="0"/>
        <w:spacing w:before="0" w:line="240" w:lineRule="auto"/>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70"/>
      <w:bookmarkEnd w:id="1171"/>
      <w:bookmarkEnd w:id="1173"/>
    </w:p>
    <w:p>
      <w:pPr>
        <w:pStyle w:val="Style4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期末无转移应收账款且继续涉入形成的资产、负债的金额。</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6</w:t>
      </w:r>
      <w:bookmarkEnd w:id="1176"/>
      <w:r>
        <w:rPr>
          <w:color w:val="000000"/>
          <w:spacing w:val="0"/>
          <w:w w:val="100"/>
          <w:position w:val="0"/>
        </w:rPr>
        <w:t>、</w:t>
        <w:tab/>
        <w:t>应收款项融资</w:t>
      </w:r>
      <w:bookmarkEnd w:id="1174"/>
      <w:bookmarkEnd w:id="1175"/>
      <w:bookmarkEnd w:id="117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7</w:t>
      </w:r>
      <w:bookmarkEnd w:id="1180"/>
      <w:r>
        <w:rPr>
          <w:color w:val="000000"/>
          <w:spacing w:val="0"/>
          <w:w w:val="100"/>
          <w:position w:val="0"/>
        </w:rPr>
        <w:t>、</w:t>
        <w:tab/>
        <w:t>预付款项</w:t>
      </w:r>
      <w:bookmarkEnd w:id="1178"/>
      <w:bookmarkEnd w:id="1179"/>
      <w:bookmarkEnd w:id="1181"/>
    </w:p>
    <w:p>
      <w:pPr>
        <w:pStyle w:val="Style75"/>
        <w:keepNext/>
        <w:keepLines/>
        <w:widowControl w:val="0"/>
        <w:shd w:val="clear" w:color="auto" w:fill="auto"/>
        <w:bidi w:val="0"/>
        <w:spacing w:before="0" w:line="240" w:lineRule="auto"/>
        <w:ind w:left="0" w:right="0" w:firstLine="14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2"/>
      <w:bookmarkEnd w:id="1183"/>
      <w:bookmarkEnd w:id="118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55,586,739.25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61,110,133.89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5,289,151.73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8,223,480.62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1,841,984.12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1,711,332.56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1,778,136.77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64,429,207.66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71,916,407.64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44"/>
        <w:keepNext w:val="0"/>
        <w:keepLines w:val="0"/>
        <w:widowControl w:val="0"/>
        <w:shd w:val="clear" w:color="auto" w:fill="auto"/>
        <w:bidi w:val="0"/>
        <w:spacing w:before="0" w:after="80" w:line="240" w:lineRule="auto"/>
        <w:ind w:left="0" w:right="0" w:firstLine="0"/>
        <w:jc w:val="left"/>
      </w:pPr>
      <w:bookmarkStart w:id="1186" w:name="bookmark1186"/>
      <w:bookmarkStart w:id="1187" w:name="bookmark1187"/>
      <w:r>
        <w:rPr>
          <w:b/>
          <w:bCs/>
          <w:color w:val="000000"/>
          <w:spacing w:val="0"/>
          <w:w w:val="100"/>
          <w:position w:val="0"/>
        </w:rPr>
        <w:t>（</w:t>
      </w:r>
      <w:bookmarkEnd w:id="1186"/>
      <w:r>
        <w:rPr>
          <w:rFonts w:ascii="Times New Roman" w:eastAsia="Times New Roman" w:hAnsi="Times New Roman" w:cs="Times New Roman"/>
          <w:b/>
          <w:bCs/>
          <w:color w:val="000000"/>
          <w:spacing w:val="0"/>
          <w:w w:val="100"/>
          <w:position w:val="0"/>
        </w:rPr>
        <w:t>2</w:t>
      </w:r>
      <w:r>
        <w:rPr>
          <w:b/>
          <w:bCs/>
          <w:color w:val="000000"/>
          <w:spacing w:val="0"/>
          <w:w w:val="100"/>
          <w:position w:val="0"/>
        </w:rPr>
        <w:t>）按预付对象归集的期末余额前五名的预付款情况</w:t>
      </w:r>
      <w:bookmarkEnd w:id="1187"/>
    </w:p>
    <w:p>
      <w:pPr>
        <w:pStyle w:val="Style36"/>
        <w:keepNext w:val="0"/>
        <w:keepLines w:val="0"/>
        <w:widowControl w:val="0"/>
        <w:shd w:val="clear" w:color="auto" w:fill="auto"/>
        <w:bidi w:val="0"/>
        <w:spacing w:before="0" w:after="0" w:line="240" w:lineRule="auto"/>
        <w:ind w:left="8323" w:right="0" w:firstLine="0"/>
        <w:jc w:val="left"/>
      </w:pPr>
      <w:r>
        <w:rPr>
          <w:color w:val="000000"/>
          <w:spacing w:val="0"/>
          <w:w w:val="100"/>
          <w:position w:val="0"/>
        </w:rPr>
        <w:t>单位：元</w:t>
      </w:r>
    </w:p>
    <w:tbl>
      <w:tblPr>
        <w:tblOverlap w:val="never"/>
        <w:jc w:val="center"/>
        <w:tblLayout w:type="fixed"/>
      </w:tblPr>
      <w:tblGrid>
        <w:gridCol w:w="2040"/>
        <w:gridCol w:w="1862"/>
        <w:gridCol w:w="1776"/>
        <w:gridCol w:w="2554"/>
        <w:gridCol w:w="12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与本集团关系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占预付账款总额的比例（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14,382,290.22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3,428,752.21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1,991,150.45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1,880,345.23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1,601,769.95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040"/>
        <w:gridCol w:w="1862"/>
        <w:gridCol w:w="1776"/>
        <w:gridCol w:w="2554"/>
        <w:gridCol w:w="1286"/>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23,284,308.06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8</w:t>
      </w:r>
      <w:bookmarkEnd w:id="1190"/>
      <w:r>
        <w:rPr>
          <w:color w:val="000000"/>
          <w:spacing w:val="0"/>
          <w:w w:val="100"/>
          <w:position w:val="0"/>
        </w:rPr>
        <w:t>、其他应收款</w:t>
      </w:r>
      <w:bookmarkEnd w:id="1188"/>
      <w:bookmarkEnd w:id="1189"/>
      <w:bookmarkEnd w:id="119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2,728,224.66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2,414,206.76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96,769,049.56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79,354,972.44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99,497,274.22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81,769,179.20</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2"/>
      <w:bookmarkEnd w:id="1193"/>
      <w:bookmarkEnd w:id="1195"/>
    </w:p>
    <w:p>
      <w:pPr>
        <w:pStyle w:val="Style124"/>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color w:val="000000"/>
          <w:spacing w:val="0"/>
          <w:w w:val="100"/>
          <w:position w:val="0"/>
        </w:rPr>
        <w:t>）应收利息分类</w:t>
      </w:r>
      <w:bookmarkEnd w:id="1196"/>
      <w:bookmarkEnd w:id="1197"/>
      <w:bookmarkEnd w:id="119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2,728,224.66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2,414,206.76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2,728,224.66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2,414,206.76</w:t>
            </w:r>
          </w:p>
        </w:tc>
      </w:tr>
    </w:tbl>
    <w:p>
      <w:pPr>
        <w:widowControl w:val="0"/>
        <w:spacing w:after="359" w:line="1" w:lineRule="exact"/>
      </w:pPr>
    </w:p>
    <w:p>
      <w:pPr>
        <w:pStyle w:val="Style124"/>
        <w:keepNext/>
        <w:keepLines/>
        <w:widowControl w:val="0"/>
        <w:shd w:val="clear" w:color="auto" w:fill="auto"/>
        <w:tabs>
          <w:tab w:pos="392" w:val="left"/>
        </w:tabs>
        <w:bidi w:val="0"/>
        <w:spacing w:before="0" w:after="40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w:t>
        <w:tab/>
        <w:t>重要逾期利息</w:t>
      </w:r>
      <w:bookmarkEnd w:id="1200"/>
      <w:bookmarkEnd w:id="1201"/>
      <w:bookmarkEnd w:id="120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w:t>
        <w:tab/>
        <w:t>坏账准备计提情况</w:t>
      </w:r>
      <w:bookmarkEnd w:id="1204"/>
      <w:bookmarkEnd w:id="1205"/>
      <w:bookmarkEnd w:id="120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08"/>
      <w:bookmarkEnd w:id="1209"/>
      <w:bookmarkEnd w:id="1211"/>
    </w:p>
    <w:p>
      <w:pPr>
        <w:pStyle w:val="Style124"/>
        <w:keepNext/>
        <w:keepLines/>
        <w:widowControl w:val="0"/>
        <w:shd w:val="clear" w:color="auto" w:fill="auto"/>
        <w:tabs>
          <w:tab w:pos="382" w:val="left"/>
        </w:tabs>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color w:val="000000"/>
          <w:spacing w:val="0"/>
          <w:w w:val="100"/>
          <w:position w:val="0"/>
        </w:rPr>
        <w:t>）</w:t>
        <w:tab/>
        <w:t>应收股利分类</w:t>
      </w:r>
      <w:bookmarkEnd w:id="1212"/>
      <w:bookmarkEnd w:id="1213"/>
      <w:bookmarkEnd w:id="121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after="40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16"/>
      <w:bookmarkEnd w:id="1217"/>
      <w:bookmarkEnd w:id="121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color w:val="000000"/>
          <w:spacing w:val="0"/>
          <w:w w:val="100"/>
          <w:position w:val="0"/>
        </w:rPr>
        <w:t>）</w:t>
        <w:tab/>
        <w:t>坏账准备计提情况</w:t>
      </w:r>
      <w:bookmarkEnd w:id="1220"/>
      <w:bookmarkEnd w:id="1221"/>
      <w:bookmarkEnd w:id="122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4"/>
      <w:bookmarkEnd w:id="1225"/>
      <w:bookmarkEnd w:id="1227"/>
    </w:p>
    <w:p>
      <w:pPr>
        <w:pStyle w:val="Style124"/>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color w:val="000000"/>
          <w:spacing w:val="0"/>
          <w:w w:val="100"/>
          <w:position w:val="0"/>
        </w:rPr>
        <w:t>）其他应收款按款项性质分类情况</w:t>
      </w:r>
      <w:bookmarkEnd w:id="1228"/>
      <w:bookmarkEnd w:id="1229"/>
      <w:bookmarkEnd w:id="12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6,067,783.03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8,404,774.63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97,071,467.53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78,076,417.42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13,275,910.02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10,585,936.40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5,374,862.38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4,879,022.94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121,790,022.96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101,946,151.39</w:t>
            </w:r>
          </w:p>
        </w:tc>
      </w:tr>
    </w:tbl>
    <w:p>
      <w:pPr>
        <w:widowControl w:val="0"/>
        <w:spacing w:after="299" w:line="1" w:lineRule="exact"/>
      </w:pPr>
    </w:p>
    <w:p>
      <w:pPr>
        <w:pStyle w:val="Style124"/>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color w:val="000000"/>
          <w:spacing w:val="0"/>
          <w:w w:val="100"/>
          <w:position w:val="0"/>
        </w:rPr>
        <w:t>）坏账准备计提情况</w:t>
      </w:r>
      <w:bookmarkEnd w:id="1232"/>
      <w:bookmarkEnd w:id="1233"/>
      <w:bookmarkEnd w:id="12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982"/>
        <w:gridCol w:w="1978"/>
        <w:gridCol w:w="136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22,591,178.95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22,591,178.95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2,429,909.45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2,429,909.45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25,020,973.40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25,020,973.40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55,329,237.55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29,676,113.09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16,659,213.32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20,125,459.00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9,099,145.77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2,905,294.25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8,121,018.98</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121,790,022.96</w:t>
            </w:r>
          </w:p>
        </w:tc>
      </w:tr>
    </w:tbl>
    <w:p>
      <w:pPr>
        <w:widowControl w:val="0"/>
        <w:spacing w:after="299" w:line="1" w:lineRule="exact"/>
      </w:pPr>
    </w:p>
    <w:p>
      <w:pPr>
        <w:pStyle w:val="Style124"/>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color w:val="000000"/>
          <w:spacing w:val="0"/>
          <w:w w:val="100"/>
          <w:position w:val="0"/>
        </w:rPr>
        <w:t>）本期计提、收回或转回的坏账准备情况</w:t>
      </w:r>
      <w:bookmarkEnd w:id="1236"/>
      <w:bookmarkEnd w:id="1237"/>
      <w:bookmarkEnd w:id="123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0"/>
        <w:gridCol w:w="1334"/>
        <w:gridCol w:w="1325"/>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保证金、押金、往 来款等其他应收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22,591,178.95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2,429,909.45</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25,020,973.40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22,591,178.95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2,429,909.45</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115.00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25,020,973.40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124"/>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color w:val="000000"/>
          <w:spacing w:val="0"/>
          <w:w w:val="100"/>
          <w:position w:val="0"/>
        </w:rPr>
        <w:t>）本期实际核销的其他应收款情况</w:t>
      </w:r>
      <w:bookmarkEnd w:id="1240"/>
      <w:bookmarkEnd w:id="1241"/>
      <w:bookmarkEnd w:id="124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宿舍押金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29"/>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1608"/>
        <w:gridCol w:w="1584"/>
        <w:gridCol w:w="1594"/>
        <w:gridCol w:w="1608"/>
        <w:gridCol w:w="1579"/>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王志刚</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宿舍押金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第四届董事会第二 十二次会议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112"/>
        <w:keepNext w:val="0"/>
        <w:keepLines w:val="0"/>
        <w:widowControl w:val="0"/>
        <w:shd w:val="clear" w:color="auto" w:fill="auto"/>
        <w:tabs>
          <w:tab w:pos="2324" w:val="left"/>
          <w:tab w:pos="3658" w:val="left"/>
        </w:tabs>
        <w:bidi w:val="0"/>
        <w:spacing w:before="0" w:after="160" w:line="240" w:lineRule="auto"/>
        <w:ind w:left="0" w:right="0" w:firstLine="620"/>
        <w:jc w:val="left"/>
      </w:pPr>
      <w:r>
        <w:rPr>
          <w:rFonts w:ascii="SimSun" w:eastAsia="SimSun" w:hAnsi="SimSun" w:cs="SimSun"/>
          <w:color w:val="000000"/>
          <w:spacing w:val="0"/>
          <w:w w:val="100"/>
          <w:position w:val="0"/>
        </w:rPr>
        <w:t>合计</w:t>
        <w:tab/>
      </w:r>
      <w:r>
        <w:rPr>
          <w:color w:val="000000"/>
          <w:spacing w:val="0"/>
          <w:w w:val="100"/>
          <w:position w:val="0"/>
        </w:rPr>
        <w:t>--</w:t>
        <w:tab/>
        <w:t>2,300.00</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124"/>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5</w:t>
      </w:r>
      <w:bookmarkEnd w:id="1246"/>
      <w:r>
        <w:rPr>
          <w:color w:val="000000"/>
          <w:spacing w:val="0"/>
          <w:w w:val="100"/>
          <w:position w:val="0"/>
        </w:rPr>
        <w:t>）按欠款方归集的期末余额前五名的其他应收款情况</w:t>
      </w:r>
      <w:bookmarkEnd w:id="1244"/>
      <w:bookmarkEnd w:id="1245"/>
      <w:bookmarkEnd w:id="12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2"/>
        <w:gridCol w:w="1138"/>
        <w:gridCol w:w="3398"/>
        <w:gridCol w:w="1426"/>
        <w:gridCol w:w="149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6,331,998.90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6,167,998.9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1,932,399.67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6,160,079.00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 xml:space="preserve">5534079.00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626000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339,303.95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5,802,460.00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 xml:space="preserve">2,549,360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3,253,100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452,778.00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4,304,649.39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2,660,760.88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1,643,888.51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759,242.64</w:t>
            </w:r>
          </w:p>
        </w:tc>
      </w:tr>
    </w:tbl>
    <w:p>
      <w:pPr>
        <w:widowControl w:val="0"/>
        <w:spacing w:line="1" w:lineRule="exact"/>
      </w:pPr>
    </w:p>
    <w:tbl>
      <w:tblPr>
        <w:tblOverlap w:val="never"/>
        <w:jc w:val="center"/>
        <w:tblLayout w:type="fixed"/>
      </w:tblPr>
      <w:tblGrid>
        <w:gridCol w:w="859"/>
        <w:gridCol w:w="1272"/>
        <w:gridCol w:w="1138"/>
        <w:gridCol w:w="3398"/>
        <w:gridCol w:w="1421"/>
        <w:gridCol w:w="14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3,767,944.76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 xml:space="preserve">516,800.00;1-2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2,508,584.76;2-3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441,760.00;3-4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300,800.00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559,626.48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26,367,132.05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4,043,350.74</w:t>
            </w:r>
          </w:p>
        </w:tc>
      </w:tr>
    </w:tbl>
    <w:p>
      <w:pPr>
        <w:widowControl w:val="0"/>
        <w:spacing w:after="299" w:line="1" w:lineRule="exact"/>
      </w:pPr>
    </w:p>
    <w:p>
      <w:pPr>
        <w:pStyle w:val="Style124"/>
        <w:keepNext/>
        <w:keepLines/>
        <w:widowControl w:val="0"/>
        <w:shd w:val="clear" w:color="auto" w:fill="auto"/>
        <w:tabs>
          <w:tab w:pos="392"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6</w:t>
      </w:r>
      <w:bookmarkEnd w:id="1250"/>
      <w:r>
        <w:rPr>
          <w:color w:val="000000"/>
          <w:spacing w:val="0"/>
          <w:w w:val="100"/>
          <w:position w:val="0"/>
        </w:rPr>
        <w:t>）</w:t>
        <w:tab/>
        <w:t>涉及政府补助的应收款项</w:t>
      </w:r>
      <w:bookmarkEnd w:id="1248"/>
      <w:bookmarkEnd w:id="1249"/>
      <w:bookmarkEnd w:id="125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7</w:t>
      </w:r>
      <w:bookmarkEnd w:id="1254"/>
      <w:r>
        <w:rPr>
          <w:color w:val="000000"/>
          <w:spacing w:val="0"/>
          <w:w w:val="100"/>
          <w:position w:val="0"/>
        </w:rPr>
        <w:t>）</w:t>
        <w:tab/>
        <w:t>因金融资产转移而终止确认的其他应收款</w:t>
      </w:r>
      <w:bookmarkEnd w:id="1252"/>
      <w:bookmarkEnd w:id="1253"/>
      <w:bookmarkEnd w:id="1255"/>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期末无因金融资产转移而终止确认的其他应收款情况。</w:t>
      </w:r>
    </w:p>
    <w:p>
      <w:pPr>
        <w:pStyle w:val="Style124"/>
        <w:keepNext/>
        <w:keepLines/>
        <w:widowControl w:val="0"/>
        <w:shd w:val="clear" w:color="auto" w:fill="auto"/>
        <w:tabs>
          <w:tab w:pos="392"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8</w:t>
      </w:r>
      <w:bookmarkEnd w:id="1258"/>
      <w:r>
        <w:rPr>
          <w:color w:val="000000"/>
          <w:spacing w:val="0"/>
          <w:w w:val="100"/>
          <w:position w:val="0"/>
        </w:rPr>
        <w:t>）</w:t>
        <w:tab/>
        <w:t>转移其他应收款且继续涉入形成的资产、负债金额</w:t>
      </w:r>
      <w:bookmarkEnd w:id="1256"/>
      <w:bookmarkEnd w:id="1257"/>
      <w:bookmarkEnd w:id="1259"/>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期末无转移其他应收款且继续涉入形成的资产、负债的情况。</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9</w:t>
      </w:r>
      <w:bookmarkEnd w:id="1262"/>
      <w:r>
        <w:rPr>
          <w:color w:val="000000"/>
          <w:spacing w:val="0"/>
          <w:w w:val="100"/>
          <w:position w:val="0"/>
        </w:rPr>
        <w:t>、存货</w:t>
      </w:r>
      <w:bookmarkEnd w:id="1260"/>
      <w:bookmarkEnd w:id="1261"/>
      <w:bookmarkEnd w:id="126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75"/>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4"/>
      <w:bookmarkEnd w:id="1265"/>
      <w:bookmarkEnd w:id="126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1699"/>
        <w:gridCol w:w="1277"/>
        <w:gridCol w:w="1277"/>
        <w:gridCol w:w="1680"/>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存货跌价准备或合同 履约成本减值准备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存货跌价准备或合同 履约成本减值准备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70,364,661.18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2,176,206.05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68,188,455.13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80,367,331.80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2,061,417.43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78,305,914.37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17,399,090.92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17,024,559.78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6,729,050.79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6,709,227.13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121,715,894.87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3,556,833.17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118,159,061.70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113,610,236.49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3,693,150.28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109,917,086.21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381,260,882.73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21,566,625.11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359,694,257.62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252,019,839.87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10,275,635.19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241,744,204.68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590,740,529.70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27,674,195.47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563,066,334.23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452,726,458.95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16,050,026.56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436,676,432.39</w:t>
            </w:r>
          </w:p>
        </w:tc>
      </w:tr>
    </w:tbl>
    <w:p>
      <w:pPr>
        <w:widowControl w:val="0"/>
        <w:spacing w:after="299" w:line="1" w:lineRule="exact"/>
      </w:pPr>
    </w:p>
    <w:p>
      <w:pPr>
        <w:pStyle w:val="Style75"/>
        <w:keepNext/>
        <w:keepLines/>
        <w:widowControl w:val="0"/>
        <w:shd w:val="clear" w:color="auto" w:fill="auto"/>
        <w:bidi w:val="0"/>
        <w:spacing w:before="0" w:line="240" w:lineRule="auto"/>
        <w:ind w:left="0" w:right="0" w:firstLine="14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68"/>
      <w:bookmarkEnd w:id="1269"/>
      <w:bookmarkEnd w:id="127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397"/>
        <w:gridCol w:w="1349"/>
        <w:gridCol w:w="1363"/>
        <w:gridCol w:w="1368"/>
        <w:gridCol w:w="614"/>
        <w:gridCol w:w="754"/>
        <w:gridCol w:w="1368"/>
        <w:gridCol w:w="144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2,061,417.43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1,889,937.54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1,775,148.92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2,176,206.05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19,823.66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374,531.14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374,531.14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3,693,150.28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3,353,845.28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3,490,162.39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3,556,833.17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10,275,635.19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16,879,496.74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5,588,506.82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21,566,625.11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16,050,026.56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22,497,810.70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10,873,641.79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27,674,195.47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确定可变现净值的依据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本期转回或转销存货跌价准备的原因</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原材料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估计售价减去至完工时估计将要发生的成本、估计的销售 费用以及相关税费</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计提跌价的原材料已领用</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在产品</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估计售价减去至完工时估计将要发生的成本、估计的销售 费用以及相关税费</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计提跌价的在产品已销售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库存商品</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估计售价减去估计的销售费用以及相关税费</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计提跌价的库存商品已销售</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发出商品</w:t>
            </w:r>
          </w:p>
        </w:tc>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估计售价减去估计的销售费用以及相关税费</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计提跌价的发出商品已销售</w:t>
            </w:r>
          </w:p>
        </w:tc>
      </w:tr>
    </w:tbl>
    <w:p>
      <w:pPr>
        <w:widowControl w:val="0"/>
        <w:spacing w:after="299" w:line="1" w:lineRule="exact"/>
      </w:pPr>
    </w:p>
    <w:p>
      <w:pPr>
        <w:pStyle w:val="Style75"/>
        <w:keepNext/>
        <w:keepLines/>
        <w:widowControl w:val="0"/>
        <w:shd w:val="clear" w:color="auto" w:fill="auto"/>
        <w:tabs>
          <w:tab w:pos="488"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72"/>
      <w:bookmarkEnd w:id="1273"/>
      <w:bookmarkEnd w:id="127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76"/>
      <w:bookmarkEnd w:id="1277"/>
      <w:bookmarkEnd w:id="127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80"/>
      <w:bookmarkEnd w:id="1281"/>
      <w:bookmarkEnd w:id="128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205"/>
        <w:gridCol w:w="1330"/>
        <w:gridCol w:w="1195"/>
        <w:gridCol w:w="1195"/>
        <w:gridCol w:w="1195"/>
        <w:gridCol w:w="133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应收合同对价款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239,704,057.67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19,890,812.89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219,813,244.78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160,521,567.67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12,321,852.53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148,199,715.14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239,704,057.67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19,890,812.89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219,813,244.78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160,521,567.67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12,321,852.53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148,199,715.14</w:t>
            </w:r>
          </w:p>
        </w:tc>
      </w:tr>
    </w:tbl>
    <w:p>
      <w:pPr>
        <w:pStyle w:val="Style29"/>
        <w:keepNext w:val="0"/>
        <w:keepLines w:val="0"/>
        <w:widowControl w:val="0"/>
        <w:shd w:val="clear" w:color="auto" w:fill="auto"/>
        <w:bidi w:val="0"/>
        <w:spacing w:before="0" w:after="180" w:line="341" w:lineRule="exact"/>
        <w:ind w:left="0" w:right="0" w:firstLine="0"/>
        <w:jc w:val="left"/>
      </w:pPr>
      <w:r>
        <w:rPr>
          <w:color w:val="000000"/>
          <w:spacing w:val="0"/>
          <w:w w:val="100"/>
          <w:position w:val="0"/>
        </w:rPr>
        <w:t xml:space="preserve">合同资产的账面价值在本期内发生的重大变动金额和原因: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420"/>
        <w:jc w:val="left"/>
      </w:pPr>
      <w:bookmarkStart w:id="1284" w:name="bookmark1284"/>
      <w:r>
        <w:rPr>
          <w:rFonts w:ascii="Times New Roman" w:eastAsia="Times New Roman" w:hAnsi="Times New Roman" w:cs="Times New Roman"/>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合同资产分类</w:t>
      </w:r>
    </w:p>
    <w:tbl>
      <w:tblPr>
        <w:tblOverlap w:val="never"/>
        <w:jc w:val="center"/>
        <w:tblLayout w:type="fixed"/>
      </w:tblPr>
      <w:tblGrid>
        <w:gridCol w:w="3101"/>
        <w:gridCol w:w="2045"/>
        <w:gridCol w:w="1382"/>
        <w:gridCol w:w="1421"/>
        <w:gridCol w:w="170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341"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按单项评估计提减值准备的合同资产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239,704,057.67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19,890,812.89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239,704,057.67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19,890,812.89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8.30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239,704,057.67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19,890,812.89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8.30</w:t>
            </w:r>
          </w:p>
        </w:tc>
      </w:tr>
    </w:tbl>
    <w:p>
      <w:pPr>
        <w:widowControl w:val="0"/>
        <w:spacing w:after="179" w:line="1" w:lineRule="exact"/>
      </w:pPr>
    </w:p>
    <w:p>
      <w:pPr>
        <w:pStyle w:val="Style44"/>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（续）</w:t>
      </w:r>
      <w:r>
        <w:br w:type="page"/>
      </w:r>
    </w:p>
    <w:tbl>
      <w:tblPr>
        <w:tblOverlap w:val="never"/>
        <w:jc w:val="center"/>
        <w:tblLayout w:type="fixed"/>
      </w:tblPr>
      <w:tblGrid>
        <w:gridCol w:w="3115"/>
        <w:gridCol w:w="2064"/>
        <w:gridCol w:w="1349"/>
        <w:gridCol w:w="1421"/>
        <w:gridCol w:w="1709"/>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341"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按单项评估计提减值准备的合同资产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160,521,567.67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12,321,852.53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160,521,567.67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12,321,852.53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160,521,567.67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12,321,852.53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7.68</w:t>
            </w:r>
          </w:p>
        </w:tc>
      </w:tr>
    </w:tbl>
    <w:p>
      <w:pPr>
        <w:widowControl w:val="0"/>
        <w:spacing w:after="119" w:line="1" w:lineRule="exact"/>
      </w:pPr>
    </w:p>
    <w:p>
      <w:pPr>
        <w:pStyle w:val="Style44"/>
        <w:keepNext w:val="0"/>
        <w:keepLines w:val="0"/>
        <w:widowControl w:val="0"/>
        <w:shd w:val="clear" w:color="auto" w:fill="auto"/>
        <w:bidi w:val="0"/>
        <w:spacing w:before="0" w:after="0" w:line="240" w:lineRule="auto"/>
        <w:ind w:left="0" w:right="0" w:firstLine="440"/>
        <w:jc w:val="left"/>
      </w:pPr>
      <w:bookmarkStart w:id="1285" w:name="bookmark1285"/>
      <w:r>
        <w:rPr>
          <w:rFonts w:ascii="Times New Roman" w:eastAsia="Times New Roman" w:hAnsi="Times New Roman" w:cs="Times New Roman"/>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按组合计提减值准备的合同资产</w:t>
      </w:r>
    </w:p>
    <w:tbl>
      <w:tblPr>
        <w:tblOverlap w:val="never"/>
        <w:jc w:val="center"/>
        <w:tblLayout w:type="fixed"/>
      </w:tblPr>
      <w:tblGrid>
        <w:gridCol w:w="1037"/>
        <w:gridCol w:w="1728"/>
        <w:gridCol w:w="1598"/>
        <w:gridCol w:w="1171"/>
        <w:gridCol w:w="1704"/>
        <w:gridCol w:w="1061"/>
        <w:gridCol w:w="1358"/>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172,415,618.58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8,620,780.93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109,174,676.14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5,458,733.82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46,562,654.24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4,656,265.43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43,248,493.71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4,324,849.36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18,745,629.47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5,623,688.84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7,880,897.82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2,364,269.35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1,980,155.38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990,077.69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239,704,057.67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19,890,812.89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160,521,567.67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12,321,852.53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应收合同对价款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7,568,960.36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7,568,960.36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86"/>
      <w:bookmarkEnd w:id="1287"/>
      <w:bookmarkEnd w:id="128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90"/>
      <w:bookmarkEnd w:id="1291"/>
      <w:bookmarkEnd w:id="1293"/>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94"/>
      <w:bookmarkEnd w:id="1295"/>
      <w:bookmarkEnd w:id="129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70,680,597.45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46,914,934.65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683,052.82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681,069.76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13,825.67</w:t>
            </w: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71,363,955.47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47,609,830.08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98"/>
      <w:bookmarkEnd w:id="1299"/>
      <w:bookmarkEnd w:id="130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02"/>
      <w:bookmarkEnd w:id="1303"/>
      <w:bookmarkEnd w:id="1305"/>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06"/>
      <w:bookmarkEnd w:id="1307"/>
      <w:bookmarkEnd w:id="130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69" w:val="left"/>
        </w:tabs>
        <w:bidi w:val="0"/>
        <w:spacing w:before="0" w:after="36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10"/>
      <w:bookmarkEnd w:id="1311"/>
      <w:bookmarkEnd w:id="13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1138"/>
        <w:gridCol w:w="422"/>
        <w:gridCol w:w="1133"/>
        <w:gridCol w:w="710"/>
        <w:gridCol w:w="571"/>
        <w:gridCol w:w="850"/>
        <w:gridCol w:w="706"/>
        <w:gridCol w:w="322"/>
        <w:gridCol w:w="1094"/>
        <w:gridCol w:w="50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厦门服云信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9,614,156.21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3,565,494.26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13,179,650.47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厦门正信世 纪信息科技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1,729,627.11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-309,121.63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1,420,505.48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厦门市美亚 梧桐投资管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716,702.98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80,395.27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797,098.25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沈阳城市公 共安全科技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1,226,127.78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-284,766.98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941,360.80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厦门本思信 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1,168,059.95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1,161,291.80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厦门市柏科 晔济投资管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2,000,783.63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1133"/>
        <w:gridCol w:w="1138"/>
        <w:gridCol w:w="422"/>
        <w:gridCol w:w="1133"/>
        <w:gridCol w:w="710"/>
        <w:gridCol w:w="571"/>
        <w:gridCol w:w="850"/>
        <w:gridCol w:w="706"/>
        <w:gridCol w:w="322"/>
        <w:gridCol w:w="1094"/>
        <w:gridCol w:w="509"/>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理合伙企业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安徽华图信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4,206,766.36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5,508,543.13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20,661,440.39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3,347,793.17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25,009,233.56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20,661,440.39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3,347,793.17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25,009,233.56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4"/>
      <w:bookmarkEnd w:id="1315"/>
      <w:bookmarkEnd w:id="131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266"/>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北京华易智美城镇规划研究院（有限合伙）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1,603,816.32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1,788,976.23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1,564,963.22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1,462,647.40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5,963,909.49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5,749,180.19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45,959,900.00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45,959,900.00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厦门斯坦道科学仪器股份有限公司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18,448,305.39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18,260,332.41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1,069,945.82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1,094,643.38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厦门市美桐股权投资基金合伙企业（有限合伙）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深圳市中新赛克科技股份有限公司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177,839,711.28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278,812,674.00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厦门市美桐贰期股权投资合伙企业（有限合伙）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中检邦迪（北京）智能科技有限公司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362,850,551.52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383,528,353.61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1"/>
        <w:gridCol w:w="528"/>
        <w:gridCol w:w="566"/>
        <w:gridCol w:w="1560"/>
        <w:gridCol w:w="2554"/>
        <w:gridCol w:w="1637"/>
      </w:tblGrid>
      <w:tr>
        <w:trPr>
          <w:trHeight w:val="36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确认的股利收</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其他综合收益转入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指定为以公允价值计量且其变</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其他综合收益转入</w:t>
            </w:r>
          </w:p>
        </w:tc>
      </w:tr>
      <w:tr>
        <w:trPr>
          <w:trHeight w:val="355"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留存收益的金额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动计入其他综合收益的原因</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留存收益的原因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深圳市中新赛克科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1,246,504.35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38,128,578.07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基于长期发展而进行战略投资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出售部分股份</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8"/>
      <w:bookmarkEnd w:id="1319"/>
      <w:bookmarkEnd w:id="1321"/>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22"/>
      <w:bookmarkEnd w:id="1323"/>
      <w:bookmarkEnd w:id="1325"/>
    </w:p>
    <w:p>
      <w:pPr>
        <w:pStyle w:val="Style75"/>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6"/>
      <w:bookmarkEnd w:id="1327"/>
      <w:bookmarkEnd w:id="13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560"/>
        <w:gridCol w:w="1843"/>
        <w:gridCol w:w="1560"/>
        <w:gridCol w:w="13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458,508.56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458,508.56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458,508.56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458,508.56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182,824.58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182,824.58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19,606.61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19,606.61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202,431.19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202,431.19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256,077.37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256,077.37</w:t>
            </w:r>
          </w:p>
        </w:tc>
      </w:tr>
    </w:tbl>
    <w:p>
      <w:pPr>
        <w:widowControl w:val="0"/>
        <w:spacing w:line="1" w:lineRule="exact"/>
      </w:pPr>
      <w:r>
        <w:br w:type="page"/>
      </w:r>
    </w:p>
    <w:tbl>
      <w:tblPr>
        <w:tblOverlap w:val="never"/>
        <w:jc w:val="center"/>
        <w:tblLayout w:type="fixed"/>
      </w:tblPr>
      <w:tblGrid>
        <w:gridCol w:w="3269"/>
        <w:gridCol w:w="1555"/>
        <w:gridCol w:w="1843"/>
        <w:gridCol w:w="1560"/>
        <w:gridCol w:w="135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275,683.98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275,683.98</w:t>
            </w:r>
          </w:p>
        </w:tc>
      </w:tr>
    </w:tbl>
    <w:p>
      <w:pPr>
        <w:widowControl w:val="0"/>
        <w:spacing w:after="299" w:line="1" w:lineRule="exact"/>
      </w:pPr>
    </w:p>
    <w:p>
      <w:pPr>
        <w:pStyle w:val="Style75"/>
        <w:keepNext/>
        <w:keepLines/>
        <w:widowControl w:val="0"/>
        <w:numPr>
          <w:ilvl w:val="0"/>
          <w:numId w:val="27"/>
        </w:numPr>
        <w:shd w:val="clear" w:color="auto" w:fill="auto"/>
        <w:tabs>
          <w:tab w:pos="488" w:val="left"/>
        </w:tabs>
        <w:bidi w:val="0"/>
        <w:spacing w:before="0" w:line="240" w:lineRule="auto"/>
        <w:ind w:left="0" w:right="0" w:firstLine="0"/>
        <w:jc w:val="both"/>
      </w:pPr>
      <w:bookmarkStart w:id="1330" w:name="bookmark1330"/>
      <w:bookmarkStart w:id="1331" w:name="bookmark1331"/>
      <w:bookmarkStart w:id="1332" w:name="bookmark1332"/>
      <w:bookmarkStart w:id="1333" w:name="bookmark1333"/>
      <w:bookmarkEnd w:id="1332"/>
      <w:r>
        <w:rPr>
          <w:color w:val="000000"/>
          <w:spacing w:val="0"/>
          <w:w w:val="100"/>
          <w:position w:val="0"/>
        </w:rPr>
        <w:t>采用公允价值计量模式的投资性房地产</w:t>
      </w:r>
      <w:bookmarkEnd w:id="1330"/>
      <w:bookmarkEnd w:id="1331"/>
      <w:bookmarkEnd w:id="133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75"/>
        <w:keepNext/>
        <w:keepLines/>
        <w:widowControl w:val="0"/>
        <w:numPr>
          <w:ilvl w:val="0"/>
          <w:numId w:val="27"/>
        </w:numPr>
        <w:shd w:val="clear" w:color="auto" w:fill="auto"/>
        <w:tabs>
          <w:tab w:pos="488" w:val="left"/>
        </w:tabs>
        <w:bidi w:val="0"/>
        <w:spacing w:before="0" w:line="240" w:lineRule="auto"/>
        <w:ind w:left="0" w:right="0" w:firstLine="0"/>
        <w:jc w:val="both"/>
      </w:pPr>
      <w:bookmarkStart w:id="1334" w:name="bookmark1334"/>
      <w:bookmarkStart w:id="1335" w:name="bookmark1335"/>
      <w:bookmarkStart w:id="1336" w:name="bookmark1336"/>
      <w:bookmarkStart w:id="1337" w:name="bookmark1337"/>
      <w:bookmarkEnd w:id="1336"/>
      <w:r>
        <w:rPr>
          <w:color w:val="000000"/>
          <w:spacing w:val="0"/>
          <w:w w:val="100"/>
          <w:position w:val="0"/>
        </w:rPr>
        <w:t>未办妥产权证书的投资性房地产情况</w:t>
      </w:r>
      <w:bookmarkEnd w:id="1334"/>
      <w:bookmarkEnd w:id="1335"/>
      <w:bookmarkEnd w:id="133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8"/>
      <w:bookmarkEnd w:id="1339"/>
      <w:bookmarkEnd w:id="13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442,139,781.73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387,910,370.69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442,139,781.73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387,910,370.69</w:t>
            </w:r>
          </w:p>
        </w:tc>
      </w:tr>
    </w:tbl>
    <w:p>
      <w:pPr>
        <w:widowControl w:val="0"/>
        <w:spacing w:after="299" w:line="1" w:lineRule="exact"/>
      </w:pPr>
    </w:p>
    <w:p>
      <w:pPr>
        <w:pStyle w:val="Style75"/>
        <w:keepNext/>
        <w:keepLines/>
        <w:widowControl w:val="0"/>
        <w:numPr>
          <w:ilvl w:val="0"/>
          <w:numId w:val="29"/>
        </w:numPr>
        <w:shd w:val="clear" w:color="auto" w:fill="auto"/>
        <w:bidi w:val="0"/>
        <w:spacing w:before="0" w:line="240" w:lineRule="auto"/>
        <w:ind w:left="0" w:right="0" w:firstLine="140"/>
        <w:jc w:val="both"/>
      </w:pPr>
      <w:bookmarkStart w:id="1342" w:name="bookmark1342"/>
      <w:bookmarkStart w:id="1343" w:name="bookmark1343"/>
      <w:bookmarkStart w:id="1344" w:name="bookmark1344"/>
      <w:bookmarkStart w:id="1345" w:name="bookmark1345"/>
      <w:bookmarkEnd w:id="1344"/>
      <w:r>
        <w:rPr>
          <w:color w:val="000000"/>
          <w:spacing w:val="0"/>
          <w:w w:val="100"/>
          <w:position w:val="0"/>
        </w:rPr>
        <w:t>固定资产情况</w:t>
      </w:r>
      <w:bookmarkEnd w:id="1342"/>
      <w:bookmarkEnd w:id="1343"/>
      <w:bookmarkEnd w:id="13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26"/>
        <w:gridCol w:w="1709"/>
        <w:gridCol w:w="1416"/>
        <w:gridCol w:w="1133"/>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运输工具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电子及办公设备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418,729,303.60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16,548,615.56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19,196,621.04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127,191,461.41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581,666,001.61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69,263,862.55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4,760,991.04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1,442,622.03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27,813,847.07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103,281,322.69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56,761,647.11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4,760,991.04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1,442,622.03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24,609,178.27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87,574,438.45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12,502,215.44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3,204,668.80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15,706,884.24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1,200,265.42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766,947.00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4,595,790.47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6,563,002.89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327,759.28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766,947.00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4,029,546.09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5,124,252.37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872,506.14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1,438,750.52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487,993,166.15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20,109,341.18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19,872,296.07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150,409,518.01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678,384,321.41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104,870,579.90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7,083,913.30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14,668,777.82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67,132,359.90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193,755,630.92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22,871,996.03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2,852,712.50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1,755,819.47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19,853,163.83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47,333,691.83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22,871,996.03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2,852,712.50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1,755,819.47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19,853,163.83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47,333,691.83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458,768.28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728,599.68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3,657,415.11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4,844,783.07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264,956.56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728,599.68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3,323,722.00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4,317,278.24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193,811.72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333,693.11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527,504.83</w:t>
            </w:r>
          </w:p>
        </w:tc>
      </w:tr>
    </w:tbl>
    <w:p>
      <w:pPr>
        <w:widowControl w:val="0"/>
        <w:spacing w:line="1" w:lineRule="exact"/>
      </w:pPr>
      <w:r>
        <w:br w:type="page"/>
      </w:r>
    </w:p>
    <w:tbl>
      <w:tblPr>
        <w:tblOverlap w:val="never"/>
        <w:jc w:val="center"/>
        <w:tblLayout w:type="fixed"/>
      </w:tblPr>
      <w:tblGrid>
        <w:gridCol w:w="2131"/>
        <w:gridCol w:w="1704"/>
        <w:gridCol w:w="1416"/>
        <w:gridCol w:w="1133"/>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127,742,575.93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9,477,857.52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15,695,997.61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83,328,108.62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236,244,539.68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360,250,590.22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10,631,483.66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4,176,298.46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67,081,409.39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442,139,781.73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313,858,723.70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9,464,702.26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4,527,843.22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60,059,101.51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387,910,370.69</w:t>
            </w:r>
          </w:p>
        </w:tc>
      </w:tr>
    </w:tbl>
    <w:p>
      <w:pPr>
        <w:widowControl w:val="0"/>
        <w:spacing w:after="359" w:line="1" w:lineRule="exact"/>
      </w:pPr>
    </w:p>
    <w:p>
      <w:pPr>
        <w:pStyle w:val="Style75"/>
        <w:keepNext/>
        <w:keepLines/>
        <w:widowControl w:val="0"/>
        <w:shd w:val="clear" w:color="auto" w:fill="auto"/>
        <w:tabs>
          <w:tab w:pos="488"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46"/>
      <w:bookmarkEnd w:id="1347"/>
      <w:bookmarkEnd w:id="134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350"/>
      <w:bookmarkEnd w:id="1351"/>
      <w:bookmarkEnd w:id="135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354"/>
      <w:bookmarkEnd w:id="1355"/>
      <w:bookmarkEnd w:id="135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358"/>
      <w:bookmarkEnd w:id="1359"/>
      <w:bookmarkEnd w:id="136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771"/>
        <w:gridCol w:w="46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东海火炬科技园</w:t>
            </w:r>
            <w:r>
              <w:rPr>
                <w:rFonts w:ascii="Times New Roman" w:eastAsia="Times New Roman" w:hAnsi="Times New Roman" w:cs="Times New Roman"/>
                <w:color w:val="000000"/>
                <w:spacing w:val="0"/>
                <w:w w:val="100"/>
                <w:position w:val="0"/>
              </w:rPr>
              <w:t>3#</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120,307,906.43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莲花国际</w:t>
            </w:r>
            <w:r>
              <w:rPr>
                <w:rFonts w:ascii="Times New Roman" w:eastAsia="Times New Roman" w:hAnsi="Times New Roman" w:cs="Times New Roman"/>
                <w:color w:val="000000"/>
                <w:spacing w:val="0"/>
                <w:w w:val="100"/>
                <w:position w:val="0"/>
              </w:rPr>
              <w:t>18</w:t>
            </w:r>
            <w:r>
              <w:rPr>
                <w:color w:val="000000"/>
                <w:spacing w:val="0"/>
                <w:w w:val="100"/>
                <w:position w:val="0"/>
              </w:rPr>
              <w:t>套人才房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71,050,546.23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年度尚在办理中。</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月份已取得房产证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西安科研生产楼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56,524,721.56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福州软件大道</w:t>
            </w:r>
            <w:r>
              <w:rPr>
                <w:rFonts w:ascii="Times New Roman" w:eastAsia="Times New Roman" w:hAnsi="Times New Roman" w:cs="Times New Roman"/>
                <w:color w:val="000000"/>
                <w:spacing w:val="0"/>
                <w:w w:val="100"/>
                <w:position w:val="0"/>
              </w:rPr>
              <w:t>89</w:t>
            </w:r>
            <w:r>
              <w:rPr>
                <w:color w:val="000000"/>
                <w:spacing w:val="0"/>
                <w:w w:val="100"/>
                <w:position w:val="0"/>
              </w:rPr>
              <w:t>号软件园</w:t>
            </w:r>
            <w:r>
              <w:rPr>
                <w:rFonts w:ascii="Times New Roman" w:eastAsia="Times New Roman" w:hAnsi="Times New Roman" w:cs="Times New Roman"/>
                <w:color w:val="000000"/>
                <w:spacing w:val="0"/>
                <w:w w:val="100"/>
                <w:position w:val="0"/>
              </w:rPr>
              <w:t>F</w:t>
            </w:r>
            <w:r>
              <w:rPr>
                <w:color w:val="000000"/>
                <w:spacing w:val="0"/>
                <w:w w:val="100"/>
                <w:position w:val="0"/>
              </w:rPr>
              <w:t>区</w:t>
            </w:r>
            <w:r>
              <w:rPr>
                <w:rFonts w:ascii="Times New Roman" w:eastAsia="Times New Roman" w:hAnsi="Times New Roman" w:cs="Times New Roman"/>
                <w:color w:val="000000"/>
                <w:spacing w:val="0"/>
                <w:w w:val="100"/>
                <w:position w:val="0"/>
              </w:rPr>
              <w:t>6</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12,492,884.67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362"/>
      <w:bookmarkEnd w:id="1363"/>
      <w:bookmarkEnd w:id="136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66"/>
      <w:bookmarkEnd w:id="1367"/>
      <w:bookmarkEnd w:id="136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6,964,949.36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6,964,949.36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r>
    </w:tbl>
    <w:p>
      <w:pPr>
        <w:widowControl w:val="0"/>
        <w:spacing w:after="299" w:line="1" w:lineRule="exact"/>
      </w:pPr>
    </w:p>
    <w:p>
      <w:pPr>
        <w:pStyle w:val="Style75"/>
        <w:keepNext/>
        <w:keepLines/>
        <w:widowControl w:val="0"/>
        <w:numPr>
          <w:ilvl w:val="0"/>
          <w:numId w:val="31"/>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在建工程情况</w:t>
      </w:r>
      <w:bookmarkEnd w:id="1370"/>
      <w:bookmarkEnd w:id="1371"/>
      <w:bookmarkEnd w:id="137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282"/>
        <w:gridCol w:w="850"/>
        <w:gridCol w:w="1133"/>
        <w:gridCol w:w="1272"/>
        <w:gridCol w:w="994"/>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东海火炬科技园</w:t>
            </w:r>
            <w:r>
              <w:rPr>
                <w:rFonts w:ascii="Times New Roman" w:eastAsia="Times New Roman" w:hAnsi="Times New Roman" w:cs="Times New Roman"/>
                <w:color w:val="000000"/>
                <w:spacing w:val="0"/>
                <w:w w:val="100"/>
                <w:position w:val="0"/>
              </w:rPr>
              <w:t>3#</w:t>
            </w:r>
            <w:r>
              <w:rPr>
                <w:color w:val="000000"/>
                <w:spacing w:val="0"/>
                <w:w w:val="100"/>
                <w:position w:val="0"/>
              </w:rPr>
              <w:t>楼装修改造工程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729,706.37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729,706.37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969,706.37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969,706.37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西安大楼装修工程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1,826,517.91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1,826,517.91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租赁办公区装修工程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信用大数据实验室装修一期工程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483,125.87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483,125.87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无锡天鹅座</w:t>
            </w:r>
            <w:r>
              <w:rPr>
                <w:rFonts w:ascii="Times New Roman" w:eastAsia="Times New Roman" w:hAnsi="Times New Roman" w:cs="Times New Roman"/>
                <w:color w:val="000000"/>
                <w:spacing w:val="0"/>
                <w:w w:val="100"/>
                <w:position w:val="0"/>
              </w:rPr>
              <w:t>A</w:t>
            </w:r>
            <w:r>
              <w:rPr>
                <w:color w:val="000000"/>
                <w:spacing w:val="0"/>
                <w:w w:val="100"/>
                <w:position w:val="0"/>
              </w:rPr>
              <w:t>幢</w:t>
            </w:r>
            <w:r>
              <w:rPr>
                <w:rFonts w:ascii="Times New Roman" w:eastAsia="Times New Roman" w:hAnsi="Times New Roman" w:cs="Times New Roman"/>
                <w:color w:val="000000"/>
                <w:spacing w:val="0"/>
                <w:w w:val="100"/>
                <w:position w:val="0"/>
              </w:rPr>
              <w:t>2-4</w:t>
            </w:r>
            <w:r>
              <w:rPr>
                <w:color w:val="000000"/>
                <w:spacing w:val="0"/>
                <w:w w:val="100"/>
                <w:position w:val="0"/>
              </w:rPr>
              <w:t>层装修工程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246,882.08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246,882.08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福州软件园</w:t>
            </w:r>
            <w:r>
              <w:rPr>
                <w:rFonts w:ascii="Times New Roman" w:eastAsia="Times New Roman" w:hAnsi="Times New Roman" w:cs="Times New Roman"/>
                <w:color w:val="000000"/>
                <w:spacing w:val="0"/>
                <w:w w:val="100"/>
                <w:position w:val="0"/>
              </w:rPr>
              <w:t>F</w:t>
            </w:r>
            <w:r>
              <w:rPr>
                <w:color w:val="000000"/>
                <w:spacing w:val="0"/>
                <w:w w:val="100"/>
                <w:position w:val="0"/>
              </w:rPr>
              <w:t>区</w:t>
            </w:r>
            <w:r>
              <w:rPr>
                <w:rFonts w:ascii="Times New Roman" w:eastAsia="Times New Roman" w:hAnsi="Times New Roman" w:cs="Times New Roman"/>
                <w:color w:val="000000"/>
                <w:spacing w:val="0"/>
                <w:w w:val="100"/>
                <w:position w:val="0"/>
              </w:rPr>
              <w:t>6</w:t>
            </w:r>
            <w:r>
              <w:rPr>
                <w:color w:val="000000"/>
                <w:spacing w:val="0"/>
                <w:w w:val="100"/>
                <w:position w:val="0"/>
              </w:rPr>
              <w:t>号楼</w:t>
            </w:r>
            <w:r>
              <w:rPr>
                <w:rFonts w:ascii="Times New Roman" w:eastAsia="Times New Roman" w:hAnsi="Times New Roman" w:cs="Times New Roman"/>
                <w:color w:val="000000"/>
                <w:spacing w:val="0"/>
                <w:w w:val="100"/>
                <w:position w:val="0"/>
              </w:rPr>
              <w:t>24</w:t>
            </w:r>
            <w:r>
              <w:rPr>
                <w:color w:val="000000"/>
                <w:spacing w:val="0"/>
                <w:w w:val="100"/>
                <w:position w:val="0"/>
              </w:rPr>
              <w:t>层装修工程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773,577.39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773,577.39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新德汇办公楼装修工程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4,345,358.74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4,345,358.74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6,964,949.36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6,964,949.36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2,473,291.71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2,473,291.71</w:t>
            </w:r>
          </w:p>
        </w:tc>
      </w:tr>
    </w:tbl>
    <w:p>
      <w:pPr>
        <w:widowControl w:val="0"/>
        <w:spacing w:after="299" w:line="1" w:lineRule="exact"/>
      </w:pPr>
    </w:p>
    <w:p>
      <w:pPr>
        <w:pStyle w:val="Style75"/>
        <w:keepNext/>
        <w:keepLines/>
        <w:widowControl w:val="0"/>
        <w:numPr>
          <w:ilvl w:val="0"/>
          <w:numId w:val="31"/>
        </w:numPr>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重要在建工程项目本期变动情况</w:t>
      </w:r>
      <w:bookmarkEnd w:id="1374"/>
      <w:bookmarkEnd w:id="1375"/>
      <w:bookmarkEnd w:id="137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706"/>
        <w:gridCol w:w="710"/>
        <w:gridCol w:w="710"/>
        <w:gridCol w:w="706"/>
        <w:gridCol w:w="710"/>
        <w:gridCol w:w="994"/>
        <w:gridCol w:w="706"/>
        <w:gridCol w:w="710"/>
        <w:gridCol w:w="710"/>
        <w:gridCol w:w="706"/>
        <w:gridCol w:w="566"/>
        <w:gridCol w:w="50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东海火炬科 技园</w:t>
            </w:r>
            <w:r>
              <w:rPr>
                <w:rFonts w:ascii="Times New Roman" w:eastAsia="Times New Roman" w:hAnsi="Times New Roman" w:cs="Times New Roman"/>
                <w:color w:val="000000"/>
                <w:spacing w:val="0"/>
                <w:w w:val="100"/>
                <w:position w:val="0"/>
              </w:rPr>
              <w:t>3#</w:t>
            </w:r>
            <w:r>
              <w:rPr>
                <w:color w:val="000000"/>
                <w:spacing w:val="0"/>
                <w:w w:val="100"/>
                <w:position w:val="0"/>
              </w:rPr>
              <w:t>楼</w:t>
            </w:r>
            <w:r>
              <w:rPr>
                <w:rFonts w:ascii="Times New Roman" w:eastAsia="Times New Roman" w:hAnsi="Times New Roman" w:cs="Times New Roman"/>
                <w:color w:val="000000"/>
                <w:spacing w:val="0"/>
                <w:w w:val="100"/>
                <w:position w:val="0"/>
              </w:rPr>
              <w:t>9</w:t>
            </w:r>
            <w:r>
              <w:rPr>
                <w:color w:val="000000"/>
                <w:spacing w:val="0"/>
                <w:w w:val="100"/>
                <w:position w:val="0"/>
              </w:rPr>
              <w:t>层 及</w:t>
            </w:r>
            <w:r>
              <w:rPr>
                <w:rFonts w:ascii="Times New Roman" w:eastAsia="Times New Roman" w:hAnsi="Times New Roman" w:cs="Times New Roman"/>
                <w:color w:val="000000"/>
                <w:spacing w:val="0"/>
                <w:w w:val="100"/>
                <w:position w:val="0"/>
              </w:rPr>
              <w:t>11</w:t>
            </w:r>
            <w:r>
              <w:rPr>
                <w:color w:val="000000"/>
                <w:spacing w:val="0"/>
                <w:w w:val="100"/>
                <w:position w:val="0"/>
              </w:rPr>
              <w:t>层装修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3,759,26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969,706.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1,224,02</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1,464,02</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729,706.37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北京办公室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132,429.</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132,429.</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132,429.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美亚柏科总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部装修改造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1,549,00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1,549,00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1,549,00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信用大数据 实验室装修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820,685.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483,125.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381,905.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865,031.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r>
    </w:tbl>
    <w:p>
      <w:pPr>
        <w:widowControl w:val="0"/>
        <w:spacing w:line="1" w:lineRule="exact"/>
      </w:pPr>
      <w:r>
        <w:br w:type="page"/>
      </w:r>
    </w:p>
    <w:tbl>
      <w:tblPr>
        <w:tblOverlap w:val="never"/>
        <w:jc w:val="center"/>
        <w:tblLayout w:type="fixed"/>
      </w:tblPr>
      <w:tblGrid>
        <w:gridCol w:w="1142"/>
        <w:gridCol w:w="706"/>
        <w:gridCol w:w="710"/>
        <w:gridCol w:w="710"/>
        <w:gridCol w:w="706"/>
        <w:gridCol w:w="710"/>
        <w:gridCol w:w="994"/>
        <w:gridCol w:w="706"/>
        <w:gridCol w:w="710"/>
        <w:gridCol w:w="710"/>
        <w:gridCol w:w="706"/>
        <w:gridCol w:w="566"/>
        <w:gridCol w:w="504"/>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信用大数据 实验室装修 二期、三期工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61,552.5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61,552.5</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61,552.5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西安大楼装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1,847,00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1,826,51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1,826,517.9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西部租赁办 公区装修工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120,542.</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63,366.3</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亚洲海湾展 厅装修工程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4,677,24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4,677,24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1,410,53</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3,266,71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纵横租赁办 公区装修工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760,265.</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760,265.</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100,222.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660,043.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无锡天鹅座</w:t>
            </w:r>
            <w:r>
              <w:rPr>
                <w:rFonts w:ascii="Times New Roman" w:eastAsia="Times New Roman" w:hAnsi="Times New Roman" w:cs="Times New Roman"/>
                <w:color w:val="000000"/>
                <w:spacing w:val="0"/>
                <w:w w:val="100"/>
                <w:position w:val="0"/>
              </w:rPr>
              <w:t xml:space="preserve">A </w:t>
            </w:r>
            <w:r>
              <w:rPr>
                <w:color w:val="000000"/>
                <w:spacing w:val="0"/>
                <w:w w:val="100"/>
                <w:position w:val="0"/>
              </w:rPr>
              <w:t>幢</w:t>
            </w:r>
            <w:r>
              <w:rPr>
                <w:rFonts w:ascii="Times New Roman" w:eastAsia="Times New Roman" w:hAnsi="Times New Roman" w:cs="Times New Roman"/>
                <w:color w:val="000000"/>
                <w:spacing w:val="0"/>
                <w:w w:val="100"/>
                <w:position w:val="0"/>
              </w:rPr>
              <w:t>2-4</w:t>
            </w:r>
            <w:r>
              <w:rPr>
                <w:color w:val="000000"/>
                <w:spacing w:val="0"/>
                <w:w w:val="100"/>
                <w:position w:val="0"/>
              </w:rPr>
              <w:t>层装修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7,768,13</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246,882.</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7,521,24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7,736,33</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31,793.0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福州软件园</w:t>
            </w:r>
            <w:r>
              <w:rPr>
                <w:rFonts w:ascii="Times New Roman" w:eastAsia="Times New Roman" w:hAnsi="Times New Roman" w:cs="Times New Roman"/>
                <w:color w:val="000000"/>
                <w:spacing w:val="0"/>
                <w:w w:val="100"/>
                <w:position w:val="0"/>
              </w:rPr>
              <w:t xml:space="preserve">F </w:t>
            </w:r>
            <w:r>
              <w:rPr>
                <w:color w:val="000000"/>
                <w:spacing w:val="0"/>
                <w:w w:val="100"/>
                <w:position w:val="0"/>
              </w:rPr>
              <w:t>区</w:t>
            </w:r>
            <w:r>
              <w:rPr>
                <w:rFonts w:ascii="Times New Roman" w:eastAsia="Times New Roman" w:hAnsi="Times New Roman" w:cs="Times New Roman"/>
                <w:color w:val="000000"/>
                <w:spacing w:val="0"/>
                <w:w w:val="100"/>
                <w:position w:val="0"/>
              </w:rPr>
              <w:t>6</w:t>
            </w:r>
            <w:r>
              <w:rPr>
                <w:color w:val="000000"/>
                <w:spacing w:val="0"/>
                <w:w w:val="100"/>
                <w:position w:val="0"/>
              </w:rPr>
              <w:t>号楼</w:t>
            </w:r>
            <w:r>
              <w:rPr>
                <w:rFonts w:ascii="Times New Roman" w:eastAsia="Times New Roman" w:hAnsi="Times New Roman" w:cs="Times New Roman"/>
                <w:color w:val="000000"/>
                <w:spacing w:val="0"/>
                <w:w w:val="100"/>
                <w:position w:val="0"/>
              </w:rPr>
              <w:t xml:space="preserve">24 </w:t>
            </w:r>
            <w:r>
              <w:rPr>
                <w:color w:val="000000"/>
                <w:spacing w:val="0"/>
                <w:w w:val="100"/>
                <w:position w:val="0"/>
              </w:rPr>
              <w:t>层装修工程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1,691,29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773,577.</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917,721.</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1,691,29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新德汇办公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12,227,7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9,752,78</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1,693,91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3,713,51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4,345,358.7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35,415,1</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2,473,29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28,868,0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15,706,8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8,669,52</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6,964,949.3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75"/>
        <w:keepNext/>
        <w:keepLines/>
        <w:widowControl w:val="0"/>
        <w:numPr>
          <w:ilvl w:val="0"/>
          <w:numId w:val="31"/>
        </w:numPr>
        <w:shd w:val="clear" w:color="auto" w:fill="auto"/>
        <w:tabs>
          <w:tab w:pos="488"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本期计提在建工程减值准备情况</w:t>
      </w:r>
      <w:bookmarkEnd w:id="1378"/>
      <w:bookmarkEnd w:id="1379"/>
      <w:bookmarkEnd w:id="138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val="0"/>
        <w:keepLines w:val="0"/>
        <w:widowControl w:val="0"/>
        <w:numPr>
          <w:ilvl w:val="0"/>
          <w:numId w:val="31"/>
        </w:numPr>
        <w:shd w:val="clear" w:color="auto" w:fill="auto"/>
        <w:tabs>
          <w:tab w:pos="488" w:val="left"/>
        </w:tabs>
        <w:bidi w:val="0"/>
        <w:spacing w:before="0" w:after="380" w:line="240" w:lineRule="auto"/>
        <w:ind w:left="0" w:right="0" w:firstLine="0"/>
        <w:jc w:val="left"/>
      </w:pPr>
      <w:bookmarkStart w:id="1382" w:name="bookmark1382"/>
      <w:bookmarkStart w:id="1383" w:name="bookmark1383"/>
      <w:bookmarkEnd w:id="1382"/>
      <w:r>
        <w:rPr>
          <w:b/>
          <w:bCs/>
          <w:color w:val="000000"/>
          <w:spacing w:val="0"/>
          <w:w w:val="100"/>
          <w:position w:val="0"/>
        </w:rPr>
        <w:t>工程物资</w:t>
      </w:r>
      <w:bookmarkEnd w:id="138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4"/>
      <w:bookmarkEnd w:id="1385"/>
      <w:bookmarkEnd w:id="138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8"/>
      <w:bookmarkEnd w:id="1389"/>
      <w:bookmarkEnd w:id="139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tabs>
          <w:tab w:pos="478" w:val="left"/>
        </w:tabs>
        <w:bidi w:val="0"/>
        <w:spacing w:before="0" w:after="36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2"/>
      <w:bookmarkEnd w:id="1393"/>
      <w:bookmarkEnd w:id="139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96"/>
      <w:bookmarkEnd w:id="1397"/>
      <w:bookmarkEnd w:id="1399"/>
    </w:p>
    <w:p>
      <w:pPr>
        <w:pStyle w:val="Style75"/>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0"/>
      <w:bookmarkEnd w:id="1401"/>
      <w:bookmarkEnd w:id="14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710"/>
        <w:gridCol w:w="706"/>
        <w:gridCol w:w="710"/>
        <w:gridCol w:w="960"/>
        <w:gridCol w:w="955"/>
        <w:gridCol w:w="955"/>
        <w:gridCol w:w="955"/>
        <w:gridCol w:w="960"/>
        <w:gridCol w:w="96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土地使 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 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计算机软 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商标权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武汉大千 无形资产评 估增值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开发支出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中检美亚 无形资产评 估增值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16,659,199.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279,774.76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184,601,375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5,781,813.6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214,583,063</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3,824,338.9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148,785,132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152,622,677</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2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3,837,544.5</w:t>
            </w:r>
          </w:p>
        </w:tc>
      </w:tr>
      <w:tr>
        <w:trPr>
          <w:trHeight w:val="422"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13,205.66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148,785,132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148,785,132</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r>
        <w:trPr>
          <w:trHeight w:val="36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187,451.49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187,451.49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187,451.49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187,451.49</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20,296,086.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333,386,508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5,781,813.6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367,018,289</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9,239,813.7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106,167,706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122,894,975</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3,127,686.4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43,686,455.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3,127,686.4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39,373,878.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43,686,455.</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182,581.05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182,581.05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182,581.05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182,581.05</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12,184,919.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145,541,585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166,398,850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710"/>
        <w:gridCol w:w="706"/>
        <w:gridCol w:w="710"/>
        <w:gridCol w:w="960"/>
        <w:gridCol w:w="955"/>
        <w:gridCol w:w="955"/>
        <w:gridCol w:w="955"/>
        <w:gridCol w:w="960"/>
        <w:gridCol w:w="96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28,613,398.</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28,613,398.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5,267,382.4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5,267,382.4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5,267,382.4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5,267,382.4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33,880,780.</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33,880,780.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8,111,167.6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153,964,142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4,625,450.9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166,738,658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7,419,385.5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49,820,271.</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5,781,813.6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63,074,689.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92.34%</w:t>
      </w:r>
      <w:r>
        <w:rPr>
          <w:color w:val="000000"/>
          <w:spacing w:val="0"/>
          <w:w w:val="100"/>
          <w:position w:val="0"/>
        </w:rPr>
        <w:t>。</w:t>
      </w:r>
    </w:p>
    <w:p>
      <w:pPr>
        <w:pStyle w:val="Style44"/>
        <w:keepNext w:val="0"/>
        <w:keepLines w:val="0"/>
        <w:widowControl w:val="0"/>
        <w:shd w:val="clear" w:color="auto" w:fill="auto"/>
        <w:bidi w:val="0"/>
        <w:spacing w:before="0" w:after="440" w:line="466" w:lineRule="exact"/>
        <w:ind w:left="0" w:right="0" w:firstLine="520"/>
        <w:jc w:val="both"/>
      </w:pPr>
      <w:r>
        <w:rPr>
          <w:color w:val="000000"/>
          <w:spacing w:val="0"/>
          <w:w w:val="100"/>
          <w:position w:val="0"/>
        </w:rPr>
        <w:t>报告期，公司聘请厦门市大学资产评估土地房地产估价有限责任公司对公司无形资产评估，并于2021 年3月1日出具了 “大学评估评报字[2021]840010号”《厦门市美亚柏科信息股份有限公司拟进行资产减值 测试涉及的无形资产资产评估报告》，对本集团截止评估基准日2020年12月31日开发支出形成的无形资产 进行了评估，本集团根据评估结果相应计提无形资产减值准备</w:t>
      </w:r>
      <w:r>
        <w:rPr>
          <w:color w:val="000000"/>
          <w:spacing w:val="0"/>
          <w:w w:val="100"/>
          <w:position w:val="0"/>
        </w:rPr>
        <w:t>5,267,382.45</w:t>
      </w:r>
      <w:r>
        <w:rPr>
          <w:color w:val="000000"/>
          <w:spacing w:val="0"/>
          <w:w w:val="100"/>
          <w:position w:val="0"/>
        </w:rPr>
        <w:t>元，累计计提无形资产减值准 备</w:t>
      </w:r>
      <w:r>
        <w:rPr>
          <w:color w:val="000000"/>
          <w:spacing w:val="0"/>
          <w:w w:val="100"/>
          <w:position w:val="0"/>
        </w:rPr>
        <w:t>33,880,780.7</w:t>
      </w:r>
      <w:r>
        <w:rPr>
          <w:color w:val="000000"/>
          <w:spacing w:val="0"/>
          <w:w w:val="100"/>
          <w:position w:val="0"/>
        </w:rPr>
        <w:t>7元。</w:t>
      </w:r>
    </w:p>
    <w:p>
      <w:pPr>
        <w:pStyle w:val="Style32"/>
        <w:keepNext/>
        <w:keepLines/>
        <w:widowControl w:val="0"/>
        <w:shd w:val="clear" w:color="auto" w:fill="auto"/>
        <w:bidi w:val="0"/>
        <w:spacing w:before="0" w:after="160" w:line="48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4"/>
      <w:bookmarkEnd w:id="1405"/>
      <w:bookmarkEnd w:id="14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138"/>
        <w:gridCol w:w="1416"/>
        <w:gridCol w:w="710"/>
        <w:gridCol w:w="1699"/>
        <w:gridCol w:w="1277"/>
        <w:gridCol w:w="787"/>
      </w:tblGrid>
      <w:tr>
        <w:trPr>
          <w:trHeight w:val="40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内部开发支出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确认为无形资产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tcBorders>
              <w:left w:val="single" w:sz="4"/>
              <w:right w:val="single" w:sz="4"/>
            </w:tcBorders>
            <w:shd w:val="clear" w:color="auto" w:fill="FFFFFF"/>
            <w:vAlign w:val="top"/>
          </w:tcPr>
          <w:p>
            <w:pPr/>
          </w:p>
        </w:tc>
      </w:tr>
      <w:tr>
        <w:trPr>
          <w:trHeight w:val="7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智慧监察大数据平台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20,668,908.</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rFonts w:ascii="Times New Roman" w:eastAsia="Times New Roman" w:hAnsi="Times New Roman" w:cs="Times New Roman"/>
                <w:color w:val="000000"/>
                <w:spacing w:val="0"/>
                <w:w w:val="100"/>
                <w:position w:val="0"/>
              </w:rPr>
              <w:t>5,989,329.93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rFonts w:ascii="Times New Roman" w:eastAsia="Times New Roman" w:hAnsi="Times New Roman" w:cs="Times New Roman"/>
                <w:color w:val="000000"/>
                <w:spacing w:val="0"/>
                <w:w w:val="100"/>
                <w:position w:val="0"/>
              </w:rPr>
              <w:t>23,732,907.93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rFonts w:ascii="Times New Roman" w:eastAsia="Times New Roman" w:hAnsi="Times New Roman" w:cs="Times New Roman"/>
                <w:color w:val="000000"/>
                <w:spacing w:val="0"/>
                <w:w w:val="100"/>
                <w:position w:val="0"/>
              </w:rPr>
              <w:t>2,925,330.27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移动设备查缉终端</w:t>
            </w:r>
            <w:r>
              <w:rPr>
                <w:rFonts w:ascii="Times New Roman" w:eastAsia="Times New Roman" w:hAnsi="Times New Roman" w:cs="Times New Roman"/>
                <w:color w:val="000000"/>
                <w:spacing w:val="0"/>
                <w:w w:val="100"/>
                <w:position w:val="0"/>
              </w:rPr>
              <w:t>V2.1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14,783,580.</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rFonts w:ascii="Times New Roman" w:eastAsia="Times New Roman" w:hAnsi="Times New Roman" w:cs="Times New Roman"/>
                <w:color w:val="000000"/>
                <w:spacing w:val="0"/>
                <w:w w:val="100"/>
                <w:position w:val="0"/>
              </w:rPr>
              <w:t>5,597,243.26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rFonts w:ascii="Times New Roman" w:eastAsia="Times New Roman" w:hAnsi="Times New Roman" w:cs="Times New Roman"/>
                <w:color w:val="000000"/>
                <w:spacing w:val="0"/>
                <w:w w:val="100"/>
                <w:position w:val="0"/>
              </w:rPr>
              <w:t>15,196,988.71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rFonts w:ascii="Times New Roman" w:eastAsia="Times New Roman" w:hAnsi="Times New Roman" w:cs="Times New Roman"/>
                <w:color w:val="000000"/>
                <w:spacing w:val="0"/>
                <w:w w:val="100"/>
                <w:position w:val="0"/>
              </w:rPr>
              <w:t>5,183,834.58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彩虹大数据应用平台</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6,916,462.7</w:t>
            </w:r>
          </w:p>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rFonts w:ascii="Times New Roman" w:eastAsia="Times New Roman" w:hAnsi="Times New Roman" w:cs="Times New Roman"/>
                <w:color w:val="000000"/>
                <w:spacing w:val="0"/>
                <w:w w:val="100"/>
                <w:position w:val="0"/>
              </w:rPr>
              <w:t>40,689,398.27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rFonts w:ascii="Times New Roman" w:eastAsia="Times New Roman" w:hAnsi="Times New Roman" w:cs="Times New Roman"/>
                <w:color w:val="000000"/>
                <w:spacing w:val="0"/>
                <w:w w:val="100"/>
                <w:position w:val="0"/>
              </w:rPr>
              <w:t>40,452,018.89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rFonts w:ascii="Times New Roman" w:eastAsia="Times New Roman" w:hAnsi="Times New Roman" w:cs="Times New Roman"/>
                <w:color w:val="000000"/>
                <w:spacing w:val="0"/>
                <w:w w:val="100"/>
                <w:position w:val="0"/>
              </w:rPr>
              <w:t>7,153,842.17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乾坤大数据治理平台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12,707,405.</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rFonts w:ascii="Times New Roman" w:eastAsia="Times New Roman" w:hAnsi="Times New Roman" w:cs="Times New Roman"/>
                <w:color w:val="000000"/>
                <w:spacing w:val="0"/>
                <w:w w:val="100"/>
                <w:position w:val="0"/>
              </w:rPr>
              <w:t>11,321,021.29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pPr>
            <w:r>
              <w:rPr>
                <w:rFonts w:ascii="Times New Roman" w:eastAsia="Times New Roman" w:hAnsi="Times New Roman" w:cs="Times New Roman"/>
                <w:color w:val="000000"/>
                <w:spacing w:val="0"/>
                <w:w w:val="100"/>
                <w:position w:val="0"/>
              </w:rPr>
              <w:t>24,028,426.95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互联网信息应急指挥系统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1,128,511.0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460,005.00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1,472,044.07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116,471.95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4"/>
        <w:gridCol w:w="1138"/>
        <w:gridCol w:w="1416"/>
        <w:gridCol w:w="710"/>
        <w:gridCol w:w="1699"/>
        <w:gridCol w:w="1277"/>
        <w:gridCol w:w="787"/>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手机取证大师系统</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8,617,586.7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9,042,771.67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both"/>
            </w:pPr>
            <w:r>
              <w:rPr>
                <w:rFonts w:ascii="Times New Roman" w:eastAsia="Times New Roman" w:hAnsi="Times New Roman" w:cs="Times New Roman"/>
                <w:color w:val="000000"/>
                <w:spacing w:val="0"/>
                <w:w w:val="100"/>
                <w:position w:val="0"/>
              </w:rPr>
              <w:t>11,728,673.59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5,931,684.85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鑫智经侦信息分析实战管理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both"/>
            </w:pPr>
            <w:r>
              <w:rPr>
                <w:rFonts w:ascii="Times New Roman" w:eastAsia="Times New Roman" w:hAnsi="Times New Roman" w:cs="Times New Roman"/>
                <w:color w:val="000000"/>
                <w:spacing w:val="0"/>
                <w:w w:val="100"/>
                <w:position w:val="0"/>
              </w:rPr>
              <w:t>924,127.09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861,792.35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both"/>
            </w:pPr>
            <w:r>
              <w:rPr>
                <w:rFonts w:ascii="Times New Roman" w:eastAsia="Times New Roman" w:hAnsi="Times New Roman" w:cs="Times New Roman"/>
                <w:color w:val="000000"/>
                <w:spacing w:val="0"/>
                <w:w w:val="100"/>
                <w:position w:val="0"/>
              </w:rPr>
              <w:t>1,071,618.03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714,301.41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电子数据存证云</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3,037,830.4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1,271,886.20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both"/>
            </w:pPr>
            <w:r>
              <w:rPr>
                <w:rFonts w:ascii="Times New Roman" w:eastAsia="Times New Roman" w:hAnsi="Times New Roman" w:cs="Times New Roman"/>
                <w:color w:val="000000"/>
                <w:spacing w:val="0"/>
                <w:w w:val="100"/>
                <w:position w:val="0"/>
              </w:rPr>
              <w:t>3,920,564.36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389,152.27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信息单向传输系统</w:t>
            </w:r>
            <w:r>
              <w:rPr>
                <w:rFonts w:ascii="Times New Roman" w:eastAsia="Times New Roman" w:hAnsi="Times New Roman" w:cs="Times New Roman"/>
                <w:color w:val="000000"/>
                <w:spacing w:val="0"/>
                <w:w w:val="100"/>
                <w:position w:val="0"/>
              </w:rPr>
              <w:t>V6.0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438,570.36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836,368.55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992,835.55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282,103.36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手机取证航母系统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3,609,166.5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5,226,856.55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both"/>
            </w:pPr>
            <w:r>
              <w:rPr>
                <w:rFonts w:ascii="Times New Roman" w:eastAsia="Times New Roman" w:hAnsi="Times New Roman" w:cs="Times New Roman"/>
                <w:color w:val="000000"/>
                <w:spacing w:val="0"/>
                <w:w w:val="100"/>
                <w:position w:val="0"/>
              </w:rPr>
              <w:t>4,763,485.44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4,072,537.66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远望视频图像大数据平台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4,035,056.5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9,208,156.62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both"/>
            </w:pPr>
            <w:r>
              <w:rPr>
                <w:rFonts w:ascii="Times New Roman" w:eastAsia="Times New Roman" w:hAnsi="Times New Roman" w:cs="Times New Roman"/>
                <w:color w:val="000000"/>
                <w:spacing w:val="0"/>
                <w:w w:val="100"/>
                <w:position w:val="0"/>
              </w:rPr>
              <w:t>11,222,964.87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2,020,248.31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大数据应用端通用开发系统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1,306,520.00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both"/>
            </w:pPr>
            <w:r>
              <w:rPr>
                <w:rFonts w:ascii="Times New Roman" w:eastAsia="Times New Roman" w:hAnsi="Times New Roman" w:cs="Times New Roman"/>
                <w:color w:val="000000"/>
                <w:spacing w:val="0"/>
                <w:w w:val="100"/>
                <w:position w:val="0"/>
              </w:rPr>
              <w:t>1,134,436.22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172,083.78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物联取证大师系统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1,009,261.31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633,722.16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375,539.15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神盾大数据研判工作站系统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1,915,650.55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769,426.16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1,146,224.39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极光超算分析系统</w:t>
            </w:r>
            <w:r>
              <w:rPr>
                <w:rFonts w:ascii="Times New Roman" w:eastAsia="Times New Roman" w:hAnsi="Times New Roman" w:cs="Times New Roman"/>
                <w:color w:val="000000"/>
                <w:spacing w:val="0"/>
                <w:w w:val="100"/>
                <w:position w:val="0"/>
              </w:rPr>
              <w:t>V5.0</w:t>
            </w:r>
            <w:r>
              <w:rPr>
                <w:color w:val="000000"/>
                <w:spacing w:val="0"/>
                <w:w w:val="100"/>
                <w:position w:val="0"/>
              </w:rPr>
              <w:t>（</w:t>
            </w:r>
            <w:r>
              <w:rPr>
                <w:rFonts w:ascii="Times New Roman" w:eastAsia="Times New Roman" w:hAnsi="Times New Roman" w:cs="Times New Roman"/>
                <w:color w:val="000000"/>
                <w:spacing w:val="0"/>
                <w:w w:val="100"/>
                <w:position w:val="0"/>
              </w:rPr>
              <w:t xml:space="preserve">GPU </w:t>
            </w:r>
            <w:r>
              <w:rPr>
                <w:color w:val="000000"/>
                <w:spacing w:val="0"/>
                <w:w w:val="100"/>
                <w:position w:val="0"/>
              </w:rPr>
              <w:t>版</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273,721.92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184,978.06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both"/>
            </w:pPr>
            <w:r>
              <w:rPr>
                <w:rFonts w:ascii="Times New Roman" w:eastAsia="Times New Roman" w:hAnsi="Times New Roman" w:cs="Times New Roman"/>
                <w:color w:val="000000"/>
                <w:spacing w:val="0"/>
                <w:w w:val="100"/>
                <w:position w:val="0"/>
              </w:rPr>
              <w:t>88,743.86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舜悉开源情报分析平台</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2,654,970.15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1,129,991.07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1,524,979.08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祥云城市公共安全管理平台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7,649,494.90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40"/>
              <w:jc w:val="both"/>
            </w:pPr>
            <w:r>
              <w:rPr>
                <w:rFonts w:ascii="Times New Roman" w:eastAsia="Times New Roman" w:hAnsi="Times New Roman" w:cs="Times New Roman"/>
                <w:color w:val="000000"/>
                <w:spacing w:val="0"/>
                <w:w w:val="100"/>
                <w:position w:val="0"/>
              </w:rPr>
              <w:t>4,464,937.23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3,184,557.67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极光超算分析系统</w:t>
            </w:r>
            <w:r>
              <w:rPr>
                <w:rFonts w:ascii="Times New Roman" w:eastAsia="Times New Roman" w:hAnsi="Times New Roman" w:cs="Times New Roman"/>
                <w:color w:val="000000"/>
                <w:spacing w:val="0"/>
                <w:w w:val="100"/>
                <w:position w:val="0"/>
              </w:rPr>
              <w:t>V2.0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FPGA </w:t>
            </w:r>
            <w:r>
              <w:rPr>
                <w:color w:val="000000"/>
                <w:spacing w:val="0"/>
                <w:w w:val="100"/>
                <w:position w:val="0"/>
              </w:rPr>
              <w:t>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943,582.54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309,282.08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634,300.46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鑫智经侦信息分析实战管理 平台</w:t>
            </w:r>
            <w:r>
              <w:rPr>
                <w:rFonts w:ascii="Times New Roman" w:eastAsia="Times New Roman" w:hAnsi="Times New Roman" w:cs="Times New Roman"/>
                <w:color w:val="000000"/>
                <w:spacing w:val="0"/>
                <w:w w:val="100"/>
                <w:position w:val="0"/>
              </w:rPr>
              <w:t>V3.0</w:t>
            </w:r>
            <w:r>
              <w:rPr>
                <w:rFonts w:ascii="Times New Roman" w:eastAsia="Times New Roman" w:hAnsi="Times New Roman" w:cs="Times New Roman"/>
                <w:color w:val="000000"/>
                <w:spacing w:val="0"/>
                <w:w w:val="100"/>
                <w:position w:val="0"/>
              </w:rPr>
              <w:t>—</w:t>
            </w:r>
            <w:r>
              <w:rPr>
                <w:color w:val="000000"/>
                <w:spacing w:val="0"/>
                <w:w w:val="100"/>
                <w:position w:val="0"/>
              </w:rPr>
              <w:t>研判模块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2,514,065.85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both"/>
            </w:pPr>
            <w:r>
              <w:rPr>
                <w:rFonts w:ascii="Times New Roman" w:eastAsia="Times New Roman" w:hAnsi="Times New Roman" w:cs="Times New Roman"/>
                <w:color w:val="000000"/>
                <w:spacing w:val="0"/>
                <w:w w:val="100"/>
                <w:position w:val="0"/>
              </w:rPr>
              <w:t>677,423.62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1,836,642.23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小安智能机器人系统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1,591,406.5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288,944.94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both"/>
            </w:pPr>
            <w:r>
              <w:rPr>
                <w:rFonts w:ascii="Times New Roman" w:eastAsia="Times New Roman" w:hAnsi="Times New Roman" w:cs="Times New Roman"/>
                <w:color w:val="000000"/>
                <w:spacing w:val="0"/>
                <w:w w:val="100"/>
                <w:position w:val="0"/>
              </w:rPr>
              <w:t>1,880,351.47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侦勘一体化设备</w:t>
            </w: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649,454.16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both"/>
            </w:pPr>
            <w:r>
              <w:rPr>
                <w:rFonts w:ascii="Times New Roman" w:eastAsia="Times New Roman" w:hAnsi="Times New Roman" w:cs="Times New Roman"/>
                <w:color w:val="000000"/>
                <w:spacing w:val="0"/>
                <w:w w:val="100"/>
                <w:position w:val="0"/>
              </w:rPr>
              <w:t>19,377.77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630,07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电子数据存证云</w:t>
            </w:r>
            <w:r>
              <w:rPr>
                <w:rFonts w:ascii="Times New Roman" w:eastAsia="Times New Roman" w:hAnsi="Times New Roman" w:cs="Times New Roman"/>
                <w:color w:val="000000"/>
                <w:spacing w:val="0"/>
                <w:w w:val="100"/>
                <w:position w:val="0"/>
              </w:rPr>
              <w:t>V6.0</w:t>
            </w:r>
            <w:r>
              <w:rPr>
                <w:rFonts w:ascii="Times New Roman" w:eastAsia="Times New Roman" w:hAnsi="Times New Roman" w:cs="Times New Roman"/>
                <w:color w:val="000000"/>
                <w:spacing w:val="0"/>
                <w:w w:val="100"/>
                <w:position w:val="0"/>
              </w:rPr>
              <w:t>—</w:t>
            </w:r>
            <w:r>
              <w:rPr>
                <w:color w:val="000000"/>
                <w:spacing w:val="0"/>
                <w:w w:val="100"/>
                <w:position w:val="0"/>
              </w:rPr>
              <w:t>区块 链模块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1,894,349.25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134,236.94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手机取证大师系统</w:t>
            </w:r>
            <w:r>
              <w:rPr>
                <w:rFonts w:ascii="Times New Roman" w:eastAsia="Times New Roman" w:hAnsi="Times New Roman" w:cs="Times New Roman"/>
                <w:color w:val="000000"/>
                <w:spacing w:val="0"/>
                <w:w w:val="100"/>
                <w:position w:val="0"/>
              </w:rPr>
              <w:t>V3.0（</w:t>
            </w:r>
            <w:r>
              <w:rPr>
                <w:color w:val="000000"/>
                <w:spacing w:val="0"/>
                <w:w w:val="100"/>
                <w:position w:val="0"/>
              </w:rPr>
              <w:t>国产 版</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825,351.09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147,361.77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677,98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美亚大脑取证中枢系统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1,561,777.41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633,054.85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928,722.56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互联网内容安全检测系统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rFonts w:ascii="Times New Roman" w:eastAsia="Times New Roman" w:hAnsi="Times New Roman" w:cs="Times New Roman"/>
                <w:color w:val="000000"/>
                <w:spacing w:val="0"/>
                <w:w w:val="100"/>
                <w:position w:val="0"/>
              </w:rPr>
              <w:t>395,552.13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39,168.82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356,383.31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自助取证一体机</w:t>
            </w:r>
            <w:r>
              <w:rPr>
                <w:rFonts w:ascii="Times New Roman" w:eastAsia="Times New Roman" w:hAnsi="Times New Roman" w:cs="Times New Roman"/>
                <w:color w:val="000000"/>
                <w:spacing w:val="0"/>
                <w:w w:val="100"/>
                <w:position w:val="0"/>
              </w:rPr>
              <w:t>V1.1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751,716.80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46,741.87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704,97</w:t>
            </w:r>
          </w:p>
        </w:tc>
      </w:tr>
    </w:tbl>
    <w:p>
      <w:pPr>
        <w:widowControl w:val="0"/>
        <w:spacing w:line="1" w:lineRule="exact"/>
      </w:pPr>
      <w:r>
        <w:br w:type="page"/>
      </w:r>
    </w:p>
    <w:tbl>
      <w:tblPr>
        <w:tblOverlap w:val="never"/>
        <w:jc w:val="center"/>
        <w:tblLayout w:type="fixed"/>
      </w:tblPr>
      <w:tblGrid>
        <w:gridCol w:w="2554"/>
        <w:gridCol w:w="1138"/>
        <w:gridCol w:w="1416"/>
        <w:gridCol w:w="710"/>
        <w:gridCol w:w="1699"/>
        <w:gridCol w:w="1277"/>
        <w:gridCol w:w="7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互联网内容快速筛查设备</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rFonts w:ascii="Times New Roman" w:eastAsia="Times New Roman" w:hAnsi="Times New Roman" w:cs="Times New Roman"/>
                <w:color w:val="000000"/>
                <w:spacing w:val="0"/>
                <w:w w:val="100"/>
                <w:position w:val="0"/>
              </w:rPr>
              <w:t>231,421.26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170,802.39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60,618.87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超级魔方</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rFonts w:ascii="Times New Roman" w:eastAsia="Times New Roman" w:hAnsi="Times New Roman" w:cs="Times New Roman"/>
                <w:color w:val="000000"/>
                <w:spacing w:val="0"/>
                <w:w w:val="100"/>
                <w:position w:val="0"/>
              </w:rPr>
              <w:t>783,014.21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1,244.14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781,77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云甲卫士手机信息智能管理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rFonts w:ascii="Times New Roman" w:eastAsia="Times New Roman" w:hAnsi="Times New Roman" w:cs="Times New Roman"/>
                <w:color w:val="000000"/>
                <w:spacing w:val="0"/>
                <w:w w:val="100"/>
                <w:position w:val="0"/>
              </w:rPr>
              <w:t>311,723.84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55,381.42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rFonts w:ascii="Times New Roman" w:eastAsia="Times New Roman" w:hAnsi="Times New Roman" w:cs="Times New Roman"/>
                <w:color w:val="000000"/>
                <w:spacing w:val="0"/>
                <w:w w:val="100"/>
                <w:position w:val="0"/>
              </w:rPr>
              <w:t>256,342.42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“天基”大数据治理平台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both"/>
            </w:pPr>
            <w:r>
              <w:rPr>
                <w:rFonts w:ascii="Times New Roman" w:eastAsia="Times New Roman" w:hAnsi="Times New Roman" w:cs="Times New Roman"/>
                <w:color w:val="000000"/>
                <w:spacing w:val="0"/>
                <w:w w:val="100"/>
                <w:position w:val="0"/>
              </w:rPr>
              <w:t>13,774,301.64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1,597,910.52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12,176,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391.12</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民生服务平台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6,495,687.4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2,122,016.19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8,617,7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03.64</w:t>
            </w:r>
          </w:p>
        </w:tc>
      </w:tr>
      <w:tr>
        <w:trPr>
          <w:trHeight w:val="7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一体化侦查平台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1,846,161.94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rFonts w:ascii="Times New Roman" w:eastAsia="Times New Roman" w:hAnsi="Times New Roman" w:cs="Times New Roman"/>
                <w:color w:val="000000"/>
                <w:spacing w:val="0"/>
                <w:w w:val="100"/>
                <w:position w:val="0"/>
              </w:rPr>
              <w:t>544,666.34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1,301,4</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95.60</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rFonts w:ascii="Times New Roman" w:eastAsia="Times New Roman" w:hAnsi="Times New Roman" w:cs="Times New Roman"/>
                <w:color w:val="000000"/>
                <w:spacing w:val="0"/>
                <w:w w:val="100"/>
                <w:position w:val="0"/>
              </w:rPr>
              <w:t>281,884,094.87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281,884,094.8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84,954,299.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pPr>
            <w:r>
              <w:rPr>
                <w:rFonts w:ascii="Times New Roman" w:eastAsia="Times New Roman" w:hAnsi="Times New Roman" w:cs="Times New Roman"/>
                <w:color w:val="000000"/>
                <w:spacing w:val="0"/>
                <w:w w:val="100"/>
                <w:position w:val="0"/>
              </w:rPr>
              <w:t>416,091,976.64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pPr>
            <w:r>
              <w:rPr>
                <w:rFonts w:ascii="Times New Roman" w:eastAsia="Times New Roman" w:hAnsi="Times New Roman" w:cs="Times New Roman"/>
                <w:color w:val="000000"/>
                <w:spacing w:val="0"/>
                <w:w w:val="100"/>
                <w:position w:val="0"/>
              </w:rPr>
              <w:t>148,785,132.47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325,610,630.3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26,650,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513.38</w:t>
            </w:r>
          </w:p>
        </w:tc>
      </w:tr>
    </w:tbl>
    <w:p>
      <w:pPr>
        <w:pStyle w:val="Style3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4411"/>
        <w:gridCol w:w="1738"/>
        <w:gridCol w:w="1123"/>
        <w:gridCol w:w="2597"/>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资本化的具 体依据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截至期末的研发进度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智慧监察大数据平台</w:t>
            </w:r>
            <w:r>
              <w:rPr>
                <w:color w:val="000000"/>
                <w:spacing w:val="0"/>
                <w:w w:val="100"/>
                <w:position w:val="0"/>
              </w:rPr>
              <w:t>VL0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2019年1月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完成研发项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移动设备查缉终端</w:t>
            </w:r>
            <w:r>
              <w:rPr>
                <w:color w:val="000000"/>
                <w:spacing w:val="0"/>
                <w:w w:val="100"/>
                <w:position w:val="0"/>
              </w:rPr>
              <w:t>V2.1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2018年1月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目在技术上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彩虹大数据应用平台</w:t>
            </w:r>
            <w:r>
              <w:rPr>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2019年12月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具有可行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乾坤大数据治理平台</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2019年7月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性，项目实</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互联网信息应急指挥系统</w:t>
            </w:r>
            <w:r>
              <w:rPr>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2019年7月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施完成后具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手机取证大师系统</w:t>
            </w:r>
            <w:r>
              <w:rPr>
                <w:color w:val="000000"/>
                <w:spacing w:val="0"/>
                <w:w w:val="100"/>
                <w:position w:val="0"/>
              </w:rPr>
              <w:t xml:space="preserve">V3.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2019年7月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有较好的市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鑫智经侦信息分析实战管理平台</w:t>
            </w:r>
            <w:r>
              <w:rPr>
                <w:color w:val="000000"/>
                <w:spacing w:val="0"/>
                <w:w w:val="100"/>
                <w:position w:val="0"/>
              </w:rPr>
              <w:t xml:space="preserve">V2.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2019年7月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场容量和市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电子数据存证云</w:t>
            </w:r>
            <w:r>
              <w:rPr>
                <w:color w:val="000000"/>
                <w:spacing w:val="0"/>
                <w:w w:val="100"/>
                <w:position w:val="0"/>
              </w:rPr>
              <w:t xml:space="preserve">V5.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2019年9月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场占有率，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1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信息单向传输系统</w:t>
            </w:r>
            <w:r>
              <w:rPr>
                <w:color w:val="000000"/>
                <w:spacing w:val="0"/>
                <w:w w:val="100"/>
                <w:position w:val="0"/>
              </w:rPr>
              <w:t xml:space="preserve">V6.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2019年9月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可以为项目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手机取证航母系统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2019年9月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收益提供有</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远望视频图像大数据平台</w:t>
            </w:r>
            <w:r>
              <w:rPr>
                <w:color w:val="000000"/>
                <w:spacing w:val="0"/>
                <w:w w:val="100"/>
                <w:position w:val="0"/>
              </w:rPr>
              <w:t xml:space="preserve">V1. </w:t>
            </w: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2019年10月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力保证，同 时公司有足 够的技术、 财务等资源 的支持，并 单独核算， 支出能够可 靠的计量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大数据应用端通用开发系统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2020年3月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物联取证大师系统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2020年1月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神盾大数据研判工作站系统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2020年1月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极光超算分析系统</w:t>
            </w:r>
            <w:r>
              <w:rPr>
                <w:color w:val="000000"/>
                <w:spacing w:val="0"/>
                <w:w w:val="100"/>
                <w:position w:val="0"/>
              </w:rPr>
              <w:t xml:space="preserve">V5. </w:t>
            </w:r>
            <w:r>
              <w:rPr>
                <w:color w:val="000000"/>
                <w:spacing w:val="0"/>
                <w:w w:val="100"/>
                <w:position w:val="0"/>
              </w:rPr>
              <w:t xml:space="preserve">0 </w:t>
            </w:r>
            <w:r>
              <w:rPr>
                <w:color w:val="000000"/>
                <w:spacing w:val="0"/>
                <w:w w:val="100"/>
                <w:position w:val="0"/>
              </w:rPr>
              <w:t>（GPU</w:t>
            </w:r>
            <w:r>
              <w:rPr>
                <w:color w:val="000000"/>
                <w:spacing w:val="0"/>
                <w:w w:val="100"/>
                <w:position w:val="0"/>
              </w:rPr>
              <w:t>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2020年2月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舜悉开源情报分析平台</w:t>
            </w:r>
            <w:r>
              <w:rPr>
                <w:color w:val="000000"/>
                <w:spacing w:val="0"/>
                <w:w w:val="100"/>
                <w:position w:val="0"/>
              </w:rPr>
              <w:t xml:space="preserve">V4.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2020年4月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祥云城市公共安全管理平台</w:t>
            </w:r>
            <w:r>
              <w:rPr>
                <w:color w:val="000000"/>
                <w:spacing w:val="0"/>
                <w:w w:val="100"/>
                <w:position w:val="0"/>
              </w:rPr>
              <w:t xml:space="preserve">V3.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2020年4月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极光超算分析系统</w:t>
            </w:r>
            <w:r>
              <w:rPr>
                <w:color w:val="000000"/>
                <w:spacing w:val="0"/>
                <w:w w:val="100"/>
                <w:position w:val="0"/>
              </w:rPr>
              <w:t xml:space="preserve">V2. </w:t>
            </w:r>
            <w:r>
              <w:rPr>
                <w:color w:val="000000"/>
                <w:spacing w:val="0"/>
                <w:w w:val="100"/>
                <w:position w:val="0"/>
              </w:rPr>
              <w:t xml:space="preserve">0 </w:t>
            </w:r>
            <w:r>
              <w:rPr>
                <w:color w:val="000000"/>
                <w:spacing w:val="0"/>
                <w:w w:val="100"/>
                <w:position w:val="0"/>
              </w:rPr>
              <w:t>（FPGA</w:t>
            </w:r>
            <w:r>
              <w:rPr>
                <w:color w:val="000000"/>
                <w:spacing w:val="0"/>
                <w:w w:val="100"/>
                <w:position w:val="0"/>
              </w:rPr>
              <w:t>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2020年4月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鑫智经侦信息分析实战管理平台</w:t>
            </w:r>
            <w:r>
              <w:rPr>
                <w:color w:val="000000"/>
                <w:spacing w:val="0"/>
                <w:w w:val="100"/>
                <w:position w:val="0"/>
              </w:rPr>
              <w:t xml:space="preserve">V3. </w:t>
            </w:r>
            <w:r>
              <w:rPr>
                <w:color w:val="000000"/>
                <w:spacing w:val="0"/>
                <w:w w:val="100"/>
                <w:position w:val="0"/>
              </w:rPr>
              <w:t>0—研判模块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2020年5月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小安智能机器人系统</w:t>
            </w:r>
            <w:r>
              <w:rPr>
                <w:color w:val="000000"/>
                <w:spacing w:val="0"/>
                <w:w w:val="100"/>
                <w:position w:val="0"/>
              </w:rPr>
              <w:t>V2.0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2019年9月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美亚大脑取证中枢系统</w:t>
            </w:r>
            <w:r>
              <w:rPr>
                <w:color w:val="000000"/>
                <w:spacing w:val="0"/>
                <w:w w:val="100"/>
                <w:position w:val="0"/>
              </w:rPr>
              <w:t xml:space="preserve">V1.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2020年6月</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bl>
    <w:p>
      <w:pPr>
        <w:widowControl w:val="0"/>
        <w:spacing w:line="1" w:lineRule="exact"/>
      </w:pPr>
      <w:r>
        <w:br w:type="page"/>
      </w:r>
    </w:p>
    <w:tbl>
      <w:tblPr>
        <w:tblOverlap w:val="never"/>
        <w:jc w:val="center"/>
        <w:tblLayout w:type="fixed"/>
      </w:tblPr>
      <w:tblGrid>
        <w:gridCol w:w="4411"/>
        <w:gridCol w:w="1738"/>
        <w:gridCol w:w="1123"/>
        <w:gridCol w:w="2597"/>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互联网内容安全检测系统</w:t>
            </w:r>
            <w:r>
              <w:rPr>
                <w:color w:val="000000"/>
                <w:spacing w:val="0"/>
                <w:w w:val="100"/>
                <w:position w:val="0"/>
              </w:rPr>
              <w:t>V1.1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2020年8月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互联网内容快速筛查设备</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2020年8月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云甲卫士手机信息智能管理系统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2020年9月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完结</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侦勘一体化设备</w:t>
            </w:r>
            <w:r>
              <w:rPr>
                <w:color w:val="000000"/>
                <w:spacing w:val="0"/>
                <w:w w:val="100"/>
                <w:position w:val="0"/>
              </w:rPr>
              <w:t xml:space="preserve">V1. </w:t>
            </w: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2020年6月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电子数据存证云</w:t>
            </w:r>
            <w:r>
              <w:rPr>
                <w:color w:val="000000"/>
                <w:spacing w:val="0"/>
                <w:w w:val="100"/>
                <w:position w:val="0"/>
              </w:rPr>
              <w:t xml:space="preserve">V6. </w:t>
            </w:r>
            <w:r>
              <w:rPr>
                <w:color w:val="000000"/>
                <w:spacing w:val="0"/>
                <w:w w:val="100"/>
                <w:position w:val="0"/>
              </w:rPr>
              <w:t>0—区块链模块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2020年6月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手机取证大师系统</w:t>
            </w:r>
            <w:r>
              <w:rPr>
                <w:color w:val="000000"/>
                <w:spacing w:val="0"/>
                <w:w w:val="100"/>
                <w:position w:val="0"/>
              </w:rPr>
              <w:t>V3.0(</w:t>
            </w:r>
            <w:r>
              <w:rPr>
                <w:color w:val="000000"/>
                <w:spacing w:val="0"/>
                <w:w w:val="100"/>
                <w:position w:val="0"/>
              </w:rPr>
              <w:t>国产版)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2020年6月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自助取证一体机</w:t>
            </w:r>
            <w:r>
              <w:rPr>
                <w:color w:val="000000"/>
                <w:spacing w:val="0"/>
                <w:w w:val="100"/>
                <w:position w:val="0"/>
              </w:rPr>
              <w:t xml:space="preserve">V1. </w:t>
            </w: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2020年8月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超级魔方</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2020年8月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“天基”大数据治理平台</w:t>
            </w:r>
            <w:r>
              <w:rPr>
                <w:color w:val="000000"/>
                <w:spacing w:val="0"/>
                <w:w w:val="100"/>
                <w:position w:val="0"/>
              </w:rPr>
              <w:t>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2020年9月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民生服务平台</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2019年3月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r>
        <w:trPr>
          <w:trHeight w:val="32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一体化侦查平台</w:t>
            </w:r>
            <w:r>
              <w:rPr>
                <w:color w:val="000000"/>
                <w:spacing w:val="0"/>
                <w:w w:val="100"/>
                <w:position w:val="0"/>
              </w:rPr>
              <w:t xml:space="preserve">v1. </w:t>
            </w: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2020年3月</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处于产品研发阶段</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08"/>
      <w:bookmarkEnd w:id="1409"/>
      <w:bookmarkEnd w:id="1411"/>
    </w:p>
    <w:p>
      <w:pPr>
        <w:pStyle w:val="Style75"/>
        <w:keepNext/>
        <w:keepLines/>
        <w:widowControl w:val="0"/>
        <w:numPr>
          <w:ilvl w:val="0"/>
          <w:numId w:val="33"/>
        </w:numPr>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商誉账面原值</w:t>
      </w:r>
      <w:bookmarkEnd w:id="1412"/>
      <w:bookmarkEnd w:id="1413"/>
      <w:bookmarkEnd w:id="14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704"/>
        <w:gridCol w:w="1416"/>
        <w:gridCol w:w="706"/>
        <w:gridCol w:w="994"/>
        <w:gridCol w:w="547"/>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43,856,030.99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43,856,030.99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498,346,182.89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498,346,182.89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23,426,464.98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23,426,464.98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565,628,678.86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565,628,678.86</w:t>
            </w:r>
          </w:p>
        </w:tc>
      </w:tr>
    </w:tbl>
    <w:p>
      <w:pPr>
        <w:widowControl w:val="0"/>
        <w:spacing w:after="319" w:line="1" w:lineRule="exact"/>
      </w:pPr>
    </w:p>
    <w:p>
      <w:pPr>
        <w:pStyle w:val="Style75"/>
        <w:keepNext/>
        <w:keepLines/>
        <w:widowControl w:val="0"/>
        <w:numPr>
          <w:ilvl w:val="0"/>
          <w:numId w:val="33"/>
        </w:numPr>
        <w:shd w:val="clear" w:color="auto" w:fill="auto"/>
        <w:bidi w:val="0"/>
        <w:spacing w:before="0" w:line="240" w:lineRule="auto"/>
        <w:ind w:left="0" w:right="0" w:firstLine="22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商誉减值准备</w:t>
      </w:r>
      <w:bookmarkEnd w:id="1416"/>
      <w:bookmarkEnd w:id="1417"/>
      <w:bookmarkEnd w:id="141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282"/>
        <w:gridCol w:w="1272"/>
        <w:gridCol w:w="994"/>
        <w:gridCol w:w="989"/>
        <w:gridCol w:w="691"/>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被投资单位名称或形成商誉的事项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23,426,464.98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23,426,464.98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23,426,464.98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23,426,464.98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179" w:line="1" w:lineRule="exact"/>
      </w:pPr>
    </w:p>
    <w:p>
      <w:pPr>
        <w:pStyle w:val="Style44"/>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本公司收购武汉大千形成的商誉已全额计提减值，无需列入商誉减值测试范围。江苏税软的资产组为</w:t>
      </w:r>
    </w:p>
    <w:p>
      <w:pPr>
        <w:pStyle w:val="Style4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流动资产、长期股权投资、固定资产、无形资产和相关负债；珠海新德汇的资产组为流动资产、固定资产、</w:t>
      </w:r>
    </w:p>
    <w:p>
      <w:pPr>
        <w:pStyle w:val="Style4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在建工程、无形资产、开发支出、长期待摊费用和相关负债，资产组账面金额列示如下：</w:t>
      </w:r>
    </w:p>
    <w:tbl>
      <w:tblPr>
        <w:tblOverlap w:val="never"/>
        <w:jc w:val="center"/>
        <w:tblLayout w:type="fixed"/>
      </w:tblPr>
      <w:tblGrid>
        <w:gridCol w:w="1613"/>
        <w:gridCol w:w="1973"/>
        <w:gridCol w:w="2112"/>
        <w:gridCol w:w="1958"/>
        <w:gridCol w:w="1992"/>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江苏税软</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珠海新德汇</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商誉对应资产组价值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商誉对应资产组价值</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308,096,102.66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178,480,847.60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797,413,493.25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560,154,708.34</w:t>
            </w:r>
          </w:p>
        </w:tc>
      </w:tr>
    </w:tbl>
    <w:p>
      <w:pPr>
        <w:widowControl w:val="0"/>
        <w:spacing w:line="1" w:lineRule="exact"/>
      </w:pPr>
    </w:p>
    <w:tbl>
      <w:tblPr>
        <w:tblOverlap w:val="never"/>
        <w:jc w:val="center"/>
        <w:tblLayout w:type="fixed"/>
      </w:tblPr>
      <w:tblGrid>
        <w:gridCol w:w="1613"/>
        <w:gridCol w:w="1968"/>
        <w:gridCol w:w="2117"/>
        <w:gridCol w:w="1958"/>
        <w:gridCol w:w="1992"/>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47,499,162.28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4,220,891.74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3,506,113.82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3,506,113.82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4,345,358.74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4,345,358.74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11,292,126.79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11,292,126.79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9,919,199.24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9,919,199.24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1,981,263.91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4,922,006.28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4,922,006.28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2,785,572.01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9,994,347.23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107,487,691.26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100,918,184.83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514,004,354.61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392,908,989.34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257,288,126.35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86,197,271.26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327,388,290.74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201,230,523.87</w:t>
            </w:r>
          </w:p>
        </w:tc>
      </w:tr>
    </w:tbl>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资产组确认方法：①本公司并购江苏税软股权，当初的并购定价是基于市场价值的定价，资产组包含 在江苏税软相关的经营性资产、负债中。江苏税软商誉对应资产组价值小于账面金额，原因为江苏税软所 需运营资金少于货币资金的金额，以及部分其他应收款、固定资产中新购置的办公楼、长期待摊费用、递 延所得资产为非经营性资产需从资产组合中扣除，扣除金额合计</w:t>
      </w:r>
      <w:r>
        <w:rPr>
          <w:color w:val="000000"/>
          <w:spacing w:val="0"/>
          <w:w w:val="100"/>
          <w:position w:val="0"/>
        </w:rPr>
        <w:t>171,090,855.09</w:t>
      </w:r>
      <w:r>
        <w:rPr>
          <w:color w:val="000000"/>
          <w:spacing w:val="0"/>
          <w:w w:val="100"/>
          <w:position w:val="0"/>
        </w:rPr>
        <w:t>元。本期确定资产组时扣 除与经营资产、负债无关的金额，同时在预测现金流量时扣除与经营性资产无关的现金流量，与购买日、 以前年度商誉减值测试时所确定的资产组一致。</w:t>
      </w:r>
    </w:p>
    <w:p>
      <w:pPr>
        <w:pStyle w:val="Style4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②本公司并购珠海新德汇股权，当初的并购定价是基于市场价值的定价，因此资产组包含在珠海新德 汇相关的经营性资产、负债中。珠海新德汇商誉对应资产组价值小于账面金额，原因为珠海新德汇部分溢 余资金、往来款、递延所得资产等为非经营性资产需从资产组合中扣除，扣除金额合计</w:t>
      </w:r>
      <w:r>
        <w:rPr>
          <w:color w:val="000000"/>
          <w:spacing w:val="0"/>
          <w:w w:val="100"/>
          <w:position w:val="0"/>
        </w:rPr>
        <w:t>126,157,766.87</w:t>
      </w:r>
      <w:r>
        <w:rPr>
          <w:color w:val="000000"/>
          <w:spacing w:val="0"/>
          <w:w w:val="100"/>
          <w:position w:val="0"/>
        </w:rPr>
        <w:t>元。 本期确定资产组合时扣除与经营资产、负债无关的金额，同时在预测现金流量时扣除与经营性资产无关的 现金流量，与购买日、以前年度商誉减值测试时所确定的资产组一致。</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4"/>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本公司收购武汉大千形成的商誉2017年已全额计提减值，故未计入本次商誉减值测试。本集团采用预 计未来现金流现值的方法计算资产组的可收回金额。本集团根据管理层批准的财务预算预计未来5年内现 金流量，其后年度采用的现金流量增长率预计为0% （上期：0%），不会超过资产组经营业务的长期平均增 长率。管理层根据过往表现及其对市场发展的预期编制上述财务预算。计算未来现金流现值所采用的税前 折现率为16.03% （上期：14.99%），已反映了相对于有关的风险。根据减值测试的结果，江苏税软和珠海 新德汇本期期末商誉未发生减值。</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4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本集团聘请北京国融兴华资产评估有限责任公司对本公司并购江苏税软、珠海新德汇所形成的商誉进 </w:t>
      </w:r>
      <w:r>
        <w:rPr>
          <w:color w:val="000000"/>
          <w:spacing w:val="0"/>
          <w:w w:val="100"/>
          <w:position w:val="0"/>
        </w:rPr>
        <w:t>行减值测试，并于2021年3月270对江苏税软、珠海新德汇分别出具了 “国融兴华评报字</w:t>
      </w:r>
      <w:r>
        <w:rPr>
          <w:color w:val="000000"/>
          <w:spacing w:val="0"/>
          <w:w w:val="100"/>
          <w:position w:val="0"/>
        </w:rPr>
        <w:t>［2021］</w:t>
      </w:r>
      <w:r>
        <w:rPr>
          <w:color w:val="000000"/>
          <w:spacing w:val="0"/>
          <w:w w:val="100"/>
          <w:position w:val="0"/>
        </w:rPr>
        <w:t>第020054 号”评估报告、“国融兴华评报字</w:t>
      </w:r>
      <w:r>
        <w:rPr>
          <w:color w:val="000000"/>
          <w:spacing w:val="0"/>
          <w:w w:val="100"/>
          <w:position w:val="0"/>
        </w:rPr>
        <w:t>［2021］</w:t>
      </w:r>
      <w:r>
        <w:rPr>
          <w:color w:val="000000"/>
          <w:spacing w:val="0"/>
          <w:w w:val="100"/>
          <w:position w:val="0"/>
        </w:rPr>
        <w:t>第020055号”评估报告，根据评估报告结果，江苏税软评估价值 为</w:t>
      </w:r>
      <w:r>
        <w:rPr>
          <w:color w:val="000000"/>
          <w:spacing w:val="0"/>
          <w:w w:val="100"/>
          <w:position w:val="0"/>
        </w:rPr>
        <w:t>67,910.0</w:t>
      </w:r>
      <w:r>
        <w:rPr>
          <w:color w:val="000000"/>
          <w:spacing w:val="0"/>
          <w:w w:val="100"/>
          <w:position w:val="0"/>
        </w:rPr>
        <w:t>0万元，商誉所对应资产组涉及的金额为</w:t>
      </w:r>
      <w:r>
        <w:rPr>
          <w:color w:val="000000"/>
          <w:spacing w:val="0"/>
          <w:w w:val="100"/>
          <w:position w:val="0"/>
        </w:rPr>
        <w:t>8,619.73</w:t>
      </w:r>
      <w:r>
        <w:rPr>
          <w:color w:val="000000"/>
          <w:spacing w:val="0"/>
          <w:w w:val="100"/>
          <w:position w:val="0"/>
        </w:rPr>
        <w:t>万元，商誉与资产组合计</w:t>
      </w:r>
      <w:r>
        <w:rPr>
          <w:color w:val="000000"/>
          <w:spacing w:val="0"/>
          <w:w w:val="100"/>
          <w:position w:val="0"/>
        </w:rPr>
        <w:t>58,454.35</w:t>
      </w:r>
      <w:r>
        <w:rPr>
          <w:color w:val="000000"/>
          <w:spacing w:val="0"/>
          <w:w w:val="100"/>
          <w:position w:val="0"/>
        </w:rPr>
        <w:t>万元，评 估值高于商誉与资产组的合计金额，本公司溢价收购江苏税软所形成的商誉未发生减值情况；珠海新德汇 评估价值为</w:t>
      </w:r>
      <w:r>
        <w:rPr>
          <w:color w:val="000000"/>
          <w:spacing w:val="0"/>
          <w:w w:val="100"/>
          <w:position w:val="0"/>
        </w:rPr>
        <w:t>73,180.0</w:t>
      </w:r>
      <w:r>
        <w:rPr>
          <w:color w:val="000000"/>
          <w:spacing w:val="0"/>
          <w:w w:val="100"/>
          <w:position w:val="0"/>
        </w:rPr>
        <w:t>0万元，商誉所对应资产组涉及的资产组金额为</w:t>
      </w:r>
      <w:r>
        <w:rPr>
          <w:color w:val="000000"/>
          <w:spacing w:val="0"/>
          <w:w w:val="100"/>
          <w:position w:val="0"/>
        </w:rPr>
        <w:t>20,123.05</w:t>
      </w:r>
      <w:r>
        <w:rPr>
          <w:color w:val="000000"/>
          <w:spacing w:val="0"/>
          <w:w w:val="100"/>
          <w:position w:val="0"/>
        </w:rPr>
        <w:t>万元，商誉与资产组合计 24,508.65万元，评估值高于商誉与资产组的合计金额，本公司溢价收购珠海新德汇所形成的商誉未发生 减值情况。</w:t>
      </w:r>
    </w:p>
    <w:p>
      <w:pPr>
        <w:pStyle w:val="Style44"/>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本公司溢价收购武汉大千所形成的商誉</w:t>
      </w:r>
      <w:r>
        <w:rPr>
          <w:color w:val="000000"/>
          <w:spacing w:val="0"/>
          <w:w w:val="100"/>
          <w:position w:val="0"/>
        </w:rPr>
        <w:t>23,426,464.98</w:t>
      </w:r>
      <w:r>
        <w:rPr>
          <w:color w:val="000000"/>
          <w:spacing w:val="0"/>
          <w:w w:val="100"/>
          <w:position w:val="0"/>
        </w:rPr>
        <w:t>元，已于2017年全部减值完毕。</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120" w:line="492"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0"/>
      <w:bookmarkEnd w:id="1421"/>
      <w:bookmarkEnd w:id="142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11,509,976.74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12,920,069.25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9,364,083.81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15,065,962.18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11,509,976.74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12,920,069.25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9,364,083.81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15,065,962.18</w:t>
            </w:r>
          </w:p>
        </w:tc>
      </w:tr>
    </w:tbl>
    <w:p>
      <w:pPr>
        <w:widowControl w:val="0"/>
        <w:spacing w:after="5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4"/>
      <w:bookmarkEnd w:id="1425"/>
      <w:bookmarkEnd w:id="1427"/>
    </w:p>
    <w:p>
      <w:pPr>
        <w:pStyle w:val="Style75"/>
        <w:keepNext/>
        <w:keepLines/>
        <w:widowControl w:val="0"/>
        <w:numPr>
          <w:ilvl w:val="0"/>
          <w:numId w:val="35"/>
        </w:numPr>
        <w:shd w:val="clear" w:color="auto" w:fill="auto"/>
        <w:bidi w:val="0"/>
        <w:spacing w:before="0" w:after="340" w:line="240" w:lineRule="auto"/>
        <w:ind w:left="0" w:right="0" w:firstLine="14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未经抵销的递延所得税资产</w:t>
      </w:r>
      <w:bookmarkEnd w:id="1428"/>
      <w:bookmarkEnd w:id="1429"/>
      <w:bookmarkEnd w:id="14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227,221,430.57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26,754,994.46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169,548,863.91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19,326,078.77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73,688,045.10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10,542,316.49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47,500,627.60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6,270,003.16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47,917,089.20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6,071,025.92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41,789,255.26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4,917,261.25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47,680,020.41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5,002,330.04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41,249,019.26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4,440,651.93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64,355,576.01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7,732,350.86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32,201,965.79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3,874,605.64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47,186,887.49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4,718,688.75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35,974,924.95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3,591,438.11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508,049,048.78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60,821,706.52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368,264,656.77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42,420,038.86</w:t>
            </w:r>
          </w:p>
        </w:tc>
      </w:tr>
    </w:tbl>
    <w:p>
      <w:pPr>
        <w:widowControl w:val="0"/>
        <w:spacing w:after="339" w:line="1" w:lineRule="exact"/>
      </w:pPr>
    </w:p>
    <w:p>
      <w:pPr>
        <w:pStyle w:val="Style75"/>
        <w:keepNext/>
        <w:keepLines/>
        <w:widowControl w:val="0"/>
        <w:numPr>
          <w:ilvl w:val="0"/>
          <w:numId w:val="35"/>
        </w:numPr>
        <w:shd w:val="clear" w:color="auto" w:fill="auto"/>
        <w:bidi w:val="0"/>
        <w:spacing w:before="0" w:after="340" w:line="240" w:lineRule="auto"/>
        <w:ind w:left="0" w:right="0" w:firstLine="14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未经抵销的递延所得税负债</w:t>
      </w:r>
      <w:bookmarkEnd w:id="1432"/>
      <w:bookmarkEnd w:id="1433"/>
      <w:bookmarkEnd w:id="1435"/>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37"/>
        <w:gridCol w:w="1848"/>
        <w:gridCol w:w="1560"/>
        <w:gridCol w:w="1704"/>
        <w:gridCol w:w="163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4,682,347.46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468,234.75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5,867,158.46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586,715.85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192,634,903.38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19,263,490.33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288,905,877.30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28,890,587.74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197,317,250.84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19,731,725.08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294,773,035.76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29,477,303.59</w:t>
            </w:r>
          </w:p>
        </w:tc>
      </w:tr>
    </w:tbl>
    <w:p>
      <w:pPr>
        <w:widowControl w:val="0"/>
        <w:spacing w:after="299" w:line="1" w:lineRule="exact"/>
      </w:pPr>
    </w:p>
    <w:p>
      <w:pPr>
        <w:pStyle w:val="Style75"/>
        <w:keepNext/>
        <w:keepLines/>
        <w:widowControl w:val="0"/>
        <w:numPr>
          <w:ilvl w:val="0"/>
          <w:numId w:val="35"/>
        </w:numPr>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以抵销后净额列示的递延所得税资产或负债</w:t>
      </w:r>
      <w:bookmarkEnd w:id="1436"/>
      <w:bookmarkEnd w:id="1437"/>
      <w:bookmarkEnd w:id="14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646"/>
        <w:gridCol w:w="2189"/>
        <w:gridCol w:w="1910"/>
        <w:gridCol w:w="1925"/>
      </w:tblGrid>
      <w:tr>
        <w:trPr>
          <w:trHeight w:val="36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抵销后递延所得税资产或</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递延所得税资产和负债</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55"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负债期末互抵金额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负债期末余额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60,821,706.52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42,420,038.86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19,731,725.08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29,477,303.59</w:t>
            </w:r>
          </w:p>
        </w:tc>
      </w:tr>
    </w:tbl>
    <w:p>
      <w:pPr>
        <w:widowControl w:val="0"/>
        <w:spacing w:after="299" w:line="1" w:lineRule="exact"/>
      </w:pPr>
    </w:p>
    <w:p>
      <w:pPr>
        <w:pStyle w:val="Style75"/>
        <w:keepNext/>
        <w:keepLines/>
        <w:widowControl w:val="0"/>
        <w:numPr>
          <w:ilvl w:val="0"/>
          <w:numId w:val="35"/>
        </w:numPr>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未确认递延所得税资产明细</w:t>
      </w:r>
      <w:bookmarkEnd w:id="1440"/>
      <w:bookmarkEnd w:id="1441"/>
      <w:bookmarkEnd w:id="144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3835"/>
        <w:gridCol w:w="39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10,635,208.61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6,935,464.68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76,270,665.20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75,276,659.13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86,905,873.81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82,212,123.81</w:t>
            </w:r>
          </w:p>
        </w:tc>
      </w:tr>
    </w:tbl>
    <w:p>
      <w:pPr>
        <w:widowControl w:val="0"/>
        <w:spacing w:after="299" w:line="1" w:lineRule="exact"/>
      </w:pPr>
    </w:p>
    <w:p>
      <w:pPr>
        <w:pStyle w:val="Style75"/>
        <w:keepNext/>
        <w:keepLines/>
        <w:widowControl w:val="0"/>
        <w:numPr>
          <w:ilvl w:val="0"/>
          <w:numId w:val="35"/>
        </w:numPr>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未确认递延所得税资产的可抵扣亏损将于以下年度到期</w:t>
      </w:r>
      <w:bookmarkEnd w:id="1444"/>
      <w:bookmarkEnd w:id="1445"/>
      <w:bookmarkEnd w:id="14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2942"/>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4,048,286.51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12,336,275.63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18,034,737.07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20,098,662.70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20,458,717.14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6,923,393.06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7,397,100.24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8,022,284.67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8,022,284.67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4,079,224.88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13,906,033.57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13,906,033.57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3,409,499.93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3,409,499.93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7,495,290.76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76,270,665.20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75,276,659.13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8"/>
      <w:bookmarkEnd w:id="1449"/>
      <w:bookmarkEnd w:id="14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72"/>
        <w:gridCol w:w="1282"/>
        <w:gridCol w:w="1421"/>
        <w:gridCol w:w="1128"/>
        <w:gridCol w:w="1138"/>
        <w:gridCol w:w="163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707,100.18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707,100.18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49,758,609.20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49,758,609.20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182,893.00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182,893.00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473,196.64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889,993.18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889,993.18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50,231,805.84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50,231,805.84</w:t>
            </w:r>
          </w:p>
        </w:tc>
      </w:tr>
    </w:tbl>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2"/>
      <w:bookmarkEnd w:id="1453"/>
      <w:bookmarkEnd w:id="1455"/>
    </w:p>
    <w:p>
      <w:pPr>
        <w:pStyle w:val="Style75"/>
        <w:keepNext/>
        <w:keepLines/>
        <w:widowControl w:val="0"/>
        <w:numPr>
          <w:ilvl w:val="0"/>
          <w:numId w:val="37"/>
        </w:numPr>
        <w:shd w:val="clear" w:color="auto" w:fill="auto"/>
        <w:bidi w:val="0"/>
        <w:spacing w:before="0" w:line="240" w:lineRule="auto"/>
        <w:ind w:left="0" w:right="0" w:firstLine="14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短期借款分类</w:t>
      </w:r>
      <w:bookmarkEnd w:id="1456"/>
      <w:bookmarkEnd w:id="1457"/>
      <w:bookmarkEnd w:id="145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1,000,551.07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1,000,551.07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44"/>
        <w:keepNext w:val="0"/>
        <w:keepLines w:val="0"/>
        <w:widowControl w:val="0"/>
        <w:shd w:val="clear" w:color="auto" w:fill="auto"/>
        <w:bidi w:val="0"/>
        <w:spacing w:before="0" w:after="180" w:line="475" w:lineRule="exact"/>
        <w:ind w:left="0" w:right="0" w:firstLine="440"/>
        <w:jc w:val="both"/>
      </w:pPr>
      <w:r>
        <w:rPr>
          <w:color w:val="000000"/>
          <w:spacing w:val="0"/>
          <w:w w:val="100"/>
          <w:position w:val="0"/>
        </w:rPr>
        <w:t>注：本集团与中国农业银行股份有限公司厦门夏港支行于2020年4月8日签订了编号为 “830101220200000504”的短期借款合同，借款本金为</w:t>
      </w:r>
      <w:r>
        <w:rPr>
          <w:color w:val="000000"/>
          <w:spacing w:val="0"/>
          <w:w w:val="100"/>
          <w:position w:val="0"/>
        </w:rPr>
        <w:t>100.00</w:t>
      </w:r>
      <w:r>
        <w:rPr>
          <w:color w:val="000000"/>
          <w:spacing w:val="0"/>
          <w:w w:val="100"/>
          <w:position w:val="0"/>
        </w:rPr>
        <w:t>万元，借款期限为1年，固定利率2.05%，该 借款为信用借款。</w:t>
      </w:r>
    </w:p>
    <w:p>
      <w:pPr>
        <w:pStyle w:val="Style75"/>
        <w:keepNext/>
        <w:keepLines/>
        <w:widowControl w:val="0"/>
        <w:numPr>
          <w:ilvl w:val="0"/>
          <w:numId w:val="37"/>
        </w:numPr>
        <w:shd w:val="clear" w:color="auto" w:fill="auto"/>
        <w:bidi w:val="0"/>
        <w:spacing w:before="0" w:after="400" w:line="475" w:lineRule="exact"/>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已逾期未偿还的短期借款情况</w:t>
      </w:r>
      <w:bookmarkEnd w:id="1460"/>
      <w:bookmarkEnd w:id="1461"/>
      <w:bookmarkEnd w:id="146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120" w:line="497"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64"/>
      <w:bookmarkEnd w:id="1465"/>
      <w:bookmarkEnd w:id="146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120" w:line="497"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68"/>
      <w:bookmarkEnd w:id="1469"/>
      <w:bookmarkEnd w:id="147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120" w:line="497"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72"/>
      <w:bookmarkEnd w:id="1473"/>
      <w:bookmarkEnd w:id="1475"/>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52,672,918.64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187,360,543.40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52,672,918.64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187,360,543.40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6"/>
      <w:bookmarkEnd w:id="1477"/>
      <w:bookmarkEnd w:id="1479"/>
    </w:p>
    <w:p>
      <w:pPr>
        <w:pStyle w:val="Style75"/>
        <w:keepNext/>
        <w:keepLines/>
        <w:widowControl w:val="0"/>
        <w:shd w:val="clear" w:color="auto" w:fill="auto"/>
        <w:bidi w:val="0"/>
        <w:spacing w:before="0" w:line="240" w:lineRule="auto"/>
        <w:ind w:left="0" w:right="0" w:firstLine="14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0"/>
      <w:bookmarkEnd w:id="1481"/>
      <w:bookmarkEnd w:id="14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336,148,364.23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242,995,974.91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2,924,082.35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240,227.21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339,165,046.58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243,254,114.12</w:t>
            </w:r>
          </w:p>
        </w:tc>
      </w:tr>
    </w:tbl>
    <w:p>
      <w:pPr>
        <w:widowControl w:val="0"/>
        <w:spacing w:after="359" w:line="1" w:lineRule="exact"/>
      </w:pPr>
    </w:p>
    <w:p>
      <w:pPr>
        <w:pStyle w:val="Style75"/>
        <w:keepNext/>
        <w:keepLines/>
        <w:widowControl w:val="0"/>
        <w:numPr>
          <w:ilvl w:val="0"/>
          <w:numId w:val="29"/>
        </w:numPr>
        <w:shd w:val="clear" w:color="auto" w:fill="auto"/>
        <w:bidi w:val="0"/>
        <w:spacing w:before="0" w:line="240" w:lineRule="auto"/>
        <w:ind w:left="0" w:right="0" w:firstLine="1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3"/>
      <w:bookmarkEnd w:id="1484"/>
      <w:bookmarkEnd w:id="14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5,187,544.89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3,757,344.11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3,188,092.94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2,690,265.50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2,121,641.24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1,333,389.55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1,118,895.78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业务未完结</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24,100,174.01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87"/>
      <w:bookmarkEnd w:id="1488"/>
      <w:bookmarkEnd w:id="14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91"/>
      <w:bookmarkEnd w:id="1492"/>
      <w:bookmarkEnd w:id="1494"/>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420,147,472.41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352,995,480.27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420,147,472.41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352,995,480.27</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报告期内账面价值发生重大变动的金额和原因</w:t>
      </w:r>
    </w:p>
    <w:p>
      <w:pPr>
        <w:pStyle w:val="Style32"/>
        <w:keepNext/>
        <w:keepLines/>
        <w:widowControl w:val="0"/>
        <w:shd w:val="clear" w:color="auto" w:fill="auto"/>
        <w:bidi w:val="0"/>
        <w:spacing w:before="0" w:after="34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5"/>
      <w:bookmarkEnd w:id="1496"/>
      <w:bookmarkEnd w:id="1498"/>
    </w:p>
    <w:p>
      <w:pPr>
        <w:pStyle w:val="Style75"/>
        <w:keepNext/>
        <w:keepLines/>
        <w:widowControl w:val="0"/>
        <w:shd w:val="clear" w:color="auto" w:fill="auto"/>
        <w:bidi w:val="0"/>
        <w:spacing w:before="0" w:after="34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9"/>
      <w:bookmarkEnd w:id="1500"/>
      <w:bookmarkEnd w:id="15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144,797,351.97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713,937,948.38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668,115,980.90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190,619,319.45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742,004.08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15,263,952.70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15,600,377.37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405,579.41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2,442,363.35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2,442,363.35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145,539,356.05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731,644,264.43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686,158,721.62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191,024,898.86</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2"/>
      <w:bookmarkEnd w:id="1503"/>
      <w:bookmarkEnd w:id="15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142,342,987.97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606,453,648.11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561,738,950.25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187,057,685.83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13,024,783.49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13,016,833.49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205,568.44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21,379,820.14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20,975,416.59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609,971.99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183,029.62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19,109,418.65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18,706,157.17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586,291.10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1,988,741.20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18,945.83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103,206.08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41,248,053.27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41,332,258.35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2,145,589.48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5,790,331.14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5,011,209.99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2,924,710.63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26,041,312.23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26,041,312.23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144,797,351.97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713,937,948.38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668,115,980.90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190,619,319.45</w:t>
            </w:r>
          </w:p>
        </w:tc>
      </w:tr>
    </w:tbl>
    <w:p>
      <w:pPr>
        <w:widowControl w:val="0"/>
        <w:spacing w:after="339" w:line="1" w:lineRule="exact"/>
      </w:pPr>
    </w:p>
    <w:p>
      <w:pPr>
        <w:pStyle w:val="Style75"/>
        <w:keepNext/>
        <w:keepLines/>
        <w:widowControl w:val="0"/>
        <w:numPr>
          <w:ilvl w:val="0"/>
          <w:numId w:val="29"/>
        </w:numPr>
        <w:shd w:val="clear" w:color="auto" w:fill="auto"/>
        <w:bidi w:val="0"/>
        <w:spacing w:before="0" w:after="34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设定提存计划列示</w:t>
      </w:r>
      <w:bookmarkEnd w:id="1505"/>
      <w:bookmarkEnd w:id="1506"/>
      <w:bookmarkEnd w:id="15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702,140.53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14,615,671.69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14,937,321.50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380,490.72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648,281.01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651,356.97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10,411.89</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14,676.80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742,004.08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15,263,952.70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15,600,377.37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405,579.41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9"/>
      <w:bookmarkEnd w:id="1510"/>
      <w:bookmarkEnd w:id="15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57,466,459.70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49,531,878.79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30,299,635.98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23,187,623.33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387,921.99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4,106,975.63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3,481,144.39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1,512,713.02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1,157,042.21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48,989.17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519,649.47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370,651.80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1,770,199.59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1,495,545.28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1,176,139.01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997,030.21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97,878,384.23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80,657,827.17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3"/>
      <w:bookmarkEnd w:id="1514"/>
      <w:bookmarkEnd w:id="15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104,281,671.31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117,714,143.46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104,281,671.31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117,714,143.46</w:t>
            </w:r>
          </w:p>
        </w:tc>
      </w:tr>
    </w:tbl>
    <w:p>
      <w:pPr>
        <w:widowControl w:val="0"/>
        <w:spacing w:after="359" w:line="1" w:lineRule="exact"/>
      </w:pPr>
    </w:p>
    <w:p>
      <w:pPr>
        <w:pStyle w:val="Style44"/>
        <w:keepNext w:val="0"/>
        <w:keepLines w:val="0"/>
        <w:widowControl w:val="0"/>
        <w:numPr>
          <w:ilvl w:val="0"/>
          <w:numId w:val="39"/>
        </w:numPr>
        <w:shd w:val="clear" w:color="auto" w:fill="auto"/>
        <w:tabs>
          <w:tab w:pos="488" w:val="left"/>
        </w:tabs>
        <w:bidi w:val="0"/>
        <w:spacing w:before="0" w:after="360" w:line="240" w:lineRule="auto"/>
        <w:ind w:left="0" w:right="0" w:firstLine="0"/>
        <w:jc w:val="left"/>
      </w:pPr>
      <w:bookmarkStart w:id="1517" w:name="bookmark1517"/>
      <w:bookmarkStart w:id="1518" w:name="bookmark1518"/>
      <w:bookmarkEnd w:id="1517"/>
      <w:r>
        <w:rPr>
          <w:b/>
          <w:bCs/>
          <w:color w:val="000000"/>
          <w:spacing w:val="0"/>
          <w:w w:val="100"/>
          <w:position w:val="0"/>
        </w:rPr>
        <w:t>应付利息</w:t>
      </w:r>
      <w:bookmarkEnd w:id="151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val="0"/>
        <w:keepLines w:val="0"/>
        <w:widowControl w:val="0"/>
        <w:numPr>
          <w:ilvl w:val="0"/>
          <w:numId w:val="39"/>
        </w:numPr>
        <w:shd w:val="clear" w:color="auto" w:fill="auto"/>
        <w:tabs>
          <w:tab w:pos="488" w:val="left"/>
        </w:tabs>
        <w:bidi w:val="0"/>
        <w:spacing w:before="0" w:after="360" w:line="240" w:lineRule="auto"/>
        <w:ind w:left="0" w:right="0" w:firstLine="0"/>
        <w:jc w:val="left"/>
      </w:pPr>
      <w:bookmarkStart w:id="1519" w:name="bookmark1519"/>
      <w:bookmarkStart w:id="1520" w:name="bookmark1520"/>
      <w:bookmarkEnd w:id="1519"/>
      <w:r>
        <w:rPr>
          <w:b/>
          <w:bCs/>
          <w:color w:val="000000"/>
          <w:spacing w:val="0"/>
          <w:w w:val="100"/>
          <w:position w:val="0"/>
        </w:rPr>
        <w:t>应付股利</w:t>
      </w:r>
      <w:bookmarkEnd w:id="152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val="0"/>
        <w:keepLines w:val="0"/>
        <w:widowControl w:val="0"/>
        <w:numPr>
          <w:ilvl w:val="0"/>
          <w:numId w:val="39"/>
        </w:numPr>
        <w:shd w:val="clear" w:color="auto" w:fill="auto"/>
        <w:tabs>
          <w:tab w:pos="488" w:val="left"/>
        </w:tabs>
        <w:bidi w:val="0"/>
        <w:spacing w:before="0" w:after="360" w:line="240" w:lineRule="auto"/>
        <w:ind w:left="0" w:right="0" w:firstLine="0"/>
        <w:jc w:val="left"/>
      </w:pPr>
      <w:bookmarkStart w:id="1521" w:name="bookmark1521"/>
      <w:bookmarkStart w:id="1522" w:name="bookmark1522"/>
      <w:bookmarkEnd w:id="1521"/>
      <w:r>
        <w:rPr>
          <w:b/>
          <w:bCs/>
          <w:color w:val="000000"/>
          <w:spacing w:val="0"/>
          <w:w w:val="100"/>
          <w:position w:val="0"/>
        </w:rPr>
        <w:t>其他应付款</w:t>
      </w:r>
      <w:bookmarkEnd w:id="1522"/>
    </w:p>
    <w:p>
      <w:pPr>
        <w:pStyle w:val="Style124"/>
        <w:keepNext/>
        <w:keepLines/>
        <w:widowControl w:val="0"/>
        <w:numPr>
          <w:ilvl w:val="0"/>
          <w:numId w:val="41"/>
        </w:numPr>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按款项性质列示其他应付款</w:t>
      </w:r>
      <w:bookmarkEnd w:id="1523"/>
      <w:bookmarkEnd w:id="1524"/>
      <w:bookmarkEnd w:id="1526"/>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62,138,667.00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80,782,965.00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10,716,007.94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13,305,125.27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31,426,996.37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23,626,053.19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104,281,671.31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117,714,143.46</w:t>
            </w:r>
          </w:p>
        </w:tc>
      </w:tr>
    </w:tbl>
    <w:p>
      <w:pPr>
        <w:widowControl w:val="0"/>
        <w:spacing w:after="359" w:line="1" w:lineRule="exact"/>
      </w:pPr>
    </w:p>
    <w:p>
      <w:pPr>
        <w:pStyle w:val="Style124"/>
        <w:keepNext/>
        <w:keepLines/>
        <w:widowControl w:val="0"/>
        <w:numPr>
          <w:ilvl w:val="0"/>
          <w:numId w:val="43"/>
        </w:numPr>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7"/>
      <w:bookmarkEnd w:id="1528"/>
      <w:bookmarkEnd w:id="15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业务未完结</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1,692,000.00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31"/>
      <w:bookmarkEnd w:id="1532"/>
      <w:bookmarkEnd w:id="153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35"/>
      <w:bookmarkEnd w:id="1536"/>
      <w:bookmarkEnd w:id="153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2,482,896.12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2,482,896.12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539"/>
      <w:bookmarkEnd w:id="1540"/>
      <w:bookmarkEnd w:id="154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43"/>
      <w:bookmarkEnd w:id="1544"/>
      <w:bookmarkEnd w:id="1546"/>
    </w:p>
    <w:p>
      <w:pPr>
        <w:pStyle w:val="Style75"/>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7"/>
      <w:bookmarkEnd w:id="1548"/>
      <w:bookmarkEnd w:id="154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20,590,763.78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15,461,984.57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20,590,763.78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15,461,984.57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44"/>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注1 : 2018年11月，本集团与中国农业银行股份有限公司厦门思明支行签订了编号为 “83010420180000199 ”的借款合同，借款本金</w:t>
      </w:r>
      <w:r>
        <w:rPr>
          <w:color w:val="000000"/>
          <w:spacing w:val="0"/>
          <w:w w:val="100"/>
          <w:position w:val="0"/>
        </w:rPr>
        <w:t>18,631,080.0</w:t>
      </w:r>
      <w:r>
        <w:rPr>
          <w:color w:val="000000"/>
          <w:spacing w:val="0"/>
          <w:w w:val="100"/>
          <w:position w:val="0"/>
        </w:rPr>
        <w:t>0元，借款目的用于购置西安办公楼。借款期 限：10年，还款方式：按月等额本息还款，利率：</w:t>
      </w:r>
      <w:r>
        <w:rPr>
          <w:color w:val="000000"/>
          <w:spacing w:val="0"/>
          <w:w w:val="100"/>
          <w:position w:val="0"/>
        </w:rPr>
        <w:t>LPR</w:t>
      </w:r>
      <w:r>
        <w:rPr>
          <w:color w:val="000000"/>
          <w:spacing w:val="0"/>
          <w:w w:val="100"/>
          <w:position w:val="0"/>
        </w:rPr>
        <w:t>加</w:t>
      </w:r>
      <w:r>
        <w:rPr>
          <w:color w:val="000000"/>
          <w:spacing w:val="0"/>
          <w:w w:val="100"/>
          <w:position w:val="0"/>
        </w:rPr>
        <w:t>59bp</w:t>
      </w:r>
      <w:r>
        <w:rPr>
          <w:color w:val="000000"/>
          <w:spacing w:val="0"/>
          <w:w w:val="100"/>
          <w:position w:val="0"/>
        </w:rPr>
        <w:t>。本合同担保方式为定期存款质押，原定期 存单到期，本公司与中国农业银行股份有限公司厦门思明支行于2020年12月31日签订了编号为 “83100420200000638”的权利质押合同，以编号为</w:t>
      </w:r>
      <w:r>
        <w:rPr>
          <w:color w:val="000000"/>
          <w:spacing w:val="0"/>
          <w:w w:val="100"/>
          <w:position w:val="0"/>
        </w:rPr>
        <w:t>“02-000261905”</w:t>
      </w:r>
      <w:r>
        <w:rPr>
          <w:color w:val="000000"/>
          <w:spacing w:val="0"/>
          <w:w w:val="100"/>
          <w:position w:val="0"/>
        </w:rPr>
        <w:t>的定期存单</w:t>
      </w:r>
      <w:r>
        <w:rPr>
          <w:color w:val="000000"/>
          <w:spacing w:val="0"/>
          <w:w w:val="100"/>
          <w:position w:val="0"/>
        </w:rPr>
        <w:t>1,900.00</w:t>
      </w:r>
      <w:r>
        <w:rPr>
          <w:color w:val="000000"/>
          <w:spacing w:val="0"/>
          <w:w w:val="100"/>
          <w:position w:val="0"/>
        </w:rPr>
        <w:t>万元作为质押 物。</w:t>
      </w:r>
    </w:p>
    <w:p>
      <w:pPr>
        <w:pStyle w:val="Style4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注2 : 2020年6月，本集团与中国农业银行股份有限公司厦门思明支行签订了编号为 “83010420200000059 ”的借款合同，借款本金</w:t>
      </w:r>
      <w:r>
        <w:rPr>
          <w:color w:val="000000"/>
          <w:spacing w:val="0"/>
          <w:w w:val="100"/>
          <w:position w:val="0"/>
        </w:rPr>
        <w:t>8,000,000.00</w:t>
      </w:r>
      <w:r>
        <w:rPr>
          <w:color w:val="000000"/>
          <w:spacing w:val="0"/>
          <w:w w:val="100"/>
          <w:position w:val="0"/>
        </w:rPr>
        <w:t>元，借款目的用于购置西安办公楼。借款期 限：10年，还款方式：按月等额本息还款，利率：</w:t>
      </w:r>
      <w:r>
        <w:rPr>
          <w:color w:val="000000"/>
          <w:spacing w:val="0"/>
          <w:w w:val="100"/>
          <w:position w:val="0"/>
        </w:rPr>
        <w:t>LPR</w:t>
      </w:r>
      <w:r>
        <w:rPr>
          <w:color w:val="000000"/>
          <w:spacing w:val="0"/>
          <w:w w:val="100"/>
          <w:position w:val="0"/>
        </w:rPr>
        <w:t>减</w:t>
      </w:r>
      <w:r>
        <w:rPr>
          <w:color w:val="000000"/>
          <w:spacing w:val="0"/>
          <w:w w:val="100"/>
          <w:position w:val="0"/>
        </w:rPr>
        <w:t>21bp</w:t>
      </w:r>
      <w:r>
        <w:rPr>
          <w:color w:val="000000"/>
          <w:spacing w:val="0"/>
          <w:w w:val="100"/>
          <w:position w:val="0"/>
        </w:rPr>
        <w:t>。本合同担保方式为定期存款质押，原定期 存单到期，本公司与中国农业银行股份有限公司厦门思明支行于2020年12月31日签订了编号为 “83100420200000637”的权利质押合同，以编号为</w:t>
      </w:r>
      <w:r>
        <w:rPr>
          <w:color w:val="000000"/>
          <w:spacing w:val="0"/>
          <w:w w:val="100"/>
          <w:position w:val="0"/>
        </w:rPr>
        <w:t>“02-000261906”</w:t>
      </w:r>
      <w:r>
        <w:rPr>
          <w:color w:val="000000"/>
          <w:spacing w:val="0"/>
          <w:w w:val="100"/>
          <w:position w:val="0"/>
        </w:rPr>
        <w:t>的定期存单</w:t>
      </w:r>
      <w:r>
        <w:rPr>
          <w:color w:val="000000"/>
          <w:spacing w:val="0"/>
          <w:w w:val="100"/>
          <w:position w:val="0"/>
        </w:rPr>
        <w:t>1,000.00</w:t>
      </w:r>
      <w:r>
        <w:rPr>
          <w:color w:val="000000"/>
          <w:spacing w:val="0"/>
          <w:w w:val="100"/>
          <w:position w:val="0"/>
        </w:rPr>
        <w:t>万元作为质押 物。</w:t>
      </w:r>
    </w:p>
    <w:p>
      <w:pPr>
        <w:pStyle w:val="Style32"/>
        <w:keepNext/>
        <w:keepLines/>
        <w:widowControl w:val="0"/>
        <w:shd w:val="clear" w:color="auto" w:fill="auto"/>
        <w:tabs>
          <w:tab w:pos="478" w:val="left"/>
        </w:tabs>
        <w:bidi w:val="0"/>
        <w:spacing w:before="0" w:after="140" w:line="492"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50"/>
      <w:bookmarkEnd w:id="1551"/>
      <w:bookmarkEnd w:id="1553"/>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92"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4"/>
      <w:bookmarkEnd w:id="1555"/>
      <w:bookmarkEnd w:id="155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92"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58"/>
      <w:bookmarkEnd w:id="1559"/>
      <w:bookmarkEnd w:id="156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92"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62"/>
      <w:bookmarkEnd w:id="1563"/>
      <w:bookmarkEnd w:id="1565"/>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92"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6"/>
      <w:bookmarkEnd w:id="1567"/>
      <w:bookmarkEnd w:id="156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8" w:val="left"/>
        </w:tabs>
        <w:bidi w:val="0"/>
        <w:spacing w:before="0" w:after="140" w:line="492"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70"/>
      <w:bookmarkEnd w:id="1571"/>
      <w:bookmarkEnd w:id="157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41,649,019.26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13,617,860.00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7,039,658.85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48,227,220.41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41,649,019.26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13,617,860.00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7,039,658.85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48,227,220.41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133"/>
        <w:gridCol w:w="1138"/>
        <w:gridCol w:w="850"/>
        <w:gridCol w:w="1138"/>
        <w:gridCol w:w="850"/>
        <w:gridCol w:w="562"/>
        <w:gridCol w:w="1051"/>
        <w:gridCol w:w="101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 专项</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703,700.00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 专项</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国家重点研发专项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公共安全风险防控与 应急技术装备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国家服务业发展引导 资金</w:t>
            </w:r>
            <w:r>
              <w:rPr>
                <w:rFonts w:ascii="Times New Roman" w:eastAsia="Times New Roman" w:hAnsi="Times New Roman" w:cs="Times New Roman"/>
                <w:color w:val="000000"/>
                <w:spacing w:val="0"/>
                <w:w w:val="100"/>
                <w:position w:val="0"/>
              </w:rPr>
              <w:t>“</w:t>
            </w:r>
            <w:r>
              <w:rPr>
                <w:color w:val="000000"/>
                <w:spacing w:val="0"/>
                <w:w w:val="100"/>
                <w:position w:val="0"/>
              </w:rPr>
              <w:t>电子数据存证云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149,526.53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网络保密取证产业化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物联网实时图像识别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基于云技术的证据链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综合取证平台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36,341.47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厦门超级计算中心滚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4,799,998.84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1,599,998.84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基于手机云的手机综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合取证系统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低俗信息监测预警技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2017-2019</w:t>
            </w:r>
            <w:r>
              <w:rPr>
                <w:color w:val="000000"/>
                <w:spacing w:val="0"/>
                <w:w w:val="100"/>
                <w:position w:val="0"/>
              </w:rPr>
              <w:t>年国家认定 企业技术中心研发费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司法大数据智能化平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1,133,500.00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1,768,217.60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年省级新型研发 机构引导性项目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企业技术改造项目补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年国家重点研发 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新型冠状病毒传播监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848"/>
        <w:gridCol w:w="1133"/>
        <w:gridCol w:w="1138"/>
        <w:gridCol w:w="850"/>
        <w:gridCol w:w="1138"/>
        <w:gridCol w:w="850"/>
        <w:gridCol w:w="562"/>
        <w:gridCol w:w="1051"/>
        <w:gridCol w:w="101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测</w:t>
            </w:r>
            <w:r>
              <w:rPr>
                <w:rFonts w:ascii="Times New Roman" w:eastAsia="Times New Roman" w:hAnsi="Times New Roman" w:cs="Times New Roman"/>
                <w:color w:val="000000"/>
                <w:spacing w:val="0"/>
                <w:w w:val="100"/>
                <w:position w:val="0"/>
              </w:rPr>
              <w:t>”</w:t>
            </w:r>
            <w:r>
              <w:rPr>
                <w:color w:val="000000"/>
                <w:spacing w:val="0"/>
                <w:w w:val="100"/>
                <w:position w:val="0"/>
              </w:rPr>
              <w:t>专项工作平台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年福建省发改委 可研项目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年厦门市重大科 技项目首款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信息产业发展专项资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年支持大数据示 范应用资金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应用与服务一体化大 数据治理研判分析平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基于内容感知的智能 视频浓缩设备产学研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年福建省重点实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验室扶持资金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项目联合申报</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 专项</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 专项</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博士后工作站科技政 策定额扶持资金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分布式电子数据取证 关键技术研究项目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广州市科技项目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高价值专利组合培育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厦门市科学技术局</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年第一批（提前拨 付）企业研发费用补助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中小企业技术创新基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金配套项目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虚拟身份动态演练系 统项目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263,660.00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263,660.00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54"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74"/>
      <w:bookmarkEnd w:id="1575"/>
      <w:bookmarkEnd w:id="157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54" w:val="left"/>
        </w:tabs>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78"/>
      <w:bookmarkEnd w:id="1579"/>
      <w:bookmarkEnd w:id="158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803,993,717.00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2,795,328.00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2,672,928.00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806,666,645.00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注1：本期股本增加</w:t>
      </w:r>
      <w:r>
        <w:rPr>
          <w:color w:val="000000"/>
          <w:spacing w:val="0"/>
          <w:w w:val="100"/>
          <w:position w:val="0"/>
        </w:rPr>
        <w:t>2,795,328.00</w:t>
      </w:r>
      <w:r>
        <w:rPr>
          <w:color w:val="000000"/>
          <w:spacing w:val="0"/>
          <w:w w:val="100"/>
          <w:position w:val="0"/>
        </w:rPr>
        <w:t>股，系：（1）根据本集团2020年1月23日召开的第四届董事会第十 五次会议和第四届监事会第十四次会议审议通过了《关于向激励对象授予2019年股票期权与限制性股票激 励计划预留权益的议案》，202。年1月23日为本次股权激励计划的预留权益授予日，本集团向210名员工授 予限制性股票，授予数量</w:t>
      </w:r>
      <w:r>
        <w:rPr>
          <w:color w:val="000000"/>
          <w:spacing w:val="0"/>
          <w:w w:val="100"/>
          <w:position w:val="0"/>
        </w:rPr>
        <w:t>134.00</w:t>
      </w:r>
      <w:r>
        <w:rPr>
          <w:color w:val="000000"/>
          <w:spacing w:val="0"/>
          <w:w w:val="100"/>
          <w:position w:val="0"/>
        </w:rPr>
        <w:t>万股，每股面值1元，授予价格每股</w:t>
      </w:r>
      <w:r>
        <w:rPr>
          <w:color w:val="000000"/>
          <w:spacing w:val="0"/>
          <w:w w:val="100"/>
          <w:position w:val="0"/>
        </w:rPr>
        <w:t>10.69</w:t>
      </w:r>
      <w:r>
        <w:rPr>
          <w:color w:val="000000"/>
          <w:spacing w:val="0"/>
          <w:w w:val="100"/>
          <w:position w:val="0"/>
        </w:rPr>
        <w:t>元，募集资金总额</w:t>
      </w:r>
      <w:r>
        <w:rPr>
          <w:color w:val="000000"/>
          <w:spacing w:val="0"/>
          <w:w w:val="100"/>
          <w:position w:val="0"/>
        </w:rPr>
        <w:t xml:space="preserve">14,324,600.00 </w:t>
      </w:r>
      <w:r>
        <w:rPr>
          <w:color w:val="000000"/>
          <w:spacing w:val="0"/>
          <w:w w:val="100"/>
          <w:position w:val="0"/>
        </w:rPr>
        <w:t xml:space="preserve">元（增加库存股14, 324, </w:t>
      </w:r>
      <w:r>
        <w:rPr>
          <w:color w:val="000000"/>
          <w:spacing w:val="0"/>
          <w:w w:val="100"/>
          <w:position w:val="0"/>
        </w:rPr>
        <w:t>600.00</w:t>
      </w:r>
      <w:r>
        <w:rPr>
          <w:color w:val="000000"/>
          <w:spacing w:val="0"/>
          <w:w w:val="100"/>
          <w:position w:val="0"/>
        </w:rPr>
        <w:t xml:space="preserve">元），其中计入股本1, </w:t>
      </w:r>
      <w:r>
        <w:rPr>
          <w:color w:val="000000"/>
          <w:spacing w:val="0"/>
          <w:w w:val="100"/>
          <w:position w:val="0"/>
        </w:rPr>
        <w:t>340,000.00</w:t>
      </w:r>
      <w:r>
        <w:rPr>
          <w:color w:val="000000"/>
          <w:spacing w:val="0"/>
          <w:w w:val="100"/>
          <w:position w:val="0"/>
        </w:rPr>
        <w:t>元，计入资本公积</w:t>
      </w:r>
      <w:r>
        <w:rPr>
          <w:color w:val="000000"/>
          <w:spacing w:val="0"/>
          <w:w w:val="100"/>
          <w:position w:val="0"/>
        </w:rPr>
        <w:t>12,984,600.0</w:t>
      </w:r>
      <w:r>
        <w:rPr>
          <w:color w:val="000000"/>
          <w:spacing w:val="0"/>
          <w:w w:val="100"/>
          <w:position w:val="0"/>
        </w:rPr>
        <w:t>0元；（2） 根据本集团2020年6月1日召开的第四届董事会第十八次会议和第四届监事会第十六次会议审议通过了《关 于公司2019年股票期权与限制性股票激励计划首次授予部分第一个可行权/解除限售条件成就的议案》， 截止2020年12月31日，2019年股票期权与限制性股票激励计划首次授予部分776名激励对象股票期权行权 共计1,455,328份，募集资金总额</w:t>
      </w:r>
      <w:r>
        <w:rPr>
          <w:color w:val="000000"/>
          <w:spacing w:val="0"/>
          <w:w w:val="100"/>
          <w:position w:val="0"/>
        </w:rPr>
        <w:t xml:space="preserve">24,857,002. </w:t>
      </w:r>
      <w:r>
        <w:rPr>
          <w:color w:val="000000"/>
          <w:spacing w:val="0"/>
          <w:w w:val="100"/>
          <w:position w:val="0"/>
        </w:rPr>
        <w:t>24元，其中计入股本</w:t>
      </w:r>
      <w:r>
        <w:rPr>
          <w:color w:val="000000"/>
          <w:spacing w:val="0"/>
          <w:w w:val="100"/>
          <w:position w:val="0"/>
        </w:rPr>
        <w:t>1,455,328.00</w:t>
      </w:r>
      <w:r>
        <w:rPr>
          <w:color w:val="000000"/>
          <w:spacing w:val="0"/>
          <w:w w:val="100"/>
          <w:position w:val="0"/>
        </w:rPr>
        <w:t xml:space="preserve">元，计入资本公积 </w:t>
      </w:r>
      <w:r>
        <w:rPr>
          <w:color w:val="000000"/>
          <w:spacing w:val="0"/>
          <w:w w:val="100"/>
          <w:position w:val="0"/>
        </w:rPr>
        <w:t>23,401,674.24</w:t>
      </w:r>
      <w:r>
        <w:rPr>
          <w:color w:val="000000"/>
          <w:spacing w:val="0"/>
          <w:w w:val="100"/>
          <w:position w:val="0"/>
        </w:rPr>
        <w:t>元。</w:t>
      </w:r>
    </w:p>
    <w:p>
      <w:pPr>
        <w:pStyle w:val="Style44"/>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注2：本期股本减少</w:t>
      </w:r>
      <w:r>
        <w:rPr>
          <w:color w:val="000000"/>
          <w:spacing w:val="0"/>
          <w:w w:val="100"/>
          <w:position w:val="0"/>
        </w:rPr>
        <w:t>122,400.00</w:t>
      </w:r>
      <w:r>
        <w:rPr>
          <w:color w:val="000000"/>
          <w:spacing w:val="0"/>
          <w:w w:val="100"/>
          <w:position w:val="0"/>
        </w:rPr>
        <w:t>股系本公司员工离职回购注销授予的限制性股票导致，同时冲减资本 公积-股本溢价</w:t>
      </w:r>
      <w:r>
        <w:rPr>
          <w:color w:val="000000"/>
          <w:spacing w:val="0"/>
          <w:w w:val="100"/>
          <w:position w:val="0"/>
        </w:rPr>
        <w:t>934,820.00</w:t>
      </w:r>
      <w:r>
        <w:rPr>
          <w:color w:val="000000"/>
          <w:spacing w:val="0"/>
          <w:w w:val="100"/>
          <w:position w:val="0"/>
        </w:rPr>
        <w:t>元。</w:t>
      </w:r>
    </w:p>
    <w:p>
      <w:pPr>
        <w:pStyle w:val="Style32"/>
        <w:keepNext/>
        <w:keepLines/>
        <w:widowControl w:val="0"/>
        <w:shd w:val="clear" w:color="auto" w:fill="auto"/>
        <w:bidi w:val="0"/>
        <w:spacing w:before="0" w:after="160" w:line="48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82"/>
      <w:bookmarkEnd w:id="1583"/>
      <w:bookmarkEnd w:id="158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6"/>
      <w:bookmarkEnd w:id="1587"/>
      <w:bookmarkEnd w:id="1589"/>
    </w:p>
    <w:p>
      <w:pPr>
        <w:pStyle w:val="Style3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547,801,947.24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36,386,274.24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583,253,401.48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125,589,931.78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31,939,673.70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1,959,541.12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155,570,064.36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673,391,879.02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68,325,947.94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2,894,361.12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738,823,465.84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4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注1：本期资本公积-股本溢价增加</w:t>
      </w:r>
      <w:r>
        <w:rPr>
          <w:color w:val="000000"/>
          <w:spacing w:val="0"/>
          <w:w w:val="100"/>
          <w:position w:val="0"/>
        </w:rPr>
        <w:t>36,386,274.24</w:t>
      </w:r>
      <w:r>
        <w:rPr>
          <w:color w:val="000000"/>
          <w:spacing w:val="0"/>
          <w:w w:val="100"/>
          <w:position w:val="0"/>
        </w:rPr>
        <w:t xml:space="preserve">元及股本溢价减少934, </w:t>
      </w:r>
      <w:r>
        <w:rPr>
          <w:color w:val="000000"/>
          <w:spacing w:val="0"/>
          <w:w w:val="100"/>
          <w:position w:val="0"/>
        </w:rPr>
        <w:t xml:space="preserve">820. </w:t>
      </w:r>
      <w:r>
        <w:rPr>
          <w:color w:val="000000"/>
          <w:spacing w:val="0"/>
          <w:w w:val="100"/>
          <w:position w:val="0"/>
        </w:rPr>
        <w:t>00元的具体情况，详见 附注七、（53）股本。</w:t>
      </w:r>
    </w:p>
    <w:p>
      <w:pPr>
        <w:pStyle w:val="Style44"/>
        <w:keepNext w:val="0"/>
        <w:keepLines w:val="0"/>
        <w:widowControl w:val="0"/>
        <w:shd w:val="clear" w:color="auto" w:fill="auto"/>
        <w:bidi w:val="0"/>
        <w:spacing w:before="0" w:after="440" w:line="464" w:lineRule="exact"/>
        <w:ind w:left="0" w:right="0" w:firstLine="440"/>
        <w:jc w:val="both"/>
      </w:pPr>
      <w:r>
        <w:rPr>
          <w:color w:val="000000"/>
          <w:spacing w:val="0"/>
          <w:w w:val="100"/>
          <w:position w:val="0"/>
        </w:rPr>
        <w:t>注2：本期资本公积-其他资本公积增加</w:t>
      </w:r>
      <w:r>
        <w:rPr>
          <w:color w:val="000000"/>
          <w:spacing w:val="0"/>
          <w:w w:val="100"/>
          <w:position w:val="0"/>
        </w:rPr>
        <w:t xml:space="preserve">31,939,673. </w:t>
      </w:r>
      <w:r>
        <w:rPr>
          <w:color w:val="000000"/>
          <w:spacing w:val="0"/>
          <w:w w:val="100"/>
          <w:position w:val="0"/>
        </w:rPr>
        <w:t>70元，系本期股权激励费用摊销；本期其他资本 公积本期减少</w:t>
      </w:r>
      <w:r>
        <w:rPr>
          <w:color w:val="000000"/>
          <w:spacing w:val="0"/>
          <w:w w:val="100"/>
          <w:position w:val="0"/>
        </w:rPr>
        <w:t>1,959,541.12</w:t>
      </w:r>
      <w:r>
        <w:rPr>
          <w:color w:val="000000"/>
          <w:spacing w:val="0"/>
          <w:w w:val="100"/>
          <w:position w:val="0"/>
        </w:rPr>
        <w:t xml:space="preserve">元，系本期本集团员工持有的限制性股票行权导致的资本公积调减 1,959, </w:t>
      </w:r>
      <w:r>
        <w:rPr>
          <w:color w:val="000000"/>
          <w:spacing w:val="0"/>
          <w:w w:val="100"/>
          <w:position w:val="0"/>
        </w:rPr>
        <w:t xml:space="preserve">541. </w:t>
      </w:r>
      <w:r>
        <w:rPr>
          <w:color w:val="000000"/>
          <w:spacing w:val="0"/>
          <w:w w:val="100"/>
          <w:position w:val="0"/>
        </w:rPr>
        <w:t>12元。</w:t>
      </w:r>
    </w:p>
    <w:p>
      <w:pPr>
        <w:pStyle w:val="Style32"/>
        <w:keepNext/>
        <w:keepLines/>
        <w:widowControl w:val="0"/>
        <w:shd w:val="clear" w:color="auto" w:fill="auto"/>
        <w:bidi w:val="0"/>
        <w:spacing w:before="0" w:after="140" w:line="48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0"/>
      <w:bookmarkEnd w:id="1591"/>
      <w:bookmarkEnd w:id="159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80,782,965.00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14,324,600.00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32,968,898.00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62,138,667.00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80,782,965.00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14,324,600.00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32,968,898.00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62,138,667.00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注1：库存股本期增加的情况，详见附注七、（53）股本。</w:t>
      </w:r>
    </w:p>
    <w:p>
      <w:pPr>
        <w:pStyle w:val="Style44"/>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 xml:space="preserve">注2：本期减少系：（1）根据本集团2020年3月27日召开的第四届董事会第十六次会议和第四届监事 会第十五次会议审议通过了《关于注销部分股票期权和回购注销部分限制性股票的议案》，本集团回购已 离职的18名限制性股票激励对象122, </w:t>
      </w:r>
      <w:r>
        <w:rPr>
          <w:color w:val="000000"/>
          <w:spacing w:val="0"/>
          <w:w w:val="100"/>
          <w:position w:val="0"/>
        </w:rPr>
        <w:t xml:space="preserve">400. </w:t>
      </w:r>
      <w:r>
        <w:rPr>
          <w:color w:val="000000"/>
          <w:spacing w:val="0"/>
          <w:w w:val="100"/>
          <w:position w:val="0"/>
        </w:rPr>
        <w:t>00股限制性股票，减少库存股和其他应付款</w:t>
      </w:r>
      <w:r>
        <w:rPr>
          <w:color w:val="000000"/>
          <w:spacing w:val="0"/>
          <w:w w:val="100"/>
          <w:position w:val="0"/>
        </w:rPr>
        <w:t>1,057,220.00</w:t>
      </w:r>
      <w:r>
        <w:rPr>
          <w:color w:val="000000"/>
          <w:spacing w:val="0"/>
          <w:w w:val="100"/>
          <w:position w:val="0"/>
        </w:rPr>
        <w:t>元；（2） 根据本集团2020年6月1日召开的第四届董事会第十八次会议和第四届监事会第十六次会议审议通过了《关 于公司2019年股票期权与限制性股票激励计划首次授予部分第一个可行权/解除限售条件成就的议案》， 同意于2020年6月16日解锁2019年股票期权与限制性股票激励计划首次授予部分803名激励对象限制性股 票共计3,732,360股，减少库存股和其他应付款</w:t>
      </w:r>
      <w:r>
        <w:rPr>
          <w:color w:val="000000"/>
          <w:spacing w:val="0"/>
          <w:w w:val="100"/>
          <w:position w:val="0"/>
        </w:rPr>
        <w:t xml:space="preserve">31,911,678. </w:t>
      </w:r>
      <w:r>
        <w:rPr>
          <w:color w:val="000000"/>
          <w:spacing w:val="0"/>
          <w:w w:val="100"/>
          <w:position w:val="0"/>
        </w:rPr>
        <w:t>00元。</w:t>
      </w:r>
    </w:p>
    <w:p>
      <w:pPr>
        <w:pStyle w:val="Style32"/>
        <w:keepNext/>
        <w:keepLines/>
        <w:widowControl w:val="0"/>
        <w:shd w:val="clear" w:color="auto" w:fill="auto"/>
        <w:bidi w:val="0"/>
        <w:spacing w:before="0" w:after="140" w:line="48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4"/>
      <w:bookmarkEnd w:id="1595"/>
      <w:bookmarkEnd w:id="1597"/>
    </w:p>
    <w:p>
      <w:pPr>
        <w:pStyle w:val="Style3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709"/>
        <w:gridCol w:w="1272"/>
        <w:gridCol w:w="1282"/>
        <w:gridCol w:w="989"/>
        <w:gridCol w:w="1042"/>
        <w:gridCol w:w="850"/>
        <w:gridCol w:w="1085"/>
        <w:gridCol w:w="619"/>
        <w:gridCol w:w="7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3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 入其他综合 收益当期转 入留存收益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260,015,289.56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-53,905,887.16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38,128,578.0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-5,390,588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-86,643,876.5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260,015,289.56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-53,905,887.16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38,128,578.0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-5,390,588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-86,643,876.5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260,015,289.56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-53,905,887.16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38,128,578.0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-86,643,876.5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173,371,</w:t>
            </w:r>
          </w:p>
        </w:tc>
      </w:tr>
    </w:tbl>
    <w:p>
      <w:pPr>
        <w:widowControl w:val="0"/>
        <w:spacing w:line="1" w:lineRule="exact"/>
      </w:pPr>
      <w:r>
        <w:br w:type="page"/>
      </w:r>
    </w:p>
    <w:tbl>
      <w:tblPr>
        <w:tblOverlap w:val="never"/>
        <w:jc w:val="center"/>
        <w:tblLayout w:type="fixed"/>
      </w:tblPr>
      <w:tblGrid>
        <w:gridCol w:w="1709"/>
        <w:gridCol w:w="1272"/>
        <w:gridCol w:w="1282"/>
        <w:gridCol w:w="989"/>
        <w:gridCol w:w="1042"/>
        <w:gridCol w:w="850"/>
        <w:gridCol w:w="1085"/>
        <w:gridCol w:w="619"/>
        <w:gridCol w:w="739"/>
      </w:tblGrid>
      <w:tr>
        <w:trPr>
          <w:trHeight w:val="379"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8"/>
      <w:bookmarkEnd w:id="1599"/>
      <w:bookmarkEnd w:id="160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2"/>
      <w:bookmarkEnd w:id="1603"/>
      <w:bookmarkEnd w:id="160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111,216,597.97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31,374,757.62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142,591,355.59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111,216,597.97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31,374,757.62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142,591,355.59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39" w:line="1" w:lineRule="exact"/>
      </w:pPr>
    </w:p>
    <w:p>
      <w:pPr>
        <w:pStyle w:val="Style4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本期盈余公积增加数系：（1）其他综合收益结转留存收益，增加盈余公积</w:t>
      </w:r>
      <w:r>
        <w:rPr>
          <w:color w:val="000000"/>
          <w:spacing w:val="0"/>
          <w:w w:val="100"/>
          <w:position w:val="0"/>
        </w:rPr>
        <w:t>3,812,857.8</w:t>
      </w:r>
      <w:r>
        <w:rPr>
          <w:color w:val="000000"/>
          <w:spacing w:val="0"/>
          <w:w w:val="100"/>
          <w:position w:val="0"/>
        </w:rPr>
        <w:t>1元；（2）根</w:t>
      </w:r>
    </w:p>
    <w:p>
      <w:pPr>
        <w:pStyle w:val="Style44"/>
        <w:keepNext w:val="0"/>
        <w:keepLines w:val="0"/>
        <w:widowControl w:val="0"/>
        <w:shd w:val="clear" w:color="auto" w:fill="auto"/>
        <w:bidi w:val="0"/>
        <w:spacing w:before="0" w:after="420" w:line="240" w:lineRule="auto"/>
        <w:ind w:left="0" w:right="0" w:firstLine="0"/>
        <w:jc w:val="left"/>
      </w:pPr>
      <w:r>
        <w:rPr>
          <w:color w:val="000000"/>
          <w:spacing w:val="0"/>
          <w:w w:val="100"/>
          <w:position w:val="0"/>
        </w:rPr>
        <w:t>据本期实现净利润的10.00%提取盈余公积</w:t>
      </w:r>
      <w:r>
        <w:rPr>
          <w:color w:val="000000"/>
          <w:spacing w:val="0"/>
          <w:w w:val="100"/>
          <w:position w:val="0"/>
        </w:rPr>
        <w:t>27,561,899.8</w:t>
      </w:r>
      <w:r>
        <w:rPr>
          <w:color w:val="000000"/>
          <w:spacing w:val="0"/>
          <w:w w:val="100"/>
          <w:position w:val="0"/>
        </w:rPr>
        <w:t>1元。</w:t>
      </w:r>
    </w:p>
    <w:p>
      <w:pPr>
        <w:pStyle w:val="Style32"/>
        <w:keepNext/>
        <w:keepLines/>
        <w:widowControl w:val="0"/>
        <w:shd w:val="clear" w:color="auto" w:fill="auto"/>
        <w:bidi w:val="0"/>
        <w:spacing w:before="0" w:after="36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6"/>
      <w:bookmarkEnd w:id="1607"/>
      <w:bookmarkEnd w:id="160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1,192,954,662.33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979,094,436.87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1,292,127.34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1,192,954,662.33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980,386,564.21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374,620,968.32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289,675,573.16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27,561,899.81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13,520,850.32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72,469,018.53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63,586,624.72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34,315,720.26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1,501,860,432.57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1,192,954,662.33</w:t>
            </w:r>
          </w:p>
        </w:tc>
      </w:tr>
    </w:tbl>
    <w:p>
      <w:pPr>
        <w:widowControl w:val="0"/>
        <w:spacing w:after="7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25" w:val="left"/>
        </w:tabs>
        <w:bidi w:val="0"/>
        <w:spacing w:before="0" w:after="240" w:line="240" w:lineRule="auto"/>
        <w:ind w:left="0" w:right="0" w:firstLine="0"/>
        <w:jc w:val="left"/>
      </w:pPr>
      <w:bookmarkStart w:id="1610" w:name="bookmark1610"/>
      <w:r>
        <w:rPr>
          <w:color w:val="000000"/>
          <w:spacing w:val="0"/>
          <w:w w:val="100"/>
          <w:position w:val="0"/>
        </w:rPr>
        <w:t>1</w:t>
      </w:r>
      <w:bookmarkEnd w:id="1610"/>
      <w:r>
        <w:rPr>
          <w:color w:val="000000"/>
          <w:spacing w:val="0"/>
          <w:w w:val="100"/>
          <w:position w:val="0"/>
        </w:rPr>
        <w:t>）</w:t>
        <w:tab/>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34" w:val="left"/>
        </w:tabs>
        <w:bidi w:val="0"/>
        <w:spacing w:before="0" w:after="240" w:line="240" w:lineRule="auto"/>
        <w:ind w:left="0" w:right="0" w:firstLine="0"/>
        <w:jc w:val="left"/>
      </w:pPr>
      <w:bookmarkStart w:id="1611" w:name="bookmark1611"/>
      <w:r>
        <w:rPr>
          <w:color w:val="000000"/>
          <w:spacing w:val="0"/>
          <w:w w:val="100"/>
          <w:position w:val="0"/>
        </w:rPr>
        <w:t>2</w:t>
      </w:r>
      <w:bookmarkEnd w:id="1611"/>
      <w:r>
        <w:rPr>
          <w:color w:val="000000"/>
          <w:spacing w:val="0"/>
          <w:w w:val="100"/>
          <w:position w:val="0"/>
        </w:rPr>
        <w:t>）</w:t>
        <w:tab/>
        <w:t>、由于会计政策变更，影响期初未分配利润</w:t>
      </w:r>
      <w:r>
        <w:rPr>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34" w:val="left"/>
        </w:tabs>
        <w:bidi w:val="0"/>
        <w:spacing w:before="0" w:after="240" w:line="240" w:lineRule="auto"/>
        <w:ind w:left="0" w:right="0" w:firstLine="0"/>
        <w:jc w:val="left"/>
      </w:pPr>
      <w:bookmarkStart w:id="1612" w:name="bookmark1612"/>
      <w:r>
        <w:rPr>
          <w:color w:val="000000"/>
          <w:spacing w:val="0"/>
          <w:w w:val="100"/>
          <w:position w:val="0"/>
        </w:rPr>
        <w:t>3</w:t>
      </w:r>
      <w:bookmarkEnd w:id="1612"/>
      <w:r>
        <w:rPr>
          <w:color w:val="000000"/>
          <w:spacing w:val="0"/>
          <w:w w:val="100"/>
          <w:position w:val="0"/>
        </w:rPr>
        <w:t>）</w:t>
        <w:tab/>
        <w:t>、由于重大会计差错更正，影响期初未分配利润</w:t>
      </w:r>
      <w:r>
        <w:rPr>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39" w:val="left"/>
        </w:tabs>
        <w:bidi w:val="0"/>
        <w:spacing w:before="0" w:after="240" w:line="240" w:lineRule="auto"/>
        <w:ind w:left="0" w:right="0" w:firstLine="0"/>
        <w:jc w:val="left"/>
      </w:pPr>
      <w:bookmarkStart w:id="1613" w:name="bookmark1613"/>
      <w:r>
        <w:rPr>
          <w:color w:val="000000"/>
          <w:spacing w:val="0"/>
          <w:w w:val="100"/>
          <w:position w:val="0"/>
        </w:rPr>
        <w:t>4</w:t>
      </w:r>
      <w:bookmarkEnd w:id="1613"/>
      <w:r>
        <w:rPr>
          <w:color w:val="000000"/>
          <w:spacing w:val="0"/>
          <w:w w:val="100"/>
          <w:position w:val="0"/>
        </w:rPr>
        <w:t>）</w:t>
        <w:tab/>
        <w:t>、由于同一控制导致的合并范围变更，影响期初未分配利润</w:t>
      </w:r>
      <w:r>
        <w:rPr>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39" w:val="left"/>
        </w:tabs>
        <w:bidi w:val="0"/>
        <w:spacing w:before="0" w:after="240" w:line="240" w:lineRule="auto"/>
        <w:ind w:left="0" w:right="0" w:firstLine="0"/>
        <w:jc w:val="left"/>
      </w:pPr>
      <w:bookmarkStart w:id="1614" w:name="bookmark1614"/>
      <w:r>
        <w:rPr>
          <w:color w:val="000000"/>
          <w:spacing w:val="0"/>
          <w:w w:val="100"/>
          <w:position w:val="0"/>
        </w:rPr>
        <w:t>5</w:t>
      </w:r>
      <w:bookmarkEnd w:id="1614"/>
      <w:r>
        <w:rPr>
          <w:color w:val="000000"/>
          <w:spacing w:val="0"/>
          <w:w w:val="100"/>
          <w:position w:val="0"/>
        </w:rPr>
        <w:t>）</w:t>
        <w:tab/>
        <w:t>、其他调整合计影响期初未分配利润</w:t>
      </w:r>
      <w:r>
        <w:rPr>
          <w:color w:val="000000"/>
          <w:spacing w:val="0"/>
          <w:w w:val="100"/>
          <w:position w:val="0"/>
        </w:rPr>
        <w:t xml:space="preserve">0. </w:t>
      </w:r>
      <w:r>
        <w:rPr>
          <w:color w:val="000000"/>
          <w:spacing w:val="0"/>
          <w:w w:val="100"/>
          <w:position w:val="0"/>
        </w:rPr>
        <w:t>00元。</w:t>
      </w:r>
      <w:r>
        <w:br w:type="page"/>
      </w:r>
    </w:p>
    <w:p>
      <w:pPr>
        <w:pStyle w:val="Style32"/>
        <w:keepNext/>
        <w:keepLines/>
        <w:widowControl w:val="0"/>
        <w:shd w:val="clear" w:color="auto" w:fill="auto"/>
        <w:bidi w:val="0"/>
        <w:spacing w:before="0" w:after="36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5"/>
      <w:bookmarkEnd w:id="1616"/>
      <w:bookmarkEnd w:id="16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2,384,989,170.36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1,011,621,950.96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2,066,290,972.54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914,917,180.94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1,119,403.79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60,890.60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2,386,098,335.14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1,011,641,557.16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2,067,410,376.33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914,978,071.54</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收入相关信息：</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2,386,098,335.14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2,386,098,335.14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大数据智能化产品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1,085,935,000.63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1,085,935,000.63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1,126,231,805.09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1,126,231,805.09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网络开源情报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58,119,089.45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58,119,089.45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61,806,942.79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61,806,942.79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54,005,497.18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54,005,497.18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516,482,027.53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516,482,027.53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1,267,336,113.84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1,267,336,113.84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442,510,461.41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442,510,461.41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159,769,732.36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159,769,732.36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1,349,205,727.25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1,349,205,727.25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行政执法机关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329,239,775.23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329,239,775.23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592,019,194.48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592,019,194.48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115,633,638.18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115,633,638.18</w:t>
            </w:r>
          </w:p>
        </w:tc>
      </w:tr>
    </w:tbl>
    <w:p>
      <w:pPr>
        <w:widowControl w:val="0"/>
        <w:spacing w:after="99" w:line="1" w:lineRule="exact"/>
      </w:pP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上述尚未履行或尚未履行完毕的履约义务对应的收入确认时间，受客户的合同实施计划时间不确定性影响，可能存在变化,</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该数据仅为预估。</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与分摊至剩余履约义务的交易价格相关的信息: </w:t>
      </w:r>
      <w:r>
        <w:rPr>
          <w:color w:val="000000"/>
          <w:spacing w:val="0"/>
          <w:w w:val="100"/>
          <w:position w:val="0"/>
        </w:rPr>
        <w:t xml:space="preserve">本报告期末已签订合同、但尚未履行或尚未履行完毕的履约义务所对应的收入金额为1, </w:t>
      </w:r>
      <w:r>
        <w:rPr>
          <w:color w:val="000000"/>
          <w:spacing w:val="0"/>
          <w:w w:val="100"/>
          <w:position w:val="0"/>
        </w:rPr>
        <w:t>265,654,323.30</w:t>
      </w:r>
      <w:r>
        <w:rPr>
          <w:color w:val="000000"/>
          <w:spacing w:val="0"/>
          <w:w w:val="100"/>
          <w:position w:val="0"/>
        </w:rPr>
        <w:t>元，其中,</w:t>
        <w:br w:type="page"/>
      </w:r>
      <w:r>
        <w:rPr>
          <w:color w:val="000000"/>
          <w:spacing w:val="0"/>
          <w:w w:val="100"/>
          <w:position w:val="0"/>
        </w:rPr>
        <w:t>1,158,985,593.94</w:t>
      </w:r>
      <w:r>
        <w:rPr>
          <w:color w:val="000000"/>
          <w:spacing w:val="0"/>
          <w:w w:val="100"/>
          <w:position w:val="0"/>
        </w:rPr>
        <w:t>元预计将于2021年度确认收入，</w:t>
      </w:r>
      <w:r>
        <w:rPr>
          <w:color w:val="000000"/>
          <w:spacing w:val="0"/>
          <w:w w:val="100"/>
          <w:position w:val="0"/>
        </w:rPr>
        <w:t>73,439,485.41</w:t>
      </w:r>
      <w:r>
        <w:rPr>
          <w:color w:val="000000"/>
          <w:spacing w:val="0"/>
          <w:w w:val="100"/>
          <w:position w:val="0"/>
        </w:rPr>
        <w:t xml:space="preserve">元预计将于2022年度确认收入，33, 229, </w:t>
      </w:r>
      <w:r>
        <w:rPr>
          <w:color w:val="000000"/>
          <w:spacing w:val="0"/>
          <w:w w:val="100"/>
          <w:position w:val="0"/>
        </w:rPr>
        <w:t xml:space="preserve">243. </w:t>
      </w:r>
      <w:r>
        <w:rPr>
          <w:color w:val="000000"/>
          <w:spacing w:val="0"/>
          <w:w w:val="100"/>
          <w:position w:val="0"/>
        </w:rPr>
        <w:t>95元预计 将于2023及以后年度确认收入。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上述尚未履行或尚未履行完毕的履约义务对应的收入确认时间，受客户的合同实施计划时间不确定性影响，可能存在变化， 该数据仅为预估。</w:t>
      </w:r>
    </w:p>
    <w:p>
      <w:pPr>
        <w:pStyle w:val="Style32"/>
        <w:keepNext/>
        <w:keepLines/>
        <w:widowControl w:val="0"/>
        <w:shd w:val="clear" w:color="auto" w:fill="auto"/>
        <w:bidi w:val="0"/>
        <w:spacing w:before="0" w:after="36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9"/>
      <w:bookmarkEnd w:id="1620"/>
      <w:bookmarkEnd w:id="16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9,257,284.91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7,900,423.68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6,654,524.66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5,659,155.94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3,101,220.90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2,599,986.50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40,954.09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1,548,040.23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1,146,479.31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14,532.77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20,716,430.79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17,446,177.82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3"/>
      <w:bookmarkEnd w:id="1624"/>
      <w:bookmarkEnd w:id="16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163,883,249.59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149,048,495.62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38,808,866.93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48,557,667.58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10,153,834.65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18,858,709.61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11,697,800.16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11,644,318.54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9,073,796.38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10,388,784.95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8,350,520.46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5,620,317.26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6,683,592.36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5,410,077.91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4,224,439.54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5,413,521.14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6,491,764.69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5,183,866.05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7,469,038.78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4,787,331.00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2,982,113.87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2,199,360.20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1,670,038.99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1,569,075.01</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1,036,205.69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150,969.65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1,092,796.58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608,890.91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273,618,058.67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269,441,385.43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7"/>
      <w:bookmarkEnd w:id="1628"/>
      <w:bookmarkEnd w:id="16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101,834,405.23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92,282,806.69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市场运营费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41,002,746.88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39,147,363.11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35,215,866.78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32,500,485.46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40,549,635.77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33,602,383.76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17,129,261.96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21,639,178.06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10,687,325.56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9,399,117.83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7,301,697.12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9,060,153.55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7,542,140.23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7,901,257.33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9,011,664.25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7,502,466.12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4,627,142.23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6,126,504.14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5,457,227.19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5,736,726.87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5,691,974.88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4,758,329.66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5,375,289.87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4,691,630.51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4,684,289.69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3,263,600.57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6,141,745.27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2,131,619.28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1,849,921.13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1,926,483.59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2,484,324.38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1,830,963.04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无形资产评估增值摊销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1,156,362.73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1,452,180.00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811,302.31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741,368.68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570,302.13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572,113.17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333,103.95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132,266.47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5,730,387.09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2,386,531.39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315,188,116.63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288,785,529.28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1"/>
      <w:bookmarkEnd w:id="1632"/>
      <w:bookmarkEnd w:id="163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286,755,430.72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229,185,799.23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39,941,794.77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23,004,657.07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13,754,474.81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14,625,276.86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委托外部研究开发费用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3,834,878.53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6,649,224.76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折旧费用与长期待摊费用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4,592,406.72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4,633,938.30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设备调试费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1,707,886.41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270,745.58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15,233,556.18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13,095,422.45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364,984,509.18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293,172,950.66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5"/>
      <w:bookmarkEnd w:id="1636"/>
      <w:bookmarkEnd w:id="163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1,835,462.52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1,129,384.07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12,303,048.97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9,205,778.50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1,705,470.33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358,598.41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-10,150,958.94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-6,012,325.69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9"/>
      <w:bookmarkEnd w:id="1640"/>
      <w:bookmarkEnd w:id="164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4"/>
        <w:gridCol w:w="1565"/>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35,250,789.81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40,919,616.39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8,350,628.70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5,348,780.00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1,256,063.76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国家科技项目配套资助资金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2,711,400.00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2,547,600.00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第六届福建省政府质量奖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84"/>
        <w:gridCol w:w="1565"/>
        <w:gridCol w:w="163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厦门火炬高技术产业开发区管理委员扶持基金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1,832,965.00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年省级新型研发机构引导性项目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厦门超级计算中心滚动支持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1,599,998.84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1,487,400.00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5,596,279.00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高价值专利组合培育扶持资金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新技术成果转化项目，营业税和增值税奖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1,098,749.00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1,702,393.00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年度军民融合产业发展项目奖补资金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年思明区互联网企业年度营业收入首超奖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软件和云计算专项资金项目补贴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应用与服务一体化大数据治理研判分析平台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软件信息企业增产增速奖励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885,695.00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厦门市集美区财政局，民营经济扶持政策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683,912.09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办公场地租金补贴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1,037,925.00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厦门市社会保险中心，疫情补贴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554,419.15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546,972.00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司法大数据智能化平台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515,282.40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院士专家工作站经费补助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厦门市科学技术局智慧防疫项目奖金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新型冠状病毒肺炎疫情鼓励企业恢复产能奖励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软件开发项目市外中标（签约）奖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491,065.00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773,087.00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标准化战略专项经费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技术交易奖励金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402,119.00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431,818.00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国家知识产权示范企业资金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388,419.03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240,759.30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382,769.54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258,305.45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社保补差与社保补贴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354,007.56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352,244.98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贡献奖励（火炬管委会）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327,471.42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322,800.00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国家级企业技术中心奖励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年支持大数据示范应用资金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厦门火炬高新区关于促进企业创新发展补贴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238,560.00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高企标杆企业补助资金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bl>
    <w:p>
      <w:pPr>
        <w:widowControl w:val="0"/>
        <w:spacing w:line="1" w:lineRule="exact"/>
      </w:pPr>
      <w:r>
        <w:br w:type="page"/>
      </w:r>
    </w:p>
    <w:tbl>
      <w:tblPr>
        <w:tblOverlap w:val="never"/>
        <w:jc w:val="center"/>
        <w:tblLayout w:type="fixed"/>
      </w:tblPr>
      <w:tblGrid>
        <w:gridCol w:w="6384"/>
        <w:gridCol w:w="1565"/>
        <w:gridCol w:w="163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年三高企业孵化培育高企奖励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知识产权优势企业资金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协同创新与平台环境建设补助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国家服务业发展引导资金</w:t>
            </w:r>
            <w:r>
              <w:rPr>
                <w:rFonts w:ascii="Times New Roman" w:eastAsia="Times New Roman" w:hAnsi="Times New Roman" w:cs="Times New Roman"/>
                <w:color w:val="000000"/>
                <w:spacing w:val="0"/>
                <w:w w:val="100"/>
                <w:position w:val="0"/>
              </w:rPr>
              <w:t>“</w:t>
            </w:r>
            <w:r>
              <w:rPr>
                <w:color w:val="000000"/>
                <w:spacing w:val="0"/>
                <w:w w:val="100"/>
                <w:position w:val="0"/>
              </w:rPr>
              <w:t>电子数据存证云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146,683.72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338,150.90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128,148.61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545,206.31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互联网企业通过</w:t>
            </w:r>
            <w:r>
              <w:rPr>
                <w:rFonts w:ascii="Times New Roman" w:eastAsia="Times New Roman" w:hAnsi="Times New Roman" w:cs="Times New Roman"/>
                <w:color w:val="000000"/>
                <w:spacing w:val="0"/>
                <w:w w:val="100"/>
                <w:position w:val="0"/>
              </w:rPr>
              <w:t>CMMI</w:t>
            </w:r>
            <w:r>
              <w:rPr>
                <w:color w:val="000000"/>
                <w:spacing w:val="0"/>
                <w:w w:val="100"/>
                <w:position w:val="0"/>
              </w:rPr>
              <w:t>认证，晋升补差奖励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科技小巨人领军企业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厦门市科学技术局，创新创业大赛奖金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w:t>
            </w:r>
            <w:r>
              <w:rPr>
                <w:rFonts w:ascii="Times New Roman" w:eastAsia="Times New Roman" w:hAnsi="Times New Roman" w:cs="Times New Roman"/>
                <w:color w:val="000000"/>
                <w:spacing w:val="0"/>
                <w:w w:val="100"/>
                <w:position w:val="0"/>
              </w:rPr>
              <w:t>2019</w:t>
            </w:r>
            <w:r>
              <w:rPr>
                <w:color w:val="000000"/>
                <w:spacing w:val="0"/>
                <w:w w:val="100"/>
                <w:position w:val="0"/>
              </w:rPr>
              <w:t>年科技奖奖金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专精特新中小企业奖励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无锡市新吴区人民政府，政府补贴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厦门市工业和信息化局（国内首台智能制造装备补助资金）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厦门市众创空间运营补贴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众创空间扶持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厦门火炬高技术产业开发区管理委员会</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鼓励企业加大研发投入</w:t>
            </w:r>
            <w:r>
              <w:rPr>
                <w:rFonts w:ascii="Times New Roman" w:eastAsia="Times New Roman" w:hAnsi="Times New Roman" w:cs="Times New Roman"/>
                <w:color w:val="000000"/>
                <w:spacing w:val="0"/>
                <w:w w:val="100"/>
                <w:position w:val="0"/>
              </w:rPr>
              <w:t>"</w:t>
            </w: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火炬瞪羚企业基金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820,087.62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2,453,454.15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81,178,693.49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71,544,865.24</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3"/>
      <w:bookmarkEnd w:id="1644"/>
      <w:bookmarkEnd w:id="164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45"/>
        <w:gridCol w:w="1843"/>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3,347,793.17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-915,039.64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570,436.83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1,246,504.35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1,438,319.35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非同一控制下的企业合并原有股权公允价值重新计量产生的投资收益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-1,255,696.03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4,594,297.52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-161,979.49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47"/>
      <w:bookmarkEnd w:id="1648"/>
      <w:bookmarkEnd w:id="165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51"/>
      <w:bookmarkEnd w:id="1652"/>
      <w:bookmarkEnd w:id="165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6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55"/>
      <w:bookmarkEnd w:id="1656"/>
      <w:bookmarkEnd w:id="16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-2,429,909.45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-2,245,608.01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-33,441,003.65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-34,717,494.85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-35,870,913.10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-36,963,102.86</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9"/>
      <w:bookmarkEnd w:id="1660"/>
      <w:bookmarkEnd w:id="16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414"/>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-7,568,960.36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-22,497,810.70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-12,367,334.37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-5,267,382.45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-4,201,167.70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-35,334,153.51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-16,568,502.07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474" w:val="left"/>
        </w:tabs>
        <w:bidi w:val="0"/>
        <w:spacing w:before="0" w:after="36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w:t>
        <w:tab/>
        <w:t>资产处置收益</w:t>
      </w:r>
      <w:bookmarkEnd w:id="1663"/>
      <w:bookmarkEnd w:id="1664"/>
      <w:bookmarkEnd w:id="1666"/>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4" w:val="left"/>
        </w:tabs>
        <w:bidi w:val="0"/>
        <w:spacing w:before="0" w:after="36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w:t>
        <w:tab/>
        <w:t>营业外收入</w:t>
      </w:r>
      <w:bookmarkEnd w:id="1667"/>
      <w:bookmarkEnd w:id="1668"/>
      <w:bookmarkEnd w:id="16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81,890.83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302,234.16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302,234.16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306,158.50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470,892.43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306,158.50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计入当期损益的政府补助:</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1"/>
      <w:bookmarkEnd w:id="1672"/>
      <w:bookmarkEnd w:id="167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0"/>
        <w:gridCol w:w="2400"/>
        <w:gridCol w:w="2395"/>
        <w:gridCol w:w="2400"/>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3,803,990.65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3,803,990.65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572,027.17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572,027.17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282,272.59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1,259,648.32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282,272.59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4,658,290.41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2,158,315.00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4,658,290.41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5"/>
      <w:bookmarkEnd w:id="1676"/>
      <w:bookmarkEnd w:id="1678"/>
    </w:p>
    <w:p>
      <w:pPr>
        <w:pStyle w:val="Style75"/>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9"/>
      <w:bookmarkEnd w:id="1680"/>
      <w:bookmarkEnd w:id="168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34,096,896.09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32,415,608.26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-14,439,485.61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-15,362,359.86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19,657,410.48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17,053,248.40</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2"/>
      <w:bookmarkEnd w:id="1683"/>
      <w:bookmarkEnd w:id="16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4"/>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420,316,414.14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42,031,641.41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10,020,878.30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-2,502,454.01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-124,650.43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3,625,359.77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-873,963.05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2,373,600.60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-334,779.32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-34,558,222.79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19,657,410.48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5"/>
      <w:bookmarkEnd w:id="1686"/>
      <w:bookmarkEnd w:id="16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w:t>
      </w:r>
      <w:r>
        <w:br w:type="page"/>
      </w:r>
    </w:p>
    <w:p>
      <w:pPr>
        <w:pStyle w:val="Style32"/>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7</w:t>
      </w:r>
      <w:bookmarkEnd w:id="1691"/>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89"/>
      <w:bookmarkEnd w:id="1690"/>
      <w:bookmarkEnd w:id="1692"/>
    </w:p>
    <w:p>
      <w:pPr>
        <w:pStyle w:val="Style75"/>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3"/>
      <w:bookmarkEnd w:id="1694"/>
      <w:bookmarkEnd w:id="169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收政府补助专项资金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52,506,104.83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50,084,008.78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6,797,560.56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2,242,888.71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收到的保证金、押金及其他往来款等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104,601,546.26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88,043,639.59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163,905,211.65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140,370,537.08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75"/>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6"/>
      <w:bookmarkEnd w:id="1697"/>
      <w:bookmarkEnd w:id="169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1978"/>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直接付现的期间费用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240,889,398.91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211,701,460.52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支付保函保证金、其他保证金、押金及其他往来款等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124,650,476.60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66,835,172.15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365,539,875.51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278,536,632.67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75"/>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9"/>
      <w:bookmarkEnd w:id="1700"/>
      <w:bookmarkEnd w:id="170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1978"/>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收到业绩对赌补偿款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7,576,919.00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非同一控制下企业合并取得子公司支付的现金净额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2,502,154.03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10,079,073.03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75"/>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3"/>
      <w:bookmarkEnd w:id="1704"/>
      <w:bookmarkEnd w:id="170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7"/>
      <w:bookmarkEnd w:id="1708"/>
      <w:bookmarkEnd w:id="171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75"/>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1"/>
      <w:bookmarkEnd w:id="1712"/>
      <w:bookmarkEnd w:id="171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回购员工股权激励款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1,057,220.00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2,731,601.12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1,057,220.00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2,731,601.12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5"/>
      <w:bookmarkEnd w:id="1716"/>
      <w:bookmarkEnd w:id="1718"/>
    </w:p>
    <w:p>
      <w:pPr>
        <w:pStyle w:val="Style75"/>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9"/>
      <w:bookmarkEnd w:id="1720"/>
      <w:bookmarkEnd w:id="172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245"/>
        <w:gridCol w:w="141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400,659,003.66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288,709,197.14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71,205,066.61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53,531,604.93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47,353,298.44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39,358,803.33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43,686,455.73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26,453,122.00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9,364,083.81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8,815,129.42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361,552.35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-3,607,585.99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-4,467,087.44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-4,594,297.52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161,979.49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-14,321,004.51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-15,180,837.36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-181,522.50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-138,014,070.75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-79,782,441.01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-238,046,946.91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-224,857,848.37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97,415,285.70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274,175,864.00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26,041,312.23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29,038,402.54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297,590,222.23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396,135,918.52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240"/>
        <w:gridCol w:w="1421"/>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867,693,499.50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795,337,757.62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795,337,757.62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277,134,433.78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72,355,741.88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518,203,323.84</w:t>
            </w:r>
          </w:p>
        </w:tc>
      </w:tr>
    </w:tbl>
    <w:p>
      <w:pPr>
        <w:widowControl w:val="0"/>
        <w:spacing w:after="359" w:line="1" w:lineRule="exact"/>
      </w:pPr>
    </w:p>
    <w:p>
      <w:pPr>
        <w:pStyle w:val="Style75"/>
        <w:keepNext/>
        <w:keepLines/>
        <w:widowControl w:val="0"/>
        <w:shd w:val="clear" w:color="auto" w:fill="auto"/>
        <w:tabs>
          <w:tab w:pos="488" w:val="left"/>
        </w:tabs>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22"/>
      <w:bookmarkEnd w:id="1723"/>
      <w:bookmarkEnd w:id="172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26"/>
      <w:bookmarkEnd w:id="1727"/>
      <w:bookmarkEnd w:id="172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30"/>
      <w:bookmarkEnd w:id="1731"/>
      <w:bookmarkEnd w:id="173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3"/>
        <w:gridCol w:w="2419"/>
        <w:gridCol w:w="22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867,693,499.50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795,337,757.62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33,513.05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861,596,085.64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793,601,783.11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6,095,913.86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1,702,461.46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867,693,499.50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795,337,757.62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46,669,988.21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29,358,262.74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4"/>
      <w:bookmarkEnd w:id="1735"/>
      <w:bookmarkEnd w:id="173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8"/>
      <w:bookmarkEnd w:id="1739"/>
      <w:bookmarkEnd w:id="17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3403"/>
        <w:gridCol w:w="43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46,669,988.21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保函保证金、承兑保证金及质押的定期存单</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46,669,988.21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8</w:t>
      </w:r>
      <w:bookmarkEnd w:id="174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2"/>
      <w:bookmarkEnd w:id="1743"/>
      <w:bookmarkEnd w:id="1745"/>
    </w:p>
    <w:p>
      <w:pPr>
        <w:pStyle w:val="Style75"/>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6"/>
      <w:bookmarkEnd w:id="1747"/>
      <w:bookmarkEnd w:id="174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972,244.04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6,343,795.14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2,187,976.71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1,841,488.72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70,090.48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54,674.66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356,746.69</w:t>
            </w:r>
          </w:p>
        </w:tc>
      </w:tr>
    </w:tbl>
    <w:p>
      <w:pPr>
        <w:widowControl w:val="0"/>
        <w:spacing w:after="9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line="326" w:lineRule="exact"/>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9"/>
      <w:bookmarkEnd w:id="1750"/>
      <w:bookmarkEnd w:id="1751"/>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本公司子公司香港鼎永以香港为主要经营地，其采用人民币为记账本位币。</w:t>
      </w:r>
    </w:p>
    <w:p>
      <w:pPr>
        <w:pStyle w:val="Style32"/>
        <w:keepNext/>
        <w:keepLines/>
        <w:widowControl w:val="0"/>
        <w:shd w:val="clear" w:color="auto" w:fill="auto"/>
        <w:tabs>
          <w:tab w:pos="478" w:val="left"/>
        </w:tabs>
        <w:bidi w:val="0"/>
        <w:spacing w:before="0" w:after="360" w:line="326" w:lineRule="exact"/>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2"/>
      <w:bookmarkEnd w:id="1753"/>
      <w:bookmarkEnd w:id="1755"/>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after="280" w:line="326" w:lineRule="exact"/>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6"/>
      <w:bookmarkEnd w:id="1757"/>
      <w:bookmarkEnd w:id="1759"/>
    </w:p>
    <w:p>
      <w:pPr>
        <w:pStyle w:val="Style75"/>
        <w:keepNext/>
        <w:keepLines/>
        <w:widowControl w:val="0"/>
        <w:shd w:val="clear" w:color="auto" w:fill="auto"/>
        <w:bidi w:val="0"/>
        <w:spacing w:before="0" w:line="326" w:lineRule="exact"/>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0"/>
      <w:bookmarkEnd w:id="1761"/>
      <w:bookmarkEnd w:id="1762"/>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824"/>
        <w:gridCol w:w="1282"/>
        <w:gridCol w:w="1699"/>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35,250,789.81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35,250,789.81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8,350,628.70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8,350,628.70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国家科技项目配套资助资金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2,711,400.00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2,711,400.00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2,547,600.00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第六届福建省政府质量奖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厦门火炬高技术产业开发区管理委员扶持基金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1,832,965.00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1,832,965.00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年省级新型研发机构引导性项目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厦门超级计算中心滚动支持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1,599,998.84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1,487,400.00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高价值专利组合培育扶持资金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新技术成果转化项目，营业税和增值税奖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1,098,749.00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1,098,749.00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年度军民融合产业发展项目奖补资金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年思明区互联网企业年度营业收入首超奖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软件和云计算专项资金项目补贴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应用与服务一体化大数据治理研判分析平台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软件信息企业增产增速奖励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885,695.00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885,695.00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厦门市集美区财政局，民营经济扶持政策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683,912.09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683,912.09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办公场地租金补贴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656,250.00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厦门市社会保险中心，疫情补贴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554,419.15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554,419.15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546,972.00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546,972.00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司法大数据智能化平台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1,768,217.60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515,282.40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厦门市科学技术局智慧防疫项目奖金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新型冠状病毒肺炎疫情鼓励企业恢复产能奖励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院士专家工作站经费补助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软件开发项目市外中标（签约）奖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491,065.00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491,065.00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标准化战略专项经费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技术交易奖励金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402,119.00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402,119.00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国家知识产权示范企业资金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388,419.03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388,419.03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382,769.54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382,769.54</w:t>
            </w:r>
          </w:p>
        </w:tc>
      </w:tr>
    </w:tbl>
    <w:p>
      <w:pPr>
        <w:widowControl w:val="0"/>
        <w:spacing w:line="1" w:lineRule="exact"/>
      </w:pPr>
      <w:r>
        <w:br w:type="page"/>
      </w:r>
    </w:p>
    <w:tbl>
      <w:tblPr>
        <w:tblOverlap w:val="never"/>
        <w:jc w:val="center"/>
        <w:tblLayout w:type="fixed"/>
      </w:tblPr>
      <w:tblGrid>
        <w:gridCol w:w="4824"/>
        <w:gridCol w:w="1282"/>
        <w:gridCol w:w="1699"/>
        <w:gridCol w:w="178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社保补差与社保补贴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354,007.56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354,007.56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贡献奖励（火炬管委会）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327,471.42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327,471.42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322,800.00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国家级企业技术中心奖励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年支持大数据示范应用资金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厦门火炬高新区关于促进企业创新发展补贴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238,560.00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238,560.00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年三高企业孵化培育高企奖励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高企标杆企业补助资金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协同创新与平台环境建设补助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知识产权优势企业资金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国家服务业发展引导资金</w:t>
            </w:r>
            <w:r>
              <w:rPr>
                <w:rFonts w:ascii="Times New Roman" w:eastAsia="Times New Roman" w:hAnsi="Times New Roman" w:cs="Times New Roman"/>
                <w:color w:val="000000"/>
                <w:spacing w:val="0"/>
                <w:w w:val="100"/>
                <w:position w:val="0"/>
              </w:rPr>
              <w:t>“</w:t>
            </w:r>
            <w:r>
              <w:rPr>
                <w:color w:val="000000"/>
                <w:spacing w:val="0"/>
                <w:w w:val="100"/>
                <w:position w:val="0"/>
              </w:rPr>
              <w:t>电子数据存证云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146,683.72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128,148.61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互联网企业通过</w:t>
            </w:r>
            <w:r>
              <w:rPr>
                <w:rFonts w:ascii="Times New Roman" w:eastAsia="Times New Roman" w:hAnsi="Times New Roman" w:cs="Times New Roman"/>
                <w:color w:val="000000"/>
                <w:spacing w:val="0"/>
                <w:w w:val="100"/>
                <w:position w:val="0"/>
              </w:rPr>
              <w:t>CMMI</w:t>
            </w:r>
            <w:r>
              <w:rPr>
                <w:color w:val="000000"/>
                <w:spacing w:val="0"/>
                <w:w w:val="100"/>
                <w:position w:val="0"/>
              </w:rPr>
              <w:t>认证，晋升补差奖励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科技小巨人领军企业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厦门市科学技术局，创新创业大赛奖金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厦门市科学技术局</w:t>
            </w:r>
            <w:r>
              <w:rPr>
                <w:rFonts w:ascii="Times New Roman" w:eastAsia="Times New Roman" w:hAnsi="Times New Roman" w:cs="Times New Roman"/>
                <w:color w:val="000000"/>
                <w:spacing w:val="0"/>
                <w:w w:val="100"/>
                <w:position w:val="0"/>
              </w:rPr>
              <w:t>2019</w:t>
            </w:r>
            <w:r>
              <w:rPr>
                <w:color w:val="000000"/>
                <w:spacing w:val="0"/>
                <w:w w:val="100"/>
                <w:position w:val="0"/>
              </w:rPr>
              <w:t>年科技奖奖金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专精特新中小企业奖励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无锡市新吴区人民政府，政府补贴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展位费补贴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90,663.00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90,663.00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75,672.75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75,672.75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厦门市财政局关于支持重点企业开展</w:t>
            </w:r>
            <w:r>
              <w:rPr>
                <w:rFonts w:ascii="Times New Roman" w:eastAsia="Times New Roman" w:hAnsi="Times New Roman" w:cs="Times New Roman"/>
                <w:color w:val="000000"/>
                <w:spacing w:val="0"/>
                <w:w w:val="100"/>
                <w:position w:val="0"/>
              </w:rPr>
              <w:t>“</w:t>
            </w:r>
            <w:r>
              <w:rPr>
                <w:color w:val="000000"/>
                <w:spacing w:val="0"/>
                <w:w w:val="100"/>
                <w:position w:val="0"/>
              </w:rPr>
              <w:t>一企一策</w:t>
            </w:r>
            <w:r>
              <w:rPr>
                <w:rFonts w:ascii="Times New Roman" w:eastAsia="Times New Roman" w:hAnsi="Times New Roman" w:cs="Times New Roman"/>
                <w:color w:val="000000"/>
                <w:spacing w:val="0"/>
                <w:w w:val="100"/>
                <w:position w:val="0"/>
              </w:rPr>
              <w:t>”</w:t>
            </w:r>
            <w:r>
              <w:rPr>
                <w:color w:val="000000"/>
                <w:spacing w:val="0"/>
                <w:w w:val="100"/>
                <w:position w:val="0"/>
              </w:rPr>
              <w:t>职工职业技 能培训补贴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招用本市农村劳动力社保补差与社保补贴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67,930.44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67,930.44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59,837.17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59,322.43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59,322.43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思明区租赁和商务服务业发展奖励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厦门市工业和信息化局人才生活补贴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厦门市外经贸发展专项资金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疫情期间企业岗位技能培训补贴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招工招才奖励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基于云技术的证据链综合取证平台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36,341.47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无锡市服务业提质增效资金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年第三批会展专项奖励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20,000.00</w:t>
            </w:r>
          </w:p>
        </w:tc>
      </w:tr>
    </w:tbl>
    <w:p>
      <w:pPr>
        <w:widowControl w:val="0"/>
        <w:spacing w:line="1" w:lineRule="exact"/>
      </w:pPr>
      <w:r>
        <w:br w:type="page"/>
      </w:r>
    </w:p>
    <w:tbl>
      <w:tblPr>
        <w:tblOverlap w:val="never"/>
        <w:jc w:val="center"/>
        <w:tblLayout w:type="fixed"/>
      </w:tblPr>
      <w:tblGrid>
        <w:gridCol w:w="4824"/>
        <w:gridCol w:w="1282"/>
        <w:gridCol w:w="1699"/>
        <w:gridCol w:w="178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厦门市工业和信息化局贷款贴息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小微企业免征的增值税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13,701.58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人社局企业员工到岗奖励（第九次就业创业资金会议通过）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应届生社保补贴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12,966.36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厦门市思明区科技和信息化局互联网峰会论坛类场地租金补 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标准化补助资金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一次性稳就业补贴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西安高新技术产业开发区疫情复工核酸检测补贴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基于手机云的手机综合取证系统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年国家重点研发专项</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年国家重点研发专项</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国家重点研发专项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公共安全风险防控与应急技术装备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网络保密与失泄密取证系统的产业化项目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物联网实时图像识别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低俗信息监测预警技术应用示范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2017-2019</w:t>
            </w:r>
            <w:r>
              <w:rPr>
                <w:color w:val="000000"/>
                <w:spacing w:val="0"/>
                <w:w w:val="100"/>
                <w:position w:val="0"/>
              </w:rPr>
              <w:t>年国家认定企业技术中心研发费用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企业技术改造项目补助资金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年国家重点研发专项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新型冠状病毒传播监测</w:t>
            </w:r>
            <w:r>
              <w:rPr>
                <w:rFonts w:ascii="Times New Roman" w:eastAsia="Times New Roman" w:hAnsi="Times New Roman" w:cs="Times New Roman"/>
                <w:color w:val="000000"/>
                <w:spacing w:val="0"/>
                <w:w w:val="100"/>
                <w:position w:val="0"/>
              </w:rPr>
              <w:t>”</w:t>
            </w:r>
            <w:r>
              <w:rPr>
                <w:color w:val="000000"/>
                <w:spacing w:val="0"/>
                <w:w w:val="100"/>
                <w:position w:val="0"/>
              </w:rPr>
              <w:t>专项工作平台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年福建省发改委项目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年厦门市重大科技项目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中小企业技术创新基金配套项目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基于内容感知的智能视频浓缩设备产学研资金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博士后工作站科技政策定额扶持资金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分布式电子数据取证关键技术研究项目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年国家重点研发专项</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年国家重点研发专项</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高价值专利组合培育扶持资金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年福建省重点实验室扶持资金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824"/>
        <w:gridCol w:w="1282"/>
        <w:gridCol w:w="1699"/>
        <w:gridCol w:w="178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厦门市科学技术局</w:t>
            </w:r>
            <w:r>
              <w:rPr>
                <w:rFonts w:ascii="Times New Roman" w:eastAsia="Times New Roman" w:hAnsi="Times New Roman" w:cs="Times New Roman"/>
                <w:color w:val="000000"/>
                <w:spacing w:val="0"/>
                <w:w w:val="100"/>
                <w:position w:val="0"/>
              </w:rPr>
              <w:t>2021</w:t>
            </w:r>
            <w:r>
              <w:rPr>
                <w:color w:val="000000"/>
                <w:spacing w:val="0"/>
                <w:w w:val="100"/>
                <w:position w:val="0"/>
              </w:rPr>
              <w:t>年第一批(提前拨付)企业研发费用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年国家重点研发项目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虚拟身份动态演练系统项目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125,303,948.94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81,178,693.49</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3"/>
      <w:bookmarkEnd w:id="1764"/>
      <w:bookmarkEnd w:id="176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4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8</w:t>
      </w:r>
      <w:bookmarkEnd w:id="176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66"/>
      <w:bookmarkEnd w:id="1767"/>
      <w:bookmarkEnd w:id="1769"/>
    </w:p>
    <w:p>
      <w:pPr>
        <w:pStyle w:val="Style27"/>
        <w:keepNext/>
        <w:keepLines/>
        <w:widowControl w:val="0"/>
        <w:shd w:val="clear" w:color="auto" w:fill="auto"/>
        <w:bidi w:val="0"/>
        <w:spacing w:before="0" w:after="34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sz w:val="24"/>
          <w:szCs w:val="24"/>
        </w:rPr>
        <w:t>八</w:t>
      </w:r>
      <w:bookmarkEnd w:id="1772"/>
      <w:r>
        <w:rPr>
          <w:color w:val="000000"/>
          <w:spacing w:val="0"/>
          <w:w w:val="100"/>
          <w:position w:val="0"/>
          <w:sz w:val="24"/>
          <w:szCs w:val="24"/>
        </w:rPr>
        <w:t>、合并范围的变更</w:t>
      </w:r>
      <w:bookmarkEnd w:id="1770"/>
      <w:bookmarkEnd w:id="1771"/>
      <w:bookmarkEnd w:id="1773"/>
    </w:p>
    <w:p>
      <w:pPr>
        <w:pStyle w:val="Style32"/>
        <w:keepNext/>
        <w:keepLines/>
        <w:widowControl w:val="0"/>
        <w:shd w:val="clear" w:color="auto" w:fill="auto"/>
        <w:tabs>
          <w:tab w:pos="368" w:val="left"/>
        </w:tabs>
        <w:bidi w:val="0"/>
        <w:spacing w:before="0" w:after="34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bookmarkEnd w:id="1776"/>
      <w:r>
        <w:rPr>
          <w:color w:val="000000"/>
          <w:spacing w:val="0"/>
          <w:w w:val="100"/>
          <w:position w:val="0"/>
        </w:rPr>
        <w:t>、</w:t>
        <w:tab/>
        <w:t>非同一控制下企业合并</w:t>
      </w:r>
      <w:bookmarkEnd w:id="1774"/>
      <w:bookmarkEnd w:id="1775"/>
      <w:bookmarkEnd w:id="1777"/>
    </w:p>
    <w:p>
      <w:pPr>
        <w:pStyle w:val="Style75"/>
        <w:keepNext/>
        <w:keepLines/>
        <w:widowControl w:val="0"/>
        <w:shd w:val="clear" w:color="auto" w:fill="auto"/>
        <w:bidi w:val="0"/>
        <w:spacing w:before="0" w:after="340" w:line="240" w:lineRule="auto"/>
        <w:ind w:left="0" w:right="0" w:firstLine="0"/>
        <w:jc w:val="left"/>
      </w:pPr>
      <w:bookmarkStart w:id="1778" w:name="bookmark1778"/>
      <w:bookmarkStart w:id="1779" w:name="bookmark1779"/>
      <w:bookmarkStart w:id="1780" w:name="bookmark1780"/>
      <w:r>
        <w:rPr>
          <w:color w:val="000000"/>
          <w:spacing w:val="0"/>
          <w:w w:val="100"/>
          <w:position w:val="0"/>
        </w:rPr>
        <w:t>无</w:t>
      </w:r>
      <w:bookmarkEnd w:id="1778"/>
      <w:bookmarkEnd w:id="1779"/>
      <w:bookmarkEnd w:id="1780"/>
    </w:p>
    <w:p>
      <w:pPr>
        <w:pStyle w:val="Style32"/>
        <w:keepNext/>
        <w:keepLines/>
        <w:widowControl w:val="0"/>
        <w:shd w:val="clear" w:color="auto" w:fill="auto"/>
        <w:tabs>
          <w:tab w:pos="378" w:val="left"/>
        </w:tabs>
        <w:bidi w:val="0"/>
        <w:spacing w:before="0" w:after="34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bookmarkEnd w:id="1783"/>
      <w:r>
        <w:rPr>
          <w:color w:val="000000"/>
          <w:spacing w:val="0"/>
          <w:w w:val="100"/>
          <w:position w:val="0"/>
        </w:rPr>
        <w:t>、</w:t>
        <w:tab/>
        <w:t>同一控制下企业合并</w:t>
      </w:r>
      <w:bookmarkEnd w:id="1781"/>
      <w:bookmarkEnd w:id="1782"/>
      <w:bookmarkEnd w:id="1784"/>
    </w:p>
    <w:p>
      <w:pPr>
        <w:pStyle w:val="Style75"/>
        <w:keepNext/>
        <w:keepLines/>
        <w:widowControl w:val="0"/>
        <w:numPr>
          <w:ilvl w:val="0"/>
          <w:numId w:val="45"/>
        </w:numPr>
        <w:shd w:val="clear" w:color="auto" w:fill="auto"/>
        <w:tabs>
          <w:tab w:pos="488" w:val="left"/>
        </w:tabs>
        <w:bidi w:val="0"/>
        <w:spacing w:before="0" w:after="120" w:line="240" w:lineRule="auto"/>
        <w:ind w:left="0" w:right="0" w:firstLine="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本期发生的同一控制下企业合并</w:t>
      </w:r>
      <w:bookmarkEnd w:id="1785"/>
      <w:bookmarkEnd w:id="1786"/>
      <w:bookmarkEnd w:id="1788"/>
    </w:p>
    <w:p>
      <w:pPr>
        <w:pStyle w:val="Style29"/>
        <w:keepNext w:val="0"/>
        <w:keepLines w:val="0"/>
        <w:widowControl w:val="0"/>
        <w:shd w:val="clear" w:color="auto" w:fill="auto"/>
        <w:bidi w:val="0"/>
        <w:spacing w:before="0" w:after="340" w:line="470" w:lineRule="exact"/>
        <w:ind w:left="0" w:right="0" w:firstLine="0"/>
        <w:jc w:val="left"/>
      </w:pPr>
      <w:r>
        <w:rPr>
          <w:color w:val="000000"/>
          <w:spacing w:val="0"/>
          <w:w w:val="100"/>
          <w:position w:val="0"/>
        </w:rPr>
        <w:t>无</w:t>
      </w:r>
    </w:p>
    <w:p>
      <w:pPr>
        <w:pStyle w:val="Style44"/>
        <w:keepNext w:val="0"/>
        <w:keepLines w:val="0"/>
        <w:widowControl w:val="0"/>
        <w:numPr>
          <w:ilvl w:val="0"/>
          <w:numId w:val="45"/>
        </w:numPr>
        <w:shd w:val="clear" w:color="auto" w:fill="auto"/>
        <w:tabs>
          <w:tab w:pos="488" w:val="left"/>
        </w:tabs>
        <w:bidi w:val="0"/>
        <w:spacing w:before="0" w:after="120" w:line="240" w:lineRule="auto"/>
        <w:ind w:left="0" w:right="0" w:firstLine="0"/>
        <w:jc w:val="left"/>
      </w:pPr>
      <w:bookmarkStart w:id="1789" w:name="bookmark1789"/>
      <w:bookmarkStart w:id="1790" w:name="bookmark1790"/>
      <w:bookmarkEnd w:id="1789"/>
      <w:r>
        <w:rPr>
          <w:b/>
          <w:bCs/>
          <w:color w:val="000000"/>
          <w:spacing w:val="0"/>
          <w:w w:val="100"/>
          <w:position w:val="0"/>
        </w:rPr>
        <w:t>合并成本</w:t>
      </w:r>
      <w:bookmarkEnd w:id="1790"/>
    </w:p>
    <w:p>
      <w:pPr>
        <w:pStyle w:val="Style29"/>
        <w:keepNext w:val="0"/>
        <w:keepLines w:val="0"/>
        <w:widowControl w:val="0"/>
        <w:shd w:val="clear" w:color="auto" w:fill="auto"/>
        <w:bidi w:val="0"/>
        <w:spacing w:before="0" w:after="340" w:line="470" w:lineRule="exact"/>
        <w:ind w:left="0" w:right="0" w:firstLine="0"/>
        <w:jc w:val="left"/>
      </w:pPr>
      <w:r>
        <w:rPr>
          <w:color w:val="000000"/>
          <w:spacing w:val="0"/>
          <w:w w:val="100"/>
          <w:position w:val="0"/>
        </w:rPr>
        <w:t>无</w:t>
      </w:r>
    </w:p>
    <w:p>
      <w:pPr>
        <w:pStyle w:val="Style75"/>
        <w:keepNext/>
        <w:keepLines/>
        <w:widowControl w:val="0"/>
        <w:numPr>
          <w:ilvl w:val="0"/>
          <w:numId w:val="45"/>
        </w:numPr>
        <w:shd w:val="clear" w:color="auto" w:fill="auto"/>
        <w:tabs>
          <w:tab w:pos="488" w:val="left"/>
        </w:tabs>
        <w:bidi w:val="0"/>
        <w:spacing w:before="0" w:after="120" w:line="240" w:lineRule="auto"/>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合并日被合并方资产、负债的账面价值</w:t>
      </w:r>
      <w:bookmarkEnd w:id="1791"/>
      <w:bookmarkEnd w:id="1792"/>
      <w:bookmarkEnd w:id="1794"/>
    </w:p>
    <w:p>
      <w:pPr>
        <w:pStyle w:val="Style29"/>
        <w:keepNext w:val="0"/>
        <w:keepLines w:val="0"/>
        <w:widowControl w:val="0"/>
        <w:shd w:val="clear" w:color="auto" w:fill="auto"/>
        <w:bidi w:val="0"/>
        <w:spacing w:before="0" w:after="340" w:line="470"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0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w:t>
        <w:tab/>
        <w:t>反向购买</w:t>
      </w:r>
      <w:bookmarkEnd w:id="1795"/>
      <w:bookmarkEnd w:id="1796"/>
      <w:bookmarkEnd w:id="1798"/>
    </w:p>
    <w:p>
      <w:pPr>
        <w:pStyle w:val="Style29"/>
        <w:keepNext w:val="0"/>
        <w:keepLines w:val="0"/>
        <w:widowControl w:val="0"/>
        <w:shd w:val="clear" w:color="auto" w:fill="auto"/>
        <w:bidi w:val="0"/>
        <w:spacing w:before="0" w:after="440" w:line="470"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0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4</w:t>
      </w:r>
      <w:bookmarkEnd w:id="1801"/>
      <w:r>
        <w:rPr>
          <w:color w:val="000000"/>
          <w:spacing w:val="0"/>
          <w:w w:val="100"/>
          <w:position w:val="0"/>
        </w:rPr>
        <w:t>、</w:t>
        <w:tab/>
        <w:t>处置子公司</w:t>
      </w:r>
      <w:bookmarkEnd w:id="1799"/>
      <w:bookmarkEnd w:id="1800"/>
      <w:bookmarkEnd w:id="1802"/>
    </w:p>
    <w:p>
      <w:pPr>
        <w:pStyle w:val="Style29"/>
        <w:keepNext w:val="0"/>
        <w:keepLines w:val="0"/>
        <w:widowControl w:val="0"/>
        <w:shd w:val="clear" w:color="auto" w:fill="auto"/>
        <w:bidi w:val="0"/>
        <w:spacing w:before="0" w:after="340" w:line="470"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2"/>
        <w:keepNext/>
        <w:keepLines/>
        <w:widowControl w:val="0"/>
        <w:shd w:val="clear" w:color="auto" w:fill="auto"/>
        <w:tabs>
          <w:tab w:pos="378" w:val="left"/>
        </w:tabs>
        <w:bidi w:val="0"/>
        <w:spacing w:before="0" w:after="120" w:line="492"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5</w:t>
      </w:r>
      <w:bookmarkEnd w:id="1805"/>
      <w:r>
        <w:rPr>
          <w:color w:val="000000"/>
          <w:spacing w:val="0"/>
          <w:w w:val="100"/>
          <w:position w:val="0"/>
        </w:rPr>
        <w:t>、</w:t>
        <w:tab/>
        <w:t>其他原因的合并范围变动</w:t>
      </w:r>
      <w:bookmarkEnd w:id="1803"/>
      <w:bookmarkEnd w:id="1804"/>
      <w:bookmarkEnd w:id="180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4"/>
        <w:keepNext w:val="0"/>
        <w:keepLines w:val="0"/>
        <w:widowControl w:val="0"/>
        <w:shd w:val="clear" w:color="auto" w:fill="auto"/>
        <w:tabs>
          <w:tab w:pos="813" w:val="left"/>
        </w:tabs>
        <w:bidi w:val="0"/>
        <w:spacing w:before="0" w:after="0" w:line="470" w:lineRule="exact"/>
        <w:ind w:left="0" w:right="0" w:firstLine="440"/>
        <w:jc w:val="both"/>
      </w:pPr>
      <w:bookmarkStart w:id="1807" w:name="bookmark1807"/>
      <w:r>
        <w:rPr>
          <w:color w:val="000000"/>
          <w:spacing w:val="0"/>
          <w:w w:val="100"/>
          <w:position w:val="0"/>
        </w:rPr>
        <w:t>1</w:t>
      </w:r>
      <w:bookmarkEnd w:id="1807"/>
      <w:r>
        <w:rPr>
          <w:color w:val="000000"/>
          <w:spacing w:val="0"/>
          <w:w w:val="100"/>
          <w:position w:val="0"/>
        </w:rPr>
        <w:t>）</w:t>
        <w:tab/>
        <w:t>设立腾瑞智能</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2020年2月26日，子公司美亚中敏独资设立腾瑞智能，注册资本为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27" w:val="left"/>
        </w:tabs>
        <w:bidi w:val="0"/>
        <w:spacing w:before="0" w:after="0" w:line="470" w:lineRule="exact"/>
        <w:ind w:left="0" w:right="0" w:firstLine="440"/>
        <w:jc w:val="both"/>
      </w:pPr>
      <w:bookmarkStart w:id="1808" w:name="bookmark1808"/>
      <w:r>
        <w:rPr>
          <w:color w:val="000000"/>
          <w:spacing w:val="0"/>
          <w:w w:val="100"/>
          <w:position w:val="0"/>
        </w:rPr>
        <w:t>2</w:t>
      </w:r>
      <w:bookmarkEnd w:id="1808"/>
      <w:r>
        <w:rPr>
          <w:color w:val="000000"/>
          <w:spacing w:val="0"/>
          <w:w w:val="100"/>
          <w:position w:val="0"/>
        </w:rPr>
        <w:t>）</w:t>
        <w:tab/>
        <w:t>设立司法鉴定所</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2020年3月27日，子公司珠海新德汇独资设立司法鉴定所，注册资本为</w:t>
      </w:r>
      <w:r>
        <w:rPr>
          <w:color w:val="000000"/>
          <w:spacing w:val="0"/>
          <w:w w:val="100"/>
          <w:position w:val="0"/>
        </w:rPr>
        <w:t>100.00</w:t>
      </w:r>
      <w:r>
        <w:rPr>
          <w:color w:val="000000"/>
          <w:spacing w:val="0"/>
          <w:w w:val="100"/>
          <w:position w:val="0"/>
        </w:rPr>
        <w:t>万元。</w:t>
      </w:r>
    </w:p>
    <w:p>
      <w:pPr>
        <w:pStyle w:val="Style44"/>
        <w:keepNext w:val="0"/>
        <w:keepLines w:val="0"/>
        <w:widowControl w:val="0"/>
        <w:shd w:val="clear" w:color="auto" w:fill="auto"/>
        <w:tabs>
          <w:tab w:pos="827" w:val="left"/>
        </w:tabs>
        <w:bidi w:val="0"/>
        <w:spacing w:before="0" w:after="0" w:line="470" w:lineRule="exact"/>
        <w:ind w:left="0" w:right="0" w:firstLine="440"/>
        <w:jc w:val="both"/>
      </w:pPr>
      <w:bookmarkStart w:id="1809" w:name="bookmark1809"/>
      <w:r>
        <w:rPr>
          <w:color w:val="000000"/>
          <w:spacing w:val="0"/>
          <w:w w:val="100"/>
          <w:position w:val="0"/>
        </w:rPr>
        <w:t>3</w:t>
      </w:r>
      <w:bookmarkEnd w:id="1809"/>
      <w:r>
        <w:rPr>
          <w:color w:val="000000"/>
          <w:spacing w:val="0"/>
          <w:w w:val="100"/>
          <w:position w:val="0"/>
        </w:rPr>
        <w:t>）</w:t>
        <w:tab/>
        <w:t>设立腾柏顺科技</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2020年3月31日，子公司美亚中敏独资设立腾柏顺科技，注册资本为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27" w:val="left"/>
        </w:tabs>
        <w:bidi w:val="0"/>
        <w:spacing w:before="0" w:after="0" w:line="470" w:lineRule="exact"/>
        <w:ind w:left="0" w:right="0" w:firstLine="440"/>
        <w:jc w:val="both"/>
      </w:pPr>
      <w:bookmarkStart w:id="1810" w:name="bookmark1810"/>
      <w:r>
        <w:rPr>
          <w:color w:val="000000"/>
          <w:spacing w:val="0"/>
          <w:w w:val="100"/>
          <w:position w:val="0"/>
        </w:rPr>
        <w:t>4</w:t>
      </w:r>
      <w:bookmarkEnd w:id="1810"/>
      <w:r>
        <w:rPr>
          <w:color w:val="000000"/>
          <w:spacing w:val="0"/>
          <w:w w:val="100"/>
          <w:position w:val="0"/>
        </w:rPr>
        <w:t>）</w:t>
        <w:tab/>
        <w:t>设立澳门美新</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2020年8月19日，本公司与子公司美银智投共同设立澳门美新，注册资本为</w:t>
      </w:r>
      <w:r>
        <w:rPr>
          <w:color w:val="000000"/>
          <w:spacing w:val="0"/>
          <w:w w:val="100"/>
          <w:position w:val="0"/>
        </w:rPr>
        <w:t>50.0</w:t>
      </w:r>
      <w:r>
        <w:rPr>
          <w:color w:val="000000"/>
          <w:spacing w:val="0"/>
          <w:w w:val="100"/>
          <w:position w:val="0"/>
        </w:rPr>
        <w:t>0万元澳门币，其中本 公司持股90.00%，美银智投持股10.00%。</w:t>
      </w:r>
    </w:p>
    <w:p>
      <w:pPr>
        <w:pStyle w:val="Style44"/>
        <w:keepNext w:val="0"/>
        <w:keepLines w:val="0"/>
        <w:widowControl w:val="0"/>
        <w:shd w:val="clear" w:color="auto" w:fill="auto"/>
        <w:tabs>
          <w:tab w:pos="827" w:val="left"/>
        </w:tabs>
        <w:bidi w:val="0"/>
        <w:spacing w:before="0" w:after="0" w:line="470" w:lineRule="exact"/>
        <w:ind w:left="0" w:right="0" w:firstLine="440"/>
        <w:jc w:val="both"/>
      </w:pPr>
      <w:bookmarkStart w:id="1811" w:name="bookmark1811"/>
      <w:r>
        <w:rPr>
          <w:color w:val="000000"/>
          <w:spacing w:val="0"/>
          <w:w w:val="100"/>
          <w:position w:val="0"/>
        </w:rPr>
        <w:t>5</w:t>
      </w:r>
      <w:bookmarkEnd w:id="1811"/>
      <w:r>
        <w:rPr>
          <w:color w:val="000000"/>
          <w:spacing w:val="0"/>
          <w:w w:val="100"/>
          <w:position w:val="0"/>
        </w:rPr>
        <w:t>）</w:t>
        <w:tab/>
        <w:t>设立中检美亚（厦门）</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2020年9月22日，子公司中检美亚（北京）独资设立中检美亚（厦门），注册资本为</w:t>
      </w:r>
      <w:r>
        <w:rPr>
          <w:color w:val="000000"/>
          <w:spacing w:val="0"/>
          <w:w w:val="100"/>
          <w:position w:val="0"/>
        </w:rPr>
        <w:t>1,000.00</w:t>
      </w:r>
      <w:r>
        <w:rPr>
          <w:color w:val="000000"/>
          <w:spacing w:val="0"/>
          <w:w w:val="100"/>
          <w:position w:val="0"/>
        </w:rPr>
        <w:t>万元。</w:t>
      </w:r>
    </w:p>
    <w:p>
      <w:pPr>
        <w:pStyle w:val="Style44"/>
        <w:keepNext w:val="0"/>
        <w:keepLines w:val="0"/>
        <w:widowControl w:val="0"/>
        <w:shd w:val="clear" w:color="auto" w:fill="auto"/>
        <w:tabs>
          <w:tab w:pos="827" w:val="left"/>
        </w:tabs>
        <w:bidi w:val="0"/>
        <w:spacing w:before="0" w:after="0" w:line="470" w:lineRule="exact"/>
        <w:ind w:left="0" w:right="0" w:firstLine="440"/>
        <w:jc w:val="both"/>
      </w:pPr>
      <w:bookmarkStart w:id="1812" w:name="bookmark1812"/>
      <w:r>
        <w:rPr>
          <w:color w:val="000000"/>
          <w:spacing w:val="0"/>
          <w:w w:val="100"/>
          <w:position w:val="0"/>
        </w:rPr>
        <w:t>6</w:t>
      </w:r>
      <w:bookmarkEnd w:id="1812"/>
      <w:r>
        <w:rPr>
          <w:color w:val="000000"/>
          <w:spacing w:val="0"/>
          <w:w w:val="100"/>
          <w:position w:val="0"/>
        </w:rPr>
        <w:t>）</w:t>
        <w:tab/>
        <w:t>设立大田柏科</w:t>
      </w:r>
    </w:p>
    <w:p>
      <w:pPr>
        <w:pStyle w:val="Style4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2020年10月23日，本公司与后生仔（福建）实业有限公司共同设立大田柏科，注册资本为</w:t>
      </w:r>
      <w:r>
        <w:rPr>
          <w:color w:val="000000"/>
          <w:spacing w:val="0"/>
          <w:w w:val="100"/>
          <w:position w:val="0"/>
        </w:rPr>
        <w:t>1,000.00</w:t>
      </w:r>
      <w:r>
        <w:rPr>
          <w:color w:val="000000"/>
          <w:spacing w:val="0"/>
          <w:w w:val="100"/>
          <w:position w:val="0"/>
        </w:rPr>
        <w:t>万 元，其中本公司持股80.00%，后生仔（福建）实业有限公司持股20.00%。</w:t>
      </w:r>
    </w:p>
    <w:p>
      <w:pPr>
        <w:pStyle w:val="Style32"/>
        <w:keepNext/>
        <w:keepLines/>
        <w:widowControl w:val="0"/>
        <w:shd w:val="clear" w:color="auto" w:fill="auto"/>
        <w:tabs>
          <w:tab w:pos="378" w:val="left"/>
        </w:tabs>
        <w:bidi w:val="0"/>
        <w:spacing w:before="0" w:after="120" w:line="492" w:lineRule="auto"/>
        <w:ind w:left="0" w:right="0" w:firstLine="0"/>
        <w:jc w:val="both"/>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6</w:t>
      </w:r>
      <w:bookmarkEnd w:id="1815"/>
      <w:r>
        <w:rPr>
          <w:color w:val="000000"/>
          <w:spacing w:val="0"/>
          <w:w w:val="100"/>
          <w:position w:val="0"/>
        </w:rPr>
        <w:t>、</w:t>
        <w:tab/>
        <w:t>其他</w:t>
      </w:r>
      <w:bookmarkEnd w:id="1813"/>
      <w:bookmarkEnd w:id="1814"/>
      <w:bookmarkEnd w:id="1816"/>
    </w:p>
    <w:p>
      <w:pPr>
        <w:pStyle w:val="Style27"/>
        <w:keepNext/>
        <w:keepLines/>
        <w:widowControl w:val="0"/>
        <w:shd w:val="clear" w:color="auto" w:fill="auto"/>
        <w:bidi w:val="0"/>
        <w:spacing w:before="0" w:line="240" w:lineRule="auto"/>
        <w:ind w:left="0" w:right="0" w:firstLine="0"/>
        <w:jc w:val="both"/>
      </w:pPr>
      <w:bookmarkStart w:id="1817" w:name="bookmark1817"/>
      <w:bookmarkStart w:id="1818" w:name="bookmark1818"/>
      <w:bookmarkStart w:id="1819" w:name="bookmark1819"/>
      <w:bookmarkStart w:id="1820" w:name="bookmark1820"/>
      <w:r>
        <w:rPr>
          <w:color w:val="000000"/>
          <w:spacing w:val="0"/>
          <w:w w:val="100"/>
          <w:position w:val="0"/>
          <w:sz w:val="24"/>
          <w:szCs w:val="24"/>
        </w:rPr>
        <w:t>九</w:t>
      </w:r>
      <w:bookmarkEnd w:id="1819"/>
      <w:r>
        <w:rPr>
          <w:color w:val="000000"/>
          <w:spacing w:val="0"/>
          <w:w w:val="100"/>
          <w:position w:val="0"/>
          <w:sz w:val="24"/>
          <w:szCs w:val="24"/>
        </w:rPr>
        <w:t>、在其他主体中的权益</w:t>
      </w:r>
      <w:bookmarkEnd w:id="1817"/>
      <w:bookmarkEnd w:id="1818"/>
      <w:bookmarkEnd w:id="1820"/>
    </w:p>
    <w:p>
      <w:pPr>
        <w:pStyle w:val="Style32"/>
        <w:keepNext/>
        <w:keepLines/>
        <w:widowControl w:val="0"/>
        <w:shd w:val="clear" w:color="auto" w:fill="auto"/>
        <w:bidi w:val="0"/>
        <w:spacing w:before="0" w:after="0" w:line="492" w:lineRule="auto"/>
        <w:ind w:left="0" w:right="0" w:firstLine="0"/>
        <w:jc w:val="both"/>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1"/>
      <w:bookmarkEnd w:id="1822"/>
      <w:bookmarkEnd w:id="1823"/>
    </w:p>
    <w:p>
      <w:pPr>
        <w:pStyle w:val="Style75"/>
        <w:keepNext/>
        <w:keepLines/>
        <w:widowControl w:val="0"/>
        <w:shd w:val="clear" w:color="auto" w:fill="auto"/>
        <w:bidi w:val="0"/>
        <w:spacing w:before="0" w:after="320" w:line="470" w:lineRule="exact"/>
        <w:ind w:left="0" w:right="0" w:firstLine="0"/>
        <w:jc w:val="both"/>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4"/>
      <w:bookmarkEnd w:id="1825"/>
      <w:bookmarkEnd w:id="1826"/>
    </w:p>
    <w:tbl>
      <w:tblPr>
        <w:tblOverlap w:val="never"/>
        <w:jc w:val="center"/>
        <w:tblLayout w:type="fixed"/>
      </w:tblPr>
      <w:tblGrid>
        <w:gridCol w:w="1378"/>
        <w:gridCol w:w="1181"/>
        <w:gridCol w:w="998"/>
        <w:gridCol w:w="1694"/>
        <w:gridCol w:w="994"/>
        <w:gridCol w:w="1272"/>
        <w:gridCol w:w="206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美亚研究所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香港鼎永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美亚中敏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181"/>
        <w:gridCol w:w="994"/>
        <w:gridCol w:w="1699"/>
        <w:gridCol w:w="994"/>
        <w:gridCol w:w="1272"/>
        <w:gridCol w:w="206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腾瑞智能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常熟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常熟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腾柏顺科技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珠海新德汇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司法鉴定所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声像资料司法鉴定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安胜科技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江苏税软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无锡博盾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美亚宏数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国信宏数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美亚智讯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美亚商鼎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美亚天信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美亚京安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美亚榕安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美银智投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玉溪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玉溪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美亚秦安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美亚陇安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临夏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美亚川安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澳门美新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澳门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澳门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大田柏科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三明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三明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44"/>
        <w:keepNext w:val="0"/>
        <w:keepLines w:val="0"/>
        <w:widowControl w:val="0"/>
        <w:shd w:val="clear" w:color="auto" w:fill="auto"/>
        <w:bidi w:val="0"/>
        <w:spacing w:before="0" w:after="380" w:line="470" w:lineRule="exact"/>
        <w:ind w:left="0" w:right="0" w:firstLine="380"/>
        <w:jc w:val="both"/>
      </w:pPr>
      <w:r>
        <w:rPr>
          <w:color w:val="000000"/>
          <w:spacing w:val="0"/>
          <w:w w:val="100"/>
          <w:position w:val="0"/>
        </w:rPr>
        <w:t>2019年12月，本公司与中检美亚自然人股东王志永签署了《表决权委托协议》，自然人股东王志永将 其持有中检美亚32%的股权对应的全部表决权不可撤销地授权本公司行使，委托权3年。本公司原持有中检 美亚46%的表决权（其中控股子公司美亚商鼎持有18%的表决权），本次表决权委托协议签署后，本公司合 计拥有中检美亚78%的表决权。同时，中检美亚重组了董事会，董事会成员5名，由本公司委派3名，本公 司完成了对中检美亚的控制，公司在2019年12月末已拥有该公司的实质控制权</w:t>
      </w:r>
      <w:r>
        <w:rPr>
          <w:color w:val="000000"/>
          <w:spacing w:val="0"/>
          <w:w w:val="100"/>
          <w:position w:val="0"/>
        </w:rPr>
        <w:t>.202</w:t>
      </w:r>
      <w:r>
        <w:rPr>
          <w:color w:val="000000"/>
          <w:spacing w:val="0"/>
          <w:w w:val="100"/>
          <w:position w:val="0"/>
        </w:rPr>
        <w:t xml:space="preserve">0年王志永与庞雪芬、 京诚誉衡（厦门）信息科技合伙企业（有限合伙）、美诚久泰（厦门）信息科技合伙企业（有限合伙）、 京诚嘉裕（厦门）信息科技合伙企业（有限合伙）等签署股权转让协议，转让协议约定受让方受让部分的 </w:t>
      </w:r>
      <w:r>
        <w:rPr>
          <w:color w:val="000000"/>
          <w:spacing w:val="0"/>
          <w:w w:val="100"/>
          <w:position w:val="0"/>
        </w:rPr>
        <w:t>股权仍继续遵守原表决权委托协议的相关约定，因此公司能够继续对中检美亚进行控制。</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7"/>
      <w:bookmarkEnd w:id="1828"/>
      <w:bookmarkEnd w:id="182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560"/>
        <w:gridCol w:w="2266"/>
        <w:gridCol w:w="2693"/>
        <w:gridCol w:w="1925"/>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本期归属于少数股东的损益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4,595,952.14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16,951,321.69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-1,967,550.26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2,771,030.71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4,907,836.17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14,729,153.60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2,009,108.20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8,773,146.55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3,023,117.57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3,118,592.47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4,790,363.17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8,671,468.33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44"/>
        <w:keepNext w:val="0"/>
        <w:keepLines w:val="0"/>
        <w:widowControl w:val="0"/>
        <w:shd w:val="clear" w:color="auto" w:fill="auto"/>
        <w:bidi w:val="0"/>
        <w:spacing w:before="0" w:after="500" w:line="469" w:lineRule="exact"/>
        <w:ind w:left="0" w:right="0" w:firstLine="380"/>
        <w:jc w:val="both"/>
      </w:pPr>
      <w:r>
        <w:rPr>
          <w:color w:val="000000"/>
          <w:spacing w:val="0"/>
          <w:w w:val="100"/>
          <w:position w:val="0"/>
        </w:rPr>
        <w:t>2019年12月，本公司与中检美亚自然人股东王志永签署了《表决权委托协议》，自然人股东王志永将 其持有中检美亚32%的股权对应的全部表决权不可撤销地授权本公司行使，委托权3年。本公司原持有中检 美亚46%的表决权（其中控股子公司美亚商鼎持有18%的表决权），本次表决权委托协议签署后，本公司合 计拥有中检美亚78%的表决权。同时，中检美亚重组了董事会，董事会成员5名，由本公司委派3名，本公 司完成了对中检美亚的控制，公司在2019年12月末已拥有该公司的实质控制权</w:t>
      </w:r>
      <w:r>
        <w:rPr>
          <w:color w:val="000000"/>
          <w:spacing w:val="0"/>
          <w:w w:val="100"/>
          <w:position w:val="0"/>
        </w:rPr>
        <w:t>.202</w:t>
      </w:r>
      <w:r>
        <w:rPr>
          <w:color w:val="000000"/>
          <w:spacing w:val="0"/>
          <w:w w:val="100"/>
          <w:position w:val="0"/>
        </w:rPr>
        <w:t>0年王志永与庞雪芬、 京诚誉衡（厦门）信息科技合伙企业（有限合伙）、美诚久泰（厦门）信息科技合伙企业（有限合伙）、 京诚嘉裕（厦门）信息科技合伙企业（有限合伙）等签署股权转让协议，转让协议约定受让方受让部分的 股权仍继续遵守原表决权委托协议的相关约定，因此公司能够继续对中检美亚进行控制。</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after="380" w:line="469" w:lineRule="exact"/>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30"/>
      <w:bookmarkEnd w:id="1831"/>
      <w:bookmarkEnd w:id="183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127,983,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3,697,69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131,681,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79,037,0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64,702,6</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504.21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204.15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30,257,6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32,785,4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26,564,2</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61.66</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140,072,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8,252,61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87,438,6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89,408,2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62,060,3</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252.66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868.13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28,782,7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5,548,28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3,524,03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37,052,9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15,252,8</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10,611,9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6,709,39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11,727,1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586,715.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12,215,2</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28,338,9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28,766,5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9,496,64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15,906,7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6,565,45</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安</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bl>
    <w:p>
      <w:pPr>
        <w:widowControl w:val="0"/>
        <w:spacing w:after="5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美亚中敏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237,542,013.</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14,242,182.0</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14,242,182.0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9,972,827.94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202,690,434.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9,947,623.04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9,947,623.04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-3,435,633.95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10,778,022.5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-4,015,408.69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-4,015,408.69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1,199,979.15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27,237,307.3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-2,071,615.83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-2,071,615.83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-2,107,091.18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安胜科技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101,593,469.</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19,631,344.6</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19,631,344.6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19,831,797.9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107,216,204.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2,749,553.68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2,749,553.68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7,254,917.13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美亚商鼎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15,892,043.4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5,287,126.84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5,287,126.84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-223,280.38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23,497,880.6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2,528,337.78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2,528,337.78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-4,940,305.08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中检美亚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17,797,372.4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4,968,963.79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4,968,963.79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3,749,283.73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美亚亿安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23,630,531.9</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10,645,251.4</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10,645,251.4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6,029,385.26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14,405,192.8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4,329,946.77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4,329,946.77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7,332,131.69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5"/>
        <w:keepNext/>
        <w:keepLines/>
        <w:widowControl w:val="0"/>
        <w:numPr>
          <w:ilvl w:val="0"/>
          <w:numId w:val="45"/>
        </w:numPr>
        <w:shd w:val="clear" w:color="auto" w:fill="auto"/>
        <w:tabs>
          <w:tab w:pos="488"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使用企业集团资产和清偿企业集团债务的重大限制</w:t>
      </w:r>
      <w:bookmarkEnd w:id="1834"/>
      <w:bookmarkEnd w:id="1835"/>
      <w:bookmarkEnd w:id="183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numPr>
          <w:ilvl w:val="0"/>
          <w:numId w:val="45"/>
        </w:numPr>
        <w:shd w:val="clear" w:color="auto" w:fill="auto"/>
        <w:tabs>
          <w:tab w:pos="488"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向纳入合并财务报表范围的结构化主体提供的财务支持或其他支持</w:t>
      </w:r>
      <w:bookmarkEnd w:id="1838"/>
      <w:bookmarkEnd w:id="1839"/>
      <w:bookmarkEnd w:id="184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tabs>
          <w:tab w:pos="378" w:val="left"/>
        </w:tabs>
        <w:bidi w:val="0"/>
        <w:spacing w:before="0" w:after="36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bookmarkEnd w:id="1844"/>
      <w:r>
        <w:rPr>
          <w:color w:val="000000"/>
          <w:spacing w:val="0"/>
          <w:w w:val="100"/>
          <w:position w:val="0"/>
        </w:rPr>
        <w:t>、</w:t>
        <w:tab/>
        <w:t>在子公司的所有者权益份额发生变化且仍控制子公司的交易</w:t>
      </w:r>
      <w:bookmarkEnd w:id="1842"/>
      <w:bookmarkEnd w:id="1843"/>
      <w:bookmarkEnd w:id="184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3</w:t>
      </w:r>
      <w:bookmarkEnd w:id="1848"/>
      <w:r>
        <w:rPr>
          <w:color w:val="000000"/>
          <w:spacing w:val="0"/>
          <w:w w:val="100"/>
          <w:position w:val="0"/>
        </w:rPr>
        <w:t>、</w:t>
        <w:tab/>
        <w:t>在合营安排或联营企业中的权益</w:t>
      </w:r>
      <w:bookmarkEnd w:id="1846"/>
      <w:bookmarkEnd w:id="1847"/>
      <w:bookmarkEnd w:id="1849"/>
    </w:p>
    <w:p>
      <w:pPr>
        <w:pStyle w:val="Style75"/>
        <w:keepNext/>
        <w:keepLines/>
        <w:widowControl w:val="0"/>
        <w:shd w:val="clear" w:color="auto" w:fill="auto"/>
        <w:bidi w:val="0"/>
        <w:spacing w:before="0" w:line="240" w:lineRule="auto"/>
        <w:ind w:left="0" w:right="0" w:firstLine="14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0"/>
      <w:bookmarkEnd w:id="1851"/>
      <w:bookmarkEnd w:id="1852"/>
    </w:p>
    <w:tbl>
      <w:tblPr>
        <w:tblOverlap w:val="never"/>
        <w:jc w:val="center"/>
        <w:tblLayout w:type="fixed"/>
      </w:tblPr>
      <w:tblGrid>
        <w:gridCol w:w="2842"/>
        <w:gridCol w:w="1133"/>
        <w:gridCol w:w="994"/>
        <w:gridCol w:w="1138"/>
        <w:gridCol w:w="1133"/>
        <w:gridCol w:w="974"/>
        <w:gridCol w:w="137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合营企业或联营企业名称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沈阳城市公共安全科技有限公司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厦门市柏科晔济投资管理合伙企业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厦门本思信息服务有限公司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75"/>
        <w:keepNext/>
        <w:keepLines/>
        <w:widowControl w:val="0"/>
        <w:shd w:val="clear" w:color="auto" w:fill="auto"/>
        <w:tabs>
          <w:tab w:pos="488"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53"/>
      <w:bookmarkEnd w:id="1854"/>
      <w:bookmarkEnd w:id="185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57"/>
      <w:bookmarkEnd w:id="1858"/>
      <w:bookmarkEnd w:id="186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02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厦门服云信 息科技有限</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厦门市美亚 梧桐投资管 理有限公司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沈阳城市公 共安全技术 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安徽华图信 息科技有限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厦门服云信 息科技有限</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厦门市美亚 梧桐投资管 理有限公司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沈阳城市公 共安全技术 有限公司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安徽华图信 息科技有限 公司</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67,799,528.5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6,112,425.11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7,400,383.54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15,754,539.3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46,783,215.0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3,851,022.28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5,938,560.45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6,944,322.50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3,598,126.97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182,387.58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1,014,463.91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56,342.06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71,397,655.4</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6,212,425.11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7,490,614.75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15,936,926.9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47,797,678.9</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3,851,022.28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6,123,057.03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7,000,664.56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26,277,318.3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4,179,011.20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8,296,024.03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6,997,463.40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14,883,758.2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2,022,728.37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5,710,993.11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1,840,084.89</w:t>
            </w:r>
          </w:p>
        </w:tc>
      </w:tr>
    </w:tbl>
    <w:p>
      <w:pPr>
        <w:widowControl w:val="0"/>
        <w:spacing w:line="1" w:lineRule="exact"/>
      </w:pP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26,277,318.3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4,179,011.20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8,296,024.03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8,267,463.40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14,883,758.2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5,710,993.11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1,840,084.89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45,120,337.1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2,033,413.91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-805,409.28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7,669,463.55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32,913,920.6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1,828,293.91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412,063.92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5,160,579.67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 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45,120,337.1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2,033,413.91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-805,409.28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7,669,463.55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32,913,920.6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1,828,293.91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412,063.92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5,160,579.67</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13,179,650.4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797,098.25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-188,385.23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1,533,892.71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9,614,156.21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1,032,115.93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1,129,746.03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3,974,650.42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3,174,650.43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13,179,650.4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797,098.25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941,360.80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5,508,543.13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9,614,156.21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1,226,127.78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4,206,766.36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72,113,409.7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4,929,679.34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32,985,587.7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45,983,966.9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3,471,226.11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125,943.40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9,090,700.34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12,112,012.6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-202,663.55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-1,217,473.20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1,566,406.00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654,913.94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-1,941,698.89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1,033,831.81</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12,112,012.6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-202,663.55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-1,217,473.20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1,566,406.00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654,913.94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-586,119.12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-1,941,698.89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1,033,831.81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5"/>
        <w:keepNext/>
        <w:keepLines/>
        <w:widowControl w:val="0"/>
        <w:numPr>
          <w:ilvl w:val="0"/>
          <w:numId w:val="47"/>
        </w:numPr>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不重要的合营企业和联营企业的汇总财务信息</w:t>
      </w:r>
      <w:bookmarkEnd w:id="1861"/>
      <w:bookmarkEnd w:id="1862"/>
      <w:bookmarkEnd w:id="18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7"/>
        <w:gridCol w:w="319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4,582,580.91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4,897,687.06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-526,493.48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-315,106.15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-526,493.48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5"/>
        <w:keepNext/>
        <w:keepLines/>
        <w:widowControl w:val="0"/>
        <w:numPr>
          <w:ilvl w:val="0"/>
          <w:numId w:val="47"/>
        </w:numPr>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合营企业或联营企业向本公司转移资金的能力存在重大限制的说明</w:t>
      </w:r>
      <w:bookmarkEnd w:id="1865"/>
      <w:bookmarkEnd w:id="1866"/>
      <w:bookmarkEnd w:id="186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380" w:line="240" w:lineRule="auto"/>
        <w:ind w:left="0" w:right="0" w:firstLine="14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w:t>
      </w:r>
      <w:bookmarkEnd w:id="1871"/>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869"/>
      <w:bookmarkEnd w:id="1870"/>
      <w:bookmarkEnd w:id="18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10"/>
        <w:gridCol w:w="2390"/>
        <w:gridCol w:w="2405"/>
      </w:tblGrid>
      <w:tr>
        <w:trPr>
          <w:trHeight w:val="7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合营企业或联营企业名称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234,916.60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-594,396.40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中检万诚通联科技（北京）有限公司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200,351.98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-36,308.97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-1,065,973.95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435,268.58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-630,705.37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75"/>
        <w:keepNext/>
        <w:keepLines/>
        <w:widowControl w:val="0"/>
        <w:shd w:val="clear" w:color="auto" w:fill="auto"/>
        <w:tabs>
          <w:tab w:pos="488" w:val="left"/>
        </w:tabs>
        <w:bidi w:val="0"/>
        <w:spacing w:before="0" w:after="380" w:line="467" w:lineRule="exact"/>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3"/>
      <w:bookmarkEnd w:id="1874"/>
      <w:bookmarkEnd w:id="187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after="380" w:line="467" w:lineRule="exact"/>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77"/>
      <w:bookmarkEnd w:id="1878"/>
      <w:bookmarkEnd w:id="188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467" w:lineRule="exact"/>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color w:val="000000"/>
          <w:spacing w:val="0"/>
          <w:w w:val="100"/>
          <w:position w:val="0"/>
        </w:rPr>
        <w:t>、</w:t>
        <w:tab/>
        <w:t>重要的共同经营</w:t>
      </w:r>
      <w:bookmarkEnd w:id="1881"/>
      <w:bookmarkEnd w:id="1882"/>
      <w:bookmarkEnd w:id="188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467" w:lineRule="exact"/>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5</w:t>
      </w:r>
      <w:bookmarkEnd w:id="1887"/>
      <w:r>
        <w:rPr>
          <w:color w:val="000000"/>
          <w:spacing w:val="0"/>
          <w:w w:val="100"/>
          <w:position w:val="0"/>
        </w:rPr>
        <w:t>、</w:t>
        <w:tab/>
        <w:t>在未纳入合并财务报表范围的结构化主体中的权益</w:t>
      </w:r>
      <w:bookmarkEnd w:id="1885"/>
      <w:bookmarkEnd w:id="1886"/>
      <w:bookmarkEnd w:id="188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未纳入合并财务报表范围的结构化主体的相关说明：无</w:t>
      </w:r>
    </w:p>
    <w:p>
      <w:pPr>
        <w:pStyle w:val="Style32"/>
        <w:keepNext/>
        <w:keepLines/>
        <w:widowControl w:val="0"/>
        <w:shd w:val="clear" w:color="auto" w:fill="auto"/>
        <w:tabs>
          <w:tab w:pos="378" w:val="left"/>
        </w:tabs>
        <w:bidi w:val="0"/>
        <w:spacing w:before="0" w:after="380" w:line="467" w:lineRule="exact"/>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6</w:t>
      </w:r>
      <w:bookmarkEnd w:id="1891"/>
      <w:r>
        <w:rPr>
          <w:color w:val="000000"/>
          <w:spacing w:val="0"/>
          <w:w w:val="100"/>
          <w:position w:val="0"/>
        </w:rPr>
        <w:t>、</w:t>
        <w:tab/>
        <w:t>其他</w:t>
      </w:r>
      <w:bookmarkEnd w:id="1889"/>
      <w:bookmarkEnd w:id="1890"/>
      <w:bookmarkEnd w:id="1892"/>
    </w:p>
    <w:p>
      <w:pPr>
        <w:pStyle w:val="Style27"/>
        <w:keepNext/>
        <w:keepLines/>
        <w:widowControl w:val="0"/>
        <w:shd w:val="clear" w:color="auto" w:fill="auto"/>
        <w:bidi w:val="0"/>
        <w:spacing w:before="0" w:after="160" w:line="240" w:lineRule="auto"/>
        <w:ind w:left="0" w:right="0" w:firstLine="0"/>
        <w:jc w:val="left"/>
      </w:pPr>
      <w:bookmarkStart w:id="1893" w:name="bookmark1893"/>
      <w:bookmarkStart w:id="1894" w:name="bookmark1894"/>
      <w:bookmarkStart w:id="1895" w:name="bookmark1895"/>
      <w:r>
        <w:rPr>
          <w:color w:val="000000"/>
          <w:spacing w:val="0"/>
          <w:w w:val="100"/>
          <w:position w:val="0"/>
          <w:sz w:val="24"/>
          <w:szCs w:val="24"/>
        </w:rPr>
        <w:t>十、与金融工具相关的风险</w:t>
      </w:r>
      <w:bookmarkEnd w:id="1893"/>
      <w:bookmarkEnd w:id="1894"/>
      <w:bookmarkEnd w:id="1895"/>
    </w:p>
    <w:p>
      <w:pPr>
        <w:pStyle w:val="Style4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本集团的主要金融工具包括货币资金、应收账款、应收票据、应收利息、其他应收款、其他流动资产、 其他权益工具、应付账款、应付票据、其他应付款。各项金融工具的详细情况已于相关附注内披露。与这 些金融工具有关的风险，以及本集团为降低这些风险所采取的风险管理政策如下所述。本集团管理层对这 些风险敞口进行管理和监控以确保将上述风险控制在限定的范围之内。</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1、风险管理目标和政策</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风险管理政策及有关内部控制系统，以适应市场情况或本集团经营活动的改变。本集团的内部审计部门也 </w:t>
      </w:r>
      <w:r>
        <w:rPr>
          <w:color w:val="000000"/>
          <w:spacing w:val="0"/>
          <w:w w:val="100"/>
          <w:position w:val="0"/>
        </w:rPr>
        <w:t>定期或随机检查内部控制系统的执行是否符合风险管理政策。</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本集团的金融工具导致的主要风险是信用风险、流动性风险、市场风险（包括利率风险、汇率风险和 商品价格风险/权益工具价格风险）。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董事会负责规划并建立本集团的风险管理架构，指定本集团的风险管理政策和相关指引并监督风险管 理措施的执行情况。本集团已制定风险管理政策以识别和分析本集团所面临的风险，这些风险管理政策对 特定风险进行了明确规定，涵盖了信用风险、流动性风险和市场风险管理等诸多方面。本集团定期评估市 场环境及本集团经营活动的变化以决定是否对风险管理政策及系统进行更新。本集团的风险管理由风险管 理委员会按照董事会批准的政策开展。风险管理委员会通过与本集团其他业务部门的紧密合作来识别、评 价和规避相关风险。本集团内部审计部门就风险管理控制及程序进行定期的审核，并将审核结果上报本集 团的审计委员会。</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本集团通过适当的多样化投资及业务组合来分散金融工具风险，并通过制定相应的风险管理政策减少 集中于任何单一行业、特定地区或特定交易对手方的风险。</w:t>
      </w:r>
    </w:p>
    <w:p>
      <w:pPr>
        <w:pStyle w:val="Style44"/>
        <w:keepNext w:val="0"/>
        <w:keepLines w:val="0"/>
        <w:widowControl w:val="0"/>
        <w:shd w:val="clear" w:color="auto" w:fill="auto"/>
        <w:tabs>
          <w:tab w:pos="909" w:val="left"/>
        </w:tabs>
        <w:bidi w:val="0"/>
        <w:spacing w:before="0" w:after="0" w:line="468" w:lineRule="exact"/>
        <w:ind w:left="0" w:right="0" w:firstLine="440"/>
        <w:jc w:val="both"/>
      </w:pPr>
      <w:bookmarkStart w:id="1896" w:name="bookmark1896"/>
      <w:r>
        <w:rPr>
          <w:color w:val="000000"/>
          <w:spacing w:val="0"/>
          <w:w w:val="100"/>
          <w:position w:val="0"/>
        </w:rPr>
        <w:t>（</w:t>
      </w:r>
      <w:bookmarkEnd w:id="1896"/>
      <w:r>
        <w:rPr>
          <w:color w:val="000000"/>
          <w:spacing w:val="0"/>
          <w:w w:val="100"/>
          <w:position w:val="0"/>
        </w:rPr>
        <w:t>1）</w:t>
        <w:tab/>
        <w:t>信用风险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信用风险，是指交易对手方未能履行合同义务而导致本集团产生财务损失的风险。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本集团对信用风险按组合分类进行管理。信用风险主要产生于银行存款和应收款项等。</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本集团银行存款主要存放于国有银行和其它大中型上市银行，本集团预期银行存款不存在重大的信用 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对于应收款项，本集团设定相关政策以控制信用风险敞口。本集团基于对债务人的财务状况、外部评 级、从第三方获取担保的可能性、信用记录及其它因素诸如目前市场状况等评估债务人的信用资质并设置 相应欠款额度与信用期限。本集团会定期对债务人信用记录进行监控，对于信用记录不良的债务人，本集 团会采用书面催款、缩短信用期或取消信用期等方式，以确保本集团的整体信用风险在可控的范围内。</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本集团应收账款中，期末欠款金额前五大客户的应收账款占本集团应收账款总额的23.31% （2019年： 16.78%）；本集团其他应收款中，欠款金额前五大公司的其他应收款占本集团其他应收款总额的21.64% （2019年：21.35%）。</w:t>
      </w:r>
    </w:p>
    <w:p>
      <w:pPr>
        <w:pStyle w:val="Style44"/>
        <w:keepNext w:val="0"/>
        <w:keepLines w:val="0"/>
        <w:widowControl w:val="0"/>
        <w:shd w:val="clear" w:color="auto" w:fill="auto"/>
        <w:tabs>
          <w:tab w:pos="909" w:val="left"/>
        </w:tabs>
        <w:bidi w:val="0"/>
        <w:spacing w:before="0" w:after="0" w:line="468" w:lineRule="exact"/>
        <w:ind w:left="0" w:right="0" w:firstLine="440"/>
        <w:jc w:val="both"/>
      </w:pPr>
      <w:bookmarkStart w:id="1897" w:name="bookmark1897"/>
      <w:r>
        <w:rPr>
          <w:color w:val="000000"/>
          <w:spacing w:val="0"/>
          <w:w w:val="100"/>
          <w:position w:val="0"/>
        </w:rPr>
        <w:t>（</w:t>
      </w:r>
      <w:bookmarkEnd w:id="1897"/>
      <w:r>
        <w:rPr>
          <w:color w:val="000000"/>
          <w:spacing w:val="0"/>
          <w:w w:val="100"/>
          <w:position w:val="0"/>
        </w:rPr>
        <w:t>2）</w:t>
        <w:tab/>
        <w:t>流动性风险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流动性风险，是指本集团在履行以交付现金或其他金融资产的方式结算的义务时发生资金短缺的风 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管理流动风险时，本集团保持管理层认为充分的现金及现金等价物并对其进行监控，以满足本集团经</w:t>
        <w:br w:type="page"/>
      </w:r>
      <w:r>
        <w:rPr>
          <w:color w:val="000000"/>
          <w:spacing w:val="0"/>
          <w:w w:val="100"/>
          <w:position w:val="0"/>
        </w:rPr>
        <w:t>营需要，并降低现金流量波动的影响。本集团管理层对银行借款的使用情况进行监控并确保遵守借款协议。 同时从主要金融机构获得提供足够备用资金的承诺，以满足短期和长期的资金需求。</w:t>
      </w:r>
    </w:p>
    <w:p>
      <w:pPr>
        <w:pStyle w:val="Style44"/>
        <w:keepNext w:val="0"/>
        <w:keepLines w:val="0"/>
        <w:widowControl w:val="0"/>
        <w:shd w:val="clear" w:color="auto" w:fill="auto"/>
        <w:bidi w:val="0"/>
        <w:spacing w:before="0" w:after="160" w:line="466" w:lineRule="exact"/>
        <w:ind w:left="0" w:right="0" w:firstLine="420"/>
        <w:jc w:val="left"/>
      </w:pPr>
      <w:r>
        <w:rPr>
          <w:color w:val="000000"/>
          <w:spacing w:val="0"/>
          <w:w w:val="100"/>
          <w:position w:val="0"/>
        </w:rPr>
        <w:t>期末本集团持有的金融负债按未折现剩余合同现金流量的到期期限分析如下：</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2"/>
        <w:gridCol w:w="1531"/>
        <w:gridCol w:w="1378"/>
        <w:gridCol w:w="1382"/>
        <w:gridCol w:w="1531"/>
        <w:gridCol w:w="1546"/>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92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1,000,551.07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1,000,551.07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52,672,918.64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52,672,918.64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315,354,056.71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23,810,989.87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339,165,046.58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191,024,898.86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191,024,898.86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73,212,337.81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31,069,333.50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104,281,671.31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2,482,896.12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2,482,896.12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2,629,532.25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2,714,784.14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15,246,447.39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20,590,763.78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635,747,659.21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57,509,855.62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2,714,784.14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15,246,447.39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711,218,746.36</w:t>
            </w:r>
          </w:p>
        </w:tc>
      </w:tr>
    </w:tbl>
    <w:p>
      <w:pPr>
        <w:widowControl w:val="0"/>
        <w:spacing w:after="159" w:line="1" w:lineRule="exact"/>
      </w:pPr>
    </w:p>
    <w:p>
      <w:pPr>
        <w:pStyle w:val="Style4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期初本集团持有的金融负债按未折现剩余合同现金流量的到期期限分析如下:</w:t>
      </w:r>
    </w:p>
    <w:tbl>
      <w:tblPr>
        <w:tblOverlap w:val="never"/>
        <w:jc w:val="center"/>
        <w:tblLayout w:type="fixed"/>
      </w:tblPr>
      <w:tblGrid>
        <w:gridCol w:w="2338"/>
        <w:gridCol w:w="1536"/>
        <w:gridCol w:w="1531"/>
        <w:gridCol w:w="1378"/>
        <w:gridCol w:w="1435"/>
        <w:gridCol w:w="1430"/>
      </w:tblGrid>
      <w:tr>
        <w:trPr>
          <w:trHeight w:val="43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187,360,543.40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187,360,543.40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221,986,877.38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21,267,236.74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243,254,114.12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145,539,356.05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145,539,356.05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69,244,364.46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24,234,889.50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24,234,889.50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117,714,143.46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1,585,849.29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1,585,849.29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1,641,966.96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1,723,234.73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12,096,782.88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15,461,984.57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625,716,990.58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47,144,093.20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25,958,124.23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12,096,782.88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710,915,990.89</w:t>
            </w:r>
          </w:p>
        </w:tc>
      </w:tr>
    </w:tbl>
    <w:p>
      <w:pPr>
        <w:widowControl w:val="0"/>
        <w:spacing w:after="299" w:line="1" w:lineRule="exact"/>
      </w:pPr>
    </w:p>
    <w:p>
      <w:pPr>
        <w:pStyle w:val="Style44"/>
        <w:keepNext w:val="0"/>
        <w:keepLines w:val="0"/>
        <w:widowControl w:val="0"/>
        <w:shd w:val="clear" w:color="auto" w:fill="auto"/>
        <w:bidi w:val="0"/>
        <w:spacing w:before="0" w:after="0" w:line="475" w:lineRule="exact"/>
        <w:ind w:left="0" w:right="0" w:firstLine="420"/>
        <w:jc w:val="left"/>
      </w:pPr>
      <w:r>
        <w:rPr>
          <w:color w:val="000000"/>
          <w:spacing w:val="0"/>
          <w:w w:val="100"/>
          <w:position w:val="0"/>
        </w:rPr>
        <w:t>上表中披露的金融负债金额为未经折现的合同现金流量，因而可能与资产负债表中的账面金额有所不 同。</w:t>
      </w:r>
    </w:p>
    <w:p>
      <w:pPr>
        <w:pStyle w:val="Style44"/>
        <w:keepNext w:val="0"/>
        <w:keepLines w:val="0"/>
        <w:widowControl w:val="0"/>
        <w:shd w:val="clear" w:color="auto" w:fill="auto"/>
        <w:bidi w:val="0"/>
        <w:spacing w:before="0" w:after="0" w:line="475" w:lineRule="exact"/>
        <w:ind w:left="0" w:right="0" w:firstLine="420"/>
        <w:jc w:val="left"/>
      </w:pPr>
      <w:bookmarkStart w:id="1898" w:name="bookmark1898"/>
      <w:r>
        <w:rPr>
          <w:color w:val="000000"/>
          <w:spacing w:val="0"/>
          <w:w w:val="100"/>
          <w:position w:val="0"/>
        </w:rPr>
        <w:t>（</w:t>
      </w:r>
      <w:bookmarkEnd w:id="1898"/>
      <w:r>
        <w:rPr>
          <w:color w:val="000000"/>
          <w:spacing w:val="0"/>
          <w:w w:val="100"/>
          <w:position w:val="0"/>
        </w:rPr>
        <w:t>3）市场风险</w:t>
      </w:r>
    </w:p>
    <w:p>
      <w:pPr>
        <w:pStyle w:val="Style44"/>
        <w:keepNext w:val="0"/>
        <w:keepLines w:val="0"/>
        <w:widowControl w:val="0"/>
        <w:shd w:val="clear" w:color="auto" w:fill="auto"/>
        <w:bidi w:val="0"/>
        <w:spacing w:before="0" w:after="80" w:line="475" w:lineRule="exact"/>
        <w:ind w:left="0" w:right="0" w:firstLine="420"/>
        <w:jc w:val="left"/>
      </w:pPr>
      <w:r>
        <w:rPr>
          <w:color w:val="000000"/>
          <w:spacing w:val="0"/>
          <w:w w:val="100"/>
          <w:position w:val="0"/>
        </w:rPr>
        <w:t xml:space="preserve">金融工具的市场风险，是指金融工具的公允价值或未来现金流量因市场价格变动而发生波动的风险， </w:t>
      </w:r>
      <w:r>
        <w:rPr>
          <w:color w:val="000000"/>
          <w:spacing w:val="0"/>
          <w:w w:val="100"/>
          <w:position w:val="0"/>
        </w:rPr>
        <w:t>包括利率风险、汇率风险和其他价格风险。</w:t>
      </w:r>
    </w:p>
    <w:p>
      <w:pPr>
        <w:pStyle w:val="Style44"/>
        <w:keepNext w:val="0"/>
        <w:keepLines w:val="0"/>
        <w:widowControl w:val="0"/>
        <w:shd w:val="clear" w:color="auto" w:fill="auto"/>
        <w:bidi w:val="0"/>
        <w:spacing w:before="0" w:after="0" w:line="463" w:lineRule="exact"/>
        <w:ind w:left="0" w:right="0" w:firstLine="580"/>
        <w:jc w:val="left"/>
      </w:pPr>
      <w:r>
        <w:rPr>
          <w:color w:val="000000"/>
          <w:spacing w:val="0"/>
          <w:w w:val="100"/>
          <w:position w:val="0"/>
        </w:rPr>
        <w:t>①利率风险</w:t>
      </w:r>
    </w:p>
    <w:p>
      <w:pPr>
        <w:pStyle w:val="Style4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44"/>
        <w:keepNext w:val="0"/>
        <w:keepLines w:val="0"/>
        <w:widowControl w:val="0"/>
        <w:shd w:val="clear" w:color="auto" w:fill="auto"/>
        <w:bidi w:val="0"/>
        <w:spacing w:before="0" w:after="0" w:line="463" w:lineRule="exact"/>
        <w:ind w:left="0" w:right="0" w:firstLine="420"/>
        <w:jc w:val="left"/>
      </w:pPr>
      <w:r>
        <w:rPr>
          <w:color w:val="000000"/>
          <w:spacing w:val="0"/>
          <w:w w:val="100"/>
          <w:position w:val="0"/>
        </w:rPr>
        <w:t>本集团的利率风险主要产生于长期银行借款，利率为浮动利率。</w:t>
      </w:r>
    </w:p>
    <w:p>
      <w:pPr>
        <w:pStyle w:val="Style44"/>
        <w:keepNext w:val="0"/>
        <w:keepLines w:val="0"/>
        <w:widowControl w:val="0"/>
        <w:shd w:val="clear" w:color="auto" w:fill="auto"/>
        <w:bidi w:val="0"/>
        <w:spacing w:before="0" w:after="240" w:line="463" w:lineRule="exact"/>
        <w:ind w:left="0" w:right="0" w:firstLine="440"/>
        <w:jc w:val="both"/>
      </w:pPr>
      <w:r>
        <w:rPr>
          <w:color w:val="000000"/>
          <w:spacing w:val="0"/>
          <w:w w:val="100"/>
          <w:position w:val="0"/>
        </w:rPr>
        <w:t xml:space="preserve">本集团密切关注利率变动对本集团利率风险的影响。本集团目前并未采取利率对冲政策，但管理层负 责监控利率风险，并将于需要时考虑对冲重大利率风险。由于定期存款为短期存款，故银行存款的公允价 </w:t>
      </w:r>
      <w:r>
        <w:rPr>
          <w:color w:val="000000"/>
          <w:spacing w:val="0"/>
          <w:w w:val="100"/>
          <w:position w:val="0"/>
        </w:rPr>
        <w:t>值利率风险并不重大。</w:t>
      </w:r>
    </w:p>
    <w:p>
      <w:pPr>
        <w:pStyle w:val="Style4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本集团持有的计息金融负债如下（单位：人民币元）：</w:t>
      </w:r>
    </w:p>
    <w:tbl>
      <w:tblPr>
        <w:tblOverlap w:val="never"/>
        <w:jc w:val="center"/>
        <w:tblLayout w:type="fixed"/>
      </w:tblPr>
      <w:tblGrid>
        <w:gridCol w:w="3149"/>
        <w:gridCol w:w="3134"/>
        <w:gridCol w:w="33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24,043,141.12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17,022,983.90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23,043,141.12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17,022,983.90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24,043,141.12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17,022,983.90</w:t>
            </w:r>
          </w:p>
        </w:tc>
      </w:tr>
    </w:tbl>
    <w:p>
      <w:pPr>
        <w:widowControl w:val="0"/>
        <w:spacing w:after="99" w:line="1" w:lineRule="exact"/>
      </w:pPr>
    </w:p>
    <w:p>
      <w:pPr>
        <w:pStyle w:val="Style44"/>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于2020年12月31日，如果以浮动利率计算的借款利率上升或下降50个基点，而其它因素保持不变，本</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集团的净利润及股东权益将减少或增加约</w:t>
      </w:r>
      <w:r>
        <w:rPr>
          <w:color w:val="000000"/>
          <w:spacing w:val="0"/>
          <w:w w:val="100"/>
          <w:position w:val="0"/>
        </w:rPr>
        <w:t xml:space="preserve">108,194. </w:t>
      </w:r>
      <w:r>
        <w:rPr>
          <w:color w:val="000000"/>
          <w:spacing w:val="0"/>
          <w:w w:val="100"/>
          <w:position w:val="0"/>
        </w:rPr>
        <w:t>14元。</w:t>
      </w:r>
    </w:p>
    <w:p>
      <w:pPr>
        <w:pStyle w:val="Style44"/>
        <w:keepNext w:val="0"/>
        <w:keepLines w:val="0"/>
        <w:widowControl w:val="0"/>
        <w:numPr>
          <w:ilvl w:val="0"/>
          <w:numId w:val="49"/>
        </w:numPr>
        <w:shd w:val="clear" w:color="auto" w:fill="auto"/>
        <w:tabs>
          <w:tab w:pos="977" w:val="left"/>
        </w:tabs>
        <w:bidi w:val="0"/>
        <w:spacing w:before="0" w:after="0" w:line="468" w:lineRule="exact"/>
        <w:ind w:left="0" w:right="0" w:firstLine="580"/>
        <w:jc w:val="left"/>
      </w:pPr>
      <w:bookmarkStart w:id="1899" w:name="bookmark1899"/>
      <w:bookmarkEnd w:id="1899"/>
      <w:r>
        <w:rPr>
          <w:color w:val="000000"/>
          <w:spacing w:val="0"/>
          <w:w w:val="100"/>
          <w:position w:val="0"/>
        </w:rPr>
        <w:t>汇率风险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本集团的主要经营位于中国境内，主要业务以人民币结算。因此，本集团所承担的外汇变动市场风险 不重大。</w:t>
      </w:r>
    </w:p>
    <w:p>
      <w:pPr>
        <w:pStyle w:val="Style44"/>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本集团期末外币金融资产和外币金融负债列示见本附注项目注释其他之外币货币性项目说明。</w:t>
      </w:r>
    </w:p>
    <w:p>
      <w:pPr>
        <w:pStyle w:val="Style44"/>
        <w:keepNext w:val="0"/>
        <w:keepLines w:val="0"/>
        <w:widowControl w:val="0"/>
        <w:numPr>
          <w:ilvl w:val="0"/>
          <w:numId w:val="49"/>
        </w:numPr>
        <w:shd w:val="clear" w:color="auto" w:fill="auto"/>
        <w:tabs>
          <w:tab w:pos="977" w:val="left"/>
        </w:tabs>
        <w:bidi w:val="0"/>
        <w:spacing w:before="0" w:after="0" w:line="468" w:lineRule="exact"/>
        <w:ind w:left="0" w:right="0" w:firstLine="580"/>
        <w:jc w:val="left"/>
      </w:pPr>
      <w:bookmarkStart w:id="1900" w:name="bookmark1900"/>
      <w:bookmarkEnd w:id="1900"/>
      <w:r>
        <w:rPr>
          <w:color w:val="000000"/>
          <w:spacing w:val="0"/>
          <w:w w:val="100"/>
          <w:position w:val="0"/>
        </w:rPr>
        <w:t>其他价格风险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其他价格风险，是指汇率风险和利率风险以外的市场价格变动而发生波动的风险，无论这些变动是由 于与单项金融工具或其发行方有关的因素而引起的，还是由于与市场内交易的所有类似金融工具有关的因 素而引起的。其他价格风险可源于商品价格或权益工具价格等的变化。</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本集团持有的分类为其他权益工具投资的金融资产在资产负债表日以公允价值计量。因此，本集团承 担着证券市场变动的风险。</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本集团密切关注价格变动对本集团权益证券投资价格风险的影响。本集团目前并未采取任何措施规避 其他价格风险。但管理层负责监控其他价格风险，并将于需要时考虑采取持有多种权益证券组合的方式降 低权益证券投资的价格风险。</w:t>
      </w:r>
    </w:p>
    <w:p>
      <w:pPr>
        <w:pStyle w:val="Style44"/>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在其他变量不变的情况下，权益证券投资价格本年5%的变动对本集团当期损益及其他综合收益的税后</w:t>
      </w:r>
      <w:r>
        <w:br w:type="page"/>
      </w:r>
    </w:p>
    <w:p>
      <w:pPr>
        <w:pStyle w:val="Style44"/>
        <w:keepNext w:val="0"/>
        <w:keepLines w:val="0"/>
        <w:widowControl w:val="0"/>
        <w:shd w:val="clear" w:color="auto" w:fill="auto"/>
        <w:bidi w:val="0"/>
        <w:spacing w:before="0" w:after="580" w:line="240" w:lineRule="auto"/>
        <w:ind w:left="0" w:right="0" w:firstLine="0"/>
        <w:jc w:val="left"/>
      </w:pPr>
      <w:r>
        <w:rPr>
          <w:color w:val="000000"/>
          <w:spacing w:val="0"/>
          <w:w w:val="100"/>
          <w:position w:val="0"/>
        </w:rPr>
        <w:t>影响如下:</w:t>
      </w:r>
    </w:p>
    <w:tbl>
      <w:tblPr>
        <w:tblOverlap w:val="never"/>
        <w:jc w:val="center"/>
        <w:tblLayout w:type="fixed"/>
      </w:tblPr>
      <w:tblGrid>
        <w:gridCol w:w="3000"/>
        <w:gridCol w:w="1661"/>
        <w:gridCol w:w="1656"/>
        <w:gridCol w:w="1661"/>
        <w:gridCol w:w="1670"/>
      </w:tblGrid>
      <w:tr>
        <w:trPr>
          <w:trHeight w:val="43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税后利润上升（下降）</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其他综合收益上升（下降）</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因权益证券投资价格上升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8,002,787.01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12,546,570.33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因权益证券投资价格下降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-8,002,787.01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-12,546,570.33</w:t>
            </w:r>
          </w:p>
        </w:tc>
      </w:tr>
    </w:tbl>
    <w:p>
      <w:pPr>
        <w:widowControl w:val="0"/>
        <w:spacing w:after="99" w:line="1" w:lineRule="exact"/>
      </w:pPr>
    </w:p>
    <w:p>
      <w:pPr>
        <w:pStyle w:val="Style4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2、资本管理</w:t>
      </w:r>
    </w:p>
    <w:p>
      <w:pPr>
        <w:pStyle w:val="Style4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本集团资本管理政策的目标是为了保障本集团能够持续经营，从而为股东提供回报，并使其他利益相 </w:t>
      </w:r>
      <w:r>
        <w:rPr>
          <w:color w:val="000000"/>
          <w:spacing w:val="0"/>
          <w:w w:val="100"/>
          <w:position w:val="0"/>
        </w:rPr>
        <w:t>关者获益，同时维持最佳的资本结构以降低资本成本。</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为了维持或调整资本结构，本集团可能会调整支付给股东的股利金额、向股东返还资本、发行新股或 出售资产以减低债务。</w:t>
      </w:r>
    </w:p>
    <w:p>
      <w:pPr>
        <w:pStyle w:val="Style4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本集团以资产负债率（即总负债除以总资产）为基础对资本结构进行监控。于202。年12月31日，本集 团的资产负债率为27.93% （2019年12月31日：28.94%）。</w:t>
      </w:r>
    </w:p>
    <w:p>
      <w:pPr>
        <w:pStyle w:val="Style27"/>
        <w:keepNext/>
        <w:keepLines/>
        <w:widowControl w:val="0"/>
        <w:shd w:val="clear" w:color="auto" w:fill="auto"/>
        <w:bidi w:val="0"/>
        <w:spacing w:before="0" w:line="240" w:lineRule="auto"/>
        <w:ind w:left="0" w:right="0" w:firstLine="0"/>
        <w:jc w:val="both"/>
      </w:pPr>
      <w:bookmarkStart w:id="1901" w:name="bookmark1901"/>
      <w:bookmarkStart w:id="1902" w:name="bookmark1902"/>
      <w:bookmarkStart w:id="1903" w:name="bookmark1903"/>
      <w:r>
        <w:rPr>
          <w:color w:val="000000"/>
          <w:spacing w:val="0"/>
          <w:w w:val="100"/>
          <w:position w:val="0"/>
          <w:sz w:val="24"/>
          <w:szCs w:val="24"/>
        </w:rPr>
        <w:t>十^一、公允价值的披露</w:t>
      </w:r>
      <w:bookmarkEnd w:id="1901"/>
      <w:bookmarkEnd w:id="1902"/>
      <w:bookmarkEnd w:id="1903"/>
    </w:p>
    <w:p>
      <w:pPr>
        <w:pStyle w:val="Style32"/>
        <w:keepNext/>
        <w:keepLines/>
        <w:widowControl w:val="0"/>
        <w:shd w:val="clear" w:color="auto" w:fill="auto"/>
        <w:bidi w:val="0"/>
        <w:spacing w:before="0" w:after="100" w:line="480" w:lineRule="auto"/>
        <w:ind w:left="0" w:right="0" w:firstLine="0"/>
        <w:jc w:val="both"/>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4"/>
      <w:bookmarkEnd w:id="1905"/>
      <w:bookmarkEnd w:id="190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126"/>
        <w:gridCol w:w="1843"/>
        <w:gridCol w:w="1416"/>
        <w:gridCol w:w="135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177,839,711.28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185,010,840.24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362,850,551.52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非同一控制下企业合并中取得的被 购买方各项可辨认资产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90,366,780.51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90,366,780.51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90,366,780.51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90,366,780.51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非同一控制下企业合并中取得的被 购买方各项可辨认负债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25,703,577.87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25,703,577.87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25,703,577.87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25,703,577.87</w:t>
            </w:r>
          </w:p>
        </w:tc>
      </w:tr>
    </w:tbl>
    <w:p>
      <w:pPr>
        <w:widowControl w:val="0"/>
        <w:spacing w:after="319" w:line="1" w:lineRule="exact"/>
      </w:pPr>
    </w:p>
    <w:p>
      <w:pPr>
        <w:pStyle w:val="Style32"/>
        <w:keepNext/>
        <w:keepLines/>
        <w:widowControl w:val="0"/>
        <w:shd w:val="clear" w:color="auto" w:fill="auto"/>
        <w:bidi w:val="0"/>
        <w:spacing w:before="0" w:after="460" w:line="240" w:lineRule="auto"/>
        <w:ind w:left="0" w:right="0" w:firstLine="0"/>
        <w:jc w:val="both"/>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07"/>
      <w:bookmarkEnd w:id="1908"/>
      <w:bookmarkEnd w:id="1909"/>
    </w:p>
    <w:p>
      <w:pPr>
        <w:pStyle w:val="Style44"/>
        <w:keepNext w:val="0"/>
        <w:keepLines w:val="0"/>
        <w:widowControl w:val="0"/>
        <w:shd w:val="clear" w:color="auto" w:fill="auto"/>
        <w:bidi w:val="0"/>
        <w:spacing w:before="0" w:after="200" w:line="240" w:lineRule="auto"/>
        <w:ind w:left="0" w:right="0" w:firstLine="0"/>
        <w:jc w:val="both"/>
      </w:pPr>
      <w:r>
        <w:rPr>
          <w:color w:val="000000"/>
          <w:spacing w:val="0"/>
          <w:w w:val="100"/>
          <w:position w:val="0"/>
        </w:rPr>
        <w:t xml:space="preserve">第一层次公允价值计量为深圳市中新赛克科技股份有限公司在深交所上市，本公司持有的股权按公允价值 </w:t>
      </w:r>
      <w:r>
        <w:rPr>
          <w:color w:val="000000"/>
          <w:spacing w:val="0"/>
          <w:w w:val="100"/>
          <w:position w:val="0"/>
        </w:rPr>
        <w:t>计量。</w:t>
      </w:r>
    </w:p>
    <w:p>
      <w:pPr>
        <w:pStyle w:val="Style32"/>
        <w:keepNext/>
        <w:keepLines/>
        <w:widowControl w:val="0"/>
        <w:shd w:val="clear" w:color="auto" w:fill="auto"/>
        <w:tabs>
          <w:tab w:pos="378" w:val="left"/>
        </w:tabs>
        <w:bidi w:val="0"/>
        <w:spacing w:before="0" w:after="200" w:line="470" w:lineRule="exact"/>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w:t>
        <w:tab/>
        <w:t>持续和非持续第二层次公允价值计量项目，采用的估值技术和重要参数的定性及定量信息</w:t>
      </w:r>
      <w:bookmarkEnd w:id="1910"/>
      <w:bookmarkEnd w:id="1911"/>
      <w:bookmarkEnd w:id="1913"/>
    </w:p>
    <w:p>
      <w:pPr>
        <w:pStyle w:val="Style4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第二层次公允价值计量为公司持有的非上市公司的股权，如被投资公司在接近报告日进行了股权融 资，本公司以此次融资价格作为公允价值；如被投资公司在接近报告日无可参考的股权融资价格，本公司 以按照权益法核算的结果或投资成本作为公允价值。</w:t>
      </w:r>
    </w:p>
    <w:p>
      <w:pPr>
        <w:pStyle w:val="Style32"/>
        <w:keepNext/>
        <w:keepLines/>
        <w:widowControl w:val="0"/>
        <w:shd w:val="clear" w:color="auto" w:fill="auto"/>
        <w:tabs>
          <w:tab w:pos="378" w:val="left"/>
        </w:tabs>
        <w:bidi w:val="0"/>
        <w:spacing w:before="0" w:after="200" w:line="470" w:lineRule="exact"/>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color w:val="000000"/>
          <w:spacing w:val="0"/>
          <w:w w:val="100"/>
          <w:position w:val="0"/>
        </w:rPr>
        <w:t>、</w:t>
        <w:tab/>
        <w:t>持续和非持续第三层次公允价值计量项目，采用的估值技术和重要参数的定性及定量信息</w:t>
      </w:r>
      <w:bookmarkEnd w:id="1914"/>
      <w:bookmarkEnd w:id="1915"/>
      <w:bookmarkEnd w:id="1917"/>
    </w:p>
    <w:p>
      <w:pPr>
        <w:pStyle w:val="Style44"/>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第三层次公允价值计量为</w:t>
      </w:r>
      <w:r>
        <w:rPr>
          <w:rFonts w:ascii="Times New Roman" w:eastAsia="Times New Roman" w:hAnsi="Times New Roman" w:cs="Times New Roman"/>
          <w:color w:val="000000"/>
          <w:spacing w:val="0"/>
          <w:w w:val="100"/>
          <w:position w:val="0"/>
        </w:rPr>
        <w:t>2015</w:t>
      </w:r>
      <w:r>
        <w:rPr>
          <w:color w:val="000000"/>
          <w:spacing w:val="0"/>
          <w:w w:val="100"/>
          <w:position w:val="0"/>
        </w:rPr>
        <w:t>年及</w:t>
      </w:r>
      <w:r>
        <w:rPr>
          <w:rFonts w:ascii="Times New Roman" w:eastAsia="Times New Roman" w:hAnsi="Times New Roman" w:cs="Times New Roman"/>
          <w:color w:val="000000"/>
          <w:spacing w:val="0"/>
          <w:w w:val="100"/>
          <w:position w:val="0"/>
        </w:rPr>
        <w:t>2019</w:t>
      </w:r>
      <w:r>
        <w:rPr>
          <w:color w:val="000000"/>
          <w:spacing w:val="0"/>
          <w:w w:val="100"/>
          <w:position w:val="0"/>
        </w:rPr>
        <w:t>年本集团通过非同一控制下企业合并中取得的被购买方各项 可辨认资产、负债。</w:t>
      </w:r>
    </w:p>
    <w:p>
      <w:pPr>
        <w:pStyle w:val="Style32"/>
        <w:keepNext/>
        <w:keepLines/>
        <w:widowControl w:val="0"/>
        <w:shd w:val="clear" w:color="auto" w:fill="auto"/>
        <w:tabs>
          <w:tab w:pos="378" w:val="left"/>
        </w:tabs>
        <w:bidi w:val="0"/>
        <w:spacing w:before="0" w:after="380" w:line="470" w:lineRule="exact"/>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5</w:t>
      </w:r>
      <w:bookmarkEnd w:id="1920"/>
      <w:r>
        <w:rPr>
          <w:color w:val="000000"/>
          <w:spacing w:val="0"/>
          <w:w w:val="100"/>
          <w:position w:val="0"/>
        </w:rPr>
        <w:t>、</w:t>
        <w:tab/>
        <w:t>持续的第三层次公允价值计量项目，期初与期末账面价值间的调节信息及不可观察参数敏感性分析</w:t>
      </w:r>
      <w:bookmarkEnd w:id="1918"/>
      <w:bookmarkEnd w:id="1919"/>
      <w:bookmarkEnd w:id="19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470" w:lineRule="exact"/>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6</w:t>
      </w:r>
      <w:bookmarkEnd w:id="1924"/>
      <w:r>
        <w:rPr>
          <w:color w:val="000000"/>
          <w:spacing w:val="0"/>
          <w:w w:val="100"/>
          <w:position w:val="0"/>
        </w:rPr>
        <w:t>、</w:t>
        <w:tab/>
        <w:t>持续的公允价值计量项目，本期内发生各层级之间转换的，转换的原因及确定转换时点的政策</w:t>
      </w:r>
      <w:bookmarkEnd w:id="1922"/>
      <w:bookmarkEnd w:id="1923"/>
      <w:bookmarkEnd w:id="192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80" w:line="470" w:lineRule="exact"/>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7</w:t>
      </w:r>
      <w:bookmarkEnd w:id="1928"/>
      <w:r>
        <w:rPr>
          <w:color w:val="000000"/>
          <w:spacing w:val="0"/>
          <w:w w:val="100"/>
          <w:position w:val="0"/>
        </w:rPr>
        <w:t>、</w:t>
        <w:tab/>
        <w:t>本期内发生的估值技术变更及变更原因</w:t>
      </w:r>
      <w:bookmarkEnd w:id="1926"/>
      <w:bookmarkEnd w:id="1927"/>
      <w:bookmarkEnd w:id="19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00" w:line="470" w:lineRule="exact"/>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8</w:t>
      </w:r>
      <w:bookmarkEnd w:id="1932"/>
      <w:r>
        <w:rPr>
          <w:color w:val="000000"/>
          <w:spacing w:val="0"/>
          <w:w w:val="100"/>
          <w:position w:val="0"/>
        </w:rPr>
        <w:t>、</w:t>
        <w:tab/>
        <w:t>不以公允价值计量的金融资产和金融负债的公允价值情况</w:t>
      </w:r>
      <w:bookmarkEnd w:id="1930"/>
      <w:bookmarkEnd w:id="1931"/>
      <w:bookmarkEnd w:id="1933"/>
    </w:p>
    <w:p>
      <w:pPr>
        <w:pStyle w:val="Style44"/>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本集团以摊余成本计量的金融资产和金融负债主要包括：货币资金、应收票据、应收账款、其他应收 款、应付票据、应付账款、其他应付款等。</w:t>
      </w:r>
    </w:p>
    <w:p>
      <w:pPr>
        <w:pStyle w:val="Style32"/>
        <w:keepNext/>
        <w:keepLines/>
        <w:widowControl w:val="0"/>
        <w:shd w:val="clear" w:color="auto" w:fill="auto"/>
        <w:tabs>
          <w:tab w:pos="378" w:val="left"/>
        </w:tabs>
        <w:bidi w:val="0"/>
        <w:spacing w:before="0" w:after="140" w:line="470" w:lineRule="exact"/>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9</w:t>
      </w:r>
      <w:bookmarkEnd w:id="1936"/>
      <w:r>
        <w:rPr>
          <w:color w:val="000000"/>
          <w:spacing w:val="0"/>
          <w:w w:val="100"/>
          <w:position w:val="0"/>
        </w:rPr>
        <w:t>、</w:t>
        <w:tab/>
        <w:t>其他</w:t>
      </w:r>
      <w:bookmarkEnd w:id="1934"/>
      <w:bookmarkEnd w:id="1935"/>
      <w:bookmarkEnd w:id="1937"/>
    </w:p>
    <w:p>
      <w:pPr>
        <w:pStyle w:val="Style44"/>
        <w:keepNext w:val="0"/>
        <w:keepLines w:val="0"/>
        <w:widowControl w:val="0"/>
        <w:shd w:val="clear" w:color="auto" w:fill="auto"/>
        <w:bidi w:val="0"/>
        <w:spacing w:before="0" w:after="640" w:line="470" w:lineRule="exact"/>
        <w:ind w:left="0" w:right="0" w:firstLine="440"/>
        <w:jc w:val="both"/>
      </w:pPr>
      <w:r>
        <w:rPr>
          <w:color w:val="000000"/>
          <w:spacing w:val="0"/>
          <w:w w:val="100"/>
          <w:position w:val="0"/>
        </w:rPr>
        <w:t>本集团不以公允价值计量的金融资产和金融负债的账面价值与公允价值相差很小。</w:t>
      </w:r>
    </w:p>
    <w:p>
      <w:pPr>
        <w:pStyle w:val="Style27"/>
        <w:keepNext/>
        <w:keepLines/>
        <w:widowControl w:val="0"/>
        <w:shd w:val="clear" w:color="auto" w:fill="auto"/>
        <w:bidi w:val="0"/>
        <w:spacing w:before="0" w:after="140" w:line="240" w:lineRule="auto"/>
        <w:ind w:left="0" w:right="0" w:firstLine="0"/>
        <w:jc w:val="left"/>
      </w:pPr>
      <w:bookmarkStart w:id="1938" w:name="bookmark1938"/>
      <w:bookmarkStart w:id="1939" w:name="bookmark1939"/>
      <w:bookmarkStart w:id="1940" w:name="bookmark1940"/>
      <w:r>
        <w:rPr>
          <w:color w:val="000000"/>
          <w:spacing w:val="0"/>
          <w:w w:val="100"/>
          <w:position w:val="0"/>
          <w:sz w:val="24"/>
          <w:szCs w:val="24"/>
        </w:rPr>
        <w:t>十二、关联方及关联交易</w:t>
      </w:r>
      <w:bookmarkEnd w:id="1938"/>
      <w:bookmarkEnd w:id="1939"/>
      <w:bookmarkEnd w:id="1940"/>
    </w:p>
    <w:p>
      <w:pPr>
        <w:pStyle w:val="Style32"/>
        <w:keepNext/>
        <w:keepLines/>
        <w:widowControl w:val="0"/>
        <w:shd w:val="clear" w:color="auto" w:fill="auto"/>
        <w:bidi w:val="0"/>
        <w:spacing w:before="0" w:after="320" w:line="470" w:lineRule="exact"/>
        <w:ind w:left="0" w:right="0" w:firstLine="0"/>
        <w:jc w:val="left"/>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1"/>
      <w:bookmarkEnd w:id="1942"/>
      <w:bookmarkEnd w:id="1943"/>
    </w:p>
    <w:tbl>
      <w:tblPr>
        <w:tblOverlap w:val="never"/>
        <w:jc w:val="center"/>
        <w:tblLayout w:type="fixed"/>
      </w:tblPr>
      <w:tblGrid>
        <w:gridCol w:w="1992"/>
        <w:gridCol w:w="850"/>
        <w:gridCol w:w="994"/>
        <w:gridCol w:w="1416"/>
        <w:gridCol w:w="1987"/>
        <w:gridCol w:w="2347"/>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母公司对本企业的持股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母公司对本企业的表决权比 例</w:t>
            </w:r>
          </w:p>
        </w:tc>
      </w:tr>
    </w:tbl>
    <w:p>
      <w:pPr>
        <w:widowControl w:val="0"/>
        <w:spacing w:line="1" w:lineRule="exact"/>
      </w:pPr>
      <w:r>
        <w:br w:type="page"/>
      </w:r>
    </w:p>
    <w:tbl>
      <w:tblPr>
        <w:tblOverlap w:val="never"/>
        <w:jc w:val="center"/>
        <w:tblLayout w:type="fixed"/>
      </w:tblPr>
      <w:tblGrid>
        <w:gridCol w:w="1992"/>
        <w:gridCol w:w="850"/>
        <w:gridCol w:w="994"/>
        <w:gridCol w:w="1416"/>
        <w:gridCol w:w="1987"/>
        <w:gridCol w:w="2347"/>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22.26%</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本企业的母公司情况的说明</w:t>
      </w:r>
    </w:p>
    <w:p>
      <w:pPr>
        <w:pStyle w:val="Style44"/>
        <w:keepNext w:val="0"/>
        <w:keepLines w:val="0"/>
        <w:widowControl w:val="0"/>
        <w:shd w:val="clear" w:color="auto" w:fill="auto"/>
        <w:bidi w:val="0"/>
        <w:spacing w:before="0" w:after="520" w:line="463" w:lineRule="exact"/>
        <w:ind w:left="0" w:right="0" w:firstLine="420"/>
        <w:jc w:val="left"/>
      </w:pPr>
      <w:r>
        <w:rPr>
          <w:color w:val="000000"/>
          <w:spacing w:val="0"/>
          <w:w w:val="100"/>
          <w:position w:val="0"/>
        </w:rPr>
        <w:t>国投智能经营范围：智能科技、物联网科技、计算机科技、环保科技、电子科技、能源科技领域内的 技术开发、技术咨询、技术服务、技术转让，网络科技、网络工程、电子商务（不得从事金融业务）、企 业管理咨询，通讯建设工程施工，项目投资，投资管理，投资咨询，企业策划，资产管理，电信业务。</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本企业最终控制方是国务院国资委。</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140" w:line="48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bookmarkEnd w:id="1946"/>
      <w:r>
        <w:rPr>
          <w:color w:val="000000"/>
          <w:spacing w:val="0"/>
          <w:w w:val="100"/>
          <w:position w:val="0"/>
        </w:rPr>
        <w:t>、</w:t>
        <w:tab/>
        <w:t>本企业的子公司情况</w:t>
      </w:r>
      <w:bookmarkEnd w:id="1944"/>
      <w:bookmarkEnd w:id="1945"/>
      <w:bookmarkEnd w:id="194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2"/>
        <w:keepNext/>
        <w:keepLines/>
        <w:widowControl w:val="0"/>
        <w:shd w:val="clear" w:color="auto" w:fill="auto"/>
        <w:tabs>
          <w:tab w:pos="378" w:val="left"/>
        </w:tabs>
        <w:bidi w:val="0"/>
        <w:spacing w:before="0" w:after="360" w:line="463" w:lineRule="exact"/>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w:t>
        <w:tab/>
        <w:t>本企业合营和联营企业情况</w:t>
      </w:r>
      <w:bookmarkEnd w:id="1948"/>
      <w:bookmarkEnd w:id="1949"/>
      <w:bookmarkEnd w:id="195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rPr>
              <w:t>29.21%</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rPr>
              <w:t>39.20%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rPr>
              <w:t>40.00%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本公司子公司美亚智讯持有</w:t>
            </w:r>
            <w:r>
              <w:rPr>
                <w:rFonts w:ascii="Times New Roman" w:eastAsia="Times New Roman" w:hAnsi="Times New Roman" w:cs="Times New Roman"/>
                <w:color w:val="000000"/>
                <w:spacing w:val="0"/>
                <w:w w:val="100"/>
                <w:position w:val="0"/>
              </w:rPr>
              <w:t>36.00%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中检万诚通联科技（北京）有限公司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本公司子公司中检美亚持有</w:t>
            </w:r>
            <w:r>
              <w:rPr>
                <w:rFonts w:ascii="Times New Roman" w:eastAsia="Times New Roman" w:hAnsi="Times New Roman" w:cs="Times New Roman"/>
                <w:color w:val="000000"/>
                <w:spacing w:val="0"/>
                <w:w w:val="100"/>
                <w:position w:val="0"/>
              </w:rPr>
              <w:t>35.00%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沈阳城市公共安全科技有限公司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rPr>
              <w:t>23.39%</w:t>
            </w:r>
            <w:r>
              <w:rPr>
                <w:color w:val="000000"/>
                <w:spacing w:val="0"/>
                <w:w w:val="100"/>
                <w:position w:val="0"/>
              </w:rPr>
              <w:t>股权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本公司子公司美银智投持有</w:t>
            </w:r>
            <w:r>
              <w:rPr>
                <w:rFonts w:ascii="Times New Roman" w:eastAsia="Times New Roman" w:hAnsi="Times New Roman" w:cs="Times New Roman"/>
                <w:color w:val="000000"/>
                <w:spacing w:val="0"/>
                <w:w w:val="100"/>
                <w:position w:val="0"/>
              </w:rPr>
              <w:t>20.00%</w:t>
            </w:r>
            <w:r>
              <w:rPr>
                <w:color w:val="000000"/>
                <w:spacing w:val="0"/>
                <w:w w:val="100"/>
                <w:position w:val="0"/>
              </w:rPr>
              <w:t>股权</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color w:val="000000"/>
          <w:spacing w:val="0"/>
          <w:w w:val="100"/>
          <w:position w:val="0"/>
        </w:rPr>
        <w:t>、其他关联方情况</w:t>
      </w:r>
      <w:bookmarkEnd w:id="1952"/>
      <w:bookmarkEnd w:id="1953"/>
      <w:bookmarkEnd w:id="1955"/>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国投钦州发电有限公司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国投盘江发电有限公司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国家开发投资集团有限公司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厦门华夏国际电力发展有限公司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国投电力控股股份有限公司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国投生物能源（铁岭）有限公司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国投鼎石海外投资管理有限公司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bl>
    <w:p>
      <w:pPr>
        <w:widowControl w:val="0"/>
        <w:spacing w:line="1" w:lineRule="exact"/>
      </w:pPr>
      <w:r>
        <w:br w:type="page"/>
      </w:r>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国投曹妃甸港口有限公司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长春吉粮天裕生物工程有限公司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国投（洋浦）油气储运有限公司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国投广东生物能源有限公司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国投新疆罗布泊钾盐有限责任公司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国投洋浦港有限公司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吉林省博大生化有限公司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国投工程检验检测有限公司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北京神州高铁投资管理有限公司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国投检验检测认证有限公司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国投人力资源服务有限公司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国投泰康信托有限公司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国投颐康（北京）养老投资有限公司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国投中鲁果汁股份有限公司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国投生物科技投资有限公司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国投交通控股有限公司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国投资本股份有限公司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中国国投高新产业投资有限公司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国投福建城市资源循环利用有限公司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国投财务有限公司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国投物业有限责任公司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世源科技工程有限公司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中成进出口股份有限公司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中国电子工程设计院有限公司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中国国投国际贸易有限公司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中国投融资担保股份有限公司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国投创合基金管理有限公司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国投甘肃小三峡发电有限公司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国投信开水环境投资有限公司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国投亚华（上海）有限公司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厦门京闽能源实业有限公司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原高管张雪峰（</w:t>
            </w:r>
            <w:r>
              <w:rPr>
                <w:rFonts w:ascii="Times New Roman" w:eastAsia="Times New Roman" w:hAnsi="Times New Roman" w:cs="Times New Roman"/>
                <w:color w:val="000000"/>
                <w:spacing w:val="0"/>
                <w:w w:val="100"/>
                <w:position w:val="0"/>
              </w:rPr>
              <w:t>2020</w:t>
            </w:r>
            <w:r>
              <w:rPr>
                <w:color w:val="000000"/>
                <w:spacing w:val="0"/>
                <w:w w:val="100"/>
                <w:position w:val="0"/>
              </w:rPr>
              <w:t>年离任）担任该公司董事，本公司持有</w:t>
            </w:r>
            <w:r>
              <w:rPr>
                <w:rFonts w:ascii="Times New Roman" w:eastAsia="Times New Roman" w:hAnsi="Times New Roman" w:cs="Times New Roman"/>
                <w:color w:val="000000"/>
                <w:spacing w:val="0"/>
                <w:w w:val="100"/>
                <w:position w:val="0"/>
              </w:rPr>
              <w:t>18.00%</w:t>
            </w:r>
            <w:r>
              <w:rPr>
                <w:color w:val="000000"/>
                <w:spacing w:val="0"/>
                <w:w w:val="100"/>
                <w:position w:val="0"/>
              </w:rPr>
              <w:t>股权</w:t>
            </w:r>
          </w:p>
        </w:tc>
      </w:tr>
    </w:tbl>
    <w:p>
      <w:pPr>
        <w:widowControl w:val="0"/>
        <w:spacing w:line="1" w:lineRule="exact"/>
      </w:pPr>
      <w:r>
        <w:br w:type="page"/>
      </w:r>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高管吴鸿伟担任该公司董事，本公司持有</w:t>
            </w:r>
            <w:r>
              <w:rPr>
                <w:rFonts w:ascii="Times New Roman" w:eastAsia="Times New Roman" w:hAnsi="Times New Roman" w:cs="Times New Roman"/>
                <w:color w:val="000000"/>
                <w:spacing w:val="0"/>
                <w:w w:val="100"/>
                <w:position w:val="0"/>
              </w:rPr>
              <w:t>6.57%</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董事长滕达的直系亲属控制的企业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常熟柏科特种车辆有限公司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董事长滕达为该公司控股股东，本公司董事葛鹏、苏学武担任该公司董事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香港柏科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董事长滕达的直系亲属控制的企业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柏科智能（厦门）科技有限公司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董事长滕达的直系亲属在该公司担任董事长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厦门吉比特网络技术股份有限公司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独立董事卢永华在该公司担任独立董事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厦门点连电子商务有限公司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董事长滕达原持股</w:t>
            </w:r>
            <w:r>
              <w:rPr>
                <w:rFonts w:ascii="Times New Roman" w:eastAsia="Times New Roman" w:hAnsi="Times New Roman" w:cs="Times New Roman"/>
                <w:color w:val="000000"/>
                <w:spacing w:val="0"/>
                <w:w w:val="100"/>
                <w:position w:val="0"/>
              </w:rPr>
              <w:t>10.50%</w:t>
            </w:r>
            <w:r>
              <w:rPr>
                <w:color w:val="000000"/>
                <w:spacing w:val="0"/>
                <w:w w:val="100"/>
                <w:position w:val="0"/>
              </w:rPr>
              <w:t>，原高管赵庸原持股</w:t>
            </w:r>
            <w:r>
              <w:rPr>
                <w:rFonts w:ascii="Times New Roman" w:eastAsia="Times New Roman" w:hAnsi="Times New Roman" w:cs="Times New Roman"/>
                <w:color w:val="000000"/>
                <w:spacing w:val="0"/>
                <w:w w:val="100"/>
                <w:position w:val="0"/>
              </w:rPr>
              <w:t>2.50%</w:t>
            </w:r>
            <w:r>
              <w:rPr>
                <w:color w:val="000000"/>
                <w:spacing w:val="0"/>
                <w:w w:val="100"/>
                <w:position w:val="0"/>
              </w:rPr>
              <w:t>,高管蔡志评、监事仲丽 华原分别持股</w:t>
            </w: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高管苏学武担任该公司的执行董事兼经理，持股比例</w:t>
            </w:r>
            <w:r>
              <w:rPr>
                <w:rFonts w:ascii="Times New Roman" w:eastAsia="Times New Roman" w:hAnsi="Times New Roman" w:cs="Times New Roman"/>
                <w:color w:val="000000"/>
                <w:spacing w:val="0"/>
                <w:w w:val="100"/>
                <w:position w:val="0"/>
              </w:rPr>
              <w:t>97.50%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5</w:t>
      </w:r>
      <w:bookmarkEnd w:id="1958"/>
      <w:r>
        <w:rPr>
          <w:color w:val="000000"/>
          <w:spacing w:val="0"/>
          <w:w w:val="100"/>
          <w:position w:val="0"/>
        </w:rPr>
        <w:t>、关联交易情况</w:t>
      </w:r>
      <w:bookmarkEnd w:id="1956"/>
      <w:bookmarkEnd w:id="1957"/>
      <w:bookmarkEnd w:id="1959"/>
    </w:p>
    <w:p>
      <w:pPr>
        <w:pStyle w:val="Style75"/>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0"/>
      <w:bookmarkEnd w:id="1961"/>
      <w:bookmarkEnd w:id="19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1843"/>
        <w:gridCol w:w="1138"/>
        <w:gridCol w:w="1416"/>
        <w:gridCol w:w="994"/>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是否超过交 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14,843,526.12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3,283,015.53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10,572,707.28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5,495,371.61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3,651,223.43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3,818,995.07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4,365,004.65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16,723,407.69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1,769,885.60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1,769,885.55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3,088,263.64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1,037,547.16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5,356,163.79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771,650.82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89,126.21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常熟柏科特种车辆有限公司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59,829.06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中检万诚通联科技（北京）有限公司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15,841.58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8,091,862.99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59,023.58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厦门京闽能源实业有限公司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945,349.66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945,349.66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1,115,439.54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1,115,439.54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国投物业有限责任公司上海分公司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198,288.25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198,288.25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9"/>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691"/>
        <w:gridCol w:w="2837"/>
        <w:gridCol w:w="1560"/>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4,263,491.85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4,744,684.60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3,709,770.12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2,333,204.20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1,744,770.79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100,981.62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668,119.69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288,738.30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国投盘江发电有限公司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618,717.64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400,181.90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283,539.82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261,890.49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厦门华夏国际电力发展有限公司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259,716.82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126,902.65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230,088.48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国投电力控股股份有限公司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103,735.85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国投生物能源（铁岭）有限公司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88,495.58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国投鼎石海外投资管理有限公司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61,295.71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国投物业有限责任公司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26,588.50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厦门吉比特网络技术股份有限公司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国投曹妃甸港口有限公司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长春吉粮天裕生物工程有限公司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国投（洋浦）油气储运有限公司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国投广东生物能源有限公司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国投生物科技投资有限公司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国投新疆罗布泊钾盐有限责任公司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国投洋浦港有限公司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吉林省博大生化有限公司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国投交通控股有限公司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国投工程检验检测有限公司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国投资本股份有限公司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中国国投高新产业投资有限公司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国投福建城市资源循环利用有限公司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北京神州高铁投资管理有限公司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国投检验检测认证有限公司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国投人力资源服务有限公司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国投泰康信托有限公司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837"/>
        <w:gridCol w:w="1560"/>
        <w:gridCol w:w="14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国投颐康（北京）养老投资有限公司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国投中鲁果汁股份有限公司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世源科技工程有限公司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中成进出口股份有限公司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中国电子工程设计院有限公司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中国国投国际贸易有限公司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中国投融资担保股份有限公司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国投创合基金管理有限公司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国投甘肃小三峡发电有限公司大峡水电站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国投信开水环境投资有限公司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厦门京闽能源实业有限公司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1,385,700.15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中检美亚（北京）科技有限公司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香港柏科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285,971.40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国投钦州发电有限公司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452,358.49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75"/>
        <w:keepNext/>
        <w:keepLines/>
        <w:widowControl w:val="0"/>
        <w:shd w:val="clear" w:color="auto" w:fill="auto"/>
        <w:tabs>
          <w:tab w:pos="488" w:val="left"/>
        </w:tabs>
        <w:bidi w:val="0"/>
        <w:spacing w:before="0" w:after="38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63"/>
      <w:bookmarkEnd w:id="1964"/>
      <w:bookmarkEnd w:id="196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67"/>
      <w:bookmarkEnd w:id="1968"/>
      <w:bookmarkEnd w:id="19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522"/>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99,158.79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60,110.09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62,577.73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中检美亚（北京）科技有限公司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340,301.89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柏科智能（厦门）科技有限公司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41,284.40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厦门京闽能源实业有限公司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560"/>
        <w:gridCol w:w="17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1,353,949.94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1,238,938.05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沈阳城市公共安全科技有限公司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1,669,317.76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国投亚华（上海）有限公司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1,988,563.79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75"/>
        <w:keepNext/>
        <w:keepLines/>
        <w:widowControl w:val="0"/>
        <w:shd w:val="clear" w:color="auto" w:fill="auto"/>
        <w:tabs>
          <w:tab w:pos="488" w:val="left"/>
        </w:tabs>
        <w:bidi w:val="0"/>
        <w:spacing w:before="0" w:after="38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71"/>
      <w:bookmarkEnd w:id="1972"/>
      <w:bookmarkEnd w:id="19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75"/>
      <w:bookmarkEnd w:id="1976"/>
      <w:bookmarkEnd w:id="197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after="38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79"/>
      <w:bookmarkEnd w:id="1980"/>
      <w:bookmarkEnd w:id="198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83"/>
      <w:bookmarkEnd w:id="1984"/>
      <w:bookmarkEnd w:id="19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886.77</w:t>
            </w:r>
          </w:p>
        </w:tc>
      </w:tr>
    </w:tbl>
    <w:p>
      <w:pPr>
        <w:widowControl w:val="0"/>
        <w:spacing w:after="99" w:line="1" w:lineRule="exact"/>
      </w:pPr>
    </w:p>
    <w:p>
      <w:pPr>
        <w:pStyle w:val="Style75"/>
        <w:keepNext/>
        <w:keepLines/>
        <w:widowControl w:val="0"/>
        <w:shd w:val="clear" w:color="auto" w:fill="auto"/>
        <w:bidi w:val="0"/>
        <w:spacing w:before="0" w:after="220" w:line="466" w:lineRule="exact"/>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7"/>
      <w:bookmarkEnd w:id="1988"/>
      <w:bookmarkEnd w:id="1990"/>
    </w:p>
    <w:p>
      <w:pPr>
        <w:pStyle w:val="Style44"/>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本期本集团与联营企业厦门市柏科晔济投资管理合伙企业（有限合伙）、厦门市美亚梧桐投资管理有 限公司共同投资了厦门市美桐贰期股权投资合伙企业（有限合伙）。厦门市美桐贰期股权投资合伙企业（有 限合伙）于2017年9月5日设立，各合伙人总认缴出资额</w:t>
      </w:r>
      <w:r>
        <w:rPr>
          <w:color w:val="000000"/>
          <w:spacing w:val="0"/>
          <w:w w:val="100"/>
          <w:position w:val="0"/>
        </w:rPr>
        <w:t>25,160.0</w:t>
      </w:r>
      <w:r>
        <w:rPr>
          <w:color w:val="000000"/>
          <w:spacing w:val="0"/>
          <w:w w:val="100"/>
          <w:position w:val="0"/>
        </w:rPr>
        <w:t xml:space="preserve">。万元，本公司本期出资8, </w:t>
      </w:r>
      <w:r>
        <w:rPr>
          <w:color w:val="000000"/>
          <w:spacing w:val="0"/>
          <w:w w:val="100"/>
          <w:position w:val="0"/>
        </w:rPr>
        <w:t xml:space="preserve">000. </w:t>
      </w:r>
      <w:r>
        <w:rPr>
          <w:color w:val="000000"/>
          <w:spacing w:val="0"/>
          <w:w w:val="100"/>
          <w:position w:val="0"/>
        </w:rPr>
        <w:t>00万元， 持股31.80% ；厦门市柏科晔济投资管理合伙企业（有限合伙）出资</w:t>
      </w:r>
      <w:r>
        <w:rPr>
          <w:color w:val="000000"/>
          <w:spacing w:val="0"/>
          <w:w w:val="100"/>
          <w:position w:val="0"/>
        </w:rPr>
        <w:t>250.00</w:t>
      </w:r>
      <w:r>
        <w:rPr>
          <w:color w:val="000000"/>
          <w:spacing w:val="0"/>
          <w:w w:val="100"/>
          <w:position w:val="0"/>
        </w:rPr>
        <w:t>万元，持股1.00% ；厦门市美亚 梧桐投资管理有限公司出资</w:t>
      </w:r>
      <w:r>
        <w:rPr>
          <w:color w:val="000000"/>
          <w:spacing w:val="0"/>
          <w:w w:val="100"/>
          <w:position w:val="0"/>
        </w:rPr>
        <w:t>10.0</w:t>
      </w:r>
      <w:r>
        <w:rPr>
          <w:color w:val="000000"/>
          <w:spacing w:val="0"/>
          <w:w w:val="100"/>
          <w:position w:val="0"/>
        </w:rPr>
        <w:t>0万元，持股0.04%。该公司经营范围：对第一产业、第二产业、第三产业 的投资（法律、法规另有规定除外）；依法从事对非公开交易的企业股权进行投资以及相关咨询服务；投 资咨询（法律、法规另有规定除外）；企业管理咨询；社会经济咨询（不含金融业务咨询）；商务信息咨 询。</w:t>
      </w:r>
      <w:r>
        <w:br w:type="page"/>
      </w:r>
    </w:p>
    <w:p>
      <w:pPr>
        <w:pStyle w:val="Style32"/>
        <w:keepNext/>
        <w:keepLines/>
        <w:widowControl w:val="0"/>
        <w:shd w:val="clear" w:color="auto" w:fill="auto"/>
        <w:bidi w:val="0"/>
        <w:spacing w:before="0" w:after="36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6</w:t>
      </w:r>
      <w:bookmarkEnd w:id="1993"/>
      <w:r>
        <w:rPr>
          <w:color w:val="000000"/>
          <w:spacing w:val="0"/>
          <w:w w:val="100"/>
          <w:position w:val="0"/>
        </w:rPr>
        <w:t>、关联方应收应付款项</w:t>
      </w:r>
      <w:bookmarkEnd w:id="1991"/>
      <w:bookmarkEnd w:id="1992"/>
      <w:bookmarkEnd w:id="1994"/>
    </w:p>
    <w:p>
      <w:pPr>
        <w:pStyle w:val="Style75"/>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5"/>
      <w:bookmarkEnd w:id="1996"/>
      <w:bookmarkEnd w:id="199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3120"/>
        <w:gridCol w:w="1416"/>
        <w:gridCol w:w="1277"/>
        <w:gridCol w:w="1166"/>
        <w:gridCol w:w="160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5,833,740.58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821,158.28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沈阳城市公共安全科技有限公司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3,058,650.00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305,865.00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1,769,790.03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1,043,120.00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1,043,120.00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104,536.00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882,722.00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477,804.88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626,482.09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国投盘江发电有限公司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108,083.08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46,336.47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厦门华夏国际电力发展有限公司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厦门京闽能源实业有限公司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791,461.91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296,150.44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75,221.24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常熟柏科特种车辆有限公司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674,777.77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3,188,568.73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939,206.36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243,285.04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948,989.99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715,483.71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847,993.71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160,862.97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沈阳城市公共安全科技有限公司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502,290.00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627,400.00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165,322.91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柏科智能（厦门）科技有限公司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242.96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国投盘江发电有限公司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5"/>
        <w:keepNext/>
        <w:keepLines/>
        <w:widowControl w:val="0"/>
        <w:shd w:val="clear" w:color="auto" w:fill="auto"/>
        <w:bidi w:val="0"/>
        <w:spacing w:before="0" w:line="240" w:lineRule="auto"/>
        <w:ind w:left="0" w:right="0" w:firstLine="140"/>
        <w:jc w:val="both"/>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98"/>
      <w:bookmarkEnd w:id="1999"/>
      <w:bookmarkEnd w:id="200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3365"/>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5,479,214.99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1,366,493.14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3,735,520.71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2,151,677.61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柏科（常熟）电机有限公司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2,218,955.51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4,576,223.92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693,297.16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柏科智能（厦门）科技有限公司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537,842.45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591,252.69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国投盘江发电有限公司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厦门华夏国际电力发展有限公司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252,743.35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238,353.99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厦门京闽能源实业有限公司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厦门点连电子商务有限公司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36,296.93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厦门京闽能源实业有限公司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3" w:val="left"/>
        </w:tabs>
        <w:bidi w:val="0"/>
        <w:spacing w:before="0" w:after="360" w:line="240" w:lineRule="auto"/>
        <w:ind w:left="0" w:right="0" w:firstLine="0"/>
        <w:jc w:val="both"/>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7</w:t>
      </w:r>
      <w:bookmarkEnd w:id="2003"/>
      <w:r>
        <w:rPr>
          <w:color w:val="000000"/>
          <w:spacing w:val="0"/>
          <w:w w:val="100"/>
          <w:position w:val="0"/>
        </w:rPr>
        <w:t>、</w:t>
        <w:tab/>
        <w:t>关联方承诺</w:t>
      </w:r>
      <w:bookmarkEnd w:id="2001"/>
      <w:bookmarkEnd w:id="2002"/>
      <w:bookmarkEnd w:id="2004"/>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8</w:t>
      </w:r>
      <w:bookmarkEnd w:id="2007"/>
      <w:r>
        <w:rPr>
          <w:color w:val="000000"/>
          <w:spacing w:val="0"/>
          <w:w w:val="100"/>
          <w:position w:val="0"/>
        </w:rPr>
        <w:t>、</w:t>
        <w:tab/>
        <w:t>其他</w:t>
      </w:r>
      <w:bookmarkEnd w:id="2005"/>
      <w:bookmarkEnd w:id="2006"/>
      <w:bookmarkEnd w:id="2008"/>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2009" w:name="bookmark2009"/>
      <w:bookmarkStart w:id="2010" w:name="bookmark2010"/>
      <w:bookmarkStart w:id="2011" w:name="bookmark2011"/>
      <w:r>
        <w:rPr>
          <w:color w:val="000000"/>
          <w:spacing w:val="0"/>
          <w:w w:val="100"/>
          <w:position w:val="0"/>
          <w:sz w:val="24"/>
          <w:szCs w:val="24"/>
        </w:rPr>
        <w:t>十三、股份支付</w:t>
      </w:r>
      <w:bookmarkEnd w:id="2009"/>
      <w:bookmarkEnd w:id="2010"/>
      <w:bookmarkEnd w:id="2011"/>
    </w:p>
    <w:p>
      <w:pPr>
        <w:pStyle w:val="Style32"/>
        <w:keepNext/>
        <w:keepLines/>
        <w:widowControl w:val="0"/>
        <w:shd w:val="clear" w:color="auto" w:fill="auto"/>
        <w:bidi w:val="0"/>
        <w:spacing w:before="0" w:after="360" w:line="240" w:lineRule="auto"/>
        <w:ind w:left="0" w:right="0" w:firstLine="0"/>
        <w:jc w:val="both"/>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12"/>
      <w:bookmarkEnd w:id="2013"/>
      <w:bookmarkEnd w:id="2014"/>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5,187,688.00</w:t>
            </w:r>
          </w:p>
        </w:tc>
      </w:tr>
    </w:tbl>
    <w:p>
      <w:pPr>
        <w:widowControl w:val="0"/>
        <w:spacing w:line="1" w:lineRule="exact"/>
      </w:pPr>
    </w:p>
    <w:tbl>
      <w:tblPr>
        <w:tblOverlap w:val="never"/>
        <w:jc w:val="center"/>
        <w:tblLayout w:type="fixed"/>
      </w:tblPr>
      <w:tblGrid>
        <w:gridCol w:w="5462"/>
        <w:gridCol w:w="412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注1：经本公司2020年1月23日召开的第四届董事会第十五次会议和第四届监事会第十四次会议，于 2020年1月23日向210名员工授予限制性股票134万股，每股面值1元，授予价格为</w:t>
      </w:r>
      <w:r>
        <w:rPr>
          <w:color w:val="000000"/>
          <w:spacing w:val="0"/>
          <w:w w:val="100"/>
          <w:position w:val="0"/>
        </w:rPr>
        <w:t>10.69</w:t>
      </w:r>
      <w:r>
        <w:rPr>
          <w:color w:val="000000"/>
          <w:spacing w:val="0"/>
          <w:w w:val="100"/>
          <w:position w:val="0"/>
        </w:rPr>
        <w:t>元/股；向149名员 工授予股票期权76万份，行权价格为</w:t>
      </w:r>
      <w:r>
        <w:rPr>
          <w:color w:val="000000"/>
          <w:spacing w:val="0"/>
          <w:w w:val="100"/>
          <w:position w:val="0"/>
        </w:rPr>
        <w:t>21.37</w:t>
      </w:r>
      <w:r>
        <w:rPr>
          <w:color w:val="000000"/>
          <w:spacing w:val="0"/>
          <w:w w:val="100"/>
          <w:position w:val="0"/>
        </w:rPr>
        <w:t>元/份。</w:t>
      </w:r>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注2：经本公司2020年3月27日召开的第四届董事会第十六次会议和第四届监事会第十五次会议，对27 名已离职员工的股票期权共计123,500份进行注销；对18名已离职员工的限制性股票共计122, 400股进行回 购并注销。</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注3：经本公司2020年6月1日召开的第四届董事会第十八次会议和第四届监事会第十六次会议，审议 通过了《关于公司2019年股票期权与限制性股票激励计划首次授予部分第一个可行权/解除限售条件成就 的议案》。于2020年6月16 0解锁2019年股票期权与限制性股票激励计划首次授予部分803名激励对象限制 性股票共计3,732,360股；截止2020年12月31日，2019年股票期权与限制性股票激励计划首次授予部分776 名激励对象期权行权共计1,455,328份。</w:t>
      </w:r>
    </w:p>
    <w:p>
      <w:pPr>
        <w:pStyle w:val="Style32"/>
        <w:keepNext/>
        <w:keepLines/>
        <w:widowControl w:val="0"/>
        <w:shd w:val="clear" w:color="auto" w:fill="auto"/>
        <w:bidi w:val="0"/>
        <w:spacing w:before="0" w:after="380" w:line="474" w:lineRule="exact"/>
        <w:ind w:left="0" w:right="0" w:firstLine="0"/>
        <w:jc w:val="left"/>
      </w:pPr>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15"/>
      <w:bookmarkEnd w:id="2016"/>
      <w:bookmarkEnd w:id="2017"/>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见注释</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资产负债表日股权激励股份实际持有数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87,699,042.38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26,041,312.23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注1： 2019年5月，本公司2019年股票期权与限制性股票激励计划首次授予的公允价值的确定方法为： 公司聘请上海荣正投资咨询有限公司计算授予日权益工具公允价值，并出具《关于美亚柏科2019年股票期 权与限制性股票激励计划首次授予事项之独立财务顾问报告》。</w:t>
      </w:r>
    </w:p>
    <w:p>
      <w:pPr>
        <w:pStyle w:val="Style44"/>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注2： 2020年1月，本公司2019年股票期权与限制性股票激励计划预留授予的公允价值的确定方法为： 公司聘请上海荣正投资咨询有限公司计算授予日权益工具公允价值，并出具《关于美亚柏科2019年股票期 权与限制性股票激励计划预留授予事项之独立财务顾问报告》。</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3</w:t>
      </w:r>
      <w:bookmarkEnd w:id="2020"/>
      <w:r>
        <w:rPr>
          <w:color w:val="000000"/>
          <w:spacing w:val="0"/>
          <w:w w:val="100"/>
          <w:position w:val="0"/>
        </w:rPr>
        <w:t>、</w:t>
        <w:tab/>
        <w:t>以现金结算的股份支付情况</w:t>
      </w:r>
      <w:bookmarkEnd w:id="2018"/>
      <w:bookmarkEnd w:id="2019"/>
      <w:bookmarkEnd w:id="202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4</w:t>
      </w:r>
      <w:bookmarkEnd w:id="2024"/>
      <w:r>
        <w:rPr>
          <w:color w:val="000000"/>
          <w:spacing w:val="0"/>
          <w:w w:val="100"/>
          <w:position w:val="0"/>
        </w:rPr>
        <w:t>、</w:t>
        <w:tab/>
        <w:t>股份支付的修改、终止情况</w:t>
      </w:r>
      <w:bookmarkEnd w:id="2022"/>
      <w:bookmarkEnd w:id="2023"/>
      <w:bookmarkEnd w:id="2025"/>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5</w:t>
      </w:r>
      <w:bookmarkEnd w:id="2028"/>
      <w:r>
        <w:rPr>
          <w:color w:val="000000"/>
          <w:spacing w:val="0"/>
          <w:w w:val="100"/>
          <w:position w:val="0"/>
        </w:rPr>
        <w:t>、</w:t>
        <w:tab/>
        <w:t>其他</w:t>
      </w:r>
      <w:bookmarkEnd w:id="2026"/>
      <w:bookmarkEnd w:id="2027"/>
      <w:bookmarkEnd w:id="2029"/>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030" w:name="bookmark2030"/>
      <w:bookmarkStart w:id="2031" w:name="bookmark2031"/>
      <w:bookmarkStart w:id="2032" w:name="bookmark2032"/>
      <w:r>
        <w:rPr>
          <w:color w:val="000000"/>
          <w:spacing w:val="0"/>
          <w:w w:val="100"/>
          <w:position w:val="0"/>
          <w:sz w:val="24"/>
          <w:szCs w:val="24"/>
        </w:rPr>
        <w:t>十四、承诺及或有事项</w:t>
      </w:r>
      <w:bookmarkEnd w:id="2030"/>
      <w:bookmarkEnd w:id="2031"/>
      <w:bookmarkEnd w:id="2032"/>
    </w:p>
    <w:p>
      <w:pPr>
        <w:pStyle w:val="Style32"/>
        <w:keepNext/>
        <w:keepLines/>
        <w:widowControl w:val="0"/>
        <w:shd w:val="clear" w:color="auto" w:fill="auto"/>
        <w:tabs>
          <w:tab w:pos="368" w:val="left"/>
        </w:tabs>
        <w:bidi w:val="0"/>
        <w:spacing w:before="0" w:after="36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1</w:t>
      </w:r>
      <w:bookmarkEnd w:id="2035"/>
      <w:r>
        <w:rPr>
          <w:color w:val="000000"/>
          <w:spacing w:val="0"/>
          <w:w w:val="100"/>
          <w:position w:val="0"/>
        </w:rPr>
        <w:t>、</w:t>
        <w:tab/>
        <w:t>重要承诺事项</w:t>
      </w:r>
      <w:bookmarkEnd w:id="2033"/>
      <w:bookmarkEnd w:id="2034"/>
      <w:bookmarkEnd w:id="203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4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日，本集团不存在其他应披露的重要承诺事项。</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bookmarkEnd w:id="2039"/>
      <w:r>
        <w:rPr>
          <w:color w:val="000000"/>
          <w:spacing w:val="0"/>
          <w:w w:val="100"/>
          <w:position w:val="0"/>
        </w:rPr>
        <w:t>、</w:t>
        <w:tab/>
        <w:t>或有事项</w:t>
      </w:r>
      <w:bookmarkEnd w:id="2037"/>
      <w:bookmarkEnd w:id="2038"/>
      <w:bookmarkEnd w:id="2040"/>
    </w:p>
    <w:p>
      <w:pPr>
        <w:pStyle w:val="Style75"/>
        <w:keepNext/>
        <w:keepLines/>
        <w:widowControl w:val="0"/>
        <w:shd w:val="clear" w:color="auto" w:fill="auto"/>
        <w:tabs>
          <w:tab w:pos="488" w:val="left"/>
        </w:tabs>
        <w:bidi w:val="0"/>
        <w:spacing w:before="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41"/>
      <w:bookmarkEnd w:id="2042"/>
      <w:bookmarkEnd w:id="2044"/>
    </w:p>
    <w:p>
      <w:pPr>
        <w:pStyle w:val="Style4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日，本集团不存在应披露的未决诉讼、对外担保等重要或有事项。</w:t>
      </w:r>
    </w:p>
    <w:p>
      <w:pPr>
        <w:pStyle w:val="Style75"/>
        <w:keepNext/>
        <w:keepLines/>
        <w:widowControl w:val="0"/>
        <w:shd w:val="clear" w:color="auto" w:fill="auto"/>
        <w:tabs>
          <w:tab w:pos="488" w:val="left"/>
        </w:tabs>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45"/>
      <w:bookmarkEnd w:id="2046"/>
      <w:bookmarkEnd w:id="204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75"/>
        <w:keepNext/>
        <w:keepLines/>
        <w:widowControl w:val="0"/>
        <w:shd w:val="clear" w:color="auto" w:fill="auto"/>
        <w:tabs>
          <w:tab w:pos="488"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3</w:t>
      </w:r>
      <w:r>
        <w:rPr>
          <w:color w:val="000000"/>
          <w:spacing w:val="0"/>
          <w:w w:val="100"/>
          <w:position w:val="0"/>
        </w:rPr>
        <w:t>）</w:t>
        <w:tab/>
        <w:t>汽车制造相关行业信息披露指引要求的其他信息</w:t>
      </w:r>
      <w:bookmarkEnd w:id="2049"/>
      <w:bookmarkEnd w:id="2050"/>
      <w:bookmarkEnd w:id="205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采用按揭销售、融资租赁等模式的销售金额占营业收入比重达到</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公司对经销商的担保情况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3</w:t>
      </w:r>
      <w:bookmarkEnd w:id="2055"/>
      <w:r>
        <w:rPr>
          <w:color w:val="000000"/>
          <w:spacing w:val="0"/>
          <w:w w:val="100"/>
          <w:position w:val="0"/>
        </w:rPr>
        <w:t>、</w:t>
        <w:tab/>
        <w:t>其他</w:t>
      </w:r>
      <w:bookmarkEnd w:id="2053"/>
      <w:bookmarkEnd w:id="2054"/>
      <w:bookmarkEnd w:id="2056"/>
    </w:p>
    <w:p>
      <w:pPr>
        <w:pStyle w:val="Style27"/>
        <w:keepNext/>
        <w:keepLines/>
        <w:widowControl w:val="0"/>
        <w:shd w:val="clear" w:color="auto" w:fill="auto"/>
        <w:bidi w:val="0"/>
        <w:spacing w:before="0" w:after="360" w:line="240" w:lineRule="auto"/>
        <w:ind w:left="0" w:right="0" w:firstLine="0"/>
        <w:jc w:val="left"/>
      </w:pPr>
      <w:bookmarkStart w:id="2057" w:name="bookmark2057"/>
      <w:bookmarkStart w:id="2058" w:name="bookmark2058"/>
      <w:bookmarkStart w:id="2059" w:name="bookmark2059"/>
      <w:r>
        <w:rPr>
          <w:color w:val="000000"/>
          <w:spacing w:val="0"/>
          <w:w w:val="100"/>
          <w:position w:val="0"/>
          <w:sz w:val="24"/>
          <w:szCs w:val="24"/>
        </w:rPr>
        <w:t>十五、资产负债表日后事项</w:t>
      </w:r>
      <w:bookmarkEnd w:id="2057"/>
      <w:bookmarkEnd w:id="2058"/>
      <w:bookmarkEnd w:id="2059"/>
    </w:p>
    <w:p>
      <w:pPr>
        <w:pStyle w:val="Style32"/>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0"/>
      <w:bookmarkEnd w:id="2061"/>
      <w:bookmarkEnd w:id="206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63"/>
      <w:bookmarkEnd w:id="2064"/>
      <w:bookmarkEnd w:id="20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104,874,485.95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104,874,485.95</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销售退回</w:t>
      </w:r>
      <w:bookmarkEnd w:id="2066"/>
      <w:bookmarkEnd w:id="2067"/>
      <w:bookmarkEnd w:id="206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w:t>
        <w:tab/>
        <w:t>其他资产负债表日后事项说明</w:t>
      </w:r>
      <w:bookmarkEnd w:id="2070"/>
      <w:bookmarkEnd w:id="2071"/>
      <w:bookmarkEnd w:id="207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074" w:name="bookmark2074"/>
      <w:bookmarkStart w:id="2075" w:name="bookmark2075"/>
      <w:bookmarkStart w:id="2076" w:name="bookmark2076"/>
      <w:r>
        <w:rPr>
          <w:color w:val="000000"/>
          <w:spacing w:val="0"/>
          <w:w w:val="100"/>
          <w:position w:val="0"/>
          <w:sz w:val="24"/>
          <w:szCs w:val="24"/>
        </w:rPr>
        <w:t>十六、其他重要事项</w:t>
      </w:r>
      <w:bookmarkEnd w:id="2074"/>
      <w:bookmarkEnd w:id="2075"/>
      <w:bookmarkEnd w:id="2076"/>
    </w:p>
    <w:p>
      <w:pPr>
        <w:pStyle w:val="Style32"/>
        <w:keepNext/>
        <w:keepLines/>
        <w:widowControl w:val="0"/>
        <w:shd w:val="clear" w:color="auto" w:fill="auto"/>
        <w:tabs>
          <w:tab w:pos="368" w:val="left"/>
        </w:tabs>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1</w:t>
      </w:r>
      <w:bookmarkEnd w:id="2079"/>
      <w:r>
        <w:rPr>
          <w:color w:val="000000"/>
          <w:spacing w:val="0"/>
          <w:w w:val="100"/>
          <w:position w:val="0"/>
        </w:rPr>
        <w:t>、</w:t>
        <w:tab/>
        <w:t>前期会计差错更正</w:t>
      </w:r>
      <w:bookmarkEnd w:id="2077"/>
      <w:bookmarkEnd w:id="2078"/>
      <w:bookmarkEnd w:id="208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2</w:t>
      </w:r>
      <w:bookmarkEnd w:id="2083"/>
      <w:r>
        <w:rPr>
          <w:color w:val="000000"/>
          <w:spacing w:val="0"/>
          <w:w w:val="100"/>
          <w:position w:val="0"/>
        </w:rPr>
        <w:t>、</w:t>
        <w:tab/>
        <w:t>债务重组</w:t>
      </w:r>
      <w:bookmarkEnd w:id="2081"/>
      <w:bookmarkEnd w:id="2082"/>
      <w:bookmarkEnd w:id="208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3</w:t>
      </w:r>
      <w:bookmarkEnd w:id="2087"/>
      <w:r>
        <w:rPr>
          <w:color w:val="000000"/>
          <w:spacing w:val="0"/>
          <w:w w:val="100"/>
          <w:position w:val="0"/>
        </w:rPr>
        <w:t>、</w:t>
        <w:tab/>
        <w:t>资产置换</w:t>
      </w:r>
      <w:bookmarkEnd w:id="2085"/>
      <w:bookmarkEnd w:id="2086"/>
      <w:bookmarkEnd w:id="20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4</w:t>
      </w:r>
      <w:bookmarkEnd w:id="2091"/>
      <w:r>
        <w:rPr>
          <w:color w:val="000000"/>
          <w:spacing w:val="0"/>
          <w:w w:val="100"/>
          <w:position w:val="0"/>
        </w:rPr>
        <w:t>、</w:t>
        <w:tab/>
        <w:t>年金计划</w:t>
      </w:r>
      <w:bookmarkEnd w:id="2089"/>
      <w:bookmarkEnd w:id="2090"/>
      <w:bookmarkEnd w:id="209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5</w:t>
      </w:r>
      <w:bookmarkEnd w:id="2095"/>
      <w:r>
        <w:rPr>
          <w:color w:val="000000"/>
          <w:spacing w:val="0"/>
          <w:w w:val="100"/>
          <w:position w:val="0"/>
        </w:rPr>
        <w:t>、</w:t>
        <w:tab/>
        <w:t>终止经营</w:t>
      </w:r>
      <w:bookmarkEnd w:id="2093"/>
      <w:bookmarkEnd w:id="2094"/>
      <w:bookmarkEnd w:id="209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6</w:t>
      </w:r>
      <w:bookmarkEnd w:id="2099"/>
      <w:r>
        <w:rPr>
          <w:color w:val="000000"/>
          <w:spacing w:val="0"/>
          <w:w w:val="100"/>
          <w:position w:val="0"/>
        </w:rPr>
        <w:t>、</w:t>
        <w:tab/>
        <w:t>分部信息</w:t>
      </w:r>
      <w:bookmarkEnd w:id="2097"/>
      <w:bookmarkEnd w:id="2098"/>
      <w:bookmarkEnd w:id="2100"/>
    </w:p>
    <w:p>
      <w:pPr>
        <w:pStyle w:val="Style75"/>
        <w:keepNext/>
        <w:keepLines/>
        <w:widowControl w:val="0"/>
        <w:shd w:val="clear" w:color="auto" w:fill="auto"/>
        <w:bidi w:val="0"/>
        <w:spacing w:before="0" w:after="440" w:line="240" w:lineRule="auto"/>
        <w:ind w:left="0" w:right="0" w:firstLine="0"/>
        <w:jc w:val="left"/>
      </w:pPr>
      <w:bookmarkStart w:id="2101" w:name="bookmark2101"/>
      <w:bookmarkStart w:id="2102" w:name="bookmark2102"/>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01"/>
      <w:bookmarkEnd w:id="2102"/>
      <w:bookmarkEnd w:id="2103"/>
    </w:p>
    <w:p>
      <w:pPr>
        <w:pStyle w:val="Style4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本集团内主要公司产品或劳务性质相似，以及生产过程、销售产品和提供劳务的方式、客户类型、行</w:t>
      </w:r>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业法规均具有相似性，同时，由于本集团收入主要来自中国境内，因此本集团无需披露分部数据。</w:t>
      </w:r>
    </w:p>
    <w:p>
      <w:pPr>
        <w:pStyle w:val="Style75"/>
        <w:keepNext/>
        <w:keepLines/>
        <w:widowControl w:val="0"/>
        <w:numPr>
          <w:ilvl w:val="0"/>
          <w:numId w:val="51"/>
        </w:numPr>
        <w:shd w:val="clear" w:color="auto" w:fill="auto"/>
        <w:tabs>
          <w:tab w:pos="488"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bookmarkEnd w:id="2106"/>
      <w:r>
        <w:rPr>
          <w:color w:val="000000"/>
          <w:spacing w:val="0"/>
          <w:w w:val="100"/>
          <w:position w:val="0"/>
        </w:rPr>
        <w:t>报告分部的财务信息</w:t>
      </w:r>
      <w:bookmarkEnd w:id="2104"/>
      <w:bookmarkEnd w:id="2105"/>
      <w:bookmarkEnd w:id="210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numPr>
          <w:ilvl w:val="0"/>
          <w:numId w:val="51"/>
        </w:numPr>
        <w:shd w:val="clear" w:color="auto" w:fill="auto"/>
        <w:tabs>
          <w:tab w:pos="488" w:val="left"/>
        </w:tabs>
        <w:bidi w:val="0"/>
        <w:spacing w:before="0" w:line="240" w:lineRule="auto"/>
        <w:ind w:left="0" w:right="0" w:firstLine="0"/>
        <w:jc w:val="left"/>
      </w:pPr>
      <w:bookmarkStart w:id="2108" w:name="bookmark2108"/>
      <w:bookmarkStart w:id="2109" w:name="bookmark2109"/>
      <w:bookmarkStart w:id="2110" w:name="bookmark2110"/>
      <w:bookmarkStart w:id="2111" w:name="bookmark2111"/>
      <w:bookmarkEnd w:id="2110"/>
      <w:r>
        <w:rPr>
          <w:color w:val="000000"/>
          <w:spacing w:val="0"/>
          <w:w w:val="100"/>
          <w:position w:val="0"/>
        </w:rPr>
        <w:t>公司无报告分部的，或者不能披露各报告分部的资产总额和负债总额的，应说明原因</w:t>
      </w:r>
      <w:bookmarkEnd w:id="2108"/>
      <w:bookmarkEnd w:id="2109"/>
      <w:bookmarkEnd w:id="211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val="0"/>
        <w:keepLines w:val="0"/>
        <w:widowControl w:val="0"/>
        <w:numPr>
          <w:ilvl w:val="0"/>
          <w:numId w:val="51"/>
        </w:numPr>
        <w:shd w:val="clear" w:color="auto" w:fill="auto"/>
        <w:tabs>
          <w:tab w:pos="488" w:val="left"/>
        </w:tabs>
        <w:bidi w:val="0"/>
        <w:spacing w:before="0" w:after="360" w:line="240" w:lineRule="auto"/>
        <w:ind w:left="0" w:right="0" w:firstLine="0"/>
        <w:jc w:val="left"/>
      </w:pPr>
      <w:bookmarkStart w:id="2112" w:name="bookmark2112"/>
      <w:bookmarkStart w:id="2113" w:name="bookmark2113"/>
      <w:bookmarkEnd w:id="2112"/>
      <w:r>
        <w:rPr>
          <w:b/>
          <w:bCs/>
          <w:color w:val="000000"/>
          <w:spacing w:val="0"/>
          <w:w w:val="100"/>
          <w:position w:val="0"/>
        </w:rPr>
        <w:t>其他说明</w:t>
      </w:r>
      <w:bookmarkEnd w:id="211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5"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7</w:t>
      </w:r>
      <w:bookmarkEnd w:id="2116"/>
      <w:r>
        <w:rPr>
          <w:color w:val="000000"/>
          <w:spacing w:val="0"/>
          <w:w w:val="100"/>
          <w:position w:val="0"/>
        </w:rPr>
        <w:t>、</w:t>
        <w:tab/>
        <w:t>其他对投资者决策有影响的重要交易和事项</w:t>
      </w:r>
      <w:bookmarkEnd w:id="2114"/>
      <w:bookmarkEnd w:id="2115"/>
      <w:bookmarkEnd w:id="211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8</w:t>
      </w:r>
      <w:bookmarkEnd w:id="2120"/>
      <w:r>
        <w:rPr>
          <w:color w:val="000000"/>
          <w:spacing w:val="0"/>
          <w:w w:val="100"/>
          <w:position w:val="0"/>
        </w:rPr>
        <w:t>、</w:t>
        <w:tab/>
        <w:t>其他</w:t>
      </w:r>
      <w:bookmarkEnd w:id="2118"/>
      <w:bookmarkEnd w:id="2119"/>
      <w:bookmarkEnd w:id="212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122" w:name="bookmark2122"/>
      <w:bookmarkStart w:id="2123" w:name="bookmark2123"/>
      <w:bookmarkStart w:id="2124" w:name="bookmark2124"/>
      <w:r>
        <w:rPr>
          <w:color w:val="000000"/>
          <w:spacing w:val="0"/>
          <w:w w:val="100"/>
          <w:position w:val="0"/>
          <w:sz w:val="24"/>
          <w:szCs w:val="24"/>
        </w:rPr>
        <w:t>十七、母公司财务报表主要项目注释</w:t>
      </w:r>
      <w:bookmarkEnd w:id="2122"/>
      <w:bookmarkEnd w:id="2123"/>
      <w:bookmarkEnd w:id="2124"/>
    </w:p>
    <w:p>
      <w:pPr>
        <w:pStyle w:val="Style32"/>
        <w:keepNext/>
        <w:keepLines/>
        <w:widowControl w:val="0"/>
        <w:shd w:val="clear" w:color="auto" w:fill="auto"/>
        <w:bidi w:val="0"/>
        <w:spacing w:before="0" w:after="360" w:line="240" w:lineRule="auto"/>
        <w:ind w:left="0" w:right="0" w:firstLine="0"/>
        <w:jc w:val="left"/>
      </w:pPr>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5"/>
      <w:bookmarkEnd w:id="2126"/>
      <w:bookmarkEnd w:id="2127"/>
    </w:p>
    <w:p>
      <w:pPr>
        <w:pStyle w:val="Style75"/>
        <w:keepNext/>
        <w:keepLines/>
        <w:widowControl w:val="0"/>
        <w:shd w:val="clear" w:color="auto" w:fill="auto"/>
        <w:bidi w:val="0"/>
        <w:spacing w:before="0" w:line="240" w:lineRule="auto"/>
        <w:ind w:left="0" w:right="0" w:firstLine="14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28"/>
      <w:bookmarkEnd w:id="2129"/>
      <w:bookmarkEnd w:id="21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797"/>
        <w:gridCol w:w="802"/>
        <w:gridCol w:w="787"/>
        <w:gridCol w:w="94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715,382,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59,589,3</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655,793,2</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664,465,7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51,611,94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612,853,79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其中：组合</w:t>
            </w:r>
            <w:r>
              <w:rPr>
                <w:rFonts w:ascii="Times New Roman" w:eastAsia="Times New Roman" w:hAnsi="Times New Roman" w:cs="Times New Roman"/>
                <w:color w:val="000000"/>
                <w:spacing w:val="0"/>
                <w:w w:val="100"/>
                <w:position w:val="0"/>
              </w:rPr>
              <w:t>1</w:t>
            </w:r>
            <w:r>
              <w:rPr>
                <w:color w:val="000000"/>
                <w:spacing w:val="0"/>
                <w:w w:val="100"/>
                <w:position w:val="0"/>
              </w:rPr>
              <w:t>：销售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318,960,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59,589,3</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259,370,9</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372,116,6</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51,611,94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320,504,72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 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396,422,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396,422,2</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292,349,0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292,349,06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715,382,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59,589,3</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655,793,2</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664,465,7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51,611,94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612,853,79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r>
        <w:br w:type="page"/>
      </w:r>
    </w:p>
    <w:p>
      <w:pPr>
        <w:pStyle w:val="Style11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59,589,355.41</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86"/>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163,603,500.45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8,180,175.02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68,785,261.20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6,878,526.12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50,416,134.25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15,124,840.28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11,618,659.24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5,809,329.62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4,701,416.05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3,761,132.84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19,835,351.53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19,835,351.53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318,960,322.72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59,589,355.41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396,422,239.13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396,422,239.13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560,025,739.58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68,785,261.20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50,416,134.25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36,155,426.82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11,618,659.24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4,701,416.05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19,835,351.53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715,382,561.85</w:t>
            </w:r>
          </w:p>
        </w:tc>
      </w:tr>
    </w:tbl>
    <w:p>
      <w:pPr>
        <w:widowControl w:val="0"/>
        <w:spacing w:after="299" w:line="1" w:lineRule="exact"/>
      </w:pPr>
    </w:p>
    <w:p>
      <w:pPr>
        <w:pStyle w:val="Style75"/>
        <w:keepNext/>
        <w:keepLines/>
        <w:widowControl w:val="0"/>
        <w:shd w:val="clear" w:color="auto" w:fill="auto"/>
        <w:bidi w:val="0"/>
        <w:spacing w:before="0" w:after="380" w:line="240" w:lineRule="auto"/>
        <w:ind w:left="0" w:right="0" w:firstLine="0"/>
        <w:jc w:val="left"/>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1"/>
      <w:bookmarkEnd w:id="2132"/>
      <w:bookmarkEnd w:id="213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133"/>
        <w:gridCol w:w="1133"/>
        <w:gridCol w:w="989"/>
        <w:gridCol w:w="691"/>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51,611,943.31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7,977,412.10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59,589,355.41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51,611,943.31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7,977,412.10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59,589,355.41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其中本期坏账准备收回或转回金额重要的：无</w:t>
      </w:r>
    </w:p>
    <w:p>
      <w:pPr>
        <w:pStyle w:val="Style75"/>
        <w:keepNext/>
        <w:keepLines/>
        <w:widowControl w:val="0"/>
        <w:shd w:val="clear" w:color="auto" w:fill="auto"/>
        <w:tabs>
          <w:tab w:pos="488" w:val="left"/>
        </w:tabs>
        <w:bidi w:val="0"/>
        <w:spacing w:before="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34"/>
      <w:bookmarkEnd w:id="2135"/>
      <w:bookmarkEnd w:id="213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38"/>
      <w:bookmarkEnd w:id="2139"/>
      <w:bookmarkEnd w:id="21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2266"/>
        <w:gridCol w:w="3211"/>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占应收账款期末余额合计数的比例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263,971,818.91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42,280,414.92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33,499,100.25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1,729,717.06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32,713,060.00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29,827,500.00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00" w:right="0" w:firstLine="0"/>
              <w:jc w:val="both"/>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8,938,250.00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402,291,894.08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56.23%</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75"/>
        <w:keepNext/>
        <w:keepLines/>
        <w:widowControl w:val="0"/>
        <w:shd w:val="clear" w:color="auto" w:fill="auto"/>
        <w:tabs>
          <w:tab w:pos="488" w:val="left"/>
        </w:tabs>
        <w:bidi w:val="0"/>
        <w:spacing w:before="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42"/>
      <w:bookmarkEnd w:id="2143"/>
      <w:bookmarkEnd w:id="214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8" w:val="left"/>
        </w:tabs>
        <w:bidi w:val="0"/>
        <w:spacing w:before="0" w:line="240" w:lineRule="auto"/>
        <w:ind w:left="0" w:right="0" w:firstLine="0"/>
        <w:jc w:val="both"/>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46"/>
      <w:bookmarkEnd w:id="2147"/>
      <w:bookmarkEnd w:id="214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60" w:line="240" w:lineRule="auto"/>
        <w:ind w:left="0" w:right="0" w:firstLine="0"/>
        <w:jc w:val="both"/>
      </w:pPr>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50"/>
      <w:bookmarkEnd w:id="2151"/>
      <w:bookmarkEnd w:id="21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1,621,900.88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1,343,284.18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74,571,961.18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70,914,027.01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76,193,862.06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72,257,311.19</w:t>
            </w:r>
          </w:p>
        </w:tc>
      </w:tr>
    </w:tbl>
    <w:p>
      <w:pPr>
        <w:spacing w:lineRule="exact" w:line="1"/>
        <w:rPr>
          <w:sz w:val="2"/>
          <w:szCs w:val="2"/>
        </w:rPr>
      </w:pPr>
      <w:r>
        <w:br w:type="page"/>
      </w:r>
    </w:p>
    <w:p>
      <w:pPr>
        <w:pStyle w:val="Style75"/>
        <w:keepNext/>
        <w:keepLines/>
        <w:widowControl w:val="0"/>
        <w:shd w:val="clear" w:color="auto" w:fill="auto"/>
        <w:bidi w:val="0"/>
        <w:spacing w:before="0" w:after="34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53"/>
      <w:bookmarkEnd w:id="2154"/>
      <w:bookmarkEnd w:id="2155"/>
    </w:p>
    <w:p>
      <w:pPr>
        <w:pStyle w:val="Style124"/>
        <w:keepNext/>
        <w:keepLines/>
        <w:widowControl w:val="0"/>
        <w:shd w:val="clear" w:color="auto" w:fill="auto"/>
        <w:bidi w:val="0"/>
        <w:spacing w:before="0" w:after="340" w:line="240" w:lineRule="auto"/>
        <w:ind w:left="0" w:right="0" w:firstLine="0"/>
        <w:jc w:val="left"/>
      </w:pPr>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56"/>
      <w:bookmarkEnd w:id="2157"/>
      <w:bookmarkEnd w:id="21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1,621,900.88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1,343,284.18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1,621,900.88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1,343,284.18</w:t>
            </w:r>
          </w:p>
        </w:tc>
      </w:tr>
    </w:tbl>
    <w:p>
      <w:pPr>
        <w:widowControl w:val="0"/>
        <w:spacing w:after="339" w:line="1" w:lineRule="exact"/>
      </w:pPr>
    </w:p>
    <w:p>
      <w:pPr>
        <w:pStyle w:val="Style124"/>
        <w:keepNext/>
        <w:keepLines/>
        <w:widowControl w:val="0"/>
        <w:shd w:val="clear" w:color="auto" w:fill="auto"/>
        <w:bidi w:val="0"/>
        <w:spacing w:before="0" w:after="34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159"/>
      <w:bookmarkEnd w:id="2160"/>
      <w:bookmarkEnd w:id="2161"/>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24"/>
        <w:keepNext/>
        <w:keepLines/>
        <w:widowControl w:val="0"/>
        <w:shd w:val="clear" w:color="auto" w:fill="auto"/>
        <w:bidi w:val="0"/>
        <w:spacing w:before="0" w:after="34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3</w:t>
      </w:r>
      <w:bookmarkEnd w:id="2164"/>
      <w:r>
        <w:rPr>
          <w:color w:val="000000"/>
          <w:spacing w:val="0"/>
          <w:w w:val="100"/>
          <w:position w:val="0"/>
        </w:rPr>
        <w:t>）坏账准备计提情况</w:t>
      </w:r>
      <w:bookmarkEnd w:id="2162"/>
      <w:bookmarkEnd w:id="2163"/>
      <w:bookmarkEnd w:id="2165"/>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488" w:val="left"/>
        </w:tabs>
        <w:bidi w:val="0"/>
        <w:spacing w:before="0" w:after="340" w:line="240" w:lineRule="auto"/>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66"/>
      <w:bookmarkEnd w:id="2167"/>
      <w:bookmarkEnd w:id="216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75"/>
        <w:keepNext/>
        <w:keepLines/>
        <w:widowControl w:val="0"/>
        <w:shd w:val="clear" w:color="auto" w:fill="auto"/>
        <w:tabs>
          <w:tab w:pos="488" w:val="left"/>
        </w:tabs>
        <w:bidi w:val="0"/>
        <w:spacing w:before="0" w:after="340" w:line="240" w:lineRule="auto"/>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70"/>
      <w:bookmarkEnd w:id="2171"/>
      <w:bookmarkEnd w:id="2173"/>
    </w:p>
    <w:p>
      <w:pPr>
        <w:pStyle w:val="Style124"/>
        <w:keepNext/>
        <w:keepLines/>
        <w:widowControl w:val="0"/>
        <w:shd w:val="clear" w:color="auto" w:fill="auto"/>
        <w:bidi w:val="0"/>
        <w:spacing w:before="0" w:after="340" w:line="240" w:lineRule="auto"/>
        <w:ind w:left="0" w:right="0" w:firstLine="0"/>
        <w:jc w:val="left"/>
      </w:pPr>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74"/>
      <w:bookmarkEnd w:id="2175"/>
      <w:bookmarkEnd w:id="21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63,852,609.91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52,195,553.93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3,949,975.63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4,334,848.59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12,185,215.12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5,852,114.07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3,923,037.81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4,488,050.00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9,432,730.75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22,410,588.96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93,343,569.22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89,281,155.55</w:t>
            </w:r>
          </w:p>
        </w:tc>
      </w:tr>
    </w:tbl>
    <w:p>
      <w:pPr>
        <w:widowControl w:val="0"/>
        <w:spacing w:after="339" w:line="1" w:lineRule="exact"/>
      </w:pPr>
    </w:p>
    <w:p>
      <w:pPr>
        <w:pStyle w:val="Style124"/>
        <w:keepNext/>
        <w:keepLines/>
        <w:widowControl w:val="0"/>
        <w:shd w:val="clear" w:color="auto" w:fill="auto"/>
        <w:bidi w:val="0"/>
        <w:spacing w:before="0" w:after="340" w:line="240" w:lineRule="auto"/>
        <w:ind w:left="0" w:right="0" w:firstLine="0"/>
        <w:jc w:val="left"/>
      </w:pPr>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77"/>
      <w:bookmarkEnd w:id="2178"/>
      <w:bookmarkEnd w:id="217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1968"/>
        <w:gridCol w:w="1843"/>
        <w:gridCol w:w="1843"/>
        <w:gridCol w:w="12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 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2702"/>
        <w:gridCol w:w="1982"/>
        <w:gridCol w:w="1843"/>
        <w:gridCol w:w="1843"/>
        <w:gridCol w:w="12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18,367,128.54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18,367,128.54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404,594.50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18,771,608.04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18,771,608.04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49,983,739.24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18,073,024.94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8,482,247.41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16,804,557.63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7,034,524.48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2,192,112.91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pPr>
            <w:r>
              <w:rPr>
                <w:rFonts w:ascii="Times New Roman" w:eastAsia="Times New Roman" w:hAnsi="Times New Roman" w:cs="Times New Roman"/>
                <w:color w:val="000000"/>
                <w:spacing w:val="0"/>
                <w:w w:val="100"/>
                <w:position w:val="0"/>
              </w:rPr>
              <w:t>7,577,920.24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93,343,569.22</w:t>
            </w:r>
          </w:p>
        </w:tc>
      </w:tr>
    </w:tbl>
    <w:p>
      <w:pPr>
        <w:widowControl w:val="0"/>
        <w:spacing w:after="299" w:line="1" w:lineRule="exact"/>
      </w:pPr>
    </w:p>
    <w:p>
      <w:pPr>
        <w:pStyle w:val="Style124"/>
        <w:keepNext/>
        <w:keepLines/>
        <w:widowControl w:val="0"/>
        <w:shd w:val="clear" w:color="auto" w:fill="auto"/>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3</w:t>
      </w:r>
      <w:bookmarkEnd w:id="2182"/>
      <w:r>
        <w:rPr>
          <w:color w:val="000000"/>
          <w:spacing w:val="0"/>
          <w:w w:val="100"/>
          <w:position w:val="0"/>
        </w:rPr>
        <w:t>）本期计提、收回或转回的坏账准备情况</w:t>
      </w:r>
      <w:bookmarkEnd w:id="2180"/>
      <w:bookmarkEnd w:id="2181"/>
      <w:bookmarkEnd w:id="218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8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保证金、押金、往 来款等其他应收款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22,591,178.9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2,429,909.45</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25,020,973.40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22,591,178.9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2,429,909.45</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25,020,973.40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124"/>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4</w:t>
      </w:r>
      <w:bookmarkEnd w:id="2186"/>
      <w:r>
        <w:rPr>
          <w:color w:val="000000"/>
          <w:spacing w:val="0"/>
          <w:w w:val="100"/>
          <w:position w:val="0"/>
        </w:rPr>
        <w:t>）本期实际核销的其他应收款情况</w:t>
      </w:r>
      <w:bookmarkEnd w:id="2184"/>
      <w:bookmarkEnd w:id="2185"/>
      <w:bookmarkEnd w:id="218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宿舍押金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60"/>
        <w:gridCol w:w="1541"/>
        <w:gridCol w:w="1550"/>
        <w:gridCol w:w="1618"/>
        <w:gridCol w:w="162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王志刚</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宿舍押金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第四届董事会第二 十二次会议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79" w:line="1" w:lineRule="exact"/>
      </w:pPr>
    </w:p>
    <w:p>
      <w:pPr>
        <w:pStyle w:val="Style112"/>
        <w:keepNext w:val="0"/>
        <w:keepLines w:val="0"/>
        <w:widowControl w:val="0"/>
        <w:shd w:val="clear" w:color="auto" w:fill="auto"/>
        <w:tabs>
          <w:tab w:pos="2388" w:val="left"/>
          <w:tab w:pos="3679" w:val="left"/>
        </w:tabs>
        <w:bidi w:val="0"/>
        <w:spacing w:before="0" w:after="180" w:line="240" w:lineRule="auto"/>
        <w:ind w:left="0" w:right="0" w:firstLine="660"/>
        <w:jc w:val="left"/>
      </w:pPr>
      <w:r>
        <w:rPr>
          <w:rFonts w:ascii="SimSun" w:eastAsia="SimSun" w:hAnsi="SimSun" w:cs="SimSun"/>
          <w:color w:val="000000"/>
          <w:spacing w:val="0"/>
          <w:w w:val="100"/>
          <w:position w:val="0"/>
        </w:rPr>
        <w:t>合计</w:t>
        <w:tab/>
      </w:r>
      <w:r>
        <w:rPr>
          <w:color w:val="000000"/>
          <w:spacing w:val="0"/>
          <w:w w:val="100"/>
          <w:position w:val="0"/>
        </w:rPr>
        <w:t>--</w:t>
        <w:tab/>
        <w:t>2,300.00</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124"/>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5</w:t>
      </w:r>
      <w:bookmarkEnd w:id="2190"/>
      <w:r>
        <w:rPr>
          <w:color w:val="000000"/>
          <w:spacing w:val="0"/>
          <w:w w:val="100"/>
          <w:position w:val="0"/>
        </w:rPr>
        <w:t>）按欠款方归集的期末余额前五名的其他应收款情况</w:t>
      </w:r>
      <w:bookmarkEnd w:id="2188"/>
      <w:bookmarkEnd w:id="2189"/>
      <w:bookmarkEnd w:id="219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77"/>
        <w:gridCol w:w="1138"/>
        <w:gridCol w:w="2794"/>
        <w:gridCol w:w="1608"/>
        <w:gridCol w:w="162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6,160,079.00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5,534,079.00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339,303.95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4,160,000.00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4,304,649.39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2,660,760.88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1,643,888.51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759,242.64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4,194,841.08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3,674,900.00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3,444,000.00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年以上 </w:t>
            </w:r>
            <w:r>
              <w:rPr>
                <w:rFonts w:ascii="Times New Roman" w:eastAsia="Times New Roman" w:hAnsi="Times New Roman" w:cs="Times New Roman"/>
                <w:color w:val="000000"/>
                <w:spacing w:val="0"/>
                <w:w w:val="100"/>
                <w:position w:val="0"/>
              </w:rPr>
              <w:t>159,000.00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560,920.00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22,658,469.47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2,989,466.59</w:t>
            </w:r>
          </w:p>
        </w:tc>
      </w:tr>
    </w:tbl>
    <w:p>
      <w:pPr>
        <w:widowControl w:val="0"/>
        <w:spacing w:after="359" w:line="1" w:lineRule="exact"/>
      </w:pPr>
    </w:p>
    <w:p>
      <w:pPr>
        <w:pStyle w:val="Style124"/>
        <w:keepNext/>
        <w:keepLines/>
        <w:widowControl w:val="0"/>
        <w:shd w:val="clear" w:color="auto" w:fill="auto"/>
        <w:tabs>
          <w:tab w:pos="392" w:val="left"/>
        </w:tabs>
        <w:bidi w:val="0"/>
        <w:spacing w:before="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6</w:t>
      </w:r>
      <w:bookmarkEnd w:id="2194"/>
      <w:r>
        <w:rPr>
          <w:color w:val="000000"/>
          <w:spacing w:val="0"/>
          <w:w w:val="100"/>
          <w:position w:val="0"/>
        </w:rPr>
        <w:t>）</w:t>
        <w:tab/>
        <w:t>涉及政府补助的应收款项</w:t>
      </w:r>
      <w:bookmarkEnd w:id="2192"/>
      <w:bookmarkEnd w:id="2193"/>
      <w:bookmarkEnd w:id="219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7</w:t>
      </w:r>
      <w:bookmarkEnd w:id="2198"/>
      <w:r>
        <w:rPr>
          <w:color w:val="000000"/>
          <w:spacing w:val="0"/>
          <w:w w:val="100"/>
          <w:position w:val="0"/>
        </w:rPr>
        <w:t>）</w:t>
        <w:tab/>
        <w:t>因金融资产转移而终止确认的其他应收款</w:t>
      </w:r>
      <w:bookmarkEnd w:id="2196"/>
      <w:bookmarkEnd w:id="2197"/>
      <w:bookmarkEnd w:id="2199"/>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期末无因金融资产转移而终止确认的其他应收款情况。</w:t>
      </w:r>
    </w:p>
    <w:p>
      <w:pPr>
        <w:pStyle w:val="Style124"/>
        <w:keepNext/>
        <w:keepLines/>
        <w:widowControl w:val="0"/>
        <w:shd w:val="clear" w:color="auto" w:fill="auto"/>
        <w:tabs>
          <w:tab w:pos="392" w:val="left"/>
        </w:tabs>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8</w:t>
      </w:r>
      <w:bookmarkEnd w:id="2202"/>
      <w:r>
        <w:rPr>
          <w:color w:val="000000"/>
          <w:spacing w:val="0"/>
          <w:w w:val="100"/>
          <w:position w:val="0"/>
        </w:rPr>
        <w:t>）</w:t>
        <w:tab/>
        <w:t>转移其他应收款且继续涉入形成的资产、负债金额</w:t>
      </w:r>
      <w:bookmarkEnd w:id="2200"/>
      <w:bookmarkEnd w:id="2201"/>
      <w:bookmarkEnd w:id="2203"/>
    </w:p>
    <w:p>
      <w:pPr>
        <w:pStyle w:val="Style4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期末无转移其他应收款且继续涉入形成的资产、负债的金额。</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3</w:t>
      </w:r>
      <w:bookmarkEnd w:id="2206"/>
      <w:r>
        <w:rPr>
          <w:color w:val="000000"/>
          <w:spacing w:val="0"/>
          <w:w w:val="100"/>
          <w:position w:val="0"/>
        </w:rPr>
        <w:t>、长期股权投资</w:t>
      </w:r>
      <w:bookmarkEnd w:id="2204"/>
      <w:bookmarkEnd w:id="2205"/>
      <w:bookmarkEnd w:id="220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3970"/>
        <w:gridCol w:w="376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843"/>
        <w:gridCol w:w="1426"/>
        <w:gridCol w:w="1277"/>
        <w:gridCol w:w="1272"/>
        <w:gridCol w:w="1277"/>
        <w:gridCol w:w="1114"/>
        <w:gridCol w:w="137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987,596,486.59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964,442,486.59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971,844,213.86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948,690,213.86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20,303,807.23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20,303,807.23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17,257,790.83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17,257,790.83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1,007,900,293.82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23,154,000.00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984,746,293.82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989,102,004.69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23,154,000.00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965,948,004.69</w:t>
            </w:r>
          </w:p>
        </w:tc>
      </w:tr>
    </w:tbl>
    <w:p>
      <w:pPr>
        <w:widowControl w:val="0"/>
        <w:spacing w:after="299" w:line="1" w:lineRule="exact"/>
      </w:pPr>
    </w:p>
    <w:p>
      <w:pPr>
        <w:pStyle w:val="Style75"/>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08"/>
      <w:bookmarkEnd w:id="2209"/>
      <w:bookmarkEnd w:id="22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570"/>
        <w:gridCol w:w="1133"/>
        <w:gridCol w:w="994"/>
        <w:gridCol w:w="1277"/>
        <w:gridCol w:w="907"/>
        <w:gridCol w:w="1214"/>
        <w:gridCol w:w="121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677,272.73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5,147,272.73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322,657,994.98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322,657,994.98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1,256,232.00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1,256,232.00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543,199,986.88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543,199,986.88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美亚宏数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美亚智讯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美银智投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美亚天信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美亚榕安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美亚京安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美亚信安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美亚秦安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美亚川安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大田柏科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948,690,213.86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15,752,272.73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964,442,486.59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23,154,000.00</w:t>
            </w:r>
          </w:p>
        </w:tc>
      </w:tr>
    </w:tbl>
    <w:p>
      <w:pPr>
        <w:widowControl w:val="0"/>
        <w:spacing w:after="299" w:line="1" w:lineRule="exact"/>
      </w:pPr>
    </w:p>
    <w:p>
      <w:pPr>
        <w:pStyle w:val="Style75"/>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11"/>
      <w:bookmarkEnd w:id="2212"/>
      <w:bookmarkEnd w:id="22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941"/>
        <w:gridCol w:w="658"/>
        <w:gridCol w:w="619"/>
        <w:gridCol w:w="1133"/>
        <w:gridCol w:w="64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备期末</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941"/>
        <w:gridCol w:w="658"/>
        <w:gridCol w:w="619"/>
        <w:gridCol w:w="1133"/>
        <w:gridCol w:w="648"/>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确认的投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厦门服云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9,614,156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3,565,494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13,179,650.47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厦门正信 世纪信息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1,729,627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-309,121.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1,420,505.48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 亚梧桐投 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716,702.9</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80,395.27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797,098.25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沈阳城市 公共安全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2,029,244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1,744,477.60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厦门本思 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1,168,059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1,161,291.80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厦门市柏 科晔济投 资管理合 伙企业 </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2,000,783.63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17,257,79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3,046,016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20,303,807.23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17,257,79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3,046,016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20,303,807.23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5"/>
        <w:keepNext/>
        <w:keepLines/>
        <w:widowControl w:val="0"/>
        <w:shd w:val="clear" w:color="auto" w:fill="auto"/>
        <w:bidi w:val="0"/>
        <w:spacing w:before="0" w:after="32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14"/>
      <w:bookmarkEnd w:id="2215"/>
      <w:bookmarkEnd w:id="2217"/>
    </w:p>
    <w:p>
      <w:pPr>
        <w:pStyle w:val="Style32"/>
        <w:keepNext/>
        <w:keepLines/>
        <w:widowControl w:val="0"/>
        <w:shd w:val="clear" w:color="auto" w:fill="auto"/>
        <w:bidi w:val="0"/>
        <w:spacing w:before="0" w:after="36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4</w:t>
      </w:r>
      <w:bookmarkEnd w:id="2220"/>
      <w:r>
        <w:rPr>
          <w:color w:val="000000"/>
          <w:spacing w:val="0"/>
          <w:w w:val="100"/>
          <w:position w:val="0"/>
        </w:rPr>
        <w:t>、营业收入和营业成本</w:t>
      </w:r>
      <w:bookmarkEnd w:id="2218"/>
      <w:bookmarkEnd w:id="2219"/>
      <w:bookmarkEnd w:id="222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19"/>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2002"/>
        <w:gridCol w:w="1834"/>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1,599,838,064.90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820,094,594.18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1,471,476,193.20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823,200,513.61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2,906,358.70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4,320,869.12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2,879,610.52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1,602,744,423.60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822,945,664.97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1,475,797,062.32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826,080,124.13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大数据智能化产品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860,676,629.45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860,676,629.45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660,784,044.52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660,784,044.52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网络开源情报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51,694,975.74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51,694,975.74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智能装备制造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4,042,729.19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4,042,729.19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25,546,044.70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25,546,044.70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380,882,554.66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380,882,554.66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864,621,604.91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864,621,604.91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261,006,150.66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261,006,150.66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96,234,113.37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96,234,113.37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966,983,137.59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966,983,137.59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行政执法机关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68,401,324.25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68,401,324.25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528,797,163.67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528,797,163.67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38,562,798.09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38,562,798.09</w:t>
            </w:r>
          </w:p>
        </w:tc>
      </w:tr>
    </w:tbl>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上述尚未履行或尚未履行完毕的履约义务对应的收入确认时间，受客户的合同实施计划时间不确定性影响，可能存在变化, 该数据仅为预估。</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 xml:space="preserve">本报告期末已签订合同、但尚未履行或尚未履行完毕的履约义务所对应的收入金额为953, </w:t>
      </w:r>
      <w:r>
        <w:rPr>
          <w:color w:val="000000"/>
          <w:spacing w:val="0"/>
          <w:w w:val="100"/>
          <w:position w:val="0"/>
        </w:rPr>
        <w:t>852,636.82</w:t>
      </w:r>
      <w:r>
        <w:rPr>
          <w:color w:val="000000"/>
          <w:spacing w:val="0"/>
          <w:w w:val="100"/>
          <w:position w:val="0"/>
        </w:rPr>
        <w:t>元，其中，</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895,772,610.98</w:t>
      </w:r>
      <w:r>
        <w:rPr>
          <w:color w:val="000000"/>
          <w:spacing w:val="0"/>
          <w:w w:val="100"/>
          <w:position w:val="0"/>
        </w:rPr>
        <w:t xml:space="preserve">元预计将于2021年度确认收入，51, 678, </w:t>
      </w:r>
      <w:r>
        <w:rPr>
          <w:color w:val="000000"/>
          <w:spacing w:val="0"/>
          <w:w w:val="100"/>
          <w:position w:val="0"/>
        </w:rPr>
        <w:t xml:space="preserve">068. </w:t>
      </w:r>
      <w:r>
        <w:rPr>
          <w:color w:val="000000"/>
          <w:spacing w:val="0"/>
          <w:w w:val="100"/>
          <w:position w:val="0"/>
        </w:rPr>
        <w:t>07元预计将于2022年度确认收入，</w:t>
      </w:r>
      <w:r>
        <w:rPr>
          <w:color w:val="000000"/>
          <w:spacing w:val="0"/>
          <w:w w:val="100"/>
          <w:position w:val="0"/>
        </w:rPr>
        <w:t>6,401,957.77</w:t>
      </w:r>
      <w:r>
        <w:rPr>
          <w:color w:val="000000"/>
          <w:spacing w:val="0"/>
          <w:w w:val="100"/>
          <w:position w:val="0"/>
        </w:rPr>
        <w:t>元预计将 于2023年及以后年度确认收入。</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上述尚未履行或尚未履行完毕的履约义务对应的收入确认时间，受客户的合同实施计划时间不确定性影响，可能存在变化, 该数据仅为预估。</w:t>
      </w:r>
      <w:r>
        <w:br w:type="page"/>
      </w:r>
    </w:p>
    <w:p>
      <w:pPr>
        <w:pStyle w:val="Style32"/>
        <w:keepNext/>
        <w:keepLines/>
        <w:widowControl w:val="0"/>
        <w:shd w:val="clear" w:color="auto" w:fill="auto"/>
        <w:bidi w:val="0"/>
        <w:spacing w:before="0" w:after="36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5</w:t>
      </w:r>
      <w:bookmarkEnd w:id="2224"/>
      <w:r>
        <w:rPr>
          <w:color w:val="000000"/>
          <w:spacing w:val="0"/>
          <w:w w:val="100"/>
          <w:position w:val="0"/>
        </w:rPr>
        <w:t>、投资收益</w:t>
      </w:r>
      <w:bookmarkEnd w:id="2222"/>
      <w:bookmarkEnd w:id="2223"/>
      <w:bookmarkEnd w:id="222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131"/>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52,673,863.64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3,046,016.40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-435,334.07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1,246,504.35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1,438,319.35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56,966,384.39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1,002,985.28</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6</w:t>
      </w:r>
      <w:bookmarkEnd w:id="2228"/>
      <w:r>
        <w:rPr>
          <w:color w:val="000000"/>
          <w:spacing w:val="0"/>
          <w:w w:val="100"/>
          <w:position w:val="0"/>
        </w:rPr>
        <w:t>、其他</w:t>
      </w:r>
      <w:bookmarkEnd w:id="2226"/>
      <w:bookmarkEnd w:id="2227"/>
      <w:bookmarkEnd w:id="2229"/>
    </w:p>
    <w:p>
      <w:pPr>
        <w:pStyle w:val="Style27"/>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r>
        <w:rPr>
          <w:color w:val="000000"/>
          <w:spacing w:val="0"/>
          <w:w w:val="100"/>
          <w:position w:val="0"/>
          <w:sz w:val="24"/>
          <w:szCs w:val="24"/>
        </w:rPr>
        <w:t>十八、补充资料</w:t>
      </w:r>
      <w:bookmarkEnd w:id="2230"/>
      <w:bookmarkEnd w:id="2231"/>
      <w:bookmarkEnd w:id="2232"/>
    </w:p>
    <w:p>
      <w:pPr>
        <w:pStyle w:val="Style32"/>
        <w:keepNext/>
        <w:keepLines/>
        <w:widowControl w:val="0"/>
        <w:shd w:val="clear" w:color="auto" w:fill="auto"/>
        <w:bidi w:val="0"/>
        <w:spacing w:before="0" w:after="360" w:line="240" w:lineRule="auto"/>
        <w:ind w:left="0" w:right="0" w:firstLine="0"/>
        <w:jc w:val="left"/>
      </w:pPr>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33"/>
      <w:bookmarkEnd w:id="2234"/>
      <w:bookmarkEnd w:id="223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126"/>
        <w:gridCol w:w="234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-568,102.83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45,927,903.68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-3,784,029.08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4,842,494.71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3,177,650.03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33,555,627.03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9"/>
        <w:gridCol w:w="1853"/>
        <w:gridCol w:w="602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35,250,789.81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退税政策为长期的政策，本集团的软件增值税退税属于经常性发生的补助</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36"/>
      <w:bookmarkEnd w:id="2237"/>
      <w:bookmarkEnd w:id="2238"/>
    </w:p>
    <w:tbl>
      <w:tblPr>
        <w:tblOverlap w:val="never"/>
        <w:jc w:val="center"/>
        <w:tblLayout w:type="fixed"/>
      </w:tblPr>
      <w:tblGrid>
        <w:gridCol w:w="2669"/>
        <w:gridCol w:w="2726"/>
        <w:gridCol w:w="2266"/>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bl>
    <w:p>
      <w:pPr>
        <w:widowControl w:val="0"/>
        <w:spacing w:line="1" w:lineRule="exact"/>
      </w:pPr>
    </w:p>
    <w:tbl>
      <w:tblPr>
        <w:tblOverlap w:val="never"/>
        <w:jc w:val="center"/>
        <w:tblLayout w:type="fixed"/>
      </w:tblPr>
      <w:tblGrid>
        <w:gridCol w:w="2669"/>
        <w:gridCol w:w="2726"/>
        <w:gridCol w:w="2266"/>
        <w:gridCol w:w="1925"/>
      </w:tblGrid>
      <w:tr>
        <w:trPr>
          <w:trHeight w:val="37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tabs>
          <w:tab w:pos="404" w:val="left"/>
        </w:tabs>
        <w:bidi w:val="0"/>
        <w:spacing w:before="0" w:after="280" w:line="331" w:lineRule="exact"/>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w:t>
        <w:tab/>
        <w:t>境内外会计准则下会计数据差异</w:t>
      </w:r>
      <w:bookmarkEnd w:id="2239"/>
      <w:bookmarkEnd w:id="2240"/>
      <w:bookmarkEnd w:id="2242"/>
    </w:p>
    <w:p>
      <w:pPr>
        <w:pStyle w:val="Style75"/>
        <w:keepNext/>
        <w:keepLines/>
        <w:widowControl w:val="0"/>
        <w:shd w:val="clear" w:color="auto" w:fill="auto"/>
        <w:tabs>
          <w:tab w:pos="488" w:val="left"/>
        </w:tabs>
        <w:bidi w:val="0"/>
        <w:spacing w:before="0" w:line="331" w:lineRule="exact"/>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43"/>
      <w:bookmarkEnd w:id="2244"/>
      <w:bookmarkEnd w:id="2246"/>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488" w:val="left"/>
        </w:tabs>
        <w:bidi w:val="0"/>
        <w:spacing w:before="0" w:line="331" w:lineRule="exact"/>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w:t>
      </w:r>
      <w:bookmarkEnd w:id="224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47"/>
      <w:bookmarkEnd w:id="2248"/>
      <w:bookmarkEnd w:id="2250"/>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5"/>
        <w:keepNext/>
        <w:keepLines/>
        <w:widowControl w:val="0"/>
        <w:shd w:val="clear" w:color="auto" w:fill="auto"/>
        <w:tabs>
          <w:tab w:pos="589" w:val="left"/>
        </w:tabs>
        <w:bidi w:val="0"/>
        <w:spacing w:before="0" w:after="280" w:line="331" w:lineRule="exact"/>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251"/>
      <w:bookmarkEnd w:id="2252"/>
      <w:bookmarkEnd w:id="2254"/>
    </w:p>
    <w:p>
      <w:pPr>
        <w:pStyle w:val="Style32"/>
        <w:keepNext/>
        <w:keepLines/>
        <w:widowControl w:val="0"/>
        <w:shd w:val="clear" w:color="auto" w:fill="auto"/>
        <w:tabs>
          <w:tab w:pos="404" w:val="left"/>
        </w:tabs>
        <w:bidi w:val="0"/>
        <w:spacing w:before="0" w:after="280" w:line="331" w:lineRule="exact"/>
        <w:ind w:left="0" w:right="0" w:firstLine="0"/>
        <w:jc w:val="left"/>
        <w:sectPr>
          <w:footnotePr>
            <w:pos w:val="pageBottom"/>
            <w:numFmt w:val="decimal"/>
            <w:numRestart w:val="continuous"/>
          </w:footnotePr>
          <w:pgSz w:w="11900" w:h="16840"/>
          <w:pgMar w:top="1244" w:right="1014" w:bottom="1364" w:left="1008" w:header="0" w:footer="3" w:gutter="0"/>
          <w:cols w:space="720"/>
          <w:noEndnote/>
          <w:rtlGutter w:val="0"/>
          <w:docGrid w:linePitch="360"/>
        </w:sectPr>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4</w:t>
      </w:r>
      <w:bookmarkEnd w:id="2257"/>
      <w:r>
        <w:rPr>
          <w:color w:val="000000"/>
          <w:spacing w:val="0"/>
          <w:w w:val="100"/>
          <w:position w:val="0"/>
        </w:rPr>
        <w:t>、</w:t>
        <w:tab/>
        <w:t>其他</w:t>
      </w:r>
      <w:bookmarkEnd w:id="2255"/>
      <w:bookmarkEnd w:id="2256"/>
      <w:bookmarkEnd w:id="2258"/>
    </w:p>
    <w:p>
      <w:pPr>
        <w:pStyle w:val="Style17"/>
        <w:keepNext/>
        <w:keepLines/>
        <w:widowControl w:val="0"/>
        <w:shd w:val="clear" w:color="auto" w:fill="auto"/>
        <w:bidi w:val="0"/>
        <w:spacing w:before="0" w:after="420" w:line="240" w:lineRule="auto"/>
        <w:ind w:left="0" w:right="0" w:firstLine="0"/>
        <w:jc w:val="center"/>
      </w:pPr>
      <w:bookmarkStart w:id="2259" w:name="bookmark2259"/>
      <w:bookmarkStart w:id="2260" w:name="bookmark2260"/>
      <w:bookmarkStart w:id="2261" w:name="bookmark2261"/>
      <w:r>
        <w:rPr>
          <w:color w:val="000000"/>
          <w:spacing w:val="0"/>
          <w:w w:val="100"/>
          <w:position w:val="0"/>
        </w:rPr>
        <w:t>第十三节备查文件目录</w:t>
      </w:r>
      <w:bookmarkEnd w:id="2259"/>
      <w:bookmarkEnd w:id="2260"/>
      <w:bookmarkEnd w:id="2261"/>
    </w:p>
    <w:p>
      <w:pPr>
        <w:pStyle w:val="Style44"/>
        <w:keepNext w:val="0"/>
        <w:keepLines w:val="0"/>
        <w:widowControl w:val="0"/>
        <w:shd w:val="clear" w:color="auto" w:fill="auto"/>
        <w:tabs>
          <w:tab w:pos="891" w:val="left"/>
        </w:tabs>
        <w:bidi w:val="0"/>
        <w:spacing w:before="0" w:after="120" w:line="466" w:lineRule="exact"/>
        <w:ind w:left="0" w:right="0" w:firstLine="440"/>
        <w:jc w:val="left"/>
      </w:pPr>
      <w:bookmarkStart w:id="2262" w:name="bookmark2262"/>
      <w:bookmarkStart w:id="2263" w:name="bookmark2263"/>
      <w:r>
        <w:rPr>
          <w:color w:val="000000"/>
          <w:spacing w:val="0"/>
          <w:w w:val="100"/>
          <w:position w:val="0"/>
        </w:rPr>
        <w:t>一</w:t>
      </w:r>
      <w:bookmarkEnd w:id="2263"/>
      <w:r>
        <w:rPr>
          <w:color w:val="000000"/>
          <w:spacing w:val="0"/>
          <w:w w:val="100"/>
          <w:position w:val="0"/>
        </w:rPr>
        <w:t>、</w:t>
        <w:tab/>
        <w:t>公司法定代表人、主管会计工作负责人、会计机构负责人（会计主管人员）签名并盖章的财务报 表。</w:t>
      </w:r>
      <w:bookmarkEnd w:id="2262"/>
    </w:p>
    <w:p>
      <w:pPr>
        <w:pStyle w:val="Style44"/>
        <w:keepNext w:val="0"/>
        <w:keepLines w:val="0"/>
        <w:widowControl w:val="0"/>
        <w:shd w:val="clear" w:color="auto" w:fill="auto"/>
        <w:tabs>
          <w:tab w:pos="909" w:val="left"/>
        </w:tabs>
        <w:bidi w:val="0"/>
        <w:spacing w:before="0" w:after="120" w:line="466" w:lineRule="exact"/>
        <w:ind w:left="0" w:right="0" w:firstLine="440"/>
        <w:jc w:val="left"/>
      </w:pPr>
      <w:bookmarkStart w:id="2264" w:name="bookmark2264"/>
      <w:r>
        <w:rPr>
          <w:color w:val="000000"/>
          <w:spacing w:val="0"/>
          <w:w w:val="100"/>
          <w:position w:val="0"/>
        </w:rPr>
        <w:t>二</w:t>
      </w:r>
      <w:bookmarkEnd w:id="2264"/>
      <w:r>
        <w:rPr>
          <w:color w:val="000000"/>
          <w:spacing w:val="0"/>
          <w:w w:val="100"/>
          <w:position w:val="0"/>
        </w:rPr>
        <w:t>、</w:t>
        <w:tab/>
        <w:t>会计师事务所盖章、注册会计师签名并盖章的审计报告原件。</w:t>
      </w:r>
    </w:p>
    <w:p>
      <w:pPr>
        <w:pStyle w:val="Style44"/>
        <w:keepNext w:val="0"/>
        <w:keepLines w:val="0"/>
        <w:widowControl w:val="0"/>
        <w:shd w:val="clear" w:color="auto" w:fill="auto"/>
        <w:tabs>
          <w:tab w:pos="914" w:val="left"/>
        </w:tabs>
        <w:bidi w:val="0"/>
        <w:spacing w:before="0" w:after="120" w:line="466" w:lineRule="exact"/>
        <w:ind w:left="0" w:right="0" w:firstLine="440"/>
        <w:jc w:val="left"/>
      </w:pPr>
      <w:bookmarkStart w:id="2265" w:name="bookmark2265"/>
      <w:r>
        <w:rPr>
          <w:color w:val="000000"/>
          <w:spacing w:val="0"/>
          <w:w w:val="100"/>
          <w:position w:val="0"/>
        </w:rPr>
        <w:t>三</w:t>
      </w:r>
      <w:bookmarkEnd w:id="2265"/>
      <w:r>
        <w:rPr>
          <w:color w:val="000000"/>
          <w:spacing w:val="0"/>
          <w:w w:val="100"/>
          <w:position w:val="0"/>
        </w:rPr>
        <w:t>、</w:t>
        <w:tab/>
        <w:t>报告期内在中国证监会指定网站上公开披露过的本公司所有文件的正本及公告的原稿。</w:t>
      </w:r>
    </w:p>
    <w:p>
      <w:pPr>
        <w:pStyle w:val="Style44"/>
        <w:keepNext w:val="0"/>
        <w:keepLines w:val="0"/>
        <w:widowControl w:val="0"/>
        <w:shd w:val="clear" w:color="auto" w:fill="auto"/>
        <w:tabs>
          <w:tab w:pos="914" w:val="left"/>
        </w:tabs>
        <w:bidi w:val="0"/>
        <w:spacing w:before="0" w:after="120" w:line="466" w:lineRule="exact"/>
        <w:ind w:left="0" w:right="0" w:firstLine="440"/>
        <w:jc w:val="left"/>
      </w:pPr>
      <w:bookmarkStart w:id="2266" w:name="bookmark2266"/>
      <w:r>
        <w:rPr>
          <w:color w:val="000000"/>
          <w:spacing w:val="0"/>
          <w:w w:val="100"/>
          <w:position w:val="0"/>
        </w:rPr>
        <w:t>四</w:t>
      </w:r>
      <w:bookmarkEnd w:id="2266"/>
      <w:r>
        <w:rPr>
          <w:color w:val="000000"/>
          <w:spacing w:val="0"/>
          <w:w w:val="100"/>
          <w:position w:val="0"/>
        </w:rPr>
        <w:t>、</w:t>
        <w:tab/>
        <w:t>公司法定代表人签名的2020年年度报告全文及其摘要。</w:t>
      </w:r>
    </w:p>
    <w:p>
      <w:pPr>
        <w:pStyle w:val="Style44"/>
        <w:keepNext w:val="0"/>
        <w:keepLines w:val="0"/>
        <w:widowControl w:val="0"/>
        <w:shd w:val="clear" w:color="auto" w:fill="auto"/>
        <w:tabs>
          <w:tab w:pos="914" w:val="left"/>
        </w:tabs>
        <w:bidi w:val="0"/>
        <w:spacing w:before="0" w:after="120" w:line="466" w:lineRule="exact"/>
        <w:ind w:left="0" w:right="0" w:firstLine="440"/>
        <w:jc w:val="left"/>
      </w:pPr>
      <w:bookmarkStart w:id="2267" w:name="bookmark2267"/>
      <w:r>
        <w:rPr>
          <w:color w:val="000000"/>
          <w:spacing w:val="0"/>
          <w:w w:val="100"/>
          <w:position w:val="0"/>
        </w:rPr>
        <w:t>五</w:t>
      </w:r>
      <w:bookmarkEnd w:id="2267"/>
      <w:r>
        <w:rPr>
          <w:color w:val="000000"/>
          <w:spacing w:val="0"/>
          <w:w w:val="100"/>
          <w:position w:val="0"/>
        </w:rPr>
        <w:t>、</w:t>
        <w:tab/>
        <w:t>其他相关资料。</w:t>
      </w:r>
    </w:p>
    <w:p>
      <w:pPr>
        <w:pStyle w:val="Style44"/>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657" w:right="1109"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6735445</wp:posOffset>
              </wp:positionH>
              <wp:positionV relativeFrom="page">
                <wp:posOffset>9958070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35000000000002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10190480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802.3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4050030</wp:posOffset>
              </wp:positionH>
              <wp:positionV relativeFrom="page">
                <wp:posOffset>541020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90000000000003pt;margin-top:42.600000000000001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4044950</wp:posOffset>
              </wp:positionH>
              <wp:positionV relativeFrom="page">
                <wp:posOffset>541020</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18.5pt;margin-top:42.600000000000001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3.95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 (4)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8"/>
      <w:szCs w:val="18"/>
      <w:u w:val="none"/>
      <w:shd w:val="clear" w:color="auto" w:fill="auto"/>
    </w:rPr>
  </w:style>
  <w:style w:type="character" w:customStyle="1" w:styleId="CharStyle40">
    <w:name w:val="图片标题 (2)_"/>
    <w:basedOn w:val="DefaultParagraphFont"/>
    <w:link w:val="Style39"/>
    <w:rPr>
      <w:rFonts w:ascii="SimHei" w:eastAsia="SimHei" w:hAnsi="SimHei" w:cs="SimHei"/>
      <w:b w:val="0"/>
      <w:bCs w:val="0"/>
      <w:i w:val="0"/>
      <w:iCs w:val="0"/>
      <w:smallCaps w:val="0"/>
      <w:strike w:val="0"/>
      <w:color w:val="EBEBEB"/>
      <w:sz w:val="13"/>
      <w:szCs w:val="13"/>
      <w:u w:val="none"/>
      <w:shd w:val="clear" w:color="auto" w:fill="auto"/>
    </w:rPr>
  </w:style>
  <w:style w:type="character" w:customStyle="1" w:styleId="CharStyle42">
    <w:name w:val="图片标题_"/>
    <w:basedOn w:val="DefaultParagraphFont"/>
    <w:link w:val="Style41"/>
    <w:rPr>
      <w:rFonts w:ascii="SimHei" w:eastAsia="SimHei" w:hAnsi="SimHei" w:cs="SimHei"/>
      <w:b w:val="0"/>
      <w:bCs w:val="0"/>
      <w:i w:val="0"/>
      <w:iCs w:val="0"/>
      <w:smallCaps w:val="0"/>
      <w:strike w:val="0"/>
      <w:color w:val="4E4E4E"/>
      <w:sz w:val="10"/>
      <w:szCs w:val="10"/>
      <w:u w:val="none"/>
      <w:shd w:val="clear" w:color="auto" w:fill="auto"/>
    </w:rPr>
  </w:style>
  <w:style w:type="character" w:customStyle="1" w:styleId="CharStyle45">
    <w:name w:val="正文文本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正文文本 (3)_"/>
    <w:basedOn w:val="DefaultParagraphFont"/>
    <w:link w:val="Style56"/>
    <w:rPr>
      <w:rFonts w:ascii="SimSun" w:eastAsia="SimSun" w:hAnsi="SimSun" w:cs="SimSun"/>
      <w:b w:val="0"/>
      <w:bCs w:val="0"/>
      <w:i w:val="0"/>
      <w:iCs w:val="0"/>
      <w:smallCaps w:val="0"/>
      <w:strike w:val="0"/>
      <w:u w:val="none"/>
      <w:shd w:val="clear" w:color="auto" w:fill="auto"/>
    </w:rPr>
  </w:style>
  <w:style w:type="character" w:customStyle="1" w:styleId="CharStyle76">
    <w:name w:val="标题 #4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113">
    <w:name w:val="正文文本 (7)_"/>
    <w:basedOn w:val="DefaultParagraphFont"/>
    <w:link w:val="Style11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5">
    <w:name w:val="标题 #5_"/>
    <w:basedOn w:val="DefaultParagraphFont"/>
    <w:link w:val="Style124"/>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27">
    <w:name w:val="标题 #2"/>
    <w:basedOn w:val="Normal"/>
    <w:link w:val="CharStyle28"/>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4)"/>
    <w:basedOn w:val="Normal"/>
    <w:link w:val="CharStyle30"/>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3"/>
    <w:basedOn w:val="Normal"/>
    <w:link w:val="CharStyle33"/>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9">
    <w:name w:val="图片标题 (2)"/>
    <w:basedOn w:val="Normal"/>
    <w:link w:val="CharStyle40"/>
    <w:pPr>
      <w:widowControl w:val="0"/>
      <w:shd w:val="clear" w:color="auto" w:fill="auto"/>
    </w:pPr>
    <w:rPr>
      <w:rFonts w:ascii="SimHei" w:eastAsia="SimHei" w:hAnsi="SimHei" w:cs="SimHei"/>
      <w:b w:val="0"/>
      <w:bCs w:val="0"/>
      <w:i w:val="0"/>
      <w:iCs w:val="0"/>
      <w:smallCaps w:val="0"/>
      <w:strike w:val="0"/>
      <w:color w:val="EBEBEB"/>
      <w:sz w:val="13"/>
      <w:szCs w:val="13"/>
      <w:u w:val="none"/>
      <w:shd w:val="clear" w:color="auto" w:fill="auto"/>
    </w:rPr>
  </w:style>
  <w:style w:type="paragraph" w:customStyle="1" w:styleId="Style41">
    <w:name w:val="图片标题"/>
    <w:basedOn w:val="Normal"/>
    <w:link w:val="CharStyle42"/>
    <w:pPr>
      <w:widowControl w:val="0"/>
      <w:shd w:val="clear" w:color="auto" w:fill="auto"/>
      <w:spacing w:line="115" w:lineRule="exact"/>
    </w:pPr>
    <w:rPr>
      <w:rFonts w:ascii="SimHei" w:eastAsia="SimHei" w:hAnsi="SimHei" w:cs="SimHei"/>
      <w:b w:val="0"/>
      <w:bCs w:val="0"/>
      <w:i w:val="0"/>
      <w:iCs w:val="0"/>
      <w:smallCaps w:val="0"/>
      <w:strike w:val="0"/>
      <w:color w:val="4E4E4E"/>
      <w:sz w:val="10"/>
      <w:szCs w:val="10"/>
      <w:u w:val="none"/>
      <w:shd w:val="clear" w:color="auto" w:fill="auto"/>
    </w:rPr>
  </w:style>
  <w:style w:type="paragraph" w:customStyle="1" w:styleId="Style44">
    <w:name w:val="正文文本"/>
    <w:basedOn w:val="Normal"/>
    <w:link w:val="CharStyle4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正文文本 (3)"/>
    <w:basedOn w:val="Normal"/>
    <w:link w:val="CharStyle57"/>
    <w:pPr>
      <w:widowControl w:val="0"/>
      <w:shd w:val="clear" w:color="auto" w:fill="auto"/>
      <w:spacing w:after="40" w:line="467" w:lineRule="exact"/>
      <w:ind w:left="520" w:firstLine="480"/>
    </w:pPr>
    <w:rPr>
      <w:rFonts w:ascii="SimSun" w:eastAsia="SimSun" w:hAnsi="SimSun" w:cs="SimSun"/>
      <w:b w:val="0"/>
      <w:bCs w:val="0"/>
      <w:i w:val="0"/>
      <w:iCs w:val="0"/>
      <w:smallCaps w:val="0"/>
      <w:strike w:val="0"/>
      <w:u w:val="none"/>
      <w:shd w:val="clear" w:color="auto" w:fill="auto"/>
    </w:rPr>
  </w:style>
  <w:style w:type="paragraph" w:customStyle="1" w:styleId="Style75">
    <w:name w:val="标题 #4"/>
    <w:basedOn w:val="Normal"/>
    <w:link w:val="CharStyle76"/>
    <w:pPr>
      <w:widowControl w:val="0"/>
      <w:shd w:val="clear" w:color="auto" w:fill="auto"/>
      <w:spacing w:after="360" w:line="36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12">
    <w:name w:val="正文文本 (7)"/>
    <w:basedOn w:val="Normal"/>
    <w:link w:val="CharStyle113"/>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4">
    <w:name w:val="标题 #5"/>
    <w:basedOn w:val="Normal"/>
    <w:link w:val="CharStyle12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s>
</file>

<file path=docProps/core.xml><?xml version="1.0" encoding="utf-8"?>
<cp:coreProperties xmlns:cp="http://schemas.openxmlformats.org/package/2006/metadata/core-properties" xmlns:dc="http://purl.org/dc/elements/1.1/">
  <dc:title>厦门市美亚柏科信息股份有限公司2020年年度报告全文</dc:title>
  <dc:subject/>
  <dc:creator>厦门市美亚柏科信息股份有限公司</dc:creator>
  <cp:keywords/>
</cp:coreProperties>
</file>