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0.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11.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3"/>
          <w:szCs w:val="23"/>
        </w:rPr>
      </w:pPr>
    </w:p>
    <w:p>
      <w:pPr>
        <w:spacing w:line="460" w:lineRule="exact" w:before="0"/>
        <w:ind w:left="1130" w:right="1130" w:firstLine="0"/>
        <w:jc w:val="center"/>
        <w:rPr>
          <w:rFonts w:ascii="宋体" w:hAnsi="宋体" w:cs="宋体" w:eastAsia="宋体" w:hint="default"/>
          <w:sz w:val="36"/>
          <w:szCs w:val="36"/>
        </w:rPr>
      </w:pPr>
      <w:r>
        <w:rPr>
          <w:rFonts w:ascii="宋体" w:hAnsi="宋体" w:cs="宋体" w:eastAsia="宋体" w:hint="default"/>
          <w:b/>
          <w:bCs/>
          <w:sz w:val="36"/>
          <w:szCs w:val="36"/>
        </w:rPr>
        <w:t>武汉天喻信息产业股份有限公司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1130" w:right="1130" w:firstLine="0"/>
        <w:jc w:val="center"/>
        <w:rPr>
          <w:rFonts w:ascii="宋体" w:hAnsi="宋体" w:cs="宋体" w:eastAsia="宋体" w:hint="default"/>
          <w:sz w:val="32"/>
          <w:szCs w:val="32"/>
        </w:rPr>
      </w:pPr>
      <w:r>
        <w:rPr>
          <w:rFonts w:ascii="宋体" w:hAnsi="宋体" w:cs="宋体" w:eastAsia="宋体" w:hint="default"/>
          <w:b/>
          <w:bCs/>
          <w:sz w:val="32"/>
          <w:szCs w:val="32"/>
        </w:rPr>
        <w:t>2015</w:t>
      </w:r>
      <w:r>
        <w:rPr>
          <w:rFonts w:ascii="宋体" w:hAnsi="宋体" w:cs="宋体" w:eastAsia="宋体" w:hint="default"/>
          <w:b/>
          <w:bCs/>
          <w:spacing w:val="-86"/>
          <w:sz w:val="32"/>
          <w:szCs w:val="32"/>
        </w:rPr>
        <w:t> </w:t>
      </w:r>
      <w:r>
        <w:rPr>
          <w:rFonts w:ascii="宋体" w:hAnsi="宋体" w:cs="宋体" w:eastAsia="宋体" w:hint="default"/>
          <w:b/>
          <w:bCs/>
          <w:sz w:val="32"/>
          <w:szCs w:val="32"/>
        </w:rPr>
        <w:t>年度报告</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2"/>
          <w:szCs w:val="22"/>
        </w:rPr>
      </w:pPr>
    </w:p>
    <w:p>
      <w:pPr>
        <w:spacing w:line="1543" w:lineRule="exact"/>
        <w:ind w:left="4438" w:right="0" w:firstLine="0"/>
        <w:rPr>
          <w:rFonts w:ascii="宋体" w:hAnsi="宋体" w:cs="宋体" w:eastAsia="宋体" w:hint="default"/>
          <w:sz w:val="20"/>
          <w:szCs w:val="20"/>
        </w:rPr>
      </w:pPr>
      <w:r>
        <w:rPr>
          <w:rFonts w:ascii="宋体" w:hAnsi="宋体" w:cs="宋体" w:eastAsia="宋体" w:hint="default"/>
          <w:position w:val="-30"/>
          <w:sz w:val="20"/>
          <w:szCs w:val="20"/>
        </w:rPr>
        <w:drawing>
          <wp:inline distT="0" distB="0" distL="0" distR="0">
            <wp:extent cx="1912108" cy="979836"/>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6" cstate="print"/>
                    <a:stretch>
                      <a:fillRect/>
                    </a:stretch>
                  </pic:blipFill>
                  <pic:spPr>
                    <a:xfrm>
                      <a:off x="0" y="0"/>
                      <a:ext cx="1912108" cy="979836"/>
                    </a:xfrm>
                    <a:prstGeom prst="rect">
                      <a:avLst/>
                    </a:prstGeom>
                  </pic:spPr>
                </pic:pic>
              </a:graphicData>
            </a:graphic>
          </wp:inline>
        </w:drawing>
      </w:r>
      <w:r>
        <w:rPr>
          <w:rFonts w:ascii="宋体" w:hAnsi="宋体" w:cs="宋体" w:eastAsia="宋体" w:hint="default"/>
          <w:position w:val="-30"/>
          <w:sz w:val="20"/>
          <w:szCs w:val="20"/>
        </w:rPr>
      </w:r>
    </w:p>
    <w:p>
      <w:pPr>
        <w:spacing w:line="240" w:lineRule="auto" w:before="0"/>
        <w:rPr>
          <w:rFonts w:ascii="宋体" w:hAnsi="宋体" w:cs="宋体" w:eastAsia="宋体" w:hint="default"/>
          <w:b/>
          <w:bCs/>
          <w:sz w:val="32"/>
          <w:szCs w:val="32"/>
        </w:rPr>
      </w:pPr>
    </w:p>
    <w:p>
      <w:pPr>
        <w:spacing w:line="240" w:lineRule="auto" w:before="10"/>
        <w:rPr>
          <w:rFonts w:ascii="宋体" w:hAnsi="宋体" w:cs="宋体" w:eastAsia="宋体" w:hint="default"/>
          <w:b/>
          <w:bCs/>
          <w:sz w:val="41"/>
          <w:szCs w:val="41"/>
        </w:rPr>
      </w:pPr>
    </w:p>
    <w:p>
      <w:pPr>
        <w:spacing w:before="0"/>
        <w:ind w:left="1131" w:right="1130" w:firstLine="0"/>
        <w:jc w:val="center"/>
        <w:rPr>
          <w:rFonts w:ascii="宋体" w:hAnsi="宋体" w:cs="宋体" w:eastAsia="宋体" w:hint="default"/>
          <w:sz w:val="32"/>
          <w:szCs w:val="32"/>
        </w:rPr>
      </w:pPr>
      <w:r>
        <w:rPr>
          <w:rFonts w:ascii="宋体" w:hAnsi="宋体" w:cs="宋体" w:eastAsia="宋体" w:hint="default"/>
          <w:b/>
          <w:bCs/>
          <w:sz w:val="32"/>
          <w:szCs w:val="32"/>
        </w:rPr>
        <w:t>2016</w:t>
      </w:r>
      <w:r>
        <w:rPr>
          <w:rFonts w:ascii="宋体" w:hAnsi="宋体" w:cs="宋体" w:eastAsia="宋体" w:hint="default"/>
          <w:b/>
          <w:bCs/>
          <w:spacing w:val="-81"/>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宋体" w:hAnsi="宋体" w:cs="宋体" w:eastAsia="宋体" w:hint="default"/>
          <w:b/>
          <w:bCs/>
          <w:sz w:val="32"/>
          <w:szCs w:val="32"/>
        </w:rPr>
        <w:t>4</w:t>
      </w:r>
      <w:r>
        <w:rPr>
          <w:rFonts w:ascii="宋体" w:hAnsi="宋体" w:cs="宋体" w:eastAsia="宋体" w:hint="default"/>
          <w:b/>
          <w:bCs/>
          <w:spacing w:val="-8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footerReference w:type="default" r:id="rId5"/>
          <w:type w:val="continuous"/>
          <w:pgSz w:w="11910" w:h="16840"/>
          <w:pgMar w:footer="640" w:top="1580" w:bottom="84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Heading1"/>
        <w:spacing w:line="240" w:lineRule="auto"/>
        <w:ind w:left="378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134"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真实、准确、完整，不存在虚假记载、误导性陈述或重大遗漏，并承担个别和</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410" w:lineRule="auto" w:before="161"/>
        <w:ind w:left="1134" w:right="1132" w:firstLine="562"/>
        <w:jc w:val="both"/>
        <w:rPr>
          <w:rFonts w:ascii="宋体" w:hAnsi="宋体" w:cs="宋体" w:eastAsia="宋体" w:hint="default"/>
          <w:sz w:val="28"/>
          <w:szCs w:val="28"/>
        </w:rPr>
      </w:pPr>
      <w:r>
        <w:rPr>
          <w:rFonts w:ascii="宋体" w:hAnsi="宋体" w:cs="宋体" w:eastAsia="宋体" w:hint="default"/>
          <w:b/>
          <w:bCs/>
          <w:spacing w:val="-1"/>
          <w:w w:val="95"/>
          <w:sz w:val="28"/>
          <w:szCs w:val="28"/>
        </w:rPr>
        <w:t>公司负责人张新访、主管会计工作负责人孙静及会计机构负责人</w:t>
      </w:r>
      <w:r>
        <w:rPr>
          <w:rFonts w:ascii="宋体" w:hAnsi="宋体" w:cs="宋体" w:eastAsia="宋体" w:hint="default"/>
          <w:b/>
          <w:bCs/>
          <w:spacing w:val="-1"/>
          <w:w w:val="95"/>
          <w:sz w:val="28"/>
          <w:szCs w:val="28"/>
        </w:rPr>
        <w:t>(</w:t>
      </w:r>
      <w:r>
        <w:rPr>
          <w:rFonts w:ascii="宋体" w:hAnsi="宋体" w:cs="宋体" w:eastAsia="宋体" w:hint="default"/>
          <w:b/>
          <w:bCs/>
          <w:spacing w:val="-1"/>
          <w:w w:val="95"/>
          <w:sz w:val="28"/>
          <w:szCs w:val="28"/>
        </w:rPr>
        <w:t>会计主管</w:t>
      </w:r>
      <w:r>
        <w:rPr>
          <w:rFonts w:ascii="宋体" w:hAnsi="宋体" w:cs="宋体" w:eastAsia="宋体" w:hint="default"/>
          <w:b/>
          <w:bCs/>
          <w:spacing w:val="1"/>
          <w:w w:val="99"/>
          <w:sz w:val="28"/>
          <w:szCs w:val="28"/>
        </w:rPr>
        <w:t> </w:t>
      </w:r>
      <w:r>
        <w:rPr>
          <w:rFonts w:ascii="宋体" w:hAnsi="宋体" w:cs="宋体" w:eastAsia="宋体" w:hint="default"/>
          <w:b/>
          <w:bCs/>
          <w:sz w:val="28"/>
          <w:szCs w:val="28"/>
        </w:rPr>
        <w:t>人员</w:t>
      </w:r>
      <w:r>
        <w:rPr>
          <w:rFonts w:ascii="宋体" w:hAnsi="宋体" w:cs="宋体" w:eastAsia="宋体" w:hint="default"/>
          <w:b/>
          <w:bCs/>
          <w:sz w:val="28"/>
          <w:szCs w:val="28"/>
        </w:rPr>
        <w:t>)</w:t>
      </w:r>
      <w:r>
        <w:rPr>
          <w:rFonts w:ascii="宋体" w:hAnsi="宋体" w:cs="宋体" w:eastAsia="宋体" w:hint="default"/>
          <w:b/>
          <w:bCs/>
          <w:sz w:val="28"/>
          <w:szCs w:val="28"/>
        </w:rPr>
        <w:t>张艳菊声明：保证年度报告中财务报告的真实、准确、完整。</w:t>
      </w:r>
      <w:r>
        <w:rPr>
          <w:rFonts w:ascii="宋体" w:hAnsi="宋体" w:cs="宋体" w:eastAsia="宋体" w:hint="default"/>
          <w:sz w:val="28"/>
          <w:szCs w:val="28"/>
        </w:rPr>
      </w:r>
    </w:p>
    <w:p>
      <w:pPr>
        <w:spacing w:before="158"/>
        <w:ind w:left="1696" w:right="0" w:firstLine="0"/>
        <w:jc w:val="left"/>
        <w:rPr>
          <w:rFonts w:ascii="宋体" w:hAnsi="宋体" w:cs="宋体" w:eastAsia="宋体" w:hint="default"/>
          <w:sz w:val="28"/>
          <w:szCs w:val="28"/>
        </w:rPr>
      </w:pPr>
      <w:r>
        <w:rPr>
          <w:rFonts w:ascii="宋体" w:hAnsi="宋体" w:cs="宋体" w:eastAsia="宋体" w:hint="default"/>
          <w:b/>
          <w:bCs/>
          <w:sz w:val="28"/>
          <w:szCs w:val="28"/>
        </w:rPr>
        <w:t>除下列董事外，其他董事亲自出席了审议本次年报的董事会会议：</w:t>
      </w:r>
      <w:r>
        <w:rPr>
          <w:rFonts w:ascii="宋体" w:hAnsi="宋体" w:cs="宋体" w:eastAsia="宋体" w:hint="default"/>
          <w:sz w:val="28"/>
          <w:szCs w:val="28"/>
        </w:rPr>
      </w:r>
    </w:p>
    <w:p>
      <w:pPr>
        <w:spacing w:line="240" w:lineRule="auto" w:before="10"/>
        <w:rPr>
          <w:rFonts w:ascii="宋体" w:hAnsi="宋体" w:cs="宋体" w:eastAsia="宋体" w:hint="default"/>
          <w:b/>
          <w:bCs/>
          <w:sz w:val="20"/>
          <w:szCs w:val="20"/>
        </w:rPr>
      </w:pPr>
    </w:p>
    <w:tbl>
      <w:tblPr>
        <w:tblW w:w="0" w:type="auto"/>
        <w:jc w:val="left"/>
        <w:tblInd w:w="1129" w:type="dxa"/>
        <w:tblLayout w:type="fixed"/>
        <w:tblCellMar>
          <w:top w:w="0" w:type="dxa"/>
          <w:left w:w="0" w:type="dxa"/>
          <w:bottom w:w="0" w:type="dxa"/>
          <w:right w:w="0" w:type="dxa"/>
        </w:tblCellMar>
        <w:tblLook w:val="01E0"/>
      </w:tblPr>
      <w:tblGrid>
        <w:gridCol w:w="2936"/>
        <w:gridCol w:w="2211"/>
        <w:gridCol w:w="2212"/>
        <w:gridCol w:w="2210"/>
      </w:tblGrid>
      <w:tr>
        <w:trPr>
          <w:trHeight w:val="402"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未亲自出席董事姓名</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未亲自出席董事职务</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未亲自出席会议原因</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被委托人姓名</w:t>
            </w:r>
          </w:p>
        </w:tc>
      </w:tr>
      <w:tr>
        <w:trPr>
          <w:trHeight w:val="403"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李科</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工作原因</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武力</w:t>
            </w:r>
          </w:p>
        </w:tc>
      </w:tr>
    </w:tbl>
    <w:p>
      <w:pPr>
        <w:spacing w:line="240" w:lineRule="auto" w:before="2"/>
        <w:rPr>
          <w:rFonts w:ascii="宋体" w:hAnsi="宋体" w:cs="宋体" w:eastAsia="宋体" w:hint="default"/>
          <w:b/>
          <w:bCs/>
          <w:sz w:val="13"/>
          <w:szCs w:val="13"/>
        </w:rPr>
      </w:pPr>
    </w:p>
    <w:p>
      <w:pPr>
        <w:spacing w:line="408" w:lineRule="auto" w:before="13"/>
        <w:ind w:left="113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本报告所涉及的公司发展战略、经营计划等前瞻性陈述，不构成公司对投</w:t>
      </w:r>
      <w:r>
        <w:rPr>
          <w:rFonts w:ascii="宋体" w:hAnsi="宋体" w:cs="宋体" w:eastAsia="宋体" w:hint="default"/>
          <w:b/>
          <w:bCs/>
          <w:w w:val="99"/>
          <w:sz w:val="28"/>
          <w:szCs w:val="28"/>
        </w:rPr>
        <w:t> </w:t>
      </w:r>
      <w:r>
        <w:rPr>
          <w:rFonts w:ascii="宋体" w:hAnsi="宋体" w:cs="宋体" w:eastAsia="宋体" w:hint="default"/>
          <w:b/>
          <w:bCs/>
          <w:sz w:val="28"/>
          <w:szCs w:val="28"/>
        </w:rPr>
        <w:t>资者及相关人士的实质承诺，敬请投资者注意投资风险。</w:t>
      </w:r>
      <w:r>
        <w:rPr>
          <w:rFonts w:ascii="宋体" w:hAnsi="宋体" w:cs="宋体" w:eastAsia="宋体" w:hint="default"/>
          <w:sz w:val="28"/>
          <w:szCs w:val="28"/>
        </w:rPr>
      </w:r>
    </w:p>
    <w:p>
      <w:pPr>
        <w:spacing w:line="408" w:lineRule="auto" w:before="160"/>
        <w:ind w:left="1133" w:right="1135" w:firstLine="562"/>
        <w:jc w:val="both"/>
        <w:rPr>
          <w:rFonts w:ascii="宋体" w:hAnsi="宋体" w:cs="宋体" w:eastAsia="宋体" w:hint="default"/>
          <w:sz w:val="28"/>
          <w:szCs w:val="28"/>
        </w:rPr>
      </w:pPr>
      <w:r>
        <w:rPr>
          <w:rFonts w:ascii="宋体" w:hAnsi="宋体" w:cs="宋体" w:eastAsia="宋体" w:hint="default"/>
          <w:b/>
          <w:bCs/>
          <w:sz w:val="28"/>
          <w:szCs w:val="28"/>
        </w:rPr>
        <w:t>2016</w:t>
      </w:r>
      <w:r>
        <w:rPr>
          <w:rFonts w:ascii="宋体" w:hAnsi="宋体" w:cs="宋体" w:eastAsia="宋体" w:hint="default"/>
          <w:b/>
          <w:bCs/>
          <w:spacing w:val="-59"/>
          <w:sz w:val="28"/>
          <w:szCs w:val="28"/>
        </w:rPr>
        <w:t> </w:t>
      </w:r>
      <w:r>
        <w:rPr>
          <w:rFonts w:ascii="宋体" w:hAnsi="宋体" w:cs="宋体" w:eastAsia="宋体" w:hint="default"/>
          <w:b/>
          <w:bCs/>
          <w:sz w:val="28"/>
          <w:szCs w:val="28"/>
        </w:rPr>
        <w:t>年公司存在盈利增长不足的风险。</w:t>
      </w:r>
      <w:r>
        <w:rPr>
          <w:rFonts w:ascii="宋体" w:hAnsi="宋体" w:cs="宋体" w:eastAsia="宋体" w:hint="default"/>
          <w:b/>
          <w:bCs/>
          <w:sz w:val="28"/>
          <w:szCs w:val="28"/>
        </w:rPr>
        <w:t>2016</w:t>
      </w:r>
      <w:r>
        <w:rPr>
          <w:rFonts w:ascii="宋体" w:hAnsi="宋体" w:cs="宋体" w:eastAsia="宋体" w:hint="default"/>
          <w:b/>
          <w:bCs/>
          <w:spacing w:val="-59"/>
          <w:sz w:val="28"/>
          <w:szCs w:val="28"/>
        </w:rPr>
        <w:t> </w:t>
      </w:r>
      <w:r>
        <w:rPr>
          <w:rFonts w:ascii="宋体" w:hAnsi="宋体" w:cs="宋体" w:eastAsia="宋体" w:hint="default"/>
          <w:b/>
          <w:bCs/>
          <w:sz w:val="28"/>
          <w:szCs w:val="28"/>
        </w:rPr>
        <w:t>年金融</w:t>
      </w:r>
      <w:r>
        <w:rPr>
          <w:rFonts w:ascii="宋体" w:hAnsi="宋体" w:cs="宋体" w:eastAsia="宋体" w:hint="default"/>
          <w:b/>
          <w:bCs/>
          <w:spacing w:val="-59"/>
          <w:sz w:val="28"/>
          <w:szCs w:val="28"/>
        </w:rPr>
        <w:t> </w:t>
      </w:r>
      <w:r>
        <w:rPr>
          <w:rFonts w:ascii="宋体" w:hAnsi="宋体" w:cs="宋体" w:eastAsia="宋体" w:hint="default"/>
          <w:b/>
          <w:bCs/>
          <w:sz w:val="28"/>
          <w:szCs w:val="28"/>
        </w:rPr>
        <w:t>IC</w:t>
      </w:r>
      <w:r>
        <w:rPr>
          <w:rFonts w:ascii="宋体" w:hAnsi="宋体" w:cs="宋体" w:eastAsia="宋体" w:hint="default"/>
          <w:b/>
          <w:bCs/>
          <w:spacing w:val="-59"/>
          <w:sz w:val="28"/>
          <w:szCs w:val="28"/>
        </w:rPr>
        <w:t> </w:t>
      </w:r>
      <w:r>
        <w:rPr>
          <w:rFonts w:ascii="宋体" w:hAnsi="宋体" w:cs="宋体" w:eastAsia="宋体" w:hint="default"/>
          <w:b/>
          <w:bCs/>
          <w:sz w:val="28"/>
          <w:szCs w:val="28"/>
        </w:rPr>
        <w:t>卡产品仍将是公司</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重要收入来源，但该产品盈利增长空间有限。数据安全业务领域终端产品的销</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售情况将在很大程度上影响该业务领域盈利增长状况；</w:t>
      </w:r>
      <w:r>
        <w:rPr>
          <w:rFonts w:ascii="宋体" w:hAnsi="宋体" w:cs="宋体" w:eastAsia="宋体" w:hint="default"/>
          <w:b/>
          <w:bCs/>
          <w:sz w:val="28"/>
          <w:szCs w:val="28"/>
        </w:rPr>
        <w:t>2016</w:t>
      </w:r>
      <w:r>
        <w:rPr>
          <w:rFonts w:ascii="宋体" w:hAnsi="宋体" w:cs="宋体" w:eastAsia="宋体" w:hint="default"/>
          <w:b/>
          <w:bCs/>
          <w:spacing w:val="-81"/>
          <w:sz w:val="28"/>
          <w:szCs w:val="28"/>
        </w:rPr>
        <w:t> </w:t>
      </w:r>
      <w:r>
        <w:rPr>
          <w:rFonts w:ascii="宋体" w:hAnsi="宋体" w:cs="宋体" w:eastAsia="宋体" w:hint="default"/>
          <w:b/>
          <w:bCs/>
          <w:sz w:val="28"/>
          <w:szCs w:val="28"/>
        </w:rPr>
        <w:t>年公司教育云平台</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运营体系的有效运行、服务收入的增长规模将决定公司在线教育业务的业绩从</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而直接影响公司整体利润水平。</w:t>
      </w:r>
      <w:r>
        <w:rPr>
          <w:rFonts w:ascii="宋体" w:hAnsi="宋体" w:cs="宋体" w:eastAsia="宋体" w:hint="default"/>
          <w:sz w:val="28"/>
          <w:szCs w:val="28"/>
        </w:rPr>
      </w:r>
    </w:p>
    <w:p>
      <w:pPr>
        <w:spacing w:before="161"/>
        <w:ind w:left="1695" w:right="0" w:firstLine="0"/>
        <w:jc w:val="left"/>
        <w:rPr>
          <w:rFonts w:ascii="宋体" w:hAnsi="宋体" w:cs="宋体" w:eastAsia="宋体" w:hint="default"/>
          <w:sz w:val="28"/>
          <w:szCs w:val="28"/>
        </w:rPr>
      </w:pPr>
      <w:r>
        <w:rPr>
          <w:rFonts w:ascii="宋体" w:hAnsi="宋体" w:cs="宋体" w:eastAsia="宋体" w:hint="default"/>
          <w:b/>
          <w:bCs/>
          <w:w w:val="99"/>
          <w:sz w:val="28"/>
          <w:szCs w:val="28"/>
        </w:rPr>
        <w:t>公司经</w:t>
      </w:r>
      <w:r>
        <w:rPr>
          <w:rFonts w:ascii="宋体" w:hAnsi="宋体" w:cs="宋体" w:eastAsia="宋体" w:hint="default"/>
          <w:b/>
          <w:bCs/>
          <w:spacing w:val="2"/>
          <w:w w:val="99"/>
          <w:sz w:val="28"/>
          <w:szCs w:val="28"/>
        </w:rPr>
        <w:t>本</w:t>
      </w:r>
      <w:r>
        <w:rPr>
          <w:rFonts w:ascii="宋体" w:hAnsi="宋体" w:cs="宋体" w:eastAsia="宋体" w:hint="default"/>
          <w:b/>
          <w:bCs/>
          <w:w w:val="99"/>
          <w:sz w:val="28"/>
          <w:szCs w:val="28"/>
        </w:rPr>
        <w:t>次董事</w:t>
      </w:r>
      <w:r>
        <w:rPr>
          <w:rFonts w:ascii="宋体" w:hAnsi="宋体" w:cs="宋体" w:eastAsia="宋体" w:hint="default"/>
          <w:b/>
          <w:bCs/>
          <w:spacing w:val="2"/>
          <w:w w:val="99"/>
          <w:sz w:val="28"/>
          <w:szCs w:val="28"/>
        </w:rPr>
        <w:t>会</w:t>
      </w:r>
      <w:r>
        <w:rPr>
          <w:rFonts w:ascii="宋体" w:hAnsi="宋体" w:cs="宋体" w:eastAsia="宋体" w:hint="default"/>
          <w:b/>
          <w:bCs/>
          <w:w w:val="99"/>
          <w:sz w:val="28"/>
          <w:szCs w:val="28"/>
        </w:rPr>
        <w:t>审议通</w:t>
      </w:r>
      <w:r>
        <w:rPr>
          <w:rFonts w:ascii="宋体" w:hAnsi="宋体" w:cs="宋体" w:eastAsia="宋体" w:hint="default"/>
          <w:b/>
          <w:bCs/>
          <w:spacing w:val="2"/>
          <w:w w:val="99"/>
          <w:sz w:val="28"/>
          <w:szCs w:val="28"/>
        </w:rPr>
        <w:t>过</w:t>
      </w:r>
      <w:r>
        <w:rPr>
          <w:rFonts w:ascii="宋体" w:hAnsi="宋体" w:cs="宋体" w:eastAsia="宋体" w:hint="default"/>
          <w:b/>
          <w:bCs/>
          <w:w w:val="99"/>
          <w:sz w:val="28"/>
          <w:szCs w:val="28"/>
        </w:rPr>
        <w:t>的利润</w:t>
      </w:r>
      <w:r>
        <w:rPr>
          <w:rFonts w:ascii="宋体" w:hAnsi="宋体" w:cs="宋体" w:eastAsia="宋体" w:hint="default"/>
          <w:b/>
          <w:bCs/>
          <w:spacing w:val="2"/>
          <w:w w:val="99"/>
          <w:sz w:val="28"/>
          <w:szCs w:val="28"/>
        </w:rPr>
        <w:t>分</w:t>
      </w:r>
      <w:r>
        <w:rPr>
          <w:rFonts w:ascii="宋体" w:hAnsi="宋体" w:cs="宋体" w:eastAsia="宋体" w:hint="default"/>
          <w:b/>
          <w:bCs/>
          <w:w w:val="99"/>
          <w:sz w:val="28"/>
          <w:szCs w:val="28"/>
        </w:rPr>
        <w:t>配预案</w:t>
      </w:r>
      <w:r>
        <w:rPr>
          <w:rFonts w:ascii="宋体" w:hAnsi="宋体" w:cs="宋体" w:eastAsia="宋体" w:hint="default"/>
          <w:b/>
          <w:bCs/>
          <w:spacing w:val="2"/>
          <w:w w:val="99"/>
          <w:sz w:val="28"/>
          <w:szCs w:val="28"/>
        </w:rPr>
        <w:t>为</w:t>
      </w:r>
      <w:r>
        <w:rPr>
          <w:rFonts w:ascii="宋体" w:hAnsi="宋体" w:cs="宋体" w:eastAsia="宋体" w:hint="default"/>
          <w:b/>
          <w:bCs/>
          <w:spacing w:val="-133"/>
          <w:w w:val="99"/>
          <w:sz w:val="28"/>
          <w:szCs w:val="28"/>
        </w:rPr>
        <w:t>：</w:t>
      </w:r>
      <w:r>
        <w:rPr>
          <w:rFonts w:ascii="宋体" w:hAnsi="宋体" w:cs="宋体" w:eastAsia="宋体" w:hint="default"/>
          <w:b/>
          <w:bCs/>
          <w:w w:val="99"/>
          <w:sz w:val="28"/>
          <w:szCs w:val="28"/>
        </w:rPr>
        <w:t>以</w:t>
      </w:r>
      <w:r>
        <w:rPr>
          <w:rFonts w:ascii="宋体" w:hAnsi="宋体" w:cs="宋体" w:eastAsia="宋体" w:hint="default"/>
          <w:b/>
          <w:bCs/>
          <w:spacing w:val="-103"/>
          <w:sz w:val="28"/>
          <w:szCs w:val="28"/>
        </w:rPr>
        <w:t> </w:t>
      </w:r>
      <w:r>
        <w:rPr>
          <w:rFonts w:ascii="宋体" w:hAnsi="宋体" w:cs="宋体" w:eastAsia="宋体" w:hint="default"/>
          <w:b/>
          <w:bCs/>
          <w:spacing w:val="1"/>
          <w:w w:val="99"/>
          <w:sz w:val="28"/>
          <w:szCs w:val="28"/>
        </w:rPr>
        <w:t>430</w:t>
      </w:r>
      <w:r>
        <w:rPr>
          <w:rFonts w:ascii="宋体" w:hAnsi="宋体" w:cs="宋体" w:eastAsia="宋体" w:hint="default"/>
          <w:b/>
          <w:bCs/>
          <w:w w:val="99"/>
          <w:sz w:val="28"/>
          <w:szCs w:val="28"/>
        </w:rPr>
        <w:t>,0</w:t>
      </w:r>
      <w:r>
        <w:rPr>
          <w:rFonts w:ascii="宋体" w:hAnsi="宋体" w:cs="宋体" w:eastAsia="宋体" w:hint="default"/>
          <w:b/>
          <w:bCs/>
          <w:spacing w:val="1"/>
          <w:w w:val="99"/>
          <w:sz w:val="28"/>
          <w:szCs w:val="28"/>
        </w:rPr>
        <w:t>56</w:t>
      </w:r>
      <w:r>
        <w:rPr>
          <w:rFonts w:ascii="宋体" w:hAnsi="宋体" w:cs="宋体" w:eastAsia="宋体" w:hint="default"/>
          <w:b/>
          <w:bCs/>
          <w:w w:val="99"/>
          <w:sz w:val="28"/>
          <w:szCs w:val="28"/>
        </w:rPr>
        <w:t>,</w:t>
      </w:r>
      <w:r>
        <w:rPr>
          <w:rFonts w:ascii="宋体" w:hAnsi="宋体" w:cs="宋体" w:eastAsia="宋体" w:hint="default"/>
          <w:b/>
          <w:bCs/>
          <w:spacing w:val="2"/>
          <w:w w:val="99"/>
          <w:sz w:val="28"/>
          <w:szCs w:val="28"/>
        </w:rPr>
        <w:t>0</w:t>
      </w:r>
      <w:r>
        <w:rPr>
          <w:rFonts w:ascii="宋体" w:hAnsi="宋体" w:cs="宋体" w:eastAsia="宋体" w:hint="default"/>
          <w:b/>
          <w:bCs/>
          <w:spacing w:val="1"/>
          <w:w w:val="99"/>
          <w:sz w:val="28"/>
          <w:szCs w:val="28"/>
        </w:rPr>
        <w:t>0</w:t>
      </w:r>
      <w:r>
        <w:rPr>
          <w:rFonts w:ascii="宋体" w:hAnsi="宋体" w:cs="宋体" w:eastAsia="宋体" w:hint="default"/>
          <w:b/>
          <w:bCs/>
          <w:w w:val="99"/>
          <w:sz w:val="28"/>
          <w:szCs w:val="28"/>
        </w:rPr>
        <w:t>0</w:t>
      </w:r>
      <w:r>
        <w:rPr>
          <w:rFonts w:ascii="宋体" w:hAnsi="宋体" w:cs="宋体" w:eastAsia="宋体" w:hint="default"/>
          <w:b/>
          <w:bCs/>
          <w:spacing w:val="-99"/>
          <w:sz w:val="28"/>
          <w:szCs w:val="28"/>
        </w:rPr>
        <w:t> </w:t>
      </w:r>
      <w:r>
        <w:rPr>
          <w:rFonts w:ascii="宋体" w:hAnsi="宋体" w:cs="宋体" w:eastAsia="宋体" w:hint="default"/>
          <w:b/>
          <w:bCs/>
          <w:w w:val="99"/>
          <w:sz w:val="28"/>
          <w:szCs w:val="28"/>
        </w:rPr>
        <w:t>股为基数，</w:t>
      </w:r>
      <w:r>
        <w:rPr>
          <w:rFonts w:ascii="宋体" w:hAnsi="宋体" w:cs="宋体" w:eastAsia="宋体" w:hint="default"/>
          <w:sz w:val="28"/>
          <w:szCs w:val="28"/>
        </w:rPr>
      </w:r>
    </w:p>
    <w:p>
      <w:pPr>
        <w:spacing w:line="240" w:lineRule="auto" w:before="10"/>
        <w:rPr>
          <w:rFonts w:ascii="宋体" w:hAnsi="宋体" w:cs="宋体" w:eastAsia="宋体" w:hint="default"/>
          <w:b/>
          <w:bCs/>
          <w:sz w:val="19"/>
          <w:szCs w:val="19"/>
        </w:rPr>
      </w:pPr>
    </w:p>
    <w:p>
      <w:pPr>
        <w:spacing w:before="0"/>
        <w:ind w:left="1133" w:right="0" w:firstLine="0"/>
        <w:jc w:val="left"/>
        <w:rPr>
          <w:rFonts w:ascii="宋体" w:hAnsi="宋体" w:cs="宋体" w:eastAsia="宋体" w:hint="default"/>
          <w:sz w:val="28"/>
          <w:szCs w:val="28"/>
        </w:rPr>
      </w:pPr>
      <w:r>
        <w:rPr>
          <w:rFonts w:ascii="宋体" w:hAnsi="宋体" w:cs="宋体" w:eastAsia="宋体" w:hint="default"/>
          <w:b/>
          <w:bCs/>
          <w:w w:val="99"/>
          <w:sz w:val="28"/>
          <w:szCs w:val="28"/>
        </w:rPr>
        <w:t>向全体</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东每</w:t>
      </w:r>
      <w:r>
        <w:rPr>
          <w:rFonts w:ascii="宋体" w:hAnsi="宋体" w:cs="宋体" w:eastAsia="宋体" w:hint="default"/>
          <w:b/>
          <w:bCs/>
          <w:spacing w:val="-68"/>
          <w:sz w:val="28"/>
          <w:szCs w:val="28"/>
        </w:rPr>
        <w:t> </w:t>
      </w:r>
      <w:r>
        <w:rPr>
          <w:rFonts w:ascii="宋体" w:hAnsi="宋体" w:cs="宋体" w:eastAsia="宋体" w:hint="default"/>
          <w:b/>
          <w:bCs/>
          <w:spacing w:val="1"/>
          <w:w w:val="99"/>
          <w:sz w:val="28"/>
          <w:szCs w:val="28"/>
        </w:rPr>
        <w:t>1</w:t>
      </w:r>
      <w:r>
        <w:rPr>
          <w:rFonts w:ascii="宋体" w:hAnsi="宋体" w:cs="宋体" w:eastAsia="宋体" w:hint="default"/>
          <w:b/>
          <w:bCs/>
          <w:w w:val="99"/>
          <w:sz w:val="28"/>
          <w:szCs w:val="28"/>
        </w:rPr>
        <w:t>0</w:t>
      </w:r>
      <w:r>
        <w:rPr>
          <w:rFonts w:ascii="宋体" w:hAnsi="宋体" w:cs="宋体" w:eastAsia="宋体" w:hint="default"/>
          <w:b/>
          <w:bCs/>
          <w:spacing w:val="-70"/>
          <w:sz w:val="28"/>
          <w:szCs w:val="28"/>
        </w:rPr>
        <w:t> </w:t>
      </w:r>
      <w:r>
        <w:rPr>
          <w:rFonts w:ascii="宋体" w:hAnsi="宋体" w:cs="宋体" w:eastAsia="宋体" w:hint="default"/>
          <w:b/>
          <w:bCs/>
          <w:w w:val="99"/>
          <w:sz w:val="28"/>
          <w:szCs w:val="28"/>
        </w:rPr>
        <w:t>股派发</w:t>
      </w:r>
      <w:r>
        <w:rPr>
          <w:rFonts w:ascii="宋体" w:hAnsi="宋体" w:cs="宋体" w:eastAsia="宋体" w:hint="default"/>
          <w:b/>
          <w:bCs/>
          <w:spacing w:val="2"/>
          <w:w w:val="99"/>
          <w:sz w:val="28"/>
          <w:szCs w:val="28"/>
        </w:rPr>
        <w:t>现</w:t>
      </w:r>
      <w:r>
        <w:rPr>
          <w:rFonts w:ascii="宋体" w:hAnsi="宋体" w:cs="宋体" w:eastAsia="宋体" w:hint="default"/>
          <w:b/>
          <w:bCs/>
          <w:w w:val="99"/>
          <w:sz w:val="28"/>
          <w:szCs w:val="28"/>
        </w:rPr>
        <w:t>金红利</w:t>
      </w:r>
      <w:r>
        <w:rPr>
          <w:rFonts w:ascii="宋体" w:hAnsi="宋体" w:cs="宋体" w:eastAsia="宋体" w:hint="default"/>
          <w:b/>
          <w:bCs/>
          <w:spacing w:val="-67"/>
          <w:sz w:val="28"/>
          <w:szCs w:val="28"/>
        </w:rPr>
        <w:t> </w:t>
      </w:r>
      <w:r>
        <w:rPr>
          <w:rFonts w:ascii="宋体" w:hAnsi="宋体" w:cs="宋体" w:eastAsia="宋体" w:hint="default"/>
          <w:b/>
          <w:bCs/>
          <w:spacing w:val="1"/>
          <w:w w:val="99"/>
          <w:sz w:val="28"/>
          <w:szCs w:val="28"/>
        </w:rPr>
        <w:t>0</w:t>
      </w:r>
      <w:r>
        <w:rPr>
          <w:rFonts w:ascii="宋体" w:hAnsi="宋体" w:cs="宋体" w:eastAsia="宋体" w:hint="default"/>
          <w:b/>
          <w:bCs/>
          <w:w w:val="99"/>
          <w:sz w:val="28"/>
          <w:szCs w:val="28"/>
        </w:rPr>
        <w:t>.5</w:t>
      </w:r>
      <w:r>
        <w:rPr>
          <w:rFonts w:ascii="宋体" w:hAnsi="宋体" w:cs="宋体" w:eastAsia="宋体" w:hint="default"/>
          <w:b/>
          <w:bCs/>
          <w:spacing w:val="-69"/>
          <w:sz w:val="28"/>
          <w:szCs w:val="28"/>
        </w:rPr>
        <w:t> </w:t>
      </w:r>
      <w:r>
        <w:rPr>
          <w:rFonts w:ascii="宋体" w:hAnsi="宋体" w:cs="宋体" w:eastAsia="宋体" w:hint="default"/>
          <w:b/>
          <w:bCs/>
          <w:w w:val="99"/>
          <w:sz w:val="28"/>
          <w:szCs w:val="28"/>
        </w:rPr>
        <w:t>元（含税</w:t>
      </w:r>
      <w:r>
        <w:rPr>
          <w:rFonts w:ascii="宋体" w:hAnsi="宋体" w:cs="宋体" w:eastAsia="宋体" w:hint="default"/>
          <w:b/>
          <w:bCs/>
          <w:spacing w:val="-140"/>
          <w:w w:val="99"/>
          <w:sz w:val="28"/>
          <w:szCs w:val="28"/>
        </w:rPr>
        <w:t>）</w:t>
      </w:r>
      <w:r>
        <w:rPr>
          <w:rFonts w:ascii="宋体" w:hAnsi="宋体" w:cs="宋体" w:eastAsia="宋体" w:hint="default"/>
          <w:b/>
          <w:bCs/>
          <w:w w:val="99"/>
          <w:sz w:val="28"/>
          <w:szCs w:val="28"/>
        </w:rPr>
        <w:t>。</w:t>
      </w:r>
      <w:r>
        <w:rPr>
          <w:rFonts w:ascii="宋体" w:hAnsi="宋体" w:cs="宋体" w:eastAsia="宋体" w:hint="default"/>
          <w:sz w:val="28"/>
          <w:szCs w:val="28"/>
        </w:rPr>
      </w:r>
    </w:p>
    <w:p>
      <w:pPr>
        <w:spacing w:after="0"/>
        <w:jc w:val="left"/>
        <w:rPr>
          <w:rFonts w:ascii="宋体" w:hAnsi="宋体" w:cs="宋体" w:eastAsia="宋体" w:hint="default"/>
          <w:sz w:val="28"/>
          <w:szCs w:val="28"/>
        </w:rPr>
        <w:sectPr>
          <w:headerReference w:type="default" r:id="rId7"/>
          <w:footerReference w:type="default" r:id="rId8"/>
          <w:pgSz w:w="11910" w:h="16840"/>
          <w:pgMar w:header="877" w:footer="1187" w:top="1100" w:bottom="1380" w:left="0" w:right="0"/>
          <w:pgNumType w:start="2"/>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6"/>
          <w:szCs w:val="26"/>
        </w:rPr>
      </w:pPr>
    </w:p>
    <w:p>
      <w:pPr>
        <w:spacing w:line="460" w:lineRule="exact" w:before="0"/>
        <w:ind w:left="1131" w:right="1130"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10761" w:val="right" w:leader="dot"/>
            </w:tabs>
            <w:spacing w:line="240" w:lineRule="auto" w:before="0"/>
            <w:ind w:right="0"/>
            <w:jc w:val="left"/>
            <w:rPr>
              <w:rFonts w:ascii="宋体" w:hAnsi="宋体" w:cs="宋体" w:eastAsia="宋体" w:hint="default"/>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宋体" w:hAnsi="宋体" w:cs="宋体" w:eastAsia="宋体" w:hint="default"/>
              </w:rPr>
              <w:tab/>
              <w:t>2</w:t>
            </w:r>
            <w:r>
              <w:rPr>
                <w:rFonts w:ascii="宋体" w:hAnsi="宋体" w:cs="宋体" w:eastAsia="宋体" w:hint="default"/>
                <w:b w:val="0"/>
                <w:bCs w:val="0"/>
              </w:rPr>
            </w:r>
          </w:hyperlink>
        </w:p>
        <w:p>
          <w:pPr>
            <w:pStyle w:val="TOC1"/>
            <w:tabs>
              <w:tab w:pos="10761" w:val="right" w:leader="dot"/>
            </w:tabs>
            <w:spacing w:line="240" w:lineRule="auto"/>
            <w:ind w:right="0"/>
            <w:jc w:val="left"/>
            <w:rPr>
              <w:rFonts w:ascii="宋体" w:hAnsi="宋体" w:cs="宋体" w:eastAsia="宋体" w:hint="default"/>
              <w:b w:val="0"/>
              <w:bCs w:val="0"/>
            </w:rPr>
          </w:pPr>
          <w:hyperlink w:history="true" w:anchor="_bookmark1">
            <w:r>
              <w:rPr/>
              <w:t>第二节</w:t>
            </w:r>
            <w:r>
              <w:rPr>
                <w:spacing w:val="-1"/>
              </w:rPr>
              <w:t> </w:t>
            </w:r>
            <w:r>
              <w:rPr/>
              <w:t>公司简介和主要财务指标</w:t>
            </w:r>
            <w:r>
              <w:rPr>
                <w:rFonts w:ascii="宋体" w:hAnsi="宋体" w:cs="宋体" w:eastAsia="宋体" w:hint="default"/>
              </w:rPr>
              <w:tab/>
              <w:t>5</w:t>
            </w:r>
            <w:r>
              <w:rPr>
                <w:rFonts w:ascii="宋体" w:hAnsi="宋体" w:cs="宋体" w:eastAsia="宋体" w:hint="default"/>
                <w:b w:val="0"/>
                <w:bCs w:val="0"/>
              </w:rPr>
            </w:r>
          </w:hyperlink>
        </w:p>
        <w:p>
          <w:pPr>
            <w:pStyle w:val="TOC1"/>
            <w:tabs>
              <w:tab w:pos="10761" w:val="right" w:leader="dot"/>
            </w:tabs>
            <w:spacing w:line="240" w:lineRule="auto"/>
            <w:ind w:right="0"/>
            <w:jc w:val="left"/>
            <w:rPr>
              <w:rFonts w:ascii="宋体" w:hAnsi="宋体" w:cs="宋体" w:eastAsia="宋体" w:hint="default"/>
              <w:b w:val="0"/>
              <w:bCs w:val="0"/>
            </w:rPr>
          </w:pPr>
          <w:hyperlink w:history="true" w:anchor="_bookmark2">
            <w:r>
              <w:rPr/>
              <w:t>第三节</w:t>
            </w:r>
            <w:r>
              <w:rPr>
                <w:spacing w:val="-1"/>
              </w:rPr>
              <w:t> </w:t>
            </w:r>
            <w:r>
              <w:rPr/>
              <w:t>公司业务概要</w:t>
            </w:r>
            <w:r>
              <w:rPr>
                <w:rFonts w:ascii="宋体" w:hAnsi="宋体" w:cs="宋体" w:eastAsia="宋体" w:hint="default"/>
              </w:rPr>
              <w:tab/>
              <w:t>8</w:t>
            </w:r>
            <w:r>
              <w:rPr>
                <w:rFonts w:ascii="宋体" w:hAnsi="宋体" w:cs="宋体" w:eastAsia="宋体" w:hint="default"/>
                <w:b w:val="0"/>
                <w:bCs w:val="0"/>
              </w:rPr>
            </w:r>
          </w:hyperlink>
        </w:p>
        <w:p>
          <w:pPr>
            <w:pStyle w:val="TOC1"/>
            <w:tabs>
              <w:tab w:pos="10762" w:val="right" w:leader="dot"/>
            </w:tabs>
            <w:spacing w:line="240" w:lineRule="auto"/>
            <w:ind w:right="0"/>
            <w:jc w:val="left"/>
            <w:rPr>
              <w:rFonts w:ascii="宋体" w:hAnsi="宋体" w:cs="宋体" w:eastAsia="宋体" w:hint="default"/>
              <w:b w:val="0"/>
              <w:bCs w:val="0"/>
            </w:rPr>
          </w:pPr>
          <w:hyperlink w:history="true" w:anchor="_bookmark3">
            <w:r>
              <w:rPr/>
              <w:t>第四节</w:t>
            </w:r>
            <w:r>
              <w:rPr>
                <w:spacing w:val="-1"/>
              </w:rPr>
              <w:t> </w:t>
            </w:r>
            <w:r>
              <w:rPr/>
              <w:t>管理层讨论与分析</w:t>
            </w:r>
            <w:r>
              <w:rPr>
                <w:rFonts w:ascii="宋体" w:hAnsi="宋体" w:cs="宋体" w:eastAsia="宋体" w:hint="default"/>
              </w:rPr>
              <w:tab/>
              <w:t>10</w:t>
            </w:r>
            <w:r>
              <w:rPr>
                <w:rFonts w:ascii="宋体" w:hAnsi="宋体" w:cs="宋体" w:eastAsia="宋体" w:hint="default"/>
                <w:b w:val="0"/>
                <w:bCs w:val="0"/>
              </w:rPr>
            </w:r>
          </w:hyperlink>
        </w:p>
        <w:p>
          <w:pPr>
            <w:pStyle w:val="TOC1"/>
            <w:tabs>
              <w:tab w:pos="10762" w:val="right" w:leader="dot"/>
            </w:tabs>
            <w:spacing w:line="240" w:lineRule="auto"/>
            <w:ind w:right="0"/>
            <w:jc w:val="left"/>
            <w:rPr>
              <w:rFonts w:ascii="宋体" w:hAnsi="宋体" w:cs="宋体" w:eastAsia="宋体" w:hint="default"/>
              <w:b w:val="0"/>
              <w:bCs w:val="0"/>
            </w:rPr>
          </w:pPr>
          <w:hyperlink w:history="true" w:anchor="_bookmark4">
            <w:r>
              <w:rPr/>
              <w:t>第五节</w:t>
            </w:r>
            <w:r>
              <w:rPr>
                <w:spacing w:val="-1"/>
              </w:rPr>
              <w:t> </w:t>
            </w:r>
            <w:r>
              <w:rPr/>
              <w:t>重要事项</w:t>
            </w:r>
            <w:r>
              <w:rPr>
                <w:rFonts w:ascii="宋体" w:hAnsi="宋体" w:cs="宋体" w:eastAsia="宋体" w:hint="default"/>
              </w:rPr>
              <w:tab/>
              <w:t>29</w:t>
            </w:r>
            <w:r>
              <w:rPr>
                <w:rFonts w:ascii="宋体" w:hAnsi="宋体" w:cs="宋体" w:eastAsia="宋体" w:hint="default"/>
                <w:b w:val="0"/>
                <w:bCs w:val="0"/>
              </w:rPr>
            </w:r>
          </w:hyperlink>
        </w:p>
        <w:p>
          <w:pPr>
            <w:pStyle w:val="TOC1"/>
            <w:tabs>
              <w:tab w:pos="10762" w:val="right" w:leader="dot"/>
            </w:tabs>
            <w:spacing w:line="240" w:lineRule="auto"/>
            <w:ind w:right="0"/>
            <w:jc w:val="left"/>
            <w:rPr>
              <w:rFonts w:ascii="宋体" w:hAnsi="宋体" w:cs="宋体" w:eastAsia="宋体" w:hint="default"/>
              <w:b w:val="0"/>
              <w:bCs w:val="0"/>
            </w:rPr>
          </w:pPr>
          <w:hyperlink w:history="true" w:anchor="_bookmark5">
            <w:r>
              <w:rPr/>
              <w:t>第六节</w:t>
            </w:r>
            <w:r>
              <w:rPr>
                <w:spacing w:val="-1"/>
              </w:rPr>
              <w:t> </w:t>
            </w:r>
            <w:r>
              <w:rPr/>
              <w:t>股份变动及股东情况</w:t>
            </w:r>
            <w:r>
              <w:rPr>
                <w:rFonts w:ascii="宋体" w:hAnsi="宋体" w:cs="宋体" w:eastAsia="宋体" w:hint="default"/>
              </w:rPr>
              <w:tab/>
              <w:t>40</w:t>
            </w:r>
            <w:r>
              <w:rPr>
                <w:rFonts w:ascii="宋体" w:hAnsi="宋体" w:cs="宋体" w:eastAsia="宋体" w:hint="default"/>
                <w:b w:val="0"/>
                <w:bCs w:val="0"/>
              </w:rPr>
            </w:r>
          </w:hyperlink>
        </w:p>
        <w:p>
          <w:pPr>
            <w:pStyle w:val="TOC1"/>
            <w:tabs>
              <w:tab w:pos="10762" w:val="right" w:leader="dot"/>
            </w:tabs>
            <w:spacing w:line="240" w:lineRule="auto"/>
            <w:ind w:right="0"/>
            <w:jc w:val="left"/>
            <w:rPr>
              <w:rFonts w:ascii="宋体" w:hAnsi="宋体" w:cs="宋体" w:eastAsia="宋体" w:hint="default"/>
              <w:b w:val="0"/>
              <w:bCs w:val="0"/>
            </w:rPr>
          </w:pPr>
          <w:hyperlink w:history="true" w:anchor="_bookmark6">
            <w:r>
              <w:rPr/>
              <w:t>第七节</w:t>
            </w:r>
            <w:r>
              <w:rPr>
                <w:spacing w:val="-1"/>
              </w:rPr>
              <w:t> </w:t>
            </w:r>
            <w:r>
              <w:rPr/>
              <w:t>优先股相关情况</w:t>
            </w:r>
            <w:r>
              <w:rPr>
                <w:rFonts w:ascii="宋体" w:hAnsi="宋体" w:cs="宋体" w:eastAsia="宋体" w:hint="default"/>
              </w:rPr>
              <w:tab/>
              <w:t>45</w:t>
            </w:r>
            <w:r>
              <w:rPr>
                <w:rFonts w:ascii="宋体" w:hAnsi="宋体" w:cs="宋体" w:eastAsia="宋体" w:hint="default"/>
                <w:b w:val="0"/>
                <w:bCs w:val="0"/>
              </w:rPr>
            </w:r>
          </w:hyperlink>
        </w:p>
        <w:p>
          <w:pPr>
            <w:pStyle w:val="TOC1"/>
            <w:tabs>
              <w:tab w:pos="10762" w:val="right" w:leader="dot"/>
            </w:tabs>
            <w:spacing w:line="240" w:lineRule="auto"/>
            <w:ind w:right="0"/>
            <w:jc w:val="left"/>
            <w:rPr>
              <w:rFonts w:ascii="宋体" w:hAnsi="宋体" w:cs="宋体" w:eastAsia="宋体" w:hint="default"/>
              <w:b w:val="0"/>
              <w:bCs w:val="0"/>
            </w:rPr>
          </w:pPr>
          <w:hyperlink w:history="true" w:anchor="_bookmark7">
            <w:r>
              <w:rPr/>
              <w:t>第八节</w:t>
            </w:r>
            <w:r>
              <w:rPr>
                <w:spacing w:val="-1"/>
              </w:rPr>
              <w:t> </w:t>
            </w:r>
            <w:r>
              <w:rPr/>
              <w:t>董事、监事、高级管理人员和员工情况</w:t>
            </w:r>
            <w:r>
              <w:rPr>
                <w:rFonts w:ascii="宋体" w:hAnsi="宋体" w:cs="宋体" w:eastAsia="宋体" w:hint="default"/>
              </w:rPr>
              <w:tab/>
              <w:t>46</w:t>
            </w:r>
            <w:r>
              <w:rPr>
                <w:rFonts w:ascii="宋体" w:hAnsi="宋体" w:cs="宋体" w:eastAsia="宋体" w:hint="default"/>
                <w:b w:val="0"/>
                <w:bCs w:val="0"/>
              </w:rPr>
            </w:r>
          </w:hyperlink>
        </w:p>
        <w:p>
          <w:pPr>
            <w:pStyle w:val="TOC1"/>
            <w:tabs>
              <w:tab w:pos="10762" w:val="right" w:leader="dot"/>
            </w:tabs>
            <w:spacing w:line="240" w:lineRule="auto"/>
            <w:ind w:right="0"/>
            <w:jc w:val="left"/>
            <w:rPr>
              <w:rFonts w:ascii="宋体" w:hAnsi="宋体" w:cs="宋体" w:eastAsia="宋体" w:hint="default"/>
              <w:b w:val="0"/>
              <w:bCs w:val="0"/>
            </w:rPr>
          </w:pPr>
          <w:hyperlink w:history="true" w:anchor="_bookmark8">
            <w:r>
              <w:rPr/>
              <w:t>第九节</w:t>
            </w:r>
            <w:r>
              <w:rPr>
                <w:spacing w:val="-1"/>
              </w:rPr>
              <w:t> </w:t>
            </w:r>
            <w:r>
              <w:rPr/>
              <w:t>公司治理</w:t>
            </w:r>
            <w:r>
              <w:rPr>
                <w:rFonts w:ascii="宋体" w:hAnsi="宋体" w:cs="宋体" w:eastAsia="宋体" w:hint="default"/>
              </w:rPr>
              <w:tab/>
              <w:t>55</w:t>
            </w:r>
            <w:r>
              <w:rPr>
                <w:rFonts w:ascii="宋体" w:hAnsi="宋体" w:cs="宋体" w:eastAsia="宋体" w:hint="default"/>
                <w:b w:val="0"/>
                <w:bCs w:val="0"/>
              </w:rPr>
            </w:r>
          </w:hyperlink>
        </w:p>
        <w:p>
          <w:pPr>
            <w:pStyle w:val="TOC1"/>
            <w:tabs>
              <w:tab w:pos="10762" w:val="right" w:leader="dot"/>
            </w:tabs>
            <w:spacing w:line="240" w:lineRule="auto"/>
            <w:ind w:right="0"/>
            <w:jc w:val="left"/>
            <w:rPr>
              <w:rFonts w:ascii="宋体" w:hAnsi="宋体" w:cs="宋体" w:eastAsia="宋体" w:hint="default"/>
              <w:b w:val="0"/>
              <w:bCs w:val="0"/>
            </w:rPr>
          </w:pPr>
          <w:hyperlink w:history="true" w:anchor="_bookmark9">
            <w:r>
              <w:rPr/>
              <w:t>第十节</w:t>
            </w:r>
            <w:r>
              <w:rPr>
                <w:spacing w:val="-1"/>
              </w:rPr>
              <w:t> </w:t>
            </w:r>
            <w:r>
              <w:rPr/>
              <w:t>财务报告</w:t>
            </w:r>
            <w:r>
              <w:rPr>
                <w:rFonts w:ascii="宋体" w:hAnsi="宋体" w:cs="宋体" w:eastAsia="宋体" w:hint="default"/>
              </w:rPr>
              <w:tab/>
              <w:t>61</w:t>
            </w:r>
            <w:r>
              <w:rPr>
                <w:rFonts w:ascii="宋体" w:hAnsi="宋体" w:cs="宋体" w:eastAsia="宋体" w:hint="default"/>
                <w:b w:val="0"/>
                <w:bCs w:val="0"/>
              </w:rPr>
            </w:r>
          </w:hyperlink>
        </w:p>
        <w:p>
          <w:pPr>
            <w:pStyle w:val="TOC1"/>
            <w:tabs>
              <w:tab w:pos="10763" w:val="right" w:leader="dot"/>
            </w:tabs>
            <w:spacing w:line="240" w:lineRule="auto"/>
            <w:ind w:right="0"/>
            <w:jc w:val="left"/>
            <w:rPr>
              <w:rFonts w:ascii="宋体" w:hAnsi="宋体" w:cs="宋体" w:eastAsia="宋体" w:hint="default"/>
              <w:b w:val="0"/>
              <w:bCs w:val="0"/>
            </w:rPr>
          </w:pPr>
          <w:hyperlink w:history="true" w:anchor="_bookmark10">
            <w:r>
              <w:rPr/>
              <w:t>第十一节</w:t>
            </w:r>
            <w:r>
              <w:rPr>
                <w:spacing w:val="-2"/>
              </w:rPr>
              <w:t> </w:t>
            </w:r>
            <w:r>
              <w:rPr/>
              <w:t>备查文件目录</w:t>
            </w:r>
            <w:r>
              <w:rPr>
                <w:rFonts w:ascii="宋体" w:hAnsi="宋体" w:cs="宋体" w:eastAsia="宋体" w:hint="default"/>
              </w:rPr>
              <w:tab/>
              <w:t>145</w:t>
            </w:r>
            <w:r>
              <w:rPr>
                <w:rFonts w:ascii="宋体" w:hAnsi="宋体" w:cs="宋体" w:eastAsia="宋体" w:hint="default"/>
                <w:b w:val="0"/>
                <w:bCs w:val="0"/>
              </w:rPr>
            </w:r>
          </w:hyperlink>
        </w:p>
        <w:p>
          <w:pPr/>
          <w:r>
            <w:fldChar w:fldCharType="end"/>
          </w:r>
        </w:p>
      </w:sdtContent>
    </w:sdt>
    <w:p>
      <w:pPr>
        <w:spacing w:after="0"/>
        <w:sectPr>
          <w:pgSz w:w="11910" w:h="16840"/>
          <w:pgMar w:header="877" w:footer="1187" w:top="1100" w:bottom="1380" w:left="0" w:right="0"/>
        </w:sectPr>
      </w:pPr>
    </w:p>
    <w:p>
      <w:pPr>
        <w:spacing w:before="893"/>
        <w:ind w:left="1131" w:right="1130"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268"/>
        <w:gridCol w:w="851"/>
        <w:gridCol w:w="6451"/>
      </w:tblGrid>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释义项</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公司、本公司、天喻信息</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武汉天喻信息产业股份有限公司</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天喻通讯</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武汉天喻通讯技术有限公司。</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月更名为“武汉天喻教育科技有限公司”</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擎动网络</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武汉擎动网络科技有限公司</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湖北百旺</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湖北百旺金赋科技有限公司</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果核科技</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武汉果核科技有限公司</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聚联网络</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武汉天喻聚联网络有限公司</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天喻信通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武汉天喻信通制卡有限公司</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福建中教</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福建中教网络教育服务有限公司</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中天慧购</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武汉中天慧购电商服务有限公司</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产业集团</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武汉华中科技大产业集团有限公司</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华工创投</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武汉华工创业投资有限责任公司</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光谷基金</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武汉光谷创业投资基金有限公司（原武汉光谷风险投资基金有限公司）</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和瑞投资</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武汉和瑞投资有限公司（原湖北和瑞投资有限公司）</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教育云</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国家教育信息化规划内的、以云技术为支撑的国家及地方教育资源公共服务平台</w:t>
            </w: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三通两平台</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3"/>
                <w:sz w:val="18"/>
                <w:szCs w:val="18"/>
              </w:rPr>
              <w:t>国家教育信息化目标。三通：宽带网络校校通、优质资源班班通、网络学习空间人</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人通，两平台：教育资源公共服务平台、教育管理公共服务平台</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O2O</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Online To Offline</w:t>
            </w:r>
            <w:r>
              <w:rPr>
                <w:rFonts w:ascii="宋体" w:hAnsi="宋体" w:cs="宋体" w:eastAsia="宋体" w:hint="default"/>
                <w:spacing w:val="-46"/>
                <w:sz w:val="18"/>
                <w:szCs w:val="18"/>
              </w:rPr>
              <w:t> </w:t>
            </w:r>
            <w:hyperlink r:id="rId9">
              <w:r>
                <w:rPr>
                  <w:rFonts w:ascii="宋体" w:hAnsi="宋体" w:cs="宋体" w:eastAsia="宋体" w:hint="default"/>
                  <w:sz w:val="18"/>
                  <w:szCs w:val="18"/>
                </w:rPr>
                <w:t>的缩写（在线离线</w:t>
              </w:r>
            </w:hyperlink>
            <w:r>
              <w:rPr>
                <w:rFonts w:ascii="宋体" w:hAnsi="宋体" w:cs="宋体" w:eastAsia="宋体" w:hint="default"/>
                <w:sz w:val="18"/>
                <w:szCs w:val="18"/>
              </w:rPr>
              <w:t>/</w:t>
            </w:r>
            <w:r>
              <w:rPr>
                <w:rFonts w:ascii="宋体" w:hAnsi="宋体" w:cs="宋体" w:eastAsia="宋体" w:hint="default"/>
                <w:sz w:val="18"/>
                <w:szCs w:val="18"/>
              </w:rPr>
              <w:t>线上到线下）</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ARPU</w:t>
            </w:r>
            <w:r>
              <w:rPr>
                <w:rFonts w:ascii="宋体" w:hAnsi="宋体" w:cs="宋体" w:eastAsia="宋体" w:hint="default"/>
                <w:spacing w:val="-46"/>
                <w:sz w:val="18"/>
                <w:szCs w:val="18"/>
              </w:rPr>
              <w:t> </w:t>
            </w:r>
            <w:r>
              <w:rPr>
                <w:rFonts w:ascii="宋体" w:hAnsi="宋体" w:cs="宋体" w:eastAsia="宋体" w:hint="default"/>
                <w:sz w:val="18"/>
                <w:szCs w:val="18"/>
              </w:rPr>
              <w:t>值</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Average Revenue Per User</w:t>
            </w:r>
            <w:r>
              <w:rPr>
                <w:rFonts w:ascii="宋体" w:hAnsi="宋体" w:cs="宋体" w:eastAsia="宋体" w:hint="default"/>
                <w:spacing w:val="-46"/>
                <w:sz w:val="18"/>
                <w:szCs w:val="18"/>
              </w:rPr>
              <w:t> </w:t>
            </w:r>
            <w:r>
              <w:rPr>
                <w:rFonts w:ascii="宋体" w:hAnsi="宋体" w:cs="宋体" w:eastAsia="宋体" w:hint="default"/>
                <w:sz w:val="18"/>
                <w:szCs w:val="18"/>
              </w:rPr>
              <w:t>的缩写，即每用户平均收入</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NFC</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Near Field Communication</w:t>
            </w:r>
            <w:r>
              <w:rPr>
                <w:rFonts w:ascii="宋体" w:hAnsi="宋体" w:cs="宋体" w:eastAsia="宋体" w:hint="default"/>
                <w:spacing w:val="-46"/>
                <w:sz w:val="18"/>
                <w:szCs w:val="18"/>
              </w:rPr>
              <w:t> </w:t>
            </w:r>
            <w:r>
              <w:rPr>
                <w:rFonts w:ascii="宋体" w:hAnsi="宋体" w:cs="宋体" w:eastAsia="宋体" w:hint="default"/>
                <w:sz w:val="18"/>
                <w:szCs w:val="18"/>
              </w:rPr>
              <w:t>的缩写，即近距离无线通讯</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TSM</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Trusted Service Manager</w:t>
            </w:r>
            <w:r>
              <w:rPr>
                <w:rFonts w:ascii="宋体" w:hAnsi="宋体" w:cs="宋体" w:eastAsia="宋体" w:hint="default"/>
                <w:spacing w:val="-46"/>
                <w:sz w:val="18"/>
                <w:szCs w:val="18"/>
              </w:rPr>
              <w:t> </w:t>
            </w:r>
            <w:r>
              <w:rPr>
                <w:rFonts w:ascii="宋体" w:hAnsi="宋体" w:cs="宋体" w:eastAsia="宋体" w:hint="default"/>
                <w:sz w:val="18"/>
                <w:szCs w:val="18"/>
              </w:rPr>
              <w:t>的缩写，即可信服务管理</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Token</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电子支付令牌（一种手机安全技术）</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HCE</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Host-based Card Emulation</w:t>
            </w:r>
            <w:r>
              <w:rPr>
                <w:rFonts w:ascii="宋体" w:hAnsi="宋体" w:cs="宋体" w:eastAsia="宋体" w:hint="default"/>
                <w:spacing w:val="-46"/>
                <w:sz w:val="18"/>
                <w:szCs w:val="18"/>
              </w:rPr>
              <w:t> </w:t>
            </w:r>
            <w:r>
              <w:rPr>
                <w:rFonts w:ascii="宋体" w:hAnsi="宋体" w:cs="宋体" w:eastAsia="宋体" w:hint="default"/>
                <w:sz w:val="18"/>
                <w:szCs w:val="18"/>
              </w:rPr>
              <w:t>的缩写，即基于主机的卡模拟技术</w:t>
            </w:r>
          </w:p>
        </w:tc>
      </w:tr>
    </w:tbl>
    <w:p>
      <w:pPr>
        <w:spacing w:after="0" w:line="240" w:lineRule="auto"/>
        <w:jc w:val="left"/>
        <w:rPr>
          <w:rFonts w:ascii="宋体" w:hAnsi="宋体" w:cs="宋体" w:eastAsia="宋体" w:hint="default"/>
          <w:sz w:val="18"/>
          <w:szCs w:val="18"/>
        </w:rPr>
        <w:sectPr>
          <w:pgSz w:w="11910" w:h="16840"/>
          <w:pgMar w:header="877" w:footer="1187" w:top="1100" w:bottom="138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pStyle w:val="Heading1"/>
        <w:spacing w:line="240" w:lineRule="auto"/>
        <w:ind w:left="3624" w:right="0"/>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134"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284"/>
        <w:gridCol w:w="2954"/>
        <w:gridCol w:w="2157"/>
        <w:gridCol w:w="2176"/>
      </w:tblGrid>
      <w:tr>
        <w:trPr>
          <w:trHeight w:val="402" w:hRule="exact"/>
        </w:trPr>
        <w:tc>
          <w:tcPr>
            <w:tcW w:w="2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股票简称</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天喻信息</w:t>
            </w:r>
          </w:p>
        </w:tc>
        <w:tc>
          <w:tcPr>
            <w:tcW w:w="2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1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300205</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公司的中文名称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武汉天喻信息产业股份有限公司</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公司的中文简称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天喻信息</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公司的外文名称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sz w:val="18"/>
              </w:rPr>
              <w:t>Wuhan Tianyu Information Industry Co., Ltd.</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sz w:val="18"/>
              </w:rPr>
              <w:t>Tianyu Information</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张新访</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注册地址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武汉市东湖新技术开发区华工大学科技园</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sz w:val="18"/>
              </w:rPr>
              <w:t>430223</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办公地址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武汉市东湖新技术开发区华工大学科技园天喻楼</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sz w:val="18"/>
              </w:rPr>
              <w:t>430223</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hyperlink r:id="rId10">
              <w:r>
                <w:rPr>
                  <w:rFonts w:ascii="宋体"/>
                  <w:sz w:val="18"/>
                </w:rPr>
                <w:t>www.whty.com.cn</w:t>
              </w:r>
            </w:hyperlink>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电子信箱</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hyperlink r:id="rId11">
              <w:r>
                <w:rPr>
                  <w:rFonts w:ascii="宋体"/>
                  <w:sz w:val="18"/>
                </w:rPr>
                <w:t>tyobd@whty.com.cn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750"/>
        <w:gridCol w:w="3921"/>
        <w:gridCol w:w="3899"/>
      </w:tblGrid>
      <w:tr>
        <w:trPr>
          <w:trHeight w:val="402"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3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江绥</w:t>
            </w:r>
          </w:p>
        </w:tc>
        <w:tc>
          <w:tcPr>
            <w:tcW w:w="3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何娟</w:t>
            </w:r>
          </w:p>
        </w:tc>
      </w:tr>
      <w:tr>
        <w:trPr>
          <w:trHeight w:val="402"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联系地址</w:t>
            </w:r>
          </w:p>
        </w:tc>
        <w:tc>
          <w:tcPr>
            <w:tcW w:w="3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武汉市东湖新技术开发区华工大学科技园天喻楼</w:t>
            </w:r>
          </w:p>
        </w:tc>
        <w:tc>
          <w:tcPr>
            <w:tcW w:w="3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武汉市东湖新技术开发区华工大学科技园天喻楼</w:t>
            </w:r>
          </w:p>
        </w:tc>
      </w:tr>
      <w:tr>
        <w:trPr>
          <w:trHeight w:val="402"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电话</w:t>
            </w:r>
          </w:p>
        </w:tc>
        <w:tc>
          <w:tcPr>
            <w:tcW w:w="3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027-87920301</w:t>
            </w:r>
          </w:p>
        </w:tc>
        <w:tc>
          <w:tcPr>
            <w:tcW w:w="3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027-87920301</w:t>
            </w:r>
          </w:p>
        </w:tc>
      </w:tr>
      <w:tr>
        <w:trPr>
          <w:trHeight w:val="402"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传真</w:t>
            </w:r>
          </w:p>
        </w:tc>
        <w:tc>
          <w:tcPr>
            <w:tcW w:w="3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027-87920306</w:t>
            </w:r>
          </w:p>
        </w:tc>
        <w:tc>
          <w:tcPr>
            <w:tcW w:w="3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027-87920306</w:t>
            </w:r>
          </w:p>
        </w:tc>
      </w:tr>
      <w:tr>
        <w:trPr>
          <w:trHeight w:val="402"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电子信箱</w:t>
            </w:r>
          </w:p>
        </w:tc>
        <w:tc>
          <w:tcPr>
            <w:tcW w:w="3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hyperlink r:id="rId12">
              <w:r>
                <w:rPr>
                  <w:rFonts w:ascii="宋体"/>
                  <w:sz w:val="18"/>
                </w:rPr>
                <w:t>js@whty.com.cn</w:t>
              </w:r>
            </w:hyperlink>
          </w:p>
        </w:tc>
        <w:tc>
          <w:tcPr>
            <w:tcW w:w="3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hyperlink r:id="rId13">
              <w:r>
                <w:rPr>
                  <w:rFonts w:ascii="宋体"/>
                  <w:sz w:val="18"/>
                </w:rPr>
                <w:t>hej@whty.com.cn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《证券日报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hyperlink r:id="rId14">
              <w:r>
                <w:rPr>
                  <w:rFonts w:ascii="宋体"/>
                  <w:sz w:val="18"/>
                </w:rPr>
                <w:t>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四、其他有关资料" w:id="8"/>
      <w:bookmarkEnd w:id="8"/>
      <w:r>
        <w:rPr>
          <w:b w:val="0"/>
          <w:bCs w:val="0"/>
        </w:rPr>
      </w:r>
      <w:r>
        <w:rPr/>
        <w:t>四、其他有关资料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after="0" w:line="240" w:lineRule="auto"/>
        <w:jc w:val="left"/>
        <w:sectPr>
          <w:pgSz w:w="11910" w:h="16840"/>
          <w:pgMar w:header="877" w:footer="1187" w:top="1100" w:bottom="1380" w:left="0" w:right="0"/>
        </w:sectPr>
      </w:pPr>
    </w:p>
    <w:p>
      <w:pPr>
        <w:spacing w:line="240" w:lineRule="auto" w:before="6"/>
        <w:rPr>
          <w:rFonts w:ascii="宋体" w:hAnsi="宋体" w:cs="宋体" w:eastAsia="宋体" w:hint="default"/>
          <w:sz w:val="24"/>
          <w:szCs w:val="24"/>
        </w:rPr>
      </w:pPr>
      <w:r>
        <w:rPr/>
        <w:pict>
          <v:group style="position:absolute;margin-left:198.740005pt;margin-top:388.009979pt;width:84.1pt;height:20.8pt;mso-position-horizontal-relative:page;mso-position-vertical-relative:page;z-index:-779080" coordorigin="3975,7760" coordsize="1682,416">
            <v:group style="position:absolute;left:3986;top:7772;width:2;height:393" coordorigin="3986,7772" coordsize="2,393">
              <v:shape style="position:absolute;left:3986;top:7772;width:2;height:393" coordorigin="3986,7772" coordsize="0,393" path="m3986,7772l3986,8164e" filled="false" stroked="true" strokeweight="1.140pt" strokecolor="#ffffff">
                <v:path arrowok="t"/>
              </v:shape>
            </v:group>
            <v:group style="position:absolute;left:3998;top:7772;width:1659;height:393" coordorigin="3998,7772" coordsize="1659,393">
              <v:shape style="position:absolute;left:3998;top:7772;width:1659;height:393" coordorigin="3998,7772" coordsize="1659,393" path="m3998,8164l5656,8164,5656,7772,3998,7772,3998,8164xe" filled="true" fillcolor="#ffffff" stroked="false">
                <v:path arrowok="t"/>
                <v:fill type="solid"/>
              </v:shape>
            </v:group>
            <w10:wrap type="none"/>
          </v:group>
        </w:pict>
      </w: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中审众环会计师事务所（特殊普通合伙）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湖北省武汉市武昌区东湖路</w:t>
            </w:r>
            <w:r>
              <w:rPr>
                <w:rFonts w:ascii="宋体" w:hAnsi="宋体" w:cs="宋体" w:eastAsia="宋体" w:hint="default"/>
                <w:spacing w:val="-46"/>
                <w:sz w:val="18"/>
                <w:szCs w:val="18"/>
              </w:rPr>
              <w:t> </w:t>
            </w:r>
            <w:r>
              <w:rPr>
                <w:rFonts w:ascii="宋体" w:hAnsi="宋体" w:cs="宋体" w:eastAsia="宋体" w:hint="default"/>
                <w:sz w:val="18"/>
                <w:szCs w:val="18"/>
              </w:rPr>
              <w:t>169</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陈刚、聂慧蓉</w:t>
            </w:r>
          </w:p>
        </w:tc>
      </w:tr>
    </w:tbl>
    <w:p>
      <w:pPr>
        <w:spacing w:line="240" w:lineRule="auto" w:before="9"/>
        <w:rPr>
          <w:rFonts w:ascii="宋体" w:hAnsi="宋体" w:cs="宋体" w:eastAsia="宋体" w:hint="default"/>
          <w:sz w:val="6"/>
          <w:szCs w:val="6"/>
        </w:rPr>
      </w:pPr>
    </w:p>
    <w:p>
      <w:pPr>
        <w:pStyle w:val="BodyText"/>
        <w:spacing w:line="240" w:lineRule="auto" w:before="44"/>
        <w:ind w:left="1134" w:right="0"/>
        <w:jc w:val="left"/>
      </w:pPr>
      <w:r>
        <w:rPr/>
        <w:t>公司聘请的报告期内履行持续督导职责的保荐机构</w:t>
      </w:r>
    </w:p>
    <w:p>
      <w:pPr>
        <w:pStyle w:val="BodyText"/>
        <w:spacing w:line="439" w:lineRule="auto" w:before="117"/>
        <w:ind w:left="1134" w:right="6792"/>
        <w:jc w:val="left"/>
      </w:pPr>
      <w:r>
        <w:rPr/>
        <w:t>□ 适用 √ 不适用 公司聘请的报告期内履行持续督导职责的财务顾问</w:t>
      </w:r>
    </w:p>
    <w:p>
      <w:pPr>
        <w:pStyle w:val="BodyText"/>
        <w:spacing w:line="203" w:lineRule="exact"/>
        <w:ind w:left="1134"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left="1134" w:right="0"/>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公司是否因会计政策变更及会计差错更正等追溯调整或重述以前年度会计数据</w:t>
      </w:r>
    </w:p>
    <w:p>
      <w:pPr>
        <w:pStyle w:val="BodyText"/>
        <w:spacing w:line="240" w:lineRule="auto" w:before="116"/>
        <w:ind w:right="0"/>
        <w:jc w:val="left"/>
      </w:pPr>
      <w:r>
        <w:rPr/>
        <w:pict>
          <v:group style="position:absolute;margin-left:198.740005pt;margin-top:62.961704pt;width:84.1pt;height:20.8pt;mso-position-horizontal-relative:page;mso-position-vertical-relative:paragraph;z-index:-779104" coordorigin="3975,1259" coordsize="1682,416">
            <v:group style="position:absolute;left:3986;top:1271;width:2;height:393" coordorigin="3986,1271" coordsize="2,393">
              <v:shape style="position:absolute;left:3986;top:1271;width:2;height:393" coordorigin="3986,1271" coordsize="0,393" path="m3986,1271l3986,1663e" filled="false" stroked="true" strokeweight="1.140pt" strokecolor="#ffffff">
                <v:path arrowok="t"/>
              </v:shape>
            </v:group>
            <v:group style="position:absolute;left:3998;top:1271;width:1659;height:393" coordorigin="3998,1271" coordsize="1659,393">
              <v:shape style="position:absolute;left:3998;top:1271;width:1659;height:393" coordorigin="3998,1271" coordsize="1659,393" path="m3998,1663l5656,1663,5656,1271,3998,1271,3998,1663xe" filled="true" fillcolor="#ffffff" stroked="false">
                <v:path arrowok="t"/>
                <v:fill type="solid"/>
              </v:shape>
            </v:group>
            <w10:wrap type="none"/>
          </v:group>
        </w:pict>
      </w:r>
      <w:r>
        <w:rPr/>
        <w:t>□ 是 √ 否</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836"/>
        <w:gridCol w:w="1715"/>
        <w:gridCol w:w="1687"/>
        <w:gridCol w:w="1701"/>
        <w:gridCol w:w="1631"/>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59"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46"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4"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18"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1,483,296,003.21</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1,354,686,517.38</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9.49%</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1,270,546,785.18</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tabs>
                <w:tab w:pos="601" w:val="left" w:leader="none"/>
              </w:tabs>
              <w:spacing w:line="240" w:lineRule="auto" w:before="51"/>
              <w:ind w:left="-124" w:right="22"/>
              <w:jc w:val="right"/>
              <w:rPr>
                <w:rFonts w:ascii="宋体" w:hAnsi="宋体" w:cs="宋体" w:eastAsia="宋体" w:hint="default"/>
                <w:sz w:val="18"/>
                <w:szCs w:val="18"/>
              </w:rPr>
            </w:pPr>
            <w:r>
              <w:rPr>
                <w:rFonts w:ascii="宋体" w:hAnsi="宋体" w:cs="宋体" w:eastAsia="宋体" w:hint="default"/>
                <w:sz w:val="18"/>
                <w:szCs w:val="18"/>
              </w:rPr>
              <w:t>）</w:t>
              <w:tab/>
            </w:r>
            <w:r>
              <w:rPr>
                <w:rFonts w:ascii="宋体" w:hAnsi="宋体" w:cs="宋体" w:eastAsia="宋体" w:hint="default"/>
                <w:sz w:val="18"/>
                <w:szCs w:val="18"/>
              </w:rPr>
              <w:t>6,994,961.07</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58,620,962.31</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-88.07%</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86,161,049.57</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 性损益的净利润（元）</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1,933,430.34</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52,201,307.03</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-96.30%</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77,677,841.40</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auto" w:before="51"/>
              <w:ind w:left="-124" w:right="22"/>
              <w:jc w:val="right"/>
              <w:rPr>
                <w:rFonts w:ascii="宋体" w:hAnsi="宋体" w:cs="宋体" w:eastAsia="宋体" w:hint="default"/>
                <w:sz w:val="18"/>
                <w:szCs w:val="18"/>
              </w:rPr>
            </w:pPr>
            <w:r>
              <w:rPr>
                <w:rFonts w:ascii="宋体" w:hAnsi="宋体" w:cs="宋体" w:eastAsia="宋体" w:hint="default"/>
                <w:sz w:val="18"/>
                <w:szCs w:val="18"/>
              </w:rPr>
              <w:t>）</w:t>
              <w:tab/>
            </w:r>
            <w:r>
              <w:rPr>
                <w:rFonts w:ascii="宋体" w:hAnsi="宋体" w:cs="宋体" w:eastAsia="宋体" w:hint="default"/>
                <w:sz w:val="18"/>
                <w:szCs w:val="18"/>
              </w:rPr>
              <w:t>292,113,667.88</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-108,829,372.04</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368.41%</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3,470,333.35</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0.0163</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0.1363</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-88.04%</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0.2003</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0.0163</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0.1363</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-88.04%</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0.2003</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0.63%</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5.37%</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-4.74</w:t>
            </w:r>
            <w:r>
              <w:rPr>
                <w:rFonts w:ascii="宋体" w:hAnsi="宋体" w:cs="宋体" w:eastAsia="宋体" w:hint="default"/>
                <w:spacing w:val="-46"/>
                <w:sz w:val="18"/>
                <w:szCs w:val="18"/>
              </w:rPr>
              <w:t> </w:t>
            </w:r>
            <w:r>
              <w:rPr>
                <w:rFonts w:ascii="宋体" w:hAnsi="宋体" w:cs="宋体" w:eastAsia="宋体" w:hint="default"/>
                <w:sz w:val="18"/>
                <w:szCs w:val="18"/>
              </w:rPr>
              <w:t>百分点</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8.28%</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9"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6"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4"/>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28"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年末</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1,683,408,424.47</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2,024,585,834.35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-16.85%</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1,747,354,112.77</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4" w:right="22"/>
              <w:jc w:val="righ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5"/>
                <w:sz w:val="18"/>
                <w:szCs w:val="18"/>
              </w:rPr>
              <w:t> </w:t>
            </w:r>
            <w:r>
              <w:rPr>
                <w:rFonts w:ascii="宋体" w:hAnsi="宋体" w:cs="宋体" w:eastAsia="宋体" w:hint="default"/>
                <w:sz w:val="18"/>
                <w:szCs w:val="18"/>
              </w:rPr>
              <w:t>1,111,633,152.75</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1,109,988,204.50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0.15%</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1,074,524,339.41</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r>
        <w:rPr/>
        <w:pict>
          <v:group style="position:absolute;margin-left:198.740005pt;margin-top:-32.534374pt;width:84.1pt;height:20.8pt;mso-position-horizontal-relative:page;mso-position-vertical-relative:paragraph;z-index:-779056" coordorigin="3975,-651" coordsize="1682,416">
            <v:group style="position:absolute;left:3986;top:-639;width:2;height:393" coordorigin="3986,-639" coordsize="2,393">
              <v:shape style="position:absolute;left:3986;top:-639;width:2;height:393" coordorigin="3986,-639" coordsize="0,393" path="m3986,-639l3986,-247e" filled="false" stroked="true" strokeweight="1.140pt" strokecolor="#ffffff">
                <v:path arrowok="t"/>
              </v:shape>
            </v:group>
            <v:group style="position:absolute;left:3998;top:-639;width:1659;height:393" coordorigin="3998,-639" coordsize="1659,393">
              <v:shape style="position:absolute;left:3998;top:-639;width:1659;height:393" coordorigin="3998,-639" coordsize="1659,393" path="m3998,-247l5656,-247,5656,-639,3998,-639,3998,-247xe" filled="true" fillcolor="#ffffff" stroked="false">
                <v:path arrowok="t"/>
                <v:fill type="solid"/>
              </v:shape>
            </v:group>
            <w10:wrap type="none"/>
          </v:group>
        </w:pict>
      </w:r>
      <w:bookmarkStart w:name="六、分季度主要财务指标" w:id="10"/>
      <w:bookmarkEnd w:id="10"/>
      <w:r>
        <w:rPr>
          <w:b w:val="0"/>
          <w:bCs w:val="0"/>
        </w:rPr>
      </w:r>
      <w:r>
        <w:rPr/>
        <w:t>六、分季度主要财务指标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31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836"/>
        <w:gridCol w:w="1701"/>
        <w:gridCol w:w="1693"/>
        <w:gridCol w:w="1722"/>
        <w:gridCol w:w="1618"/>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84"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81"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9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3"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325,146,573.75</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359,914,903.26</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317,754,216.81</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480,480,309.39</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8,236,768.23</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11,108,171.49</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-12,958,053.04</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608,074.39</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 性损益的净利润</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8,589,823.44</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11,403,405.84</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-15,170,694.86</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-2,889,104.08</w:t>
            </w:r>
          </w:p>
        </w:tc>
      </w:tr>
      <w:tr>
        <w:trPr>
          <w:trHeight w:val="40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-134,054,761.76</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-7,153,757.38</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10,311,860.86</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423,010,326.16</w:t>
            </w:r>
          </w:p>
        </w:tc>
      </w:tr>
    </w:tbl>
    <w:p>
      <w:pPr>
        <w:spacing w:line="240" w:lineRule="auto" w:before="9"/>
        <w:rPr>
          <w:rFonts w:ascii="宋体" w:hAnsi="宋体" w:cs="宋体" w:eastAsia="宋体" w:hint="default"/>
          <w:sz w:val="6"/>
          <w:szCs w:val="6"/>
        </w:rPr>
      </w:pPr>
    </w:p>
    <w:p>
      <w:pPr>
        <w:pStyle w:val="BodyText"/>
        <w:spacing w:line="240" w:lineRule="auto" w:before="44"/>
        <w:ind w:left="1134" w:right="0"/>
        <w:jc w:val="left"/>
      </w:pPr>
      <w:r>
        <w:rPr/>
        <w:t>上述财务指标或其加总数是否与公司已披露季度报告、半年度报告相关财务指标存在重大差异</w:t>
      </w:r>
    </w:p>
    <w:p>
      <w:pPr>
        <w:pStyle w:val="BodyText"/>
        <w:spacing w:line="240" w:lineRule="auto" w:before="116"/>
        <w:ind w:right="0"/>
        <w:jc w:val="left"/>
      </w:pPr>
      <w:r>
        <w:rPr/>
        <w:t>□ 是 √ 否</w:t>
      </w:r>
    </w:p>
    <w:p>
      <w:pPr>
        <w:spacing w:after="0" w:line="240" w:lineRule="auto"/>
        <w:jc w:val="left"/>
        <w:sectPr>
          <w:pgSz w:w="11910" w:h="16840"/>
          <w:pgMar w:header="877" w:footer="1187" w:top="1100" w:bottom="1380" w:left="0" w:right="0"/>
        </w:sectPr>
      </w:pPr>
    </w:p>
    <w:p>
      <w:pPr>
        <w:spacing w:line="240" w:lineRule="auto" w:before="8"/>
        <w:rPr>
          <w:rFonts w:ascii="宋体" w:hAnsi="宋体" w:cs="宋体" w:eastAsia="宋体" w:hint="default"/>
          <w:sz w:val="19"/>
          <w:szCs w:val="19"/>
        </w:rPr>
      </w:pPr>
    </w:p>
    <w:p>
      <w:pPr>
        <w:pStyle w:val="Heading2"/>
        <w:spacing w:line="240" w:lineRule="auto" w:before="26"/>
        <w:ind w:left="1134"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4" w:right="0"/>
        <w:jc w:val="left"/>
        <w:rPr>
          <w:b w:val="0"/>
          <w:bCs w:val="0"/>
        </w:rPr>
      </w:pPr>
      <w:bookmarkStart w:name="1、同时按照国际会计准则与按照中国会计准则披露的财务报告中净利润和净资产差异情况" w:id="12"/>
      <w:bookmarkEnd w:id="12"/>
      <w:r>
        <w:rPr>
          <w:b w:val="0"/>
          <w:bCs w:val="0"/>
        </w:rPr>
      </w:r>
      <w:r>
        <w:rPr>
          <w:rFonts w:ascii="宋体" w:hAnsi="宋体" w:cs="宋体" w:eastAsia="宋体" w:hint="default"/>
        </w:rPr>
        <w:t>1</w:t>
      </w:r>
      <w:r>
        <w:rPr/>
        <w:t>、同时按照国际会计准则与按照中国会计准则披露的财务报告中净利润和净资产差异情况</w:t>
      </w:r>
      <w:r>
        <w:rPr>
          <w:b w:val="0"/>
          <w:bCs w:val="0"/>
        </w:rPr>
      </w:r>
    </w:p>
    <w:p>
      <w:pPr>
        <w:spacing w:line="240" w:lineRule="auto" w:before="11"/>
        <w:rPr>
          <w:rFonts w:ascii="宋体" w:hAnsi="宋体" w:cs="宋体" w:eastAsia="宋体" w:hint="default"/>
          <w:b/>
          <w:bCs/>
          <w:sz w:val="27"/>
          <w:szCs w:val="27"/>
        </w:rPr>
      </w:pPr>
    </w:p>
    <w:p>
      <w:pPr>
        <w:pStyle w:val="BodyText"/>
        <w:spacing w:line="357" w:lineRule="auto"/>
        <w:ind w:left="1493" w:right="2293" w:hanging="360"/>
        <w:jc w:val="left"/>
      </w:pPr>
      <w:r>
        <w:rPr/>
        <w:t>□ 适用 √ 不适用 公司报告期不存在按照国际会计准则与按照中国会计准则披露的财务报告中净利润和净资产差异情况。</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宋体" w:hAnsi="宋体" w:cs="宋体" w:eastAsia="宋体" w:hint="default"/>
        </w:rPr>
        <w:t>2</w:t>
      </w:r>
      <w:r>
        <w:rPr/>
        <w:t>、同时按照境外会计准则与按照中国会计准则披露的财务报告中净利润和净资产差异情况</w:t>
      </w:r>
      <w:r>
        <w:rPr>
          <w:b w:val="0"/>
          <w:bCs w:val="0"/>
        </w:rPr>
      </w:r>
    </w:p>
    <w:p>
      <w:pPr>
        <w:spacing w:line="240" w:lineRule="auto" w:before="12"/>
        <w:rPr>
          <w:rFonts w:ascii="宋体" w:hAnsi="宋体" w:cs="宋体" w:eastAsia="宋体" w:hint="default"/>
          <w:b/>
          <w:bCs/>
          <w:sz w:val="27"/>
          <w:szCs w:val="27"/>
        </w:rPr>
      </w:pPr>
    </w:p>
    <w:p>
      <w:pPr>
        <w:pStyle w:val="BodyText"/>
        <w:spacing w:line="357" w:lineRule="auto"/>
        <w:ind w:left="1493" w:right="2293" w:hanging="360"/>
        <w:jc w:val="left"/>
      </w:pPr>
      <w:r>
        <w:rPr/>
        <w:t>□ 适用 √ 不适用 公司报告期不存在按照境外会计准则与按照中国会计准则披露的财务报告中净利润和净资产差异情况。</w:t>
      </w:r>
    </w:p>
    <w:p>
      <w:pPr>
        <w:spacing w:line="240" w:lineRule="auto" w:before="3"/>
        <w:rPr>
          <w:rFonts w:ascii="宋体" w:hAnsi="宋体" w:cs="宋体" w:eastAsia="宋体" w:hint="default"/>
          <w:sz w:val="18"/>
          <w:szCs w:val="18"/>
        </w:rPr>
      </w:pPr>
    </w:p>
    <w:p>
      <w:pPr>
        <w:pStyle w:val="Heading2"/>
        <w:spacing w:line="240" w:lineRule="auto"/>
        <w:ind w:right="0"/>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6"/>
        <w:ind w:left="0" w:right="131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5104"/>
        <w:gridCol w:w="1504"/>
        <w:gridCol w:w="1485"/>
        <w:gridCol w:w="1470"/>
      </w:tblGrid>
      <w:tr>
        <w:trPr>
          <w:trHeight w:val="402"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年金额</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年金额</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6"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年金额</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非流动资产处置损益（包括已计提资产减值准备的冲销部分）</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-1,193,605.23</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-6,115,429.65</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-150,015.95</w:t>
            </w:r>
          </w:p>
        </w:tc>
      </w:tr>
      <w:tr>
        <w:trPr>
          <w:trHeight w:val="714"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1"/>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计入当期损益的政府补助（与企业业务密切相关，按照国家统一 标准定额或定量享受的政府补助除外）</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6,699,393.00</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8,703,240.00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8,697,385.00</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1504" w:type="dxa"/>
            <w:tcBorders>
              <w:top w:val="single" w:sz="4" w:space="0" w:color="000000"/>
              <w:left w:val="single" w:sz="4" w:space="0" w:color="000000"/>
              <w:bottom w:val="single" w:sz="4" w:space="0" w:color="000000"/>
              <w:right w:val="single" w:sz="4" w:space="0" w:color="000000"/>
            </w:tcBorders>
          </w:tcPr>
          <w:p>
            <w:pPr/>
          </w:p>
        </w:tc>
        <w:tc>
          <w:tcPr>
            <w:tcW w:w="1485"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2,074,633.61</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520,560.80</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-2,434,856.00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66,514.26</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852,016.91</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-5,063,107.35</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773,826.40</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112,800.93</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-1,203,593.58</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1,431,482.35</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5,061,530.73</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6,419,655.28</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8,483,208.17</w:t>
            </w:r>
          </w:p>
        </w:tc>
      </w:tr>
    </w:tbl>
    <w:p>
      <w:pPr>
        <w:spacing w:line="240" w:lineRule="auto" w:before="8"/>
        <w:rPr>
          <w:rFonts w:ascii="宋体" w:hAnsi="宋体" w:cs="宋体" w:eastAsia="宋体" w:hint="default"/>
          <w:sz w:val="6"/>
          <w:szCs w:val="6"/>
        </w:rPr>
      </w:pPr>
    </w:p>
    <w:p>
      <w:pPr>
        <w:pStyle w:val="BodyText"/>
        <w:spacing w:line="240" w:lineRule="auto" w:before="44"/>
        <w:ind w:left="1134" w:right="0"/>
        <w:jc w:val="left"/>
      </w:pPr>
      <w:r>
        <w:rPr>
          <w:spacing w:val="-3"/>
        </w:rPr>
        <w:t>对公司根据《公开发行证券的公司信息披露解释性公告第</w:t>
      </w:r>
      <w:r>
        <w:rPr>
          <w:spacing w:val="-39"/>
        </w:rPr>
        <w:t> </w:t>
      </w:r>
      <w:r>
        <w:rPr>
          <w:rFonts w:ascii="宋体" w:hAnsi="宋体" w:cs="宋体" w:eastAsia="宋体" w:hint="default"/>
        </w:rPr>
        <w:t>1</w:t>
      </w:r>
      <w:r>
        <w:rPr>
          <w:rFonts w:ascii="宋体" w:hAnsi="宋体" w:cs="宋体" w:eastAsia="宋体" w:hint="default"/>
          <w:spacing w:val="-40"/>
        </w:rPr>
        <w:t> </w:t>
      </w:r>
      <w:r>
        <w:rPr>
          <w:spacing w:val="-7"/>
        </w:rPr>
        <w:t>号——非经常性损益》定义界定的非经常性损益项目，以及把《公</w:t>
      </w:r>
    </w:p>
    <w:p>
      <w:pPr>
        <w:pStyle w:val="BodyText"/>
        <w:spacing w:line="319" w:lineRule="auto" w:before="76"/>
        <w:ind w:left="1134" w:right="1118"/>
        <w:jc w:val="left"/>
      </w:pPr>
      <w:r>
        <w:rPr/>
        <w:t>开发行证券的公司信息披露解释性公告第 </w:t>
      </w:r>
      <w:r>
        <w:rPr>
          <w:rFonts w:ascii="宋体" w:hAnsi="宋体" w:cs="宋体" w:eastAsia="宋体" w:hint="default"/>
        </w:rPr>
        <w:t>1</w:t>
      </w:r>
      <w:r>
        <w:rPr>
          <w:rFonts w:ascii="宋体" w:hAnsi="宋体" w:cs="宋体" w:eastAsia="宋体" w:hint="default"/>
          <w:spacing w:val="-71"/>
        </w:rPr>
        <w:t> </w:t>
      </w:r>
      <w:r>
        <w:rPr>
          <w:spacing w:val="-3"/>
        </w:rPr>
        <w:t>号——非经常性损益》中列举的非经常性损益项目界定为经常性损益的项目，应</w:t>
      </w:r>
      <w:r>
        <w:rPr/>
        <w:t> 说明原因</w:t>
      </w:r>
    </w:p>
    <w:p>
      <w:pPr>
        <w:pStyle w:val="BodyText"/>
        <w:spacing w:line="240" w:lineRule="auto" w:before="56"/>
        <w:ind w:left="1134" w:right="0"/>
        <w:jc w:val="left"/>
      </w:pPr>
      <w:r>
        <w:rPr/>
        <w:t>□ 适用 √ 不适用</w:t>
      </w:r>
    </w:p>
    <w:p>
      <w:pPr>
        <w:pStyle w:val="BodyText"/>
        <w:spacing w:line="319" w:lineRule="auto" w:before="116"/>
        <w:ind w:right="1116" w:firstLine="360"/>
        <w:jc w:val="left"/>
      </w:pPr>
      <w:r>
        <w:rPr/>
        <w:t>公司报告期不存在将根据《公开发行证券的公司信息披露解释性公告第</w:t>
      </w:r>
      <w:r>
        <w:rPr>
          <w:spacing w:val="-56"/>
        </w:rPr>
        <w:t> </w:t>
      </w:r>
      <w:r>
        <w:rPr>
          <w:rFonts w:ascii="宋体" w:hAnsi="宋体" w:cs="宋体" w:eastAsia="宋体" w:hint="default"/>
        </w:rPr>
        <w:t>1</w:t>
      </w:r>
      <w:r>
        <w:rPr>
          <w:rFonts w:ascii="宋体" w:hAnsi="宋体" w:cs="宋体" w:eastAsia="宋体" w:hint="default"/>
          <w:spacing w:val="-57"/>
        </w:rPr>
        <w:t> </w:t>
      </w:r>
      <w:r>
        <w:rPr>
          <w:spacing w:val="-3"/>
        </w:rPr>
        <w:t>号——非经常性损益》定义、列举的非经常性</w:t>
      </w:r>
      <w:r>
        <w:rPr/>
        <w:t> 损益项目界定为经常性损益的项目的情形。</w:t>
      </w:r>
    </w:p>
    <w:p>
      <w:pPr>
        <w:spacing w:after="0" w:line="319" w:lineRule="auto"/>
        <w:jc w:val="left"/>
        <w:sectPr>
          <w:pgSz w:w="11910" w:h="16840"/>
          <w:pgMar w:header="877" w:footer="1187" w:top="1100" w:bottom="138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1130"/>
        <w:jc w:val="center"/>
        <w:rPr>
          <w:b w:val="0"/>
          <w:bCs w:val="0"/>
        </w:rPr>
      </w:pPr>
      <w:bookmarkStart w:name="第三节 公司业务概要" w:id="15"/>
      <w:bookmarkEnd w:id="15"/>
      <w:r>
        <w:rPr>
          <w:b w:val="0"/>
          <w:bCs w:val="0"/>
        </w:rPr>
      </w:r>
      <w:bookmarkStart w:name="_bookmark2" w:id="16"/>
      <w:bookmarkEnd w:id="16"/>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left="1134" w:right="0"/>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2" w:firstLine="360"/>
        <w:jc w:val="both"/>
      </w:pPr>
      <w:r>
        <w:rPr/>
        <w:t>报告期内，公司从事的主要业务包括涵盖卡（金融</w:t>
      </w:r>
      <w:r>
        <w:rPr>
          <w:rFonts w:ascii="宋体" w:hAnsi="宋体" w:cs="宋体" w:eastAsia="宋体" w:hint="default"/>
        </w:rPr>
        <w:t>IC</w:t>
      </w:r>
      <w:r>
        <w:rPr/>
        <w:t>卡等智能卡产品）、终端（</w:t>
      </w:r>
      <w:r>
        <w:rPr>
          <w:rFonts w:ascii="宋体" w:hAnsi="宋体" w:cs="宋体" w:eastAsia="宋体" w:hint="default"/>
        </w:rPr>
        <w:t>mPOS</w:t>
      </w:r>
      <w:r>
        <w:rPr/>
        <w:t>、智能</w:t>
      </w:r>
      <w:r>
        <w:rPr>
          <w:rFonts w:ascii="宋体" w:hAnsi="宋体" w:cs="宋体" w:eastAsia="宋体" w:hint="default"/>
        </w:rPr>
        <w:t>POS</w:t>
      </w:r>
      <w:r>
        <w:rPr/>
        <w:t>、税控盘、读卡设备等 </w:t>
      </w:r>
      <w:r>
        <w:rPr>
          <w:spacing w:val="-2"/>
        </w:rPr>
        <w:t>终端产品）、服务（手机安全服务）的数据安全业务和以国家教育信息化为背景的在线教育业务、以供应链</w:t>
      </w:r>
      <w:r>
        <w:rPr>
          <w:rFonts w:ascii="宋体" w:hAnsi="宋体" w:cs="宋体" w:eastAsia="宋体" w:hint="default"/>
          <w:spacing w:val="-2"/>
        </w:rPr>
        <w:t>O2O+</w:t>
      </w:r>
      <w:r>
        <w:rPr>
          <w:spacing w:val="-2"/>
        </w:rPr>
        <w:t>金融支付解</w:t>
      </w:r>
      <w:r>
        <w:rPr>
          <w:spacing w:val="-61"/>
        </w:rPr>
        <w:t> </w:t>
      </w:r>
      <w:r>
        <w:rPr/>
        <w:t>决方案为核心的移动支付服务业务等。</w:t>
      </w:r>
    </w:p>
    <w:p>
      <w:pPr>
        <w:pStyle w:val="BodyText"/>
        <w:spacing w:line="316" w:lineRule="auto" w:before="19"/>
        <w:ind w:right="0" w:firstLine="360"/>
        <w:jc w:val="left"/>
      </w:pPr>
      <w:r>
        <w:rPr/>
        <w:t>金融</w:t>
      </w:r>
      <w:r>
        <w:rPr>
          <w:rFonts w:ascii="宋体" w:hAnsi="宋体" w:cs="宋体" w:eastAsia="宋体" w:hint="default"/>
        </w:rPr>
        <w:t>IC</w:t>
      </w:r>
      <w:r>
        <w:rPr/>
        <w:t>卡产品的主要原材料为</w:t>
      </w:r>
      <w:r>
        <w:rPr>
          <w:rFonts w:ascii="宋体" w:hAnsi="宋体" w:cs="宋体" w:eastAsia="宋体" w:hint="default"/>
        </w:rPr>
        <w:t>CPU</w:t>
      </w:r>
      <w:r>
        <w:rPr/>
        <w:t>芯片。公司通过参加商业银行的公开招投标获得发卡资格和订单，按照招投标确定的 </w:t>
      </w:r>
      <w:r>
        <w:rPr>
          <w:spacing w:val="-4"/>
        </w:rPr>
        <w:t>价格和订单数量销售给商业银行。该业务主要的业绩驱动因素为卡片销售价格的变化幅度。报告期内行业发卡量仍保持增长，</w:t>
      </w:r>
      <w:r>
        <w:rPr>
          <w:spacing w:val="-44"/>
        </w:rPr>
        <w:t> </w:t>
      </w:r>
      <w:r>
        <w:rPr>
          <w:spacing w:val="-44"/>
        </w:rPr>
      </w:r>
      <w:r>
        <w:rPr/>
        <w:t>公司金融</w:t>
      </w:r>
      <w:r>
        <w:rPr>
          <w:rFonts w:ascii="宋体" w:hAnsi="宋体" w:cs="宋体" w:eastAsia="宋体" w:hint="default"/>
        </w:rPr>
        <w:t>IC</w:t>
      </w:r>
      <w:r>
        <w:rPr/>
        <w:t>卡产品的市场占有率保持行业前列。</w:t>
      </w:r>
    </w:p>
    <w:p>
      <w:pPr>
        <w:pStyle w:val="BodyText"/>
        <w:spacing w:line="316" w:lineRule="auto" w:before="19"/>
        <w:ind w:left="1134" w:right="1139" w:firstLine="360"/>
        <w:jc w:val="both"/>
      </w:pPr>
      <w:r>
        <w:rPr>
          <w:rFonts w:ascii="宋体" w:hAnsi="宋体" w:cs="宋体" w:eastAsia="宋体" w:hint="default"/>
        </w:rPr>
        <w:t>mPOS</w:t>
      </w:r>
      <w:r>
        <w:rPr/>
        <w:t>、智能</w:t>
      </w:r>
      <w:r>
        <w:rPr>
          <w:rFonts w:ascii="宋体" w:hAnsi="宋体" w:cs="宋体" w:eastAsia="宋体" w:hint="default"/>
        </w:rPr>
        <w:t>POS</w:t>
      </w:r>
      <w:r>
        <w:rPr/>
        <w:t>等新一代</w:t>
      </w:r>
      <w:r>
        <w:rPr>
          <w:rFonts w:ascii="宋体" w:hAnsi="宋体" w:cs="宋体" w:eastAsia="宋体" w:hint="default"/>
        </w:rPr>
        <w:t>POS</w:t>
      </w:r>
      <w:r>
        <w:rPr/>
        <w:t>是移动互联网时代传统</w:t>
      </w:r>
      <w:r>
        <w:rPr>
          <w:rFonts w:ascii="宋体" w:hAnsi="宋体" w:cs="宋体" w:eastAsia="宋体" w:hint="default"/>
        </w:rPr>
        <w:t>POS</w:t>
      </w:r>
      <w:r>
        <w:rPr/>
        <w:t>的更新换代产品。税控盘是国家规定的增值税纳税人必备的税控 设备，其销售价格由国家发改委确定。公司终端产品主要的业绩驱动因素为产品的销售量和成本的控制。</w:t>
      </w:r>
    </w:p>
    <w:p>
      <w:pPr>
        <w:pStyle w:val="BodyText"/>
        <w:spacing w:line="316" w:lineRule="auto" w:before="19"/>
        <w:ind w:right="1131" w:firstLine="360"/>
        <w:jc w:val="both"/>
      </w:pPr>
      <w:r>
        <w:rPr/>
        <w:t>手机安全服务业务是在可信执行环境（</w:t>
      </w:r>
      <w:r>
        <w:rPr>
          <w:rFonts w:ascii="宋体" w:hAnsi="宋体" w:cs="宋体" w:eastAsia="宋体" w:hint="default"/>
        </w:rPr>
        <w:t>TEE</w:t>
      </w:r>
      <w:r>
        <w:rPr/>
        <w:t>）体系成为共识的背景下，由移动终端安全解决方案孕育而生。公司与产业 链各方合作，提供集</w:t>
      </w:r>
      <w:r>
        <w:rPr>
          <w:rFonts w:ascii="宋体" w:hAnsi="宋体" w:cs="宋体" w:eastAsia="宋体" w:hint="default"/>
        </w:rPr>
        <w:t>TEE</w:t>
      </w:r>
      <w:r>
        <w:rPr/>
        <w:t>、</w:t>
      </w:r>
      <w:r>
        <w:rPr>
          <w:rFonts w:ascii="宋体" w:hAnsi="宋体" w:cs="宋体" w:eastAsia="宋体" w:hint="default"/>
        </w:rPr>
        <w:t>eSE</w:t>
      </w:r>
      <w:r>
        <w:rPr/>
        <w:t>、</w:t>
      </w:r>
      <w:r>
        <w:rPr>
          <w:rFonts w:ascii="宋体" w:hAnsi="宋体" w:cs="宋体" w:eastAsia="宋体" w:hint="default"/>
        </w:rPr>
        <w:t>TSM</w:t>
      </w:r>
      <w:r>
        <w:rPr/>
        <w:t>的完整手机安全解决方案。公司产品具有全平台覆盖（支持各主流芯片平台）、全应用 支撑（支撑各类安全应用）、安全应用全生命周期管理等特点。基于</w:t>
      </w:r>
      <w:r>
        <w:rPr>
          <w:rFonts w:ascii="宋体" w:hAnsi="宋体" w:cs="宋体" w:eastAsia="宋体" w:hint="default"/>
        </w:rPr>
        <w:t>TEE</w:t>
      </w:r>
      <w:r>
        <w:rPr/>
        <w:t>的手机安全服务市场目前处于发展初期，该业务产 </w:t>
      </w:r>
      <w:r>
        <w:rPr>
          <w:spacing w:val="-2"/>
        </w:rPr>
        <w:t>业链较长，相关商业模式还在不断探索中。公司是国内首批从事手机安全服务业务的服务提供商，在产品技术、产业链合作</w:t>
      </w:r>
      <w:r>
        <w:rPr>
          <w:spacing w:val="-66"/>
        </w:rPr>
        <w:t> </w:t>
      </w:r>
      <w:r>
        <w:rPr>
          <w:spacing w:val="-66"/>
        </w:rPr>
      </w:r>
      <w:r>
        <w:rPr/>
        <w:t>等方面具备一定的先发优势。</w:t>
      </w:r>
    </w:p>
    <w:p>
      <w:pPr>
        <w:pStyle w:val="BodyText"/>
        <w:spacing w:line="316" w:lineRule="auto" w:before="19"/>
        <w:ind w:right="1033" w:firstLine="360"/>
        <w:jc w:val="left"/>
      </w:pPr>
      <w:r>
        <w:rPr/>
        <w:t>在线教育业务是公司开展的以国家教育信息化即实现“三通两平台”为背景的</w:t>
      </w:r>
      <w:r>
        <w:rPr>
          <w:rFonts w:ascii="宋体" w:hAnsi="宋体" w:cs="宋体" w:eastAsia="宋体" w:hint="default"/>
        </w:rPr>
        <w:t>K12</w:t>
      </w:r>
      <w:r>
        <w:rPr/>
        <w:t>阶段信息化教育业务。公司围绕教育 </w:t>
      </w:r>
      <w:r>
        <w:rPr>
          <w:spacing w:val="-2"/>
        </w:rPr>
        <w:t>主管部门、学校、教师及学生用户需求搭建的在线教育业务产品体系已初步成型（包含教学平台和学习平台及其核心应用系</w:t>
      </w:r>
      <w:r>
        <w:rPr>
          <w:spacing w:val="-66"/>
        </w:rPr>
        <w:t> </w:t>
      </w:r>
      <w:r>
        <w:rPr>
          <w:spacing w:val="-66"/>
        </w:rPr>
      </w:r>
      <w:r>
        <w:rPr>
          <w:spacing w:val="-2"/>
        </w:rPr>
        <w:t>统），其中，教学平台是以教育资源公共服务平台（即教育云平台）为基础，以备课、授课、作业、测评等教学核心应用为</w:t>
      </w:r>
      <w:r>
        <w:rPr>
          <w:spacing w:val="-69"/>
        </w:rPr>
        <w:t> </w:t>
      </w:r>
      <w:r>
        <w:rPr>
          <w:spacing w:val="-69"/>
        </w:rPr>
      </w:r>
      <w:r>
        <w:rPr>
          <w:spacing w:val="-2"/>
        </w:rPr>
        <w:t>主体，旨在服务教师日常教学活动，帮助教师切实提升教学效率和教学质量的信息化教育平台；学习平台是以教学平台中学</w:t>
      </w:r>
      <w:r>
        <w:rPr>
          <w:spacing w:val="-66"/>
        </w:rPr>
        <w:t> </w:t>
      </w:r>
      <w:r>
        <w:rPr>
          <w:spacing w:val="-66"/>
        </w:rPr>
      </w:r>
      <w:r>
        <w:rPr>
          <w:spacing w:val="-2"/>
        </w:rPr>
        <w:t>生日常学习大数据为基础，帮助学生同步学习、个性化学习的在线学习平台。公司以教育云业务作为在线教育业务的市场切</w:t>
      </w:r>
      <w:r>
        <w:rPr>
          <w:spacing w:val="-66"/>
        </w:rPr>
        <w:t> </w:t>
      </w:r>
      <w:r>
        <w:rPr>
          <w:spacing w:val="-66"/>
        </w:rPr>
      </w:r>
      <w:r>
        <w:rPr/>
        <w:t>入点，通过招投标方式获得省、市、区、县教育云平台的建设、运营权，通过为上述区域的学校提供核心应用、核心资源、</w:t>
      </w:r>
      <w:r>
        <w:rPr>
          <w:spacing w:val="-85"/>
        </w:rPr>
        <w:t> </w:t>
      </w:r>
      <w:r>
        <w:rPr>
          <w:spacing w:val="-85"/>
        </w:rPr>
      </w:r>
      <w:r>
        <w:rPr>
          <w:spacing w:val="-2"/>
        </w:rPr>
        <w:t>管理平台及信息化教学终端等产品和服务进一步扩大公司在线教育业务的收入规模。该业务主要的业绩驱动因素为教育云平</w:t>
      </w:r>
      <w:r>
        <w:rPr>
          <w:spacing w:val="-64"/>
        </w:rPr>
        <w:t> </w:t>
      </w:r>
      <w:r>
        <w:rPr>
          <w:spacing w:val="-64"/>
        </w:rPr>
      </w:r>
      <w:r>
        <w:rPr/>
        <w:t>台的区域覆盖数量。以国家教育信息化为背景的在线教育行业市场目前处于高速发展期。</w:t>
      </w:r>
    </w:p>
    <w:p>
      <w:pPr>
        <w:pStyle w:val="BodyText"/>
        <w:spacing w:line="316" w:lineRule="auto" w:before="19"/>
        <w:ind w:right="1130" w:firstLine="360"/>
        <w:jc w:val="both"/>
      </w:pPr>
      <w:r>
        <w:rPr>
          <w:spacing w:val="-2"/>
        </w:rPr>
        <w:t>公司移动支付服务业务主要依托商业银行的企业客户资源与渠道，重点为快消品、物流等行业企业提供供应链</w:t>
      </w:r>
      <w:r>
        <w:rPr>
          <w:rFonts w:ascii="宋体" w:hAnsi="宋体" w:cs="宋体" w:eastAsia="宋体" w:hint="default"/>
          <w:spacing w:val="-2"/>
        </w:rPr>
        <w:t>O2O+</w:t>
      </w:r>
      <w:r>
        <w:rPr>
          <w:spacing w:val="-2"/>
        </w:rPr>
        <w:t>金融</w:t>
      </w:r>
      <w:r>
        <w:rPr/>
        <w:t> </w:t>
      </w:r>
      <w:r>
        <w:rPr>
          <w:spacing w:val="-2"/>
        </w:rPr>
        <w:t>支付服务，帮助企业实现信息流、物流、资金流合一，提升企业经营效率和资金归集效率。上述企业及其经销商、合作伙伴</w:t>
      </w:r>
      <w:r>
        <w:rPr>
          <w:spacing w:val="-67"/>
        </w:rPr>
        <w:t> </w:t>
      </w:r>
      <w:r>
        <w:rPr>
          <w:spacing w:val="-67"/>
        </w:rPr>
      </w:r>
      <w:r>
        <w:rPr>
          <w:spacing w:val="-2"/>
        </w:rPr>
        <w:t>在公司提供的平台（含服务管理平台、移动支付平台、移动支付工具等）上进行商品及服务的交易，公司从交易的手续费中</w:t>
      </w:r>
      <w:r>
        <w:rPr>
          <w:spacing w:val="-66"/>
        </w:rPr>
        <w:t> </w:t>
      </w:r>
      <w:r>
        <w:rPr>
          <w:spacing w:val="-66"/>
        </w:rPr>
      </w:r>
      <w:r>
        <w:rPr/>
        <w:t>分成。该业务主要的业绩驱动因素为平台的活跃用户数和</w:t>
      </w:r>
      <w:r>
        <w:rPr>
          <w:rFonts w:ascii="宋体" w:hAnsi="宋体" w:cs="宋体" w:eastAsia="宋体" w:hint="default"/>
        </w:rPr>
        <w:t>ARPU</w:t>
      </w:r>
      <w:r>
        <w:rPr/>
        <w:t>值。</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主要资产重大变化情况" w:id="19"/>
      <w:bookmarkEnd w:id="19"/>
      <w:r>
        <w:rPr>
          <w:b w:val="0"/>
          <w:bCs w:val="0"/>
        </w:rPr>
      </w:r>
      <w:r>
        <w:rPr>
          <w:rFonts w:ascii="宋体" w:hAnsi="宋体" w:cs="宋体" w:eastAsia="宋体" w:hint="default"/>
        </w:rPr>
        <w:t>1</w:t>
      </w:r>
      <w:r>
        <w:rPr/>
        <w:t>、主要资产重大变化情况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9"/>
          <w:szCs w:val="29"/>
        </w:rPr>
      </w:pPr>
    </w:p>
    <w:p>
      <w:pPr>
        <w:pStyle w:val="BodyText"/>
        <w:spacing w:line="240" w:lineRule="auto" w:before="44"/>
        <w:ind w:left="0" w:right="1141"/>
        <w:jc w:val="right"/>
      </w:pPr>
      <w:r>
        <w:rPr/>
        <w:pict>
          <v:shape style="position:absolute;margin-left:56.459999pt;margin-top:-41.108276pt;width:479.2pt;height:101.1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94"/>
                    <w:gridCol w:w="8575"/>
                  </w:tblGrid>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8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股权资产</w:t>
                        </w:r>
                      </w:p>
                    </w:tc>
                    <w:tc>
                      <w:tcPr>
                        <w:tcW w:w="8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较期初增长</w:t>
                        </w:r>
                        <w:r>
                          <w:rPr>
                            <w:rFonts w:ascii="宋体" w:hAnsi="宋体" w:cs="宋体" w:eastAsia="宋体" w:hint="default"/>
                            <w:spacing w:val="-46"/>
                            <w:sz w:val="18"/>
                            <w:szCs w:val="18"/>
                          </w:rPr>
                          <w:t> </w:t>
                        </w:r>
                        <w:r>
                          <w:rPr>
                            <w:rFonts w:ascii="宋体" w:hAnsi="宋体" w:cs="宋体" w:eastAsia="宋体" w:hint="default"/>
                            <w:sz w:val="18"/>
                            <w:szCs w:val="18"/>
                          </w:rPr>
                          <w:t>35.52%</w:t>
                        </w:r>
                        <w:r>
                          <w:rPr>
                            <w:rFonts w:ascii="宋体" w:hAnsi="宋体" w:cs="宋体" w:eastAsia="宋体" w:hint="default"/>
                            <w:sz w:val="18"/>
                            <w:szCs w:val="18"/>
                          </w:rPr>
                          <w:t>，主要由于公司出资参股福建中教。</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固定资产</w:t>
                        </w:r>
                      </w:p>
                    </w:tc>
                    <w:tc>
                      <w:tcPr>
                        <w:tcW w:w="8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较期初增长</w:t>
                        </w:r>
                        <w:r>
                          <w:rPr>
                            <w:rFonts w:ascii="宋体" w:hAnsi="宋体" w:cs="宋体" w:eastAsia="宋体" w:hint="default"/>
                            <w:spacing w:val="-34"/>
                            <w:sz w:val="18"/>
                            <w:szCs w:val="18"/>
                          </w:rPr>
                          <w:t> </w:t>
                        </w:r>
                        <w:r>
                          <w:rPr>
                            <w:rFonts w:ascii="宋体" w:hAnsi="宋体" w:cs="宋体" w:eastAsia="宋体" w:hint="default"/>
                            <w:spacing w:val="-2"/>
                            <w:sz w:val="18"/>
                            <w:szCs w:val="18"/>
                          </w:rPr>
                          <w:t>51.28%</w:t>
                        </w:r>
                        <w:r>
                          <w:rPr>
                            <w:rFonts w:ascii="宋体" w:hAnsi="宋体" w:cs="宋体" w:eastAsia="宋体" w:hint="default"/>
                            <w:spacing w:val="-2"/>
                            <w:sz w:val="18"/>
                            <w:szCs w:val="18"/>
                          </w:rPr>
                          <w:t>，主要由于公司数据安全产业园一期工程达到预定可使用状态，由在建工程转为固定资产</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在建工程</w:t>
                        </w:r>
                      </w:p>
                    </w:tc>
                    <w:tc>
                      <w:tcPr>
                        <w:tcW w:w="8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较期初减少</w:t>
                        </w:r>
                        <w:r>
                          <w:rPr>
                            <w:rFonts w:ascii="宋体" w:hAnsi="宋体" w:cs="宋体" w:eastAsia="宋体" w:hint="default"/>
                            <w:spacing w:val="-34"/>
                            <w:sz w:val="18"/>
                            <w:szCs w:val="18"/>
                          </w:rPr>
                          <w:t> </w:t>
                        </w:r>
                        <w:r>
                          <w:rPr>
                            <w:rFonts w:ascii="宋体" w:hAnsi="宋体" w:cs="宋体" w:eastAsia="宋体" w:hint="default"/>
                            <w:spacing w:val="-2"/>
                            <w:sz w:val="18"/>
                            <w:szCs w:val="18"/>
                          </w:rPr>
                          <w:t>99.07%</w:t>
                        </w:r>
                        <w:r>
                          <w:rPr>
                            <w:rFonts w:ascii="宋体" w:hAnsi="宋体" w:cs="宋体" w:eastAsia="宋体" w:hint="default"/>
                            <w:spacing w:val="-2"/>
                            <w:sz w:val="18"/>
                            <w:szCs w:val="18"/>
                          </w:rPr>
                          <w:t>，主要由于公司数据安全产业园一期工程达到预定可使用状态，由在建工程转为固定资产</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8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较期初减少</w:t>
                        </w:r>
                        <w:r>
                          <w:rPr>
                            <w:rFonts w:ascii="宋体" w:hAnsi="宋体" w:cs="宋体" w:eastAsia="宋体" w:hint="default"/>
                            <w:spacing w:val="-46"/>
                            <w:sz w:val="18"/>
                            <w:szCs w:val="18"/>
                          </w:rPr>
                          <w:t> </w:t>
                        </w:r>
                        <w:r>
                          <w:rPr>
                            <w:rFonts w:ascii="宋体" w:hAnsi="宋体" w:cs="宋体" w:eastAsia="宋体" w:hint="default"/>
                            <w:sz w:val="18"/>
                            <w:szCs w:val="18"/>
                          </w:rPr>
                          <w:t>39.66%</w:t>
                        </w:r>
                        <w:r>
                          <w:rPr>
                            <w:rFonts w:ascii="宋体" w:hAnsi="宋体" w:cs="宋体" w:eastAsia="宋体" w:hint="default"/>
                            <w:sz w:val="18"/>
                            <w:szCs w:val="18"/>
                          </w:rPr>
                          <w:t>，主要由于公司偿还了到期的短期借款。</w:t>
                        </w:r>
                      </w:p>
                    </w:tc>
                  </w:tr>
                </w:tbl>
                <w:p>
                  <w:pPr/>
                </w:p>
              </w:txbxContent>
            </v:textbox>
            <w10:wrap type="none"/>
          </v:shape>
        </w:pict>
      </w:r>
      <w:r>
        <w:rPr/>
        <w:t>。</w:t>
      </w:r>
    </w:p>
    <w:p>
      <w:pPr>
        <w:spacing w:line="240" w:lineRule="auto" w:before="5"/>
        <w:rPr>
          <w:rFonts w:ascii="宋体" w:hAnsi="宋体" w:cs="宋体" w:eastAsia="宋体" w:hint="default"/>
          <w:sz w:val="9"/>
          <w:szCs w:val="9"/>
        </w:rPr>
      </w:pPr>
    </w:p>
    <w:p>
      <w:pPr>
        <w:pStyle w:val="BodyText"/>
        <w:spacing w:line="240" w:lineRule="auto" w:before="44"/>
        <w:ind w:left="0" w:right="1141"/>
        <w:jc w:val="right"/>
      </w:pPr>
      <w:r>
        <w:rPr/>
        <w:t>。</w:t>
      </w:r>
    </w:p>
    <w:p>
      <w:pPr>
        <w:spacing w:after="0" w:line="240" w:lineRule="auto"/>
        <w:jc w:val="right"/>
        <w:sectPr>
          <w:pgSz w:w="11910" w:h="16840"/>
          <w:pgMar w:header="877" w:footer="1187" w:top="1100" w:bottom="1380" w:left="0" w:right="0"/>
        </w:sectPr>
      </w:pPr>
    </w:p>
    <w:p>
      <w:pPr>
        <w:spacing w:line="240" w:lineRule="auto" w:before="10"/>
        <w:rPr>
          <w:rFonts w:ascii="宋体" w:hAnsi="宋体" w:cs="宋体" w:eastAsia="宋体" w:hint="default"/>
          <w:sz w:val="20"/>
          <w:szCs w:val="20"/>
        </w:rPr>
      </w:pPr>
    </w:p>
    <w:p>
      <w:pPr>
        <w:pStyle w:val="Heading3"/>
        <w:spacing w:line="240" w:lineRule="auto" w:before="35"/>
        <w:ind w:left="1134" w:right="0"/>
        <w:jc w:val="left"/>
        <w:rPr>
          <w:b w:val="0"/>
          <w:bCs w:val="0"/>
        </w:rPr>
      </w:pPr>
      <w:bookmarkStart w:name="2、主要境外资产情况" w:id="20"/>
      <w:bookmarkEnd w:id="20"/>
      <w:r>
        <w:rPr>
          <w:b w:val="0"/>
          <w:bCs w:val="0"/>
        </w:rPr>
      </w:r>
      <w:r>
        <w:rPr>
          <w:rFonts w:ascii="宋体" w:hAnsi="宋体" w:cs="宋体" w:eastAsia="宋体" w:hint="default"/>
        </w:rPr>
        <w:t>2</w:t>
      </w:r>
      <w:r>
        <w:rPr/>
        <w:t>、主要境外资产情况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1134" w:right="0"/>
        <w:jc w:val="left"/>
      </w:pPr>
      <w:r>
        <w:rPr/>
        <w:t>□ 适用 √ 不适用</w:t>
      </w:r>
    </w:p>
    <w:p>
      <w:pPr>
        <w:spacing w:line="240" w:lineRule="auto" w:before="0"/>
        <w:rPr>
          <w:rFonts w:ascii="宋体" w:hAnsi="宋体" w:cs="宋体" w:eastAsia="宋体" w:hint="default"/>
          <w:sz w:val="25"/>
          <w:szCs w:val="25"/>
        </w:rPr>
      </w:pPr>
    </w:p>
    <w:p>
      <w:pPr>
        <w:pStyle w:val="Heading2"/>
        <w:spacing w:line="240" w:lineRule="auto"/>
        <w:ind w:left="1134" w:right="0"/>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firstLine="360"/>
        <w:jc w:val="both"/>
      </w:pPr>
      <w:r>
        <w:rPr>
          <w:spacing w:val="-2"/>
        </w:rPr>
        <w:t>报告期内，公司继续加大研发投入和产品创新力度，努力提升综合竞争力。公司申报专利</w:t>
      </w:r>
      <w:r>
        <w:rPr>
          <w:rFonts w:ascii="宋体" w:hAnsi="宋体" w:cs="宋体" w:eastAsia="宋体" w:hint="default"/>
          <w:spacing w:val="-2"/>
        </w:rPr>
        <w:t>22</w:t>
      </w:r>
      <w:r>
        <w:rPr>
          <w:spacing w:val="-2"/>
        </w:rPr>
        <w:t>项，其中发明专利</w:t>
      </w:r>
      <w:r>
        <w:rPr>
          <w:rFonts w:ascii="宋体" w:hAnsi="宋体" w:cs="宋体" w:eastAsia="宋体" w:hint="default"/>
          <w:spacing w:val="-2"/>
        </w:rPr>
        <w:t>13</w:t>
      </w:r>
      <w:r>
        <w:rPr>
          <w:spacing w:val="-2"/>
        </w:rPr>
        <w:t>项，实</w:t>
      </w:r>
      <w:r>
        <w:rPr/>
        <w:t> 用新型专利</w:t>
      </w:r>
      <w:r>
        <w:rPr>
          <w:rFonts w:ascii="宋体" w:hAnsi="宋体" w:cs="宋体" w:eastAsia="宋体" w:hint="default"/>
        </w:rPr>
        <w:t>5</w:t>
      </w:r>
      <w:r>
        <w:rPr/>
        <w:t>项，外观设计专利</w:t>
      </w:r>
      <w:r>
        <w:rPr>
          <w:rFonts w:ascii="宋体" w:hAnsi="宋体" w:cs="宋体" w:eastAsia="宋体" w:hint="default"/>
        </w:rPr>
        <w:t>4</w:t>
      </w:r>
      <w:r>
        <w:rPr/>
        <w:t>项；新增专利</w:t>
      </w:r>
      <w:r>
        <w:rPr>
          <w:rFonts w:ascii="宋体" w:hAnsi="宋体" w:cs="宋体" w:eastAsia="宋体" w:hint="default"/>
        </w:rPr>
        <w:t>21</w:t>
      </w:r>
      <w:r>
        <w:rPr/>
        <w:t>项，其中发明专利</w:t>
      </w:r>
      <w:r>
        <w:rPr>
          <w:rFonts w:ascii="宋体" w:hAnsi="宋体" w:cs="宋体" w:eastAsia="宋体" w:hint="default"/>
        </w:rPr>
        <w:t>8</w:t>
      </w:r>
      <w:r>
        <w:rPr/>
        <w:t>项，实用新型专利</w:t>
      </w:r>
      <w:r>
        <w:rPr>
          <w:rFonts w:ascii="宋体" w:hAnsi="宋体" w:cs="宋体" w:eastAsia="宋体" w:hint="default"/>
        </w:rPr>
        <w:t>9</w:t>
      </w:r>
      <w:r>
        <w:rPr/>
        <w:t>项，外观设计专利</w:t>
      </w:r>
      <w:r>
        <w:rPr>
          <w:rFonts w:ascii="宋体" w:hAnsi="宋体" w:cs="宋体" w:eastAsia="宋体" w:hint="default"/>
        </w:rPr>
        <w:t>4</w:t>
      </w:r>
      <w:r>
        <w:rPr/>
        <w:t>项；新增软件著 </w:t>
      </w:r>
      <w:r>
        <w:rPr>
          <w:spacing w:val="-2"/>
        </w:rPr>
        <w:t>作权</w:t>
      </w:r>
      <w:r>
        <w:rPr>
          <w:rFonts w:ascii="宋体" w:hAnsi="宋体" w:cs="宋体" w:eastAsia="宋体" w:hint="default"/>
          <w:spacing w:val="-2"/>
        </w:rPr>
        <w:t>47</w:t>
      </w:r>
      <w:r>
        <w:rPr>
          <w:spacing w:val="-2"/>
        </w:rPr>
        <w:t>项。公司获得信息系统集成及服务一级资质，在信息系统集成及服务业务方面的综合实力进一步提升。公司首批通过</w:t>
      </w:r>
      <w:r>
        <w:rPr>
          <w:spacing w:val="-64"/>
        </w:rPr>
        <w:t> </w:t>
      </w:r>
      <w:r>
        <w:rPr>
          <w:spacing w:val="-64"/>
        </w:rPr>
      </w:r>
      <w:r>
        <w:rPr/>
        <w:t>银联卡产品质量管理认证，相关产品质量工艺水平和管理水平领先。公司“天喻</w:t>
      </w:r>
      <w:r>
        <w:rPr>
          <w:rFonts w:ascii="宋体" w:hAnsi="宋体" w:cs="宋体" w:eastAsia="宋体" w:hint="default"/>
        </w:rPr>
        <w:t>mPOS</w:t>
      </w:r>
      <w:r>
        <w:rPr/>
        <w:t>安全操作系统V1.0”获评</w:t>
      </w:r>
      <w:r>
        <w:rPr>
          <w:rFonts w:ascii="宋体" w:hAnsi="宋体" w:cs="宋体" w:eastAsia="宋体" w:hint="default"/>
        </w:rPr>
        <w:t>2015-2016</w:t>
      </w:r>
      <w:r>
        <w:rPr/>
        <w:t>年 </w:t>
      </w:r>
      <w:r>
        <w:rPr>
          <w:spacing w:val="-3"/>
        </w:rPr>
        <w:t>度湖北省优秀软件产品。公司获评</w:t>
      </w:r>
      <w:r>
        <w:rPr>
          <w:rFonts w:ascii="宋体" w:hAnsi="宋体" w:cs="宋体" w:eastAsia="宋体" w:hint="default"/>
          <w:spacing w:val="-3"/>
        </w:rPr>
        <w:t>2015</w:t>
      </w:r>
      <w:r>
        <w:rPr>
          <w:spacing w:val="-3"/>
        </w:rPr>
        <w:t>年（第</w:t>
      </w:r>
      <w:r>
        <w:rPr>
          <w:rFonts w:ascii="宋体" w:hAnsi="宋体" w:cs="宋体" w:eastAsia="宋体" w:hint="default"/>
          <w:spacing w:val="-3"/>
        </w:rPr>
        <w:t>14</w:t>
      </w:r>
      <w:r>
        <w:rPr>
          <w:spacing w:val="-3"/>
        </w:rPr>
        <w:t>届）中国软件业务收入前百家企业、</w:t>
      </w:r>
      <w:r>
        <w:rPr>
          <w:rFonts w:ascii="宋体" w:hAnsi="宋体" w:cs="宋体" w:eastAsia="宋体" w:hint="default"/>
          <w:spacing w:val="-3"/>
        </w:rPr>
        <w:t>2015-2016</w:t>
      </w:r>
      <w:r>
        <w:rPr>
          <w:spacing w:val="-3"/>
        </w:rPr>
        <w:t>年度湖北省优秀软件企业（重</w:t>
      </w:r>
      <w:r>
        <w:rPr>
          <w:spacing w:val="-79"/>
        </w:rPr>
        <w:t> </w:t>
      </w:r>
      <w:r>
        <w:rPr>
          <w:spacing w:val="-79"/>
        </w:rPr>
      </w:r>
      <w:r>
        <w:rPr/>
        <w:t>点软件企业）、武汉市首批服务业重点行业（现代服务业</w:t>
      </w:r>
      <w:r>
        <w:rPr>
          <w:rFonts w:ascii="宋体" w:hAnsi="宋体" w:cs="宋体" w:eastAsia="宋体" w:hint="default"/>
        </w:rPr>
        <w:t>-</w:t>
      </w:r>
      <w:r>
        <w:rPr/>
        <w:t>软件信息）领军企业，成为湖北省企业信用促进会会员单位。</w:t>
      </w:r>
    </w:p>
    <w:p>
      <w:pPr>
        <w:spacing w:after="0" w:line="316" w:lineRule="auto"/>
        <w:jc w:val="both"/>
        <w:sectPr>
          <w:pgSz w:w="11910" w:h="16840"/>
          <w:pgMar w:header="877" w:footer="1187" w:top="1100" w:bottom="138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right="1130"/>
        <w:jc w:val="center"/>
        <w:rPr>
          <w:b w:val="0"/>
          <w:bCs w:val="0"/>
        </w:rPr>
      </w:pPr>
      <w:bookmarkStart w:name="第四节 管理层讨论与分析" w:id="22"/>
      <w:bookmarkEnd w:id="22"/>
      <w:r>
        <w:rPr>
          <w:b w:val="0"/>
          <w:bCs w:val="0"/>
        </w:rPr>
      </w:r>
      <w:bookmarkStart w:name="_bookmark3" w:id="23"/>
      <w:bookmarkEnd w:id="23"/>
      <w:r>
        <w:rPr>
          <w:b w:val="0"/>
          <w:bCs w:val="0"/>
        </w:rPr>
      </w:r>
      <w:r>
        <w:rPr/>
        <w:t>第四节</w:t>
      </w:r>
      <w:r>
        <w:rPr>
          <w:spacing w:val="-9"/>
        </w:rPr>
        <w:t> </w:t>
      </w:r>
      <w:r>
        <w:rPr/>
        <w:t>管理层讨论与分析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24"/>
      <w:bookmarkEnd w:id="24"/>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0" w:firstLine="360"/>
        <w:jc w:val="both"/>
      </w:pPr>
      <w:r>
        <w:rPr>
          <w:spacing w:val="-5"/>
        </w:rPr>
        <w:t>报告期内，公司继续围绕“云</w:t>
      </w:r>
      <w:r>
        <w:rPr>
          <w:rFonts w:ascii="宋体" w:hAnsi="宋体" w:cs="宋体" w:eastAsia="宋体" w:hint="default"/>
          <w:spacing w:val="-5"/>
        </w:rPr>
        <w:t>+</w:t>
      </w:r>
      <w:r>
        <w:rPr>
          <w:spacing w:val="-5"/>
        </w:rPr>
        <w:t>端”、“产品</w:t>
      </w:r>
      <w:r>
        <w:rPr>
          <w:rFonts w:ascii="宋体" w:hAnsi="宋体" w:cs="宋体" w:eastAsia="宋体" w:hint="default"/>
          <w:spacing w:val="-5"/>
        </w:rPr>
        <w:t>+</w:t>
      </w:r>
      <w:r>
        <w:rPr>
          <w:spacing w:val="-5"/>
        </w:rPr>
        <w:t>服务”的业务发展总体战略，积极推动公司业务从产品向服务的战略转型。</w:t>
      </w:r>
      <w:r>
        <w:rPr/>
        <w:t> </w:t>
      </w:r>
      <w:r>
        <w:rPr>
          <w:spacing w:val="-2"/>
        </w:rPr>
        <w:t>公司在保持以金融</w:t>
      </w:r>
      <w:r>
        <w:rPr>
          <w:rFonts w:ascii="宋体" w:hAnsi="宋体" w:cs="宋体" w:eastAsia="宋体" w:hint="default"/>
          <w:spacing w:val="-2"/>
        </w:rPr>
        <w:t>IC</w:t>
      </w:r>
      <w:r>
        <w:rPr>
          <w:spacing w:val="-2"/>
        </w:rPr>
        <w:t>卡为代表的智能卡业务稳定发展的同时，努力扩大税控盘、</w:t>
      </w:r>
      <w:r>
        <w:rPr>
          <w:rFonts w:ascii="宋体" w:hAnsi="宋体" w:cs="宋体" w:eastAsia="宋体" w:hint="default"/>
          <w:spacing w:val="-2"/>
        </w:rPr>
        <w:t>mPOS</w:t>
      </w:r>
      <w:r>
        <w:rPr>
          <w:spacing w:val="-2"/>
        </w:rPr>
        <w:t>、读卡设备等终端产品销量，积极推进</w:t>
      </w:r>
      <w:r>
        <w:rPr>
          <w:spacing w:val="-61"/>
        </w:rPr>
        <w:t> </w:t>
      </w:r>
      <w:r>
        <w:rPr>
          <w:spacing w:val="-61"/>
        </w:rPr>
      </w:r>
      <w:r>
        <w:rPr/>
        <w:t>在线教育、手机安全服务、供应链</w:t>
      </w:r>
      <w:r>
        <w:rPr>
          <w:rFonts w:ascii="宋体" w:hAnsi="宋体" w:cs="宋体" w:eastAsia="宋体" w:hint="default"/>
        </w:rPr>
        <w:t>O2O+</w:t>
      </w:r>
      <w:r>
        <w:rPr/>
        <w:t>金融支付服务等服务业务的发展。</w:t>
      </w:r>
    </w:p>
    <w:p>
      <w:pPr>
        <w:pStyle w:val="BodyText"/>
        <w:spacing w:line="316" w:lineRule="auto" w:before="19"/>
        <w:ind w:right="1118" w:firstLine="360"/>
        <w:jc w:val="left"/>
      </w:pPr>
      <w:r>
        <w:rPr/>
        <w:t>报告期内，公司实现营业收入</w:t>
      </w:r>
      <w:r>
        <w:rPr>
          <w:rFonts w:ascii="宋体" w:hAnsi="宋体" w:cs="宋体" w:eastAsia="宋体" w:hint="default"/>
        </w:rPr>
        <w:t>14.83</w:t>
      </w:r>
      <w:r>
        <w:rPr/>
        <w:t>亿元，同比增长</w:t>
      </w:r>
      <w:r>
        <w:rPr>
          <w:rFonts w:ascii="宋体" w:hAnsi="宋体" w:cs="宋体" w:eastAsia="宋体" w:hint="default"/>
        </w:rPr>
        <w:t>9.49%</w:t>
      </w:r>
      <w:r>
        <w:rPr/>
        <w:t>；实现归属于上市公司股东的净利润</w:t>
      </w:r>
      <w:r>
        <w:rPr>
          <w:rFonts w:ascii="宋体" w:hAnsi="宋体" w:cs="宋体" w:eastAsia="宋体" w:hint="default"/>
        </w:rPr>
        <w:t>699.50</w:t>
      </w:r>
      <w:r>
        <w:rPr/>
        <w:t>万元，同比下降 </w:t>
      </w:r>
      <w:r>
        <w:rPr>
          <w:rFonts w:ascii="宋体" w:hAnsi="宋体" w:cs="宋体" w:eastAsia="宋体" w:hint="default"/>
          <w:spacing w:val="-2"/>
        </w:rPr>
        <w:t>88.07%</w:t>
      </w:r>
      <w:r>
        <w:rPr>
          <w:spacing w:val="-2"/>
        </w:rPr>
        <w:t>。公司</w:t>
      </w:r>
      <w:r>
        <w:rPr>
          <w:rFonts w:ascii="宋体" w:hAnsi="宋体" w:cs="宋体" w:eastAsia="宋体" w:hint="default"/>
          <w:spacing w:val="-2"/>
        </w:rPr>
        <w:t>2015</w:t>
      </w:r>
      <w:r>
        <w:rPr>
          <w:spacing w:val="-2"/>
        </w:rPr>
        <w:t>年净利润同比大幅下滑的主要原因为：金融</w:t>
      </w:r>
      <w:r>
        <w:rPr>
          <w:rFonts w:ascii="宋体" w:hAnsi="宋体" w:cs="宋体" w:eastAsia="宋体" w:hint="default"/>
          <w:spacing w:val="-2"/>
        </w:rPr>
        <w:t>IC</w:t>
      </w:r>
      <w:r>
        <w:rPr>
          <w:spacing w:val="-2"/>
        </w:rPr>
        <w:t>卡产品销售价格同比大幅下降，在线教育等服务业务的市场</w:t>
      </w:r>
      <w:r>
        <w:rPr>
          <w:spacing w:val="-55"/>
        </w:rPr>
        <w:t> </w:t>
      </w:r>
      <w:r>
        <w:rPr>
          <w:spacing w:val="-55"/>
        </w:rPr>
      </w:r>
      <w:r>
        <w:rPr/>
        <w:t>和研发投入持续加大而收入规模暂时未能匹配，人民币兑美元汇率大幅贬值造成原材料进口业务产生较大汇兑损失。</w:t>
      </w:r>
      <w:r>
        <w:rPr>
          <w:rFonts w:ascii="宋体" w:hAnsi="宋体" w:cs="宋体" w:eastAsia="宋体" w:hint="default"/>
        </w:rPr>
        <w:t>2016 </w:t>
      </w:r>
      <w:r>
        <w:rPr>
          <w:spacing w:val="-2"/>
        </w:rPr>
        <w:t>年公司将围绕智能卡产品成本压缩、服务业务规模增长、汇率风险管理等工作制定具体措施，努力改善公司整体经营状况和</w:t>
      </w:r>
      <w:r>
        <w:rPr>
          <w:spacing w:val="-66"/>
        </w:rPr>
        <w:t> </w:t>
      </w:r>
      <w:r>
        <w:rPr>
          <w:spacing w:val="-66"/>
        </w:rPr>
      </w:r>
      <w:r>
        <w:rPr/>
        <w:t>盈利水平。</w:t>
      </w:r>
    </w:p>
    <w:p>
      <w:pPr>
        <w:pStyle w:val="BodyText"/>
        <w:spacing w:line="316" w:lineRule="auto" w:before="19"/>
        <w:ind w:right="1130" w:firstLine="360"/>
        <w:jc w:val="both"/>
      </w:pPr>
      <w:r>
        <w:rPr>
          <w:spacing w:val="-2"/>
        </w:rPr>
        <w:t>报告期内，公司持续加大金融</w:t>
      </w:r>
      <w:r>
        <w:rPr>
          <w:rFonts w:ascii="宋体" w:hAnsi="宋体" w:cs="宋体" w:eastAsia="宋体" w:hint="default"/>
          <w:spacing w:val="-2"/>
        </w:rPr>
        <w:t>IC</w:t>
      </w:r>
      <w:r>
        <w:rPr>
          <w:spacing w:val="-2"/>
        </w:rPr>
        <w:t>卡产品销售力度，入围银行数量进一步增加，发卡量同比增长，但由于产品销售价格大</w:t>
      </w:r>
      <w:r>
        <w:rPr/>
        <w:t> </w:t>
      </w:r>
      <w:r>
        <w:rPr>
          <w:spacing w:val="-2"/>
        </w:rPr>
        <w:t>幅下降，产品盈利水平同比下滑。</w:t>
      </w:r>
      <w:r>
        <w:rPr>
          <w:rFonts w:ascii="宋体" w:hAnsi="宋体" w:cs="宋体" w:eastAsia="宋体" w:hint="default"/>
          <w:spacing w:val="-2"/>
        </w:rPr>
        <w:t>2016</w:t>
      </w:r>
      <w:r>
        <w:rPr>
          <w:spacing w:val="-2"/>
        </w:rPr>
        <w:t>年公司将继续加强产品市场营销工作，实现发卡量的持续增长；从原材料采购、生产</w:t>
      </w:r>
      <w:r>
        <w:rPr>
          <w:spacing w:val="-62"/>
        </w:rPr>
        <w:t> </w:t>
      </w:r>
      <w:r>
        <w:rPr>
          <w:spacing w:val="-62"/>
        </w:rPr>
      </w:r>
      <w:r>
        <w:rPr>
          <w:spacing w:val="-5"/>
        </w:rPr>
        <w:t>制造两个维度努力降低成本，争取稳定金融</w:t>
      </w:r>
      <w:r>
        <w:rPr>
          <w:rFonts w:ascii="宋体" w:hAnsi="宋体" w:cs="宋体" w:eastAsia="宋体" w:hint="default"/>
          <w:spacing w:val="-5"/>
        </w:rPr>
        <w:t>IC</w:t>
      </w:r>
      <w:r>
        <w:rPr>
          <w:spacing w:val="-5"/>
        </w:rPr>
        <w:t>卡产品的盈利水平。报告期内，公司智能交通卡发卡规模及收入水平保持稳定。</w:t>
      </w:r>
      <w:r>
        <w:rPr>
          <w:spacing w:val="-74"/>
        </w:rPr>
        <w:t> </w:t>
      </w:r>
      <w:r>
        <w:rPr>
          <w:spacing w:val="-74"/>
        </w:rPr>
      </w:r>
      <w:r>
        <w:rPr>
          <w:spacing w:val="-2"/>
        </w:rPr>
        <w:t>公司加大通信智能卡产品市场销售和成本控制措施有明显成效，通信智能卡发卡量和毛利同比大幅增长。公司</w:t>
      </w:r>
      <w:r>
        <w:rPr>
          <w:rFonts w:ascii="宋体" w:hAnsi="宋体" w:cs="宋体" w:eastAsia="宋体" w:hint="default"/>
          <w:spacing w:val="-2"/>
        </w:rPr>
        <w:t>mPOS</w:t>
      </w:r>
      <w:r>
        <w:rPr>
          <w:spacing w:val="-2"/>
        </w:rPr>
        <w:t>、读卡设</w:t>
      </w:r>
      <w:r>
        <w:rPr>
          <w:spacing w:val="-61"/>
        </w:rPr>
        <w:t> </w:t>
      </w:r>
      <w:r>
        <w:rPr>
          <w:spacing w:val="-61"/>
        </w:rPr>
      </w:r>
      <w:r>
        <w:rPr>
          <w:spacing w:val="-2"/>
        </w:rPr>
        <w:t>备产品实现批量供货，公司将把握市场机遇努力使</w:t>
      </w:r>
      <w:r>
        <w:rPr>
          <w:rFonts w:ascii="宋体" w:hAnsi="宋体" w:cs="宋体" w:eastAsia="宋体" w:hint="default"/>
          <w:spacing w:val="-2"/>
        </w:rPr>
        <w:t>mPOS</w:t>
      </w:r>
      <w:r>
        <w:rPr>
          <w:spacing w:val="-2"/>
        </w:rPr>
        <w:t>、智能</w:t>
      </w:r>
      <w:r>
        <w:rPr>
          <w:rFonts w:ascii="宋体" w:hAnsi="宋体" w:cs="宋体" w:eastAsia="宋体" w:hint="default"/>
          <w:spacing w:val="-2"/>
        </w:rPr>
        <w:t>POS</w:t>
      </w:r>
      <w:r>
        <w:rPr>
          <w:spacing w:val="-2"/>
        </w:rPr>
        <w:t>等新一代</w:t>
      </w:r>
      <w:r>
        <w:rPr>
          <w:rFonts w:ascii="宋体" w:hAnsi="宋体" w:cs="宋体" w:eastAsia="宋体" w:hint="default"/>
          <w:spacing w:val="-2"/>
        </w:rPr>
        <w:t>POS</w:t>
      </w:r>
      <w:r>
        <w:rPr>
          <w:spacing w:val="-2"/>
        </w:rPr>
        <w:t>产品成为公司新的收入、利润增长点。受益于</w:t>
      </w:r>
      <w:r>
        <w:rPr>
          <w:spacing w:val="-57"/>
        </w:rPr>
        <w:t> </w:t>
      </w:r>
      <w:r>
        <w:rPr>
          <w:spacing w:val="-57"/>
        </w:rPr>
      </w:r>
      <w:r>
        <w:rPr>
          <w:spacing w:val="-2"/>
        </w:rPr>
        <w:t>“营改增”政策的推动，公司税控盘销量同比大幅增长，生活服务业、建筑业、房地产业、金融业即将纳入“营改增”及未</w:t>
      </w:r>
      <w:r>
        <w:rPr>
          <w:spacing w:val="-66"/>
        </w:rPr>
        <w:t> </w:t>
      </w:r>
      <w:r>
        <w:rPr>
          <w:spacing w:val="-66"/>
        </w:rPr>
      </w:r>
      <w:r>
        <w:rPr/>
        <w:t>来手机等掌上开票设备的创新为公司税控业务的持续发展带来了新的机遇。</w:t>
      </w:r>
    </w:p>
    <w:p>
      <w:pPr>
        <w:pStyle w:val="BodyText"/>
        <w:spacing w:line="316" w:lineRule="auto" w:before="19"/>
        <w:ind w:right="0" w:firstLine="360"/>
        <w:jc w:val="left"/>
      </w:pPr>
      <w:r>
        <w:rPr>
          <w:spacing w:val="-2"/>
        </w:rPr>
        <w:t>报告期内，公司按照在线教育业务发展策略持续加大教育云业务的市场拓展力度。截至报告期末公司承接了浙江省、福</w:t>
      </w:r>
      <w:r>
        <w:rPr/>
        <w:t> </w:t>
      </w:r>
      <w:r>
        <w:rPr>
          <w:spacing w:val="-2"/>
        </w:rPr>
        <w:t>建省、四川省、辽宁省、吉林省、宁夏、广东省、武汉市、沈阳市、宁波市、济南市、宜昌市、肇庆市、柳州市、霍林格勒</w:t>
      </w:r>
      <w:r>
        <w:rPr>
          <w:spacing w:val="-68"/>
        </w:rPr>
        <w:t> </w:t>
      </w:r>
      <w:r>
        <w:rPr>
          <w:spacing w:val="-68"/>
        </w:rPr>
      </w:r>
      <w:r>
        <w:rPr/>
        <w:t>市、克拉玛依市等约</w:t>
      </w:r>
      <w:r>
        <w:rPr>
          <w:rFonts w:ascii="宋体" w:hAnsi="宋体" w:cs="宋体" w:eastAsia="宋体" w:hint="default"/>
        </w:rPr>
        <w:t>30</w:t>
      </w:r>
      <w:r>
        <w:rPr/>
        <w:t>个区域教育云平台建设、运维</w:t>
      </w:r>
      <w:r>
        <w:rPr>
          <w:rFonts w:ascii="宋体" w:hAnsi="宋体" w:cs="宋体" w:eastAsia="宋体" w:hint="default"/>
        </w:rPr>
        <w:t>/</w:t>
      </w:r>
      <w:r>
        <w:rPr/>
        <w:t>运营项目。公司在以“三通两平台”为十年规划建设目标的国家教育 信息化领域继续保持领先的市场地位。在政策的支持下，各级政府教育信息化经费投入持续增长，在线教育</w:t>
      </w:r>
      <w:r>
        <w:rPr>
          <w:rFonts w:ascii="宋体" w:hAnsi="宋体" w:cs="宋体" w:eastAsia="宋体" w:hint="default"/>
        </w:rPr>
        <w:t>to</w:t>
      </w:r>
      <w:r>
        <w:rPr>
          <w:rFonts w:ascii="宋体" w:hAnsi="宋体" w:cs="宋体" w:eastAsia="宋体" w:hint="default"/>
          <w:spacing w:val="-58"/>
        </w:rPr>
        <w:t> </w:t>
      </w:r>
      <w:r>
        <w:rPr>
          <w:rFonts w:ascii="宋体" w:hAnsi="宋体" w:cs="宋体" w:eastAsia="宋体" w:hint="default"/>
        </w:rPr>
        <w:t>B</w:t>
      </w:r>
      <w:r>
        <w:rPr/>
        <w:t>（教育主管 </w:t>
      </w:r>
      <w:r>
        <w:rPr>
          <w:spacing w:val="-2"/>
        </w:rPr>
        <w:t>部门、学校）业务的市场蓬勃发展。</w:t>
      </w:r>
      <w:r>
        <w:rPr>
          <w:rFonts w:ascii="宋体" w:hAnsi="宋体" w:cs="宋体" w:eastAsia="宋体" w:hint="default"/>
          <w:spacing w:val="-2"/>
        </w:rPr>
        <w:t>2016</w:t>
      </w:r>
      <w:r>
        <w:rPr>
          <w:spacing w:val="-2"/>
        </w:rPr>
        <w:t>年公司将在“云</w:t>
      </w:r>
      <w:r>
        <w:rPr>
          <w:rFonts w:ascii="宋体" w:hAnsi="宋体" w:cs="宋体" w:eastAsia="宋体" w:hint="default"/>
          <w:spacing w:val="-2"/>
        </w:rPr>
        <w:t>+</w:t>
      </w:r>
      <w:r>
        <w:rPr>
          <w:spacing w:val="-2"/>
        </w:rPr>
        <w:t>端</w:t>
      </w:r>
      <w:r>
        <w:rPr>
          <w:rFonts w:ascii="宋体" w:hAnsi="宋体" w:cs="宋体" w:eastAsia="宋体" w:hint="default"/>
          <w:spacing w:val="-2"/>
        </w:rPr>
        <w:t>+</w:t>
      </w:r>
      <w:r>
        <w:rPr>
          <w:spacing w:val="-2"/>
        </w:rPr>
        <w:t>服务”战略的指引下，围绕客户需求通过自主开发、业务合作</w:t>
      </w:r>
      <w:r>
        <w:rPr>
          <w:spacing w:val="-60"/>
        </w:rPr>
        <w:t> </w:t>
      </w:r>
      <w:r>
        <w:rPr>
          <w:spacing w:val="-60"/>
        </w:rPr>
      </w:r>
      <w:r>
        <w:rPr>
          <w:spacing w:val="-2"/>
        </w:rPr>
        <w:t>和资本运作等方式不断完善和拓宽教育业务产品线，打造生态链，并在持续扩大教育云平台区域覆盖范围的同时加强与公司</w:t>
      </w:r>
      <w:r>
        <w:rPr>
          <w:spacing w:val="-64"/>
        </w:rPr>
        <w:t> </w:t>
      </w:r>
      <w:r>
        <w:rPr>
          <w:spacing w:val="-64"/>
        </w:rPr>
      </w:r>
      <w:r>
        <w:rPr>
          <w:spacing w:val="-4"/>
        </w:rPr>
        <w:t>在线教育业务战略定位相匹配的服务到校的运营体系建设，使教育云平台服务、核心应用及资源服务收入实现较大规模增长。</w:t>
      </w:r>
      <w:r>
        <w:rPr>
          <w:spacing w:val="-44"/>
        </w:rPr>
        <w:t> </w:t>
      </w:r>
      <w:r>
        <w:rPr>
          <w:spacing w:val="-44"/>
        </w:rPr>
      </w:r>
      <w:r>
        <w:rPr/>
        <w:t>在线教育业务是公司当前最核心的服务业务，公司将从多方面确保其资源投入，努力实现该业务的发展目标。</w:t>
      </w:r>
    </w:p>
    <w:p>
      <w:pPr>
        <w:pStyle w:val="BodyText"/>
        <w:spacing w:line="316" w:lineRule="auto" w:before="19"/>
        <w:ind w:right="1131" w:firstLine="360"/>
        <w:jc w:val="right"/>
      </w:pPr>
      <w:r>
        <w:rPr/>
        <w:t>报告期内，公司积极与手机芯片厂商、手机厂商、</w:t>
      </w:r>
      <w:r>
        <w:rPr>
          <w:rFonts w:ascii="宋体" w:hAnsi="宋体" w:cs="宋体" w:eastAsia="宋体" w:hint="default"/>
        </w:rPr>
        <w:t>NFC</w:t>
      </w:r>
      <w:r>
        <w:rPr/>
        <w:t>及指纹模块提供商、支付等安全应用提供商建立合作关系，推动 采用公司安全解决方案手机产品的落地。目前有多款采用了公司基于</w:t>
      </w:r>
      <w:r>
        <w:rPr>
          <w:rFonts w:ascii="宋体" w:hAnsi="宋体" w:cs="宋体" w:eastAsia="宋体" w:hint="default"/>
        </w:rPr>
        <w:t>TEE</w:t>
      </w:r>
      <w:r>
        <w:rPr/>
        <w:t>安全解决方案的手机即将发布。公司开发的手机安 全解决方案支持目前市面主流的手机安全技术（如</w:t>
      </w:r>
      <w:r>
        <w:rPr>
          <w:rFonts w:ascii="宋体" w:hAnsi="宋体" w:cs="宋体" w:eastAsia="宋体" w:hint="default"/>
        </w:rPr>
        <w:t>TEE</w:t>
      </w:r>
      <w:r>
        <w:rPr/>
        <w:t>、</w:t>
      </w:r>
      <w:r>
        <w:rPr>
          <w:rFonts w:ascii="宋体" w:hAnsi="宋体" w:cs="宋体" w:eastAsia="宋体" w:hint="default"/>
        </w:rPr>
        <w:t>eSE</w:t>
      </w:r>
      <w:r>
        <w:rPr/>
        <w:t>、</w:t>
      </w:r>
      <w:r>
        <w:rPr>
          <w:rFonts w:ascii="宋体" w:hAnsi="宋体" w:cs="宋体" w:eastAsia="宋体" w:hint="default"/>
        </w:rPr>
        <w:t>TSM</w:t>
      </w:r>
      <w:r>
        <w:rPr/>
        <w:t>、</w:t>
      </w:r>
      <w:r>
        <w:rPr>
          <w:rFonts w:ascii="宋体" w:hAnsi="宋体" w:cs="宋体" w:eastAsia="宋体" w:hint="default"/>
        </w:rPr>
        <w:t>Token</w:t>
      </w:r>
      <w:r>
        <w:rPr/>
        <w:t>、</w:t>
      </w:r>
      <w:r>
        <w:rPr>
          <w:rFonts w:ascii="宋体" w:hAnsi="宋体" w:cs="宋体" w:eastAsia="宋体" w:hint="default"/>
        </w:rPr>
        <w:t>HCE</w:t>
      </w:r>
      <w:r>
        <w:rPr/>
        <w:t>等），具备安全应用管理和多应用部署的优 势。</w:t>
      </w:r>
      <w:r>
        <w:rPr>
          <w:rFonts w:ascii="宋体" w:hAnsi="宋体" w:cs="宋体" w:eastAsia="宋体" w:hint="default"/>
        </w:rPr>
        <w:t>2016</w:t>
      </w:r>
      <w:r>
        <w:rPr/>
        <w:t>年随着加载指纹识别模块手机的逐步普及，预计以</w:t>
      </w:r>
      <w:r>
        <w:rPr>
          <w:rFonts w:ascii="宋体" w:hAnsi="宋体" w:cs="宋体" w:eastAsia="宋体" w:hint="default"/>
        </w:rPr>
        <w:t>TEE</w:t>
      </w:r>
      <w:r>
        <w:rPr/>
        <w:t>为代表的手机安全服务市场将可能爆发。公司将把握市场机 </w:t>
      </w:r>
      <w:r>
        <w:rPr>
          <w:spacing w:val="-5"/>
        </w:rPr>
        <w:t>遇，发挥技术、产品及安全应用经验优势，加强与移动终端厂商和安全应用提供方的合作，逐步向安全应用平台运营商迈进。</w:t>
      </w:r>
      <w:r>
        <w:rPr/>
        <w:t> 报告期内，公司子公司擎动网络与中信银行签订了《“信</w:t>
      </w:r>
      <w:r>
        <w:rPr>
          <w:rFonts w:ascii="宋体" w:hAnsi="宋体" w:cs="宋体" w:eastAsia="宋体" w:hint="default"/>
        </w:rPr>
        <w:t>e</w:t>
      </w:r>
      <w:r>
        <w:rPr/>
        <w:t>付”业务合作协议》，双方在中信银行全国各分支机构共同 推广“信</w:t>
      </w:r>
      <w:r>
        <w:rPr>
          <w:rFonts w:ascii="宋体" w:hAnsi="宋体" w:cs="宋体" w:eastAsia="宋体" w:hint="default"/>
        </w:rPr>
        <w:t>e</w:t>
      </w:r>
      <w:r>
        <w:rPr/>
        <w:t>付”平台产品。截至报告期末，擎动网络已与中信银行全国二十多家分行建立了合作渠道，针对快消品、物流等 </w:t>
      </w:r>
      <w:r>
        <w:rPr>
          <w:spacing w:val="-2"/>
        </w:rPr>
        <w:t>供应链行业企业及商户的业务推广速度正在加快。公司将努力争取尽早获得第三方支付牌照，通过与金融机构的合作扩大公</w:t>
      </w:r>
    </w:p>
    <w:p>
      <w:pPr>
        <w:pStyle w:val="BodyText"/>
        <w:spacing w:line="316" w:lineRule="auto" w:before="19"/>
        <w:ind w:left="1494" w:right="0" w:hanging="360"/>
        <w:jc w:val="left"/>
      </w:pPr>
      <w:r>
        <w:rPr/>
        <w:t>司供应链</w:t>
      </w:r>
      <w:r>
        <w:rPr>
          <w:rFonts w:ascii="宋体" w:hAnsi="宋体" w:cs="宋体" w:eastAsia="宋体" w:hint="default"/>
        </w:rPr>
        <w:t>O2O+</w:t>
      </w:r>
      <w:r>
        <w:rPr/>
        <w:t>金融支付服务业务的用户数及收入规模。 </w:t>
      </w:r>
      <w:r>
        <w:rPr>
          <w:spacing w:val="-2"/>
        </w:rPr>
        <w:t>报告期内，为充分调动子公司经营管理层及核心员工的积极性，推动公司服务业务的快速发展，公司在子公司层面陆续</w:t>
      </w:r>
    </w:p>
    <w:p>
      <w:pPr>
        <w:pStyle w:val="BodyText"/>
        <w:spacing w:line="319" w:lineRule="auto" w:before="19"/>
        <w:ind w:left="1134" w:right="0"/>
        <w:jc w:val="left"/>
      </w:pPr>
      <w:r>
        <w:rPr>
          <w:spacing w:val="-2"/>
        </w:rPr>
        <w:t>实施员工股权激励计划。截至报告期末，公司子公司天喻通讯和湖北百旺已实施员工股权激励计划，其他子公司的员工股权</w:t>
      </w:r>
      <w:r>
        <w:rPr>
          <w:spacing w:val="-66"/>
        </w:rPr>
        <w:t> </w:t>
      </w:r>
      <w:r>
        <w:rPr>
          <w:spacing w:val="-66"/>
        </w:rPr>
      </w:r>
      <w:r>
        <w:rPr/>
        <w:t>激励计划正在推进中。</w:t>
      </w:r>
    </w:p>
    <w:p>
      <w:pPr>
        <w:pStyle w:val="BodyText"/>
        <w:spacing w:line="316" w:lineRule="auto" w:before="17"/>
        <w:ind w:right="1123" w:firstLine="360"/>
        <w:jc w:val="left"/>
      </w:pPr>
      <w:r>
        <w:rPr/>
        <w:t>报告期内，公司启动了定向增发工作，募集资金发展在线教育业务。由于我国资本市场环境发生变化，公司于</w:t>
      </w:r>
      <w:r>
        <w:rPr>
          <w:rFonts w:ascii="宋体" w:hAnsi="宋体" w:cs="宋体" w:eastAsia="宋体" w:hint="default"/>
        </w:rPr>
        <w:t>2016</w:t>
      </w:r>
      <w:r>
        <w:rPr/>
        <w:t>年</w:t>
      </w:r>
      <w:r>
        <w:rPr>
          <w:rFonts w:ascii="宋体" w:hAnsi="宋体" w:cs="宋体" w:eastAsia="宋体" w:hint="default"/>
        </w:rPr>
        <w:t>2 </w:t>
      </w:r>
      <w:r>
        <w:rPr/>
        <w:t>月底终止了定增方案。公司将继续以自有资金及其他融资方式筹集资金确保相关业务快速推进。</w:t>
      </w:r>
    </w:p>
    <w:p>
      <w:pPr>
        <w:spacing w:after="0" w:line="316" w:lineRule="auto"/>
        <w:jc w:val="left"/>
        <w:sectPr>
          <w:pgSz w:w="11910" w:h="16840"/>
          <w:pgMar w:header="877" w:footer="1187" w:top="1100" w:bottom="1380" w:left="0" w:right="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bookmarkStart w:name="二、主营业务分析" w:id="25"/>
      <w:bookmarkEnd w:id="25"/>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概述" w:id="26"/>
      <w:bookmarkEnd w:id="26"/>
      <w:r>
        <w:rPr>
          <w:b w:val="0"/>
          <w:bCs w:val="0"/>
        </w:rPr>
      </w:r>
      <w:r>
        <w:rPr>
          <w:rFonts w:ascii="宋体" w:hAnsi="宋体" w:cs="宋体" w:eastAsia="宋体" w:hint="default"/>
        </w:rPr>
        <w:t>1</w:t>
      </w:r>
      <w:r>
        <w:rPr/>
        <w:t>、概述</w:t>
      </w:r>
      <w:r>
        <w:rPr>
          <w:b w:val="0"/>
          <w:bCs w:val="0"/>
        </w:rPr>
      </w:r>
    </w:p>
    <w:p>
      <w:pPr>
        <w:spacing w:line="240" w:lineRule="auto" w:before="10"/>
        <w:rPr>
          <w:rFonts w:ascii="宋体" w:hAnsi="宋体" w:cs="宋体" w:eastAsia="宋体" w:hint="default"/>
          <w:b/>
          <w:bCs/>
          <w:sz w:val="27"/>
          <w:szCs w:val="27"/>
        </w:rPr>
      </w:pPr>
    </w:p>
    <w:p>
      <w:pPr>
        <w:pStyle w:val="BodyText"/>
        <w:spacing w:line="319" w:lineRule="auto"/>
        <w:ind w:right="1129" w:firstLine="360"/>
        <w:jc w:val="both"/>
      </w:pPr>
      <w:r>
        <w:rPr>
          <w:spacing w:val="-2"/>
        </w:rPr>
        <w:t>报告期内，公司加大了研发和市场投入，金融</w:t>
      </w:r>
      <w:r>
        <w:rPr>
          <w:rFonts w:ascii="宋体" w:hAnsi="宋体" w:cs="宋体" w:eastAsia="宋体" w:hint="default"/>
          <w:spacing w:val="-2"/>
        </w:rPr>
        <w:t>IC</w:t>
      </w:r>
      <w:r>
        <w:rPr>
          <w:spacing w:val="-2"/>
        </w:rPr>
        <w:t>卡、通信智能卡以及税控盘、</w:t>
      </w:r>
      <w:r>
        <w:rPr>
          <w:rFonts w:ascii="宋体" w:hAnsi="宋体" w:cs="宋体" w:eastAsia="宋体" w:hint="default"/>
          <w:spacing w:val="-2"/>
        </w:rPr>
        <w:t>mPOS</w:t>
      </w:r>
      <w:r>
        <w:rPr>
          <w:spacing w:val="-2"/>
        </w:rPr>
        <w:t>、读卡设备等终端产品销量增加，公</w:t>
      </w:r>
      <w:r>
        <w:rPr/>
        <w:t> 司实现营业收入</w:t>
      </w:r>
      <w:r>
        <w:rPr>
          <w:rFonts w:ascii="宋体" w:hAnsi="宋体" w:cs="宋体" w:eastAsia="宋体" w:hint="default"/>
        </w:rPr>
        <w:t>148,329.60</w:t>
      </w:r>
      <w:r>
        <w:rPr/>
        <w:t>万元，发生营业成本</w:t>
      </w:r>
      <w:r>
        <w:rPr>
          <w:rFonts w:ascii="宋体" w:hAnsi="宋体" w:cs="宋体" w:eastAsia="宋体" w:hint="default"/>
        </w:rPr>
        <w:t>103,038.04</w:t>
      </w:r>
      <w:r>
        <w:rPr/>
        <w:t>万元，分别较上年同期增长</w:t>
      </w:r>
      <w:r>
        <w:rPr>
          <w:rFonts w:ascii="宋体" w:hAnsi="宋体" w:cs="宋体" w:eastAsia="宋体" w:hint="default"/>
        </w:rPr>
        <w:t>9.49%</w:t>
      </w:r>
      <w:r>
        <w:rPr/>
        <w:t>和</w:t>
      </w:r>
      <w:r>
        <w:rPr>
          <w:rFonts w:ascii="宋体" w:hAnsi="宋体" w:cs="宋体" w:eastAsia="宋体" w:hint="default"/>
        </w:rPr>
        <w:t>18.24%</w:t>
      </w:r>
      <w:r>
        <w:rPr/>
        <w:t>。但由于市场竞争加</w:t>
      </w:r>
      <w:r>
        <w:rPr>
          <w:spacing w:val="-85"/>
        </w:rPr>
        <w:t> </w:t>
      </w:r>
      <w:r>
        <w:rPr>
          <w:spacing w:val="-85"/>
        </w:rPr>
      </w:r>
      <w:r>
        <w:rPr>
          <w:spacing w:val="-5"/>
        </w:rPr>
        <w:t>剧，金融</w:t>
      </w:r>
      <w:r>
        <w:rPr>
          <w:rFonts w:ascii="宋体" w:hAnsi="宋体" w:cs="宋体" w:eastAsia="宋体" w:hint="default"/>
          <w:spacing w:val="-5"/>
        </w:rPr>
        <w:t>IC</w:t>
      </w:r>
      <w:r>
        <w:rPr>
          <w:spacing w:val="-5"/>
        </w:rPr>
        <w:t>卡产品销售价格同比下降，以及受人民币兑美元汇率大幅贬值影响，公司原材料进口业务产生了较大的汇兑损失，</w:t>
      </w:r>
      <w:r>
        <w:rPr>
          <w:spacing w:val="-74"/>
        </w:rPr>
        <w:t> </w:t>
      </w:r>
      <w:r>
        <w:rPr>
          <w:spacing w:val="-74"/>
        </w:rPr>
      </w:r>
      <w:r>
        <w:rPr/>
        <w:t>导致营业利润、归属于上市公司股东的净利润分别较上年同期下降</w:t>
      </w:r>
      <w:r>
        <w:rPr>
          <w:rFonts w:ascii="宋体" w:hAnsi="宋体" w:cs="宋体" w:eastAsia="宋体" w:hint="default"/>
        </w:rPr>
        <w:t>80.16%</w:t>
      </w:r>
      <w:r>
        <w:rPr/>
        <w:t>和</w:t>
      </w:r>
      <w:r>
        <w:rPr>
          <w:rFonts w:ascii="宋体" w:hAnsi="宋体" w:cs="宋体" w:eastAsia="宋体" w:hint="default"/>
        </w:rPr>
        <w:t>88.07%</w:t>
      </w:r>
      <w:r>
        <w:rPr/>
        <w:t>。</w:t>
      </w:r>
    </w:p>
    <w:p>
      <w:pPr>
        <w:pStyle w:val="BodyText"/>
        <w:spacing w:line="319" w:lineRule="auto" w:before="55"/>
        <w:ind w:left="1134" w:right="1131" w:firstLine="360"/>
        <w:jc w:val="both"/>
      </w:pPr>
      <w:r>
        <w:rPr/>
        <w:t>报告期内，公司发生期间费用</w:t>
      </w:r>
      <w:r>
        <w:rPr>
          <w:rFonts w:ascii="宋体" w:hAnsi="宋体" w:cs="宋体" w:eastAsia="宋体" w:hint="default"/>
        </w:rPr>
        <w:t>39,823.98</w:t>
      </w:r>
      <w:r>
        <w:rPr/>
        <w:t>万元，较上年同期增长</w:t>
      </w:r>
      <w:r>
        <w:rPr>
          <w:rFonts w:ascii="宋体" w:hAnsi="宋体" w:cs="宋体" w:eastAsia="宋体" w:hint="default"/>
        </w:rPr>
        <w:t>13.75%</w:t>
      </w:r>
      <w:r>
        <w:rPr/>
        <w:t>，主要是公司继续加大市场和研发投入，以及受 </w:t>
      </w:r>
      <w:r>
        <w:rPr>
          <w:spacing w:val="-2"/>
        </w:rPr>
        <w:t>人民币兑美元汇率大幅贬值影响，公司原材料进口业务产生了较大的汇兑损失，导致财务费用、销售费用及管理费用较上年</w:t>
      </w:r>
      <w:r>
        <w:rPr>
          <w:spacing w:val="-65"/>
        </w:rPr>
        <w:t> </w:t>
      </w:r>
      <w:r>
        <w:rPr>
          <w:spacing w:val="-65"/>
        </w:rPr>
      </w:r>
      <w:r>
        <w:rPr/>
        <w:t>同期分别增长</w:t>
      </w:r>
      <w:r>
        <w:rPr>
          <w:rFonts w:ascii="宋体" w:hAnsi="宋体" w:cs="宋体" w:eastAsia="宋体" w:hint="default"/>
        </w:rPr>
        <w:t>718.13%</w:t>
      </w:r>
      <w:r>
        <w:rPr/>
        <w:t>、</w:t>
      </w:r>
      <w:r>
        <w:rPr>
          <w:rFonts w:ascii="宋体" w:hAnsi="宋体" w:cs="宋体" w:eastAsia="宋体" w:hint="default"/>
        </w:rPr>
        <w:t>9.47%</w:t>
      </w:r>
      <w:r>
        <w:rPr/>
        <w:t>和</w:t>
      </w:r>
      <w:r>
        <w:rPr>
          <w:rFonts w:ascii="宋体" w:hAnsi="宋体" w:cs="宋体" w:eastAsia="宋体" w:hint="default"/>
        </w:rPr>
        <w:t>4.32%</w:t>
      </w:r>
      <w:r>
        <w:rPr/>
        <w:t>。</w:t>
      </w:r>
    </w:p>
    <w:p>
      <w:pPr>
        <w:pStyle w:val="BodyText"/>
        <w:spacing w:line="319" w:lineRule="auto" w:before="56"/>
        <w:ind w:right="1130" w:firstLine="360"/>
        <w:jc w:val="both"/>
      </w:pPr>
      <w:r>
        <w:rPr>
          <w:spacing w:val="-2"/>
        </w:rPr>
        <w:t>报告期内，公司研发费用总额为</w:t>
      </w:r>
      <w:r>
        <w:rPr>
          <w:rFonts w:ascii="宋体" w:hAnsi="宋体" w:cs="宋体" w:eastAsia="宋体" w:hint="default"/>
          <w:spacing w:val="-2"/>
        </w:rPr>
        <w:t>13,897.81</w:t>
      </w:r>
      <w:r>
        <w:rPr>
          <w:spacing w:val="-2"/>
        </w:rPr>
        <w:t>万元，较上年同期增长</w:t>
      </w:r>
      <w:r>
        <w:rPr>
          <w:rFonts w:ascii="宋体" w:hAnsi="宋体" w:cs="宋体" w:eastAsia="宋体" w:hint="default"/>
          <w:spacing w:val="-2"/>
        </w:rPr>
        <w:t>8.01%</w:t>
      </w:r>
      <w:r>
        <w:rPr>
          <w:spacing w:val="-2"/>
        </w:rPr>
        <w:t>，主要由于公司为加强技术创新，提升产品综合</w:t>
      </w:r>
      <w:r>
        <w:rPr/>
        <w:t> 竞争力，提高了研发人员薪酬福利水平，增加了研发支出。</w:t>
      </w:r>
    </w:p>
    <w:p>
      <w:pPr>
        <w:pStyle w:val="BodyText"/>
        <w:spacing w:line="319" w:lineRule="auto" w:before="55"/>
        <w:ind w:right="1131" w:firstLine="360"/>
        <w:jc w:val="both"/>
      </w:pPr>
      <w:r>
        <w:rPr>
          <w:spacing w:val="-2"/>
        </w:rPr>
        <w:t>报告期内，公司经营活动产生的现金流量净额为</w:t>
      </w:r>
      <w:r>
        <w:rPr>
          <w:rFonts w:ascii="宋体" w:hAnsi="宋体" w:cs="宋体" w:eastAsia="宋体" w:hint="default"/>
          <w:spacing w:val="-2"/>
        </w:rPr>
        <w:t>29,211.37</w:t>
      </w:r>
      <w:r>
        <w:rPr>
          <w:spacing w:val="-2"/>
        </w:rPr>
        <w:t>万元，较上年同期增加</w:t>
      </w:r>
      <w:r>
        <w:rPr>
          <w:rFonts w:ascii="宋体" w:hAnsi="宋体" w:cs="宋体" w:eastAsia="宋体" w:hint="default"/>
          <w:spacing w:val="-2"/>
        </w:rPr>
        <w:t>40,094.30</w:t>
      </w:r>
      <w:r>
        <w:rPr>
          <w:spacing w:val="-2"/>
        </w:rPr>
        <w:t>万元，主要由于公司销售规</w:t>
      </w:r>
      <w:r>
        <w:rPr/>
        <w:t> </w:t>
      </w:r>
      <w:r>
        <w:rPr>
          <w:spacing w:val="-2"/>
        </w:rPr>
        <w:t>模较上年同期增长，以及公司加强应收账款管理，使销售回款同比增长</w:t>
      </w:r>
      <w:r>
        <w:rPr>
          <w:rFonts w:ascii="宋体" w:hAnsi="宋体" w:cs="宋体" w:eastAsia="宋体" w:hint="default"/>
          <w:spacing w:val="-2"/>
        </w:rPr>
        <w:t>13.43%</w:t>
      </w:r>
      <w:r>
        <w:rPr>
          <w:spacing w:val="-2"/>
        </w:rPr>
        <w:t>；公司进一步加强存货管理，采取了更为合理</w:t>
      </w:r>
      <w:r>
        <w:rPr>
          <w:spacing w:val="-59"/>
        </w:rPr>
        <w:t> </w:t>
      </w:r>
      <w:r>
        <w:rPr>
          <w:spacing w:val="-59"/>
        </w:rPr>
      </w:r>
      <w:r>
        <w:rPr/>
        <w:t>的备货策略以及有效运用票据、信用证等结算方式，使采购现金支付同比减少</w:t>
      </w:r>
      <w:r>
        <w:rPr>
          <w:rFonts w:ascii="宋体" w:hAnsi="宋体" w:cs="宋体" w:eastAsia="宋体" w:hint="default"/>
        </w:rPr>
        <w:t>14.66%</w:t>
      </w:r>
      <w:r>
        <w:rPr/>
        <w:t>。</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bookmarkStart w:name="2、收入与成本" w:id="27"/>
      <w:bookmarkEnd w:id="27"/>
      <w:r>
        <w:rPr>
          <w:b w:val="0"/>
          <w:bCs w:val="0"/>
        </w:rPr>
      </w:r>
      <w:r>
        <w:rPr>
          <w:rFonts w:ascii="宋体" w:hAnsi="宋体" w:cs="宋体" w:eastAsia="宋体" w:hint="default"/>
        </w:rPr>
        <w:t>2</w:t>
      </w:r>
      <w:r>
        <w:rPr/>
        <w:t>、收入与成本</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bookmarkStart w:name="（1）营业收入构成" w:id="28"/>
      <w:bookmarkEnd w:id="28"/>
      <w:r>
        <w:rPr>
          <w:b w:val="0"/>
          <w:bCs w:val="0"/>
        </w:rPr>
      </w:r>
      <w:r>
        <w:rPr/>
        <w:t>（</w:t>
      </w:r>
      <w:r>
        <w:rPr>
          <w:rFonts w:ascii="宋体" w:hAnsi="宋体" w:cs="宋体" w:eastAsia="宋体" w:hint="default"/>
        </w:rPr>
        <w:t>1</w:t>
      </w:r>
      <w:r>
        <w:rPr/>
        <w:t>）营业收入构成</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0" w:right="131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5" w:type="dxa"/>
            <w:vMerge/>
            <w:tcBorders>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1,483,296,003.21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1,354,686,517.38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9.49%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1"/>
                <w:sz w:val="18"/>
                <w:szCs w:val="18"/>
              </w:rPr>
              <w:t>：</w:t>
            </w:r>
            <w:r>
              <w:rPr>
                <w:rFonts w:ascii="宋体" w:hAnsi="宋体" w:cs="宋体" w:eastAsia="宋体" w:hint="default"/>
                <w:sz w:val="18"/>
                <w:szCs w:val="18"/>
              </w:rPr>
              <w:t>主营业务收入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1,479,015,628.44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99.71%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1,351,384,964.18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99.76%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9.44%</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9"/>
                <w:sz w:val="18"/>
                <w:szCs w:val="18"/>
              </w:rPr>
              <w:t>计算机、通信和其他</w:t>
            </w:r>
            <w:r>
              <w:rPr>
                <w:rFonts w:ascii="宋体" w:hAnsi="宋体" w:cs="宋体" w:eastAsia="宋体" w:hint="default"/>
                <w:sz w:val="18"/>
                <w:szCs w:val="18"/>
              </w:rPr>
              <w:t> 电子制造业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1,479,015,628.44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99.71%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1,351,384,964.18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99.76%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9.44%</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1,182,877,331.41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79.75%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1,185,629,258.21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87.52%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-0.23%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技术服务与开发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129,552,941.66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109,449,906.65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8.08%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18.37%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终端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147,140,414.91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29,853,173.95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392.88%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19,444,940.46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26,452,625.37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-26.49%</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1,443,242,910.81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97.30%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1,317,582,254.33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97.26%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9.54%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35,772,717.63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33,802,709.85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5.83%</w:t>
            </w:r>
          </w:p>
        </w:tc>
      </w:tr>
    </w:tbl>
    <w:p>
      <w:pPr>
        <w:spacing w:after="0" w:line="240" w:lineRule="auto"/>
        <w:jc w:val="right"/>
        <w:rPr>
          <w:rFonts w:ascii="宋体" w:hAnsi="宋体" w:cs="宋体" w:eastAsia="宋体" w:hint="default"/>
          <w:sz w:val="18"/>
          <w:szCs w:val="18"/>
        </w:rPr>
        <w:sectPr>
          <w:pgSz w:w="11910" w:h="16840"/>
          <w:pgMar w:header="877" w:footer="1187" w:top="1100" w:bottom="1380" w:left="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2）占公司营业收入或营业利润10%以上的行业、产品或地区情况" w:id="29"/>
      <w:bookmarkEnd w:id="29"/>
      <w:r>
        <w:rPr>
          <w:b w:val="0"/>
          <w:bCs w:val="0"/>
        </w:rPr>
      </w:r>
      <w:r>
        <w:rPr/>
        <w:t>（</w:t>
      </w:r>
      <w:r>
        <w:rPr>
          <w:rFonts w:ascii="宋体" w:hAnsi="宋体" w:cs="宋体" w:eastAsia="宋体" w:hint="default"/>
        </w:rPr>
        <w:t>2</w:t>
      </w:r>
      <w:r>
        <w:rPr/>
        <w:t>）占公司营业收入或营业利润</w:t>
      </w:r>
      <w:r>
        <w:rPr>
          <w:spacing w:val="-60"/>
        </w:rPr>
        <w:t> </w:t>
      </w:r>
      <w:r>
        <w:rPr>
          <w:rFonts w:ascii="宋体" w:hAnsi="宋体" w:cs="宋体" w:eastAsia="宋体" w:hint="default"/>
        </w:rPr>
        <w:t>10%</w:t>
      </w:r>
      <w:r>
        <w:rPr/>
        <w:t>以上的行业、产品或地区情况</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1134" w:right="0"/>
        <w:jc w:val="left"/>
      </w:pPr>
      <w:r>
        <w:rPr/>
        <w:t>√ 适用 □ 不适用</w:t>
      </w:r>
    </w:p>
    <w:p>
      <w:pPr>
        <w:pStyle w:val="BodyText"/>
        <w:spacing w:line="240" w:lineRule="auto" w:before="116"/>
        <w:ind w:left="0" w:right="131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610"/>
        <w:gridCol w:w="1559"/>
        <w:gridCol w:w="930"/>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计算机、通信和 其他电子制造业</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1,479,015,628.44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1,030,379,831.82</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30.33%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9.44%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18.25%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-5.19</w:t>
            </w:r>
            <w:r>
              <w:rPr>
                <w:rFonts w:ascii="宋体" w:hAnsi="宋体" w:cs="宋体" w:eastAsia="宋体" w:hint="default"/>
                <w:spacing w:val="-46"/>
                <w:sz w:val="18"/>
                <w:szCs w:val="18"/>
              </w:rPr>
              <w:t> </w:t>
            </w:r>
            <w:r>
              <w:rPr>
                <w:rFonts w:ascii="宋体" w:hAnsi="宋体" w:cs="宋体" w:eastAsia="宋体" w:hint="default"/>
                <w:sz w:val="18"/>
                <w:szCs w:val="18"/>
              </w:rPr>
              <w:t>百分点</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智能卡</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1,182,877,331.41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879,387,400.61</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8.93%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-6.25</w:t>
            </w:r>
            <w:r>
              <w:rPr>
                <w:rFonts w:ascii="宋体" w:hAnsi="宋体" w:cs="宋体" w:eastAsia="宋体" w:hint="default"/>
                <w:spacing w:val="-46"/>
                <w:sz w:val="18"/>
                <w:szCs w:val="18"/>
              </w:rPr>
              <w:t> </w:t>
            </w:r>
            <w:r>
              <w:rPr>
                <w:rFonts w:ascii="宋体" w:hAnsi="宋体" w:cs="宋体" w:eastAsia="宋体" w:hint="default"/>
                <w:sz w:val="18"/>
                <w:szCs w:val="18"/>
              </w:rPr>
              <w:t>百分点</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技术服务与开发</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129,552,941.66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45,994,204.08</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64.50%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94.60%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-13.91</w:t>
            </w:r>
            <w:r>
              <w:rPr>
                <w:rFonts w:ascii="宋体" w:hAnsi="宋体" w:cs="宋体" w:eastAsia="宋体" w:hint="default"/>
                <w:spacing w:val="-46"/>
                <w:sz w:val="18"/>
                <w:szCs w:val="18"/>
              </w:rPr>
              <w:t> </w:t>
            </w:r>
            <w:r>
              <w:rPr>
                <w:rFonts w:ascii="宋体" w:hAnsi="宋体" w:cs="宋体" w:eastAsia="宋体" w:hint="default"/>
                <w:sz w:val="18"/>
                <w:szCs w:val="18"/>
              </w:rPr>
              <w:t>百分点</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终端</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147,140,414.91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91,239,066.25</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37.99%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392.88%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395.38%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-0.31</w:t>
            </w:r>
            <w:r>
              <w:rPr>
                <w:rFonts w:ascii="宋体" w:hAnsi="宋体" w:cs="宋体" w:eastAsia="宋体" w:hint="default"/>
                <w:spacing w:val="-46"/>
                <w:sz w:val="18"/>
                <w:szCs w:val="18"/>
              </w:rPr>
              <w:t> </w:t>
            </w:r>
            <w:r>
              <w:rPr>
                <w:rFonts w:ascii="宋体" w:hAnsi="宋体" w:cs="宋体" w:eastAsia="宋体" w:hint="default"/>
                <w:sz w:val="18"/>
                <w:szCs w:val="18"/>
              </w:rPr>
              <w:t>百分点</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1,443,242,910.81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1,008,600,297.47</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19.92%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-6.05</w:t>
            </w:r>
            <w:r>
              <w:rPr>
                <w:rFonts w:ascii="宋体" w:hAnsi="宋体" w:cs="宋体" w:eastAsia="宋体" w:hint="default"/>
                <w:spacing w:val="-46"/>
                <w:sz w:val="18"/>
                <w:szCs w:val="18"/>
              </w:rPr>
              <w:t> </w:t>
            </w:r>
            <w:r>
              <w:rPr>
                <w:rFonts w:ascii="宋体" w:hAnsi="宋体" w:cs="宋体" w:eastAsia="宋体" w:hint="default"/>
                <w:sz w:val="18"/>
                <w:szCs w:val="18"/>
              </w:rPr>
              <w:t>百分点</w:t>
            </w:r>
          </w:p>
        </w:tc>
      </w:tr>
    </w:tbl>
    <w:p>
      <w:pPr>
        <w:spacing w:line="240" w:lineRule="auto" w:before="8"/>
        <w:rPr>
          <w:rFonts w:ascii="宋体" w:hAnsi="宋体" w:cs="宋体" w:eastAsia="宋体" w:hint="default"/>
          <w:sz w:val="6"/>
          <w:szCs w:val="6"/>
        </w:rPr>
      </w:pPr>
    </w:p>
    <w:p>
      <w:pPr>
        <w:pStyle w:val="BodyText"/>
        <w:spacing w:line="319" w:lineRule="auto" w:before="44"/>
        <w:ind w:right="1132" w:firstLine="360"/>
        <w:jc w:val="both"/>
      </w:pPr>
      <w:r>
        <w:rPr/>
        <w:t>报告期内，公司智能卡产品营业收入同比减少</w:t>
      </w:r>
      <w:r>
        <w:rPr>
          <w:spacing w:val="-46"/>
        </w:rPr>
        <w:t> </w:t>
      </w:r>
      <w:r>
        <w:rPr>
          <w:rFonts w:ascii="宋体" w:hAnsi="宋体" w:cs="宋体" w:eastAsia="宋体" w:hint="default"/>
        </w:rPr>
        <w:t>0.23%</w:t>
      </w:r>
      <w:r>
        <w:rPr/>
        <w:t>，毛利率下降</w:t>
      </w:r>
      <w:r>
        <w:rPr>
          <w:spacing w:val="-46"/>
        </w:rPr>
        <w:t> </w:t>
      </w:r>
      <w:r>
        <w:rPr>
          <w:rFonts w:ascii="宋体" w:hAnsi="宋体" w:cs="宋体" w:eastAsia="宋体" w:hint="default"/>
        </w:rPr>
        <w:t>6.25</w:t>
      </w:r>
      <w:r>
        <w:rPr>
          <w:rFonts w:ascii="宋体" w:hAnsi="宋体" w:cs="宋体" w:eastAsia="宋体" w:hint="default"/>
          <w:spacing w:val="-45"/>
        </w:rPr>
        <w:t> </w:t>
      </w:r>
      <w:r>
        <w:rPr/>
        <w:t>个百分点，主要由于市场竞争加剧，销售价格 同比下降；技术服务与开发收入同比增长</w:t>
      </w:r>
      <w:r>
        <w:rPr>
          <w:spacing w:val="-46"/>
        </w:rPr>
        <w:t> </w:t>
      </w:r>
      <w:r>
        <w:rPr>
          <w:rFonts w:ascii="宋体" w:hAnsi="宋体" w:cs="宋体" w:eastAsia="宋体" w:hint="default"/>
        </w:rPr>
        <w:t>18.37%</w:t>
      </w:r>
      <w:r>
        <w:rPr/>
        <w:t>，毛利率同比下降</w:t>
      </w:r>
      <w:r>
        <w:rPr>
          <w:spacing w:val="-46"/>
        </w:rPr>
        <w:t> </w:t>
      </w:r>
      <w:r>
        <w:rPr>
          <w:rFonts w:ascii="宋体" w:hAnsi="宋体" w:cs="宋体" w:eastAsia="宋体" w:hint="default"/>
        </w:rPr>
        <w:t>13.91</w:t>
      </w:r>
      <w:r>
        <w:rPr>
          <w:rFonts w:ascii="宋体" w:hAnsi="宋体" w:cs="宋体" w:eastAsia="宋体" w:hint="default"/>
          <w:spacing w:val="-46"/>
        </w:rPr>
        <w:t> </w:t>
      </w:r>
      <w:r>
        <w:rPr/>
        <w:t>个百分点，主要由于在线教育业务以及税务服务 </w:t>
      </w:r>
      <w:r>
        <w:rPr>
          <w:spacing w:val="-2"/>
        </w:rPr>
        <w:t>收入同比增长，但由于定制化技术开发与服务类收入占比增长导致毛利率同比下降；终端产品营业收入、营业成本同比分别</w:t>
      </w:r>
      <w:r>
        <w:rPr>
          <w:spacing w:val="-68"/>
        </w:rPr>
        <w:t> </w:t>
      </w:r>
      <w:r>
        <w:rPr>
          <w:spacing w:val="-68"/>
        </w:rPr>
      </w:r>
      <w:r>
        <w:rPr/>
        <w:t>增长</w:t>
      </w:r>
      <w:r>
        <w:rPr>
          <w:spacing w:val="-46"/>
        </w:rPr>
        <w:t> </w:t>
      </w:r>
      <w:r>
        <w:rPr>
          <w:rFonts w:ascii="宋体" w:hAnsi="宋体" w:cs="宋体" w:eastAsia="宋体" w:hint="default"/>
        </w:rPr>
        <w:t>392.88%</w:t>
      </w:r>
      <w:r>
        <w:rPr/>
        <w:t>和</w:t>
      </w:r>
      <w:r>
        <w:rPr>
          <w:spacing w:val="-46"/>
        </w:rPr>
        <w:t> </w:t>
      </w:r>
      <w:r>
        <w:rPr>
          <w:rFonts w:ascii="宋体" w:hAnsi="宋体" w:cs="宋体" w:eastAsia="宋体" w:hint="default"/>
        </w:rPr>
        <w:t>395.38%</w:t>
      </w:r>
      <w:r>
        <w:rPr/>
        <w:t>，主要由于税控盘、</w:t>
      </w:r>
      <w:r>
        <w:rPr>
          <w:rFonts w:ascii="宋体" w:hAnsi="宋体" w:cs="宋体" w:eastAsia="宋体" w:hint="default"/>
        </w:rPr>
        <w:t>mPOS</w:t>
      </w:r>
      <w:r>
        <w:rPr>
          <w:rFonts w:ascii="宋体" w:hAnsi="宋体" w:cs="宋体" w:eastAsia="宋体" w:hint="default"/>
          <w:spacing w:val="-46"/>
        </w:rPr>
        <w:t> </w:t>
      </w:r>
      <w:r>
        <w:rPr/>
        <w:t>和读卡设备等产品销量在较低的基数上有较大增长。</w:t>
      </w:r>
    </w:p>
    <w:p>
      <w:pPr>
        <w:spacing w:after="0" w:line="319" w:lineRule="auto"/>
        <w:jc w:val="both"/>
        <w:sectPr>
          <w:pgSz w:w="11910" w:h="16840"/>
          <w:pgMar w:header="877" w:footer="1187" w:top="1100" w:bottom="1380" w:left="0" w:right="0"/>
        </w:sectPr>
      </w:pPr>
    </w:p>
    <w:p>
      <w:pPr>
        <w:pStyle w:val="BodyText"/>
        <w:spacing w:line="240" w:lineRule="auto" w:before="136"/>
        <w:ind w:right="-19"/>
        <w:jc w:val="left"/>
      </w:pPr>
      <w:r>
        <w:rPr/>
        <w:t>公司主营业务数据统计口径在报告期发生调整的情况下，公司最近</w:t>
      </w:r>
      <w:r>
        <w:rPr>
          <w:spacing w:val="-45"/>
        </w:rPr>
        <w:t> </w:t>
      </w:r>
      <w:r>
        <w:rPr>
          <w:rFonts w:ascii="宋体" w:hAnsi="宋体" w:cs="宋体" w:eastAsia="宋体" w:hint="default"/>
        </w:rPr>
        <w:t>1</w:t>
      </w:r>
      <w:r>
        <w:rPr>
          <w:rFonts w:ascii="宋体" w:hAnsi="宋体" w:cs="宋体" w:eastAsia="宋体" w:hint="default"/>
          <w:spacing w:val="-45"/>
        </w:rPr>
        <w:t> </w:t>
      </w:r>
      <w:r>
        <w:rPr/>
        <w:t>年按报告期末口径调整后的主营业务数据</w:t>
      </w:r>
    </w:p>
    <w:p>
      <w:pPr>
        <w:pStyle w:val="BodyText"/>
        <w:spacing w:line="240" w:lineRule="auto" w:before="117"/>
        <w:ind w:right="-19"/>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35"/>
        <w:ind w:left="58" w:right="0"/>
        <w:jc w:val="left"/>
      </w:pPr>
      <w:r>
        <w:rPr/>
        <w:t>单位：元</w:t>
      </w:r>
    </w:p>
    <w:p>
      <w:pPr>
        <w:spacing w:after="0" w:line="240" w:lineRule="auto"/>
        <w:jc w:val="left"/>
        <w:sectPr>
          <w:type w:val="continuous"/>
          <w:pgSz w:w="11910" w:h="16840"/>
          <w:pgMar w:top="1580" w:bottom="840" w:left="0" w:right="0"/>
          <w:cols w:num="2" w:equalWidth="0">
            <w:col w:w="9775" w:space="40"/>
            <w:col w:w="2095"/>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7"/>
        <w:gridCol w:w="1610"/>
        <w:gridCol w:w="1559"/>
        <w:gridCol w:w="930"/>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计算机、通信和 其他电子制造业</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1,351,384,964.18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871,382,584.85</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35.52%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4.20%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1.51</w:t>
            </w:r>
            <w:r>
              <w:rPr>
                <w:rFonts w:ascii="宋体" w:hAnsi="宋体" w:cs="宋体" w:eastAsia="宋体" w:hint="default"/>
                <w:spacing w:val="-46"/>
                <w:sz w:val="18"/>
                <w:szCs w:val="18"/>
              </w:rPr>
              <w:t> </w:t>
            </w:r>
            <w:r>
              <w:rPr>
                <w:rFonts w:ascii="宋体" w:hAnsi="宋体" w:cs="宋体" w:eastAsia="宋体" w:hint="default"/>
                <w:sz w:val="18"/>
                <w:szCs w:val="18"/>
              </w:rPr>
              <w:t>百分点</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智能卡</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1,185,629,258.21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807,278,616.56</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2.01</w:t>
            </w:r>
            <w:r>
              <w:rPr>
                <w:rFonts w:ascii="宋体" w:hAnsi="宋体" w:cs="宋体" w:eastAsia="宋体" w:hint="default"/>
                <w:spacing w:val="-46"/>
                <w:sz w:val="18"/>
                <w:szCs w:val="18"/>
              </w:rPr>
              <w:t> </w:t>
            </w:r>
            <w:r>
              <w:rPr>
                <w:rFonts w:ascii="宋体" w:hAnsi="宋体" w:cs="宋体" w:eastAsia="宋体" w:hint="default"/>
                <w:sz w:val="18"/>
                <w:szCs w:val="18"/>
              </w:rPr>
              <w:t>百分点</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技术服务与开发</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109,449,906.65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23,635,289.99</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78.41%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44.54%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-4.04</w:t>
            </w:r>
            <w:r>
              <w:rPr>
                <w:rFonts w:ascii="宋体" w:hAnsi="宋体" w:cs="宋体" w:eastAsia="宋体" w:hint="default"/>
                <w:spacing w:val="-46"/>
                <w:sz w:val="18"/>
                <w:szCs w:val="18"/>
              </w:rPr>
              <w:t> </w:t>
            </w:r>
            <w:r>
              <w:rPr>
                <w:rFonts w:ascii="宋体" w:hAnsi="宋体" w:cs="宋体" w:eastAsia="宋体" w:hint="default"/>
                <w:sz w:val="18"/>
                <w:szCs w:val="18"/>
              </w:rPr>
              <w:t>百分点</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终端</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29,853,173.95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18,418,106.45</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38.30%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17.87%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1.27</w:t>
            </w:r>
            <w:r>
              <w:rPr>
                <w:rFonts w:ascii="宋体" w:hAnsi="宋体" w:cs="宋体" w:eastAsia="宋体" w:hint="default"/>
                <w:spacing w:val="-46"/>
                <w:sz w:val="18"/>
                <w:szCs w:val="18"/>
              </w:rPr>
              <w:t> </w:t>
            </w:r>
            <w:r>
              <w:rPr>
                <w:rFonts w:ascii="宋体" w:hAnsi="宋体" w:cs="宋体" w:eastAsia="宋体" w:hint="default"/>
                <w:sz w:val="18"/>
                <w:szCs w:val="18"/>
              </w:rPr>
              <w:t>百分点</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1,317,582,254.33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841,075,416.99</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36.17%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6.77%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2.39 </w:t>
            </w:r>
            <w:r>
              <w:rPr>
                <w:rFonts w:ascii="宋体" w:hAnsi="宋体" w:cs="宋体" w:eastAsia="宋体" w:hint="default"/>
                <w:sz w:val="18"/>
                <w:szCs w:val="18"/>
              </w:rPr>
              <w:t>百分点</w:t>
            </w:r>
          </w:p>
        </w:tc>
      </w:tr>
    </w:tbl>
    <w:p>
      <w:pPr>
        <w:spacing w:line="240" w:lineRule="auto" w:before="9"/>
        <w:rPr>
          <w:rFonts w:ascii="宋体" w:hAnsi="宋体" w:cs="宋体" w:eastAsia="宋体" w:hint="default"/>
          <w:sz w:val="6"/>
          <w:szCs w:val="6"/>
        </w:rPr>
      </w:pPr>
    </w:p>
    <w:p>
      <w:pPr>
        <w:pStyle w:val="BodyText"/>
        <w:spacing w:line="240" w:lineRule="auto" w:before="44"/>
        <w:ind w:left="1134" w:right="0"/>
        <w:jc w:val="left"/>
      </w:pPr>
      <w:r>
        <w:rPr/>
        <w:t>变更口径的理由</w:t>
      </w:r>
    </w:p>
    <w:p>
      <w:pPr>
        <w:pStyle w:val="BodyText"/>
        <w:spacing w:line="316" w:lineRule="auto" w:before="116"/>
        <w:ind w:right="1129" w:firstLine="360"/>
        <w:jc w:val="both"/>
      </w:pPr>
      <w:r>
        <w:rPr>
          <w:spacing w:val="-5"/>
        </w:rPr>
        <w:t>围绕公司“云</w:t>
      </w:r>
      <w:r>
        <w:rPr>
          <w:rFonts w:ascii="宋体" w:hAnsi="宋体" w:cs="宋体" w:eastAsia="宋体" w:hint="default"/>
          <w:spacing w:val="-5"/>
        </w:rPr>
        <w:t>+</w:t>
      </w:r>
      <w:r>
        <w:rPr>
          <w:spacing w:val="-5"/>
        </w:rPr>
        <w:t>端”、“产品</w:t>
      </w:r>
      <w:r>
        <w:rPr>
          <w:rFonts w:ascii="宋体" w:hAnsi="宋体" w:cs="宋体" w:eastAsia="宋体" w:hint="default"/>
          <w:spacing w:val="-5"/>
        </w:rPr>
        <w:t>+</w:t>
      </w:r>
      <w:r>
        <w:rPr>
          <w:spacing w:val="-5"/>
        </w:rPr>
        <w:t>服务”的业务发展战略，公司业务逐步发展成为以智能卡（包括金融</w:t>
      </w:r>
      <w:r>
        <w:rPr/>
        <w:t> </w:t>
      </w:r>
      <w:r>
        <w:rPr>
          <w:rFonts w:ascii="宋体" w:hAnsi="宋体" w:cs="宋体" w:eastAsia="宋体" w:hint="default"/>
        </w:rPr>
        <w:t>IC</w:t>
      </w:r>
      <w:r>
        <w:rPr>
          <w:rFonts w:ascii="宋体" w:hAnsi="宋体" w:cs="宋体" w:eastAsia="宋体" w:hint="default"/>
          <w:spacing w:val="-59"/>
        </w:rPr>
        <w:t> </w:t>
      </w:r>
      <w:r>
        <w:rPr/>
        <w:t>卡、通信智能卡、 </w:t>
      </w:r>
      <w:r>
        <w:rPr>
          <w:spacing w:val="-1"/>
        </w:rPr>
        <w:t>智能交通卡、嵌入式安全模块</w:t>
      </w:r>
      <w:r>
        <w:rPr>
          <w:spacing w:val="-38"/>
        </w:rPr>
        <w:t> </w:t>
      </w:r>
      <w:r>
        <w:rPr>
          <w:rFonts w:ascii="宋体" w:hAnsi="宋体" w:cs="宋体" w:eastAsia="宋体" w:hint="default"/>
        </w:rPr>
        <w:t>eSE</w:t>
      </w:r>
      <w:r>
        <w:rPr>
          <w:rFonts w:ascii="宋体" w:hAnsi="宋体" w:cs="宋体" w:eastAsia="宋体" w:hint="default"/>
          <w:spacing w:val="-38"/>
        </w:rPr>
        <w:t> </w:t>
      </w:r>
      <w:r>
        <w:rPr>
          <w:spacing w:val="-6"/>
        </w:rPr>
        <w:t>等）、终端（包括税控盘、</w:t>
      </w:r>
      <w:r>
        <w:rPr>
          <w:rFonts w:ascii="宋体" w:hAnsi="宋体" w:cs="宋体" w:eastAsia="宋体" w:hint="default"/>
          <w:spacing w:val="-6"/>
        </w:rPr>
        <w:t>mPOS</w:t>
      </w:r>
      <w:r>
        <w:rPr>
          <w:spacing w:val="-6"/>
        </w:rPr>
        <w:t>、智能</w:t>
      </w:r>
      <w:r>
        <w:rPr>
          <w:spacing w:val="-38"/>
        </w:rPr>
        <w:t> </w:t>
      </w:r>
      <w:r>
        <w:rPr>
          <w:rFonts w:ascii="宋体" w:hAnsi="宋体" w:cs="宋体" w:eastAsia="宋体" w:hint="default"/>
          <w:spacing w:val="-5"/>
        </w:rPr>
        <w:t>POS</w:t>
      </w:r>
      <w:r>
        <w:rPr>
          <w:spacing w:val="-5"/>
        </w:rPr>
        <w:t>、读卡设备等）、服务（包括在线教育、手机安</w:t>
      </w:r>
      <w:r>
        <w:rPr>
          <w:spacing w:val="-88"/>
        </w:rPr>
        <w:t> </w:t>
      </w:r>
      <w:r>
        <w:rPr>
          <w:spacing w:val="-88"/>
        </w:rPr>
      </w:r>
      <w:r>
        <w:rPr>
          <w:spacing w:val="-2"/>
        </w:rPr>
        <w:t>全服务、供应链</w:t>
      </w:r>
      <w:r>
        <w:rPr>
          <w:spacing w:val="-23"/>
        </w:rPr>
        <w:t> </w:t>
      </w:r>
      <w:r>
        <w:rPr>
          <w:rFonts w:ascii="宋体" w:hAnsi="宋体" w:cs="宋体" w:eastAsia="宋体" w:hint="default"/>
          <w:spacing w:val="-1"/>
        </w:rPr>
        <w:t>O2O+</w:t>
      </w:r>
      <w:r>
        <w:rPr>
          <w:spacing w:val="-1"/>
        </w:rPr>
        <w:t>金融支付服务等）为主的三大类业务形态。报告期内，上述三类产品</w:t>
      </w:r>
      <w:r>
        <w:rPr>
          <w:rFonts w:ascii="宋体" w:hAnsi="宋体" w:cs="宋体" w:eastAsia="宋体" w:hint="default"/>
          <w:spacing w:val="-1"/>
        </w:rPr>
        <w:t>/</w:t>
      </w:r>
      <w:r>
        <w:rPr>
          <w:spacing w:val="-1"/>
        </w:rPr>
        <w:t>服务的营业收入或主营业务利润</w:t>
      </w:r>
    </w:p>
    <w:p>
      <w:pPr>
        <w:spacing w:after="0" w:line="316" w:lineRule="auto"/>
        <w:jc w:val="both"/>
        <w:sectPr>
          <w:type w:val="continuous"/>
          <w:pgSz w:w="11910" w:h="16840"/>
          <w:pgMar w:top="1580" w:bottom="840" w:left="0" w:right="0"/>
        </w:sectPr>
      </w:pPr>
    </w:p>
    <w:p>
      <w:pPr>
        <w:spacing w:line="240" w:lineRule="auto" w:before="12"/>
        <w:rPr>
          <w:rFonts w:ascii="宋体" w:hAnsi="宋体" w:cs="宋体" w:eastAsia="宋体" w:hint="default"/>
          <w:sz w:val="21"/>
          <w:szCs w:val="21"/>
        </w:rPr>
      </w:pPr>
    </w:p>
    <w:p>
      <w:pPr>
        <w:pStyle w:val="BodyText"/>
        <w:spacing w:line="319" w:lineRule="auto" w:before="44"/>
        <w:ind w:right="1121"/>
        <w:jc w:val="left"/>
      </w:pPr>
      <w:r>
        <w:rPr/>
        <w:t>占比达</w:t>
      </w:r>
      <w:r>
        <w:rPr>
          <w:spacing w:val="-36"/>
        </w:rPr>
        <w:t> </w:t>
      </w:r>
      <w:r>
        <w:rPr>
          <w:rFonts w:ascii="宋体" w:hAnsi="宋体" w:cs="宋体" w:eastAsia="宋体" w:hint="default"/>
          <w:spacing w:val="-1"/>
        </w:rPr>
        <w:t>10%</w:t>
      </w:r>
      <w:r>
        <w:rPr>
          <w:spacing w:val="-1"/>
        </w:rPr>
        <w:t>以上。据此，公司将产品分类由“电子支付智能卡、通信智能卡、技术服务与开发、其他”调整为“智能卡、技</w:t>
      </w:r>
      <w:r>
        <w:rPr>
          <w:spacing w:val="-88"/>
        </w:rPr>
        <w:t> </w:t>
      </w:r>
      <w:r>
        <w:rPr>
          <w:spacing w:val="-88"/>
        </w:rPr>
      </w:r>
      <w:r>
        <w:rPr>
          <w:spacing w:val="-13"/>
        </w:rPr>
        <w:t>术服务与开发、终端、其他”。</w:t>
      </w:r>
      <w:r>
        <w:rPr/>
      </w:r>
    </w:p>
    <w:p>
      <w:pPr>
        <w:spacing w:line="240" w:lineRule="auto" w:before="3"/>
        <w:rPr>
          <w:rFonts w:ascii="宋体" w:hAnsi="宋体" w:cs="宋体" w:eastAsia="宋体" w:hint="default"/>
          <w:sz w:val="22"/>
          <w:szCs w:val="22"/>
        </w:rPr>
      </w:pPr>
    </w:p>
    <w:p>
      <w:pPr>
        <w:pStyle w:val="Heading3"/>
        <w:spacing w:line="240" w:lineRule="auto"/>
        <w:ind w:left="1134" w:right="0"/>
        <w:jc w:val="left"/>
        <w:rPr>
          <w:b w:val="0"/>
          <w:bCs w:val="0"/>
        </w:rPr>
      </w:pPr>
      <w:bookmarkStart w:name="（3）公司实物销售收入是否大于劳务收入" w:id="30"/>
      <w:bookmarkEnd w:id="30"/>
      <w:r>
        <w:rPr>
          <w:b w:val="0"/>
          <w:bCs w:val="0"/>
        </w:rPr>
      </w:r>
      <w:r>
        <w:rPr/>
        <w:t>（</w:t>
      </w:r>
      <w:r>
        <w:rPr>
          <w:rFonts w:ascii="宋体" w:hAnsi="宋体" w:cs="宋体" w:eastAsia="宋体" w:hint="default"/>
        </w:rPr>
        <w:t>3</w:t>
      </w:r>
      <w:r>
        <w:rPr/>
        <w:t>）公司实物销售收入是否大于劳务收入</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1134" w:right="0"/>
        <w:jc w:val="left"/>
      </w:pPr>
      <w:r>
        <w:rPr/>
        <w:t>√ 是 □ 否</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9"/>
                <w:sz w:val="18"/>
                <w:szCs w:val="18"/>
              </w:rPr>
              <w:t>计算机、通信和其他</w:t>
            </w:r>
            <w:r>
              <w:rPr>
                <w:rFonts w:ascii="宋体" w:hAnsi="宋体" w:cs="宋体" w:eastAsia="宋体" w:hint="default"/>
                <w:sz w:val="18"/>
                <w:szCs w:val="18"/>
              </w:rPr>
              <w:t> 电子制造业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片、台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273,349,868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184,348,009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48.28%</w:t>
            </w:r>
          </w:p>
        </w:tc>
      </w:tr>
      <w:tr>
        <w:trPr>
          <w:trHeight w:val="402"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片、台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275,665,724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188,131,846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46.53%</w:t>
            </w:r>
          </w:p>
        </w:tc>
      </w:tr>
      <w:tr>
        <w:trPr>
          <w:trHeight w:val="403"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片、台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10,670,904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8,355,048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27.72%</w:t>
            </w:r>
          </w:p>
        </w:tc>
      </w:tr>
    </w:tbl>
    <w:p>
      <w:pPr>
        <w:spacing w:line="240" w:lineRule="auto" w:before="9"/>
        <w:rPr>
          <w:rFonts w:ascii="宋体" w:hAnsi="宋体" w:cs="宋体" w:eastAsia="宋体" w:hint="default"/>
          <w:sz w:val="6"/>
          <w:szCs w:val="6"/>
        </w:rPr>
      </w:pPr>
    </w:p>
    <w:p>
      <w:pPr>
        <w:pStyle w:val="BodyText"/>
        <w:spacing w:line="240" w:lineRule="auto" w:before="44"/>
        <w:ind w:left="1134" w:right="0"/>
        <w:jc w:val="left"/>
      </w:pPr>
      <w:r>
        <w:rPr/>
        <w:t>相关数据同比发生变动</w:t>
      </w:r>
      <w:r>
        <w:rPr>
          <w:spacing w:val="-46"/>
        </w:rPr>
        <w:t> </w:t>
      </w:r>
      <w:r>
        <w:rPr>
          <w:rFonts w:ascii="宋体" w:hAnsi="宋体" w:cs="宋体" w:eastAsia="宋体" w:hint="default"/>
        </w:rPr>
        <w:t>30%</w:t>
      </w:r>
      <w:r>
        <w:rPr/>
        <w:t>以上的原因说明</w:t>
      </w:r>
    </w:p>
    <w:p>
      <w:pPr>
        <w:pStyle w:val="BodyText"/>
        <w:spacing w:line="357" w:lineRule="auto" w:before="116"/>
        <w:ind w:left="1493" w:right="1118" w:hanging="360"/>
        <w:jc w:val="left"/>
      </w:pPr>
      <w:r>
        <w:rPr/>
        <w:t>√ 适用 □ 不适用 </w:t>
      </w:r>
      <w:r>
        <w:rPr>
          <w:spacing w:val="-2"/>
        </w:rPr>
        <w:t>报告期内，公司销售量、生产量分别较上年同期增加</w:t>
      </w:r>
      <w:r>
        <w:rPr>
          <w:rFonts w:ascii="宋体" w:hAnsi="宋体" w:cs="宋体" w:eastAsia="宋体" w:hint="default"/>
          <w:spacing w:val="-2"/>
        </w:rPr>
        <w:t>48.28%</w:t>
      </w:r>
      <w:r>
        <w:rPr>
          <w:spacing w:val="-2"/>
        </w:rPr>
        <w:t>、</w:t>
      </w:r>
      <w:r>
        <w:rPr>
          <w:rFonts w:ascii="宋体" w:hAnsi="宋体" w:cs="宋体" w:eastAsia="宋体" w:hint="default"/>
          <w:spacing w:val="-2"/>
        </w:rPr>
        <w:t>46.53%</w:t>
      </w:r>
      <w:r>
        <w:rPr>
          <w:spacing w:val="-2"/>
        </w:rPr>
        <w:t>，主要由于公司金融</w:t>
      </w:r>
      <w:r>
        <w:rPr>
          <w:rFonts w:ascii="宋体" w:hAnsi="宋体" w:cs="宋体" w:eastAsia="宋体" w:hint="default"/>
          <w:spacing w:val="-2"/>
        </w:rPr>
        <w:t>IC</w:t>
      </w:r>
      <w:r>
        <w:rPr>
          <w:spacing w:val="-2"/>
        </w:rPr>
        <w:t>卡、通信智能卡产品销售量</w:t>
      </w:r>
    </w:p>
    <w:p>
      <w:pPr>
        <w:pStyle w:val="BodyText"/>
        <w:spacing w:line="224" w:lineRule="exact"/>
        <w:ind w:right="0"/>
        <w:jc w:val="left"/>
      </w:pPr>
      <w:r>
        <w:rPr/>
        <w:t>增加。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4）公司已签订的重大销售合同截至本报告期的履行情况" w:id="31"/>
      <w:bookmarkEnd w:id="31"/>
      <w:r>
        <w:rPr>
          <w:b w:val="0"/>
          <w:bCs w:val="0"/>
        </w:rPr>
      </w:r>
      <w:r>
        <w:rPr/>
        <w:t>（</w:t>
      </w:r>
      <w:r>
        <w:rPr>
          <w:rFonts w:ascii="宋体" w:hAnsi="宋体" w:cs="宋体" w:eastAsia="宋体" w:hint="default"/>
        </w:rPr>
        <w:t>4</w:t>
      </w:r>
      <w:r>
        <w:rPr/>
        <w:t>）公司已签订的重大销售合同截至本报告期的履行情况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1134"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left="1134" w:right="0"/>
        <w:jc w:val="left"/>
        <w:rPr>
          <w:b w:val="0"/>
          <w:bCs w:val="0"/>
        </w:rPr>
      </w:pPr>
      <w:bookmarkStart w:name="（5）营业成本构成" w:id="32"/>
      <w:bookmarkEnd w:id="32"/>
      <w:r>
        <w:rPr>
          <w:b w:val="0"/>
          <w:bCs w:val="0"/>
        </w:rPr>
      </w:r>
      <w:r>
        <w:rPr/>
        <w:t>（</w:t>
      </w:r>
      <w:r>
        <w:rPr>
          <w:rFonts w:ascii="宋体" w:hAnsi="宋体" w:cs="宋体" w:eastAsia="宋体" w:hint="default"/>
        </w:rPr>
        <w:t>5</w:t>
      </w:r>
      <w:r>
        <w:rPr/>
        <w:t>）营业成本构成</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1134" w:right="0"/>
        <w:jc w:val="left"/>
      </w:pPr>
      <w:r>
        <w:rPr/>
        <w:t>行业分类</w:t>
      </w:r>
    </w:p>
    <w:p>
      <w:pPr>
        <w:pStyle w:val="BodyText"/>
        <w:spacing w:line="240" w:lineRule="auto" w:before="116"/>
        <w:ind w:left="0" w:right="131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tcPr>
          <w:p>
            <w:pP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计算机、通信和 其他电子制造业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1" w:right="0"/>
              <w:jc w:val="center"/>
              <w:rPr>
                <w:rFonts w:ascii="宋体" w:hAnsi="宋体" w:cs="宋体" w:eastAsia="宋体" w:hint="default"/>
                <w:sz w:val="18"/>
                <w:szCs w:val="18"/>
              </w:rPr>
            </w:pPr>
            <w:r>
              <w:rPr>
                <w:rFonts w:ascii="宋体"/>
                <w:sz w:val="18"/>
              </w:rPr>
              <w:t>803,509,329.25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77.98%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 w:right="0"/>
              <w:jc w:val="center"/>
              <w:rPr>
                <w:rFonts w:ascii="宋体" w:hAnsi="宋体" w:cs="宋体" w:eastAsia="宋体" w:hint="default"/>
                <w:sz w:val="18"/>
                <w:szCs w:val="18"/>
              </w:rPr>
            </w:pPr>
            <w:r>
              <w:rPr>
                <w:rFonts w:ascii="宋体"/>
                <w:sz w:val="18"/>
              </w:rPr>
              <w:t>712,197,998.13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81.73%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94" w:right="0"/>
              <w:jc w:val="left"/>
              <w:rPr>
                <w:rFonts w:ascii="宋体" w:hAnsi="宋体" w:cs="宋体" w:eastAsia="宋体" w:hint="default"/>
                <w:sz w:val="18"/>
                <w:szCs w:val="18"/>
              </w:rPr>
            </w:pPr>
            <w:r>
              <w:rPr>
                <w:rFonts w:ascii="宋体"/>
                <w:sz w:val="18"/>
              </w:rPr>
              <w:t>12.82%</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6）报告期内合并范围是否发生变动" w:id="33"/>
      <w:bookmarkEnd w:id="33"/>
      <w:r>
        <w:rPr>
          <w:b w:val="0"/>
          <w:bCs w:val="0"/>
        </w:rPr>
      </w:r>
      <w:r>
        <w:rPr/>
        <w:t>（</w:t>
      </w:r>
      <w:r>
        <w:rPr>
          <w:rFonts w:ascii="宋体" w:hAnsi="宋体" w:cs="宋体" w:eastAsia="宋体" w:hint="default"/>
        </w:rPr>
        <w:t>6</w:t>
      </w:r>
      <w:r>
        <w:rPr/>
        <w:t>）报告期内合并范围是否发生变动</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1134" w:right="0"/>
        <w:jc w:val="left"/>
      </w:pPr>
      <w:r>
        <w:rPr/>
        <w:t>√ 是 □ 否</w:t>
      </w:r>
    </w:p>
    <w:p>
      <w:pPr>
        <w:pStyle w:val="BodyText"/>
        <w:spacing w:line="240" w:lineRule="auto" w:before="115"/>
        <w:ind w:left="1493" w:right="0"/>
        <w:jc w:val="left"/>
      </w:pPr>
      <w:r>
        <w:rPr/>
        <w:t>报告期内，新设控股子公司聚联网络纳入公司合并范围，公司持股比例和表决权比例均为</w:t>
      </w:r>
      <w:r>
        <w:rPr>
          <w:rFonts w:ascii="宋体" w:hAnsi="宋体" w:cs="宋体" w:eastAsia="宋体" w:hint="default"/>
        </w:rPr>
        <w:t>70%</w:t>
      </w:r>
      <w:r>
        <w:rPr/>
        <w:t>。</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7）公司报告期内业务、产品或服务发生重大变化或调整有关情况" w:id="34"/>
      <w:bookmarkEnd w:id="34"/>
      <w:r>
        <w:rPr>
          <w:b w:val="0"/>
          <w:bCs w:val="0"/>
        </w:rPr>
      </w:r>
      <w:r>
        <w:rPr/>
        <w:t>（</w:t>
      </w:r>
      <w:r>
        <w:rPr>
          <w:rFonts w:ascii="宋体" w:hAnsi="宋体" w:cs="宋体" w:eastAsia="宋体" w:hint="default"/>
        </w:rPr>
        <w:t>7</w:t>
      </w:r>
      <w:r>
        <w:rPr/>
        <w:t>）公司报告期内业务、产品或服务发生重大变化或调整有关情况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left="1134" w:right="0"/>
        <w:jc w:val="left"/>
        <w:rPr>
          <w:b w:val="0"/>
          <w:bCs w:val="0"/>
        </w:rPr>
      </w:pPr>
      <w:bookmarkStart w:name="（8）主要销售客户和主要供应商情况" w:id="35"/>
      <w:bookmarkEnd w:id="35"/>
      <w:r>
        <w:rPr>
          <w:b w:val="0"/>
          <w:bCs w:val="0"/>
        </w:rPr>
      </w:r>
      <w:r>
        <w:rPr/>
        <w:t>（</w:t>
      </w:r>
      <w:r>
        <w:rPr>
          <w:rFonts w:ascii="宋体" w:hAnsi="宋体" w:cs="宋体" w:eastAsia="宋体" w:hint="default"/>
        </w:rPr>
        <w:t>8</w:t>
      </w:r>
      <w:r>
        <w:rPr/>
        <w:t>）主要销售客户和主要供应商情况</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1134" w:right="0"/>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258"/>
        <w:gridCol w:w="5310"/>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224,044,089.38</w:t>
            </w:r>
          </w:p>
        </w:tc>
      </w:tr>
    </w:tbl>
    <w:p>
      <w:pPr>
        <w:spacing w:after="0" w:line="240" w:lineRule="auto"/>
        <w:jc w:val="right"/>
        <w:rPr>
          <w:rFonts w:ascii="宋体" w:hAnsi="宋体" w:cs="宋体" w:eastAsia="宋体" w:hint="default"/>
          <w:sz w:val="18"/>
          <w:szCs w:val="18"/>
        </w:rPr>
        <w:sectPr>
          <w:pgSz w:w="11910" w:h="16840"/>
          <w:pgMar w:header="877" w:footer="1187" w:top="1100" w:bottom="138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4258"/>
        <w:gridCol w:w="5310"/>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15.10%</w:t>
            </w:r>
          </w:p>
        </w:tc>
      </w:tr>
    </w:tbl>
    <w:p>
      <w:pPr>
        <w:spacing w:line="240" w:lineRule="auto" w:before="9"/>
        <w:rPr>
          <w:rFonts w:ascii="宋体" w:hAnsi="宋体" w:cs="宋体" w:eastAsia="宋体" w:hint="default"/>
          <w:sz w:val="6"/>
          <w:szCs w:val="6"/>
        </w:rPr>
      </w:pPr>
    </w:p>
    <w:p>
      <w:pPr>
        <w:pStyle w:val="BodyText"/>
        <w:spacing w:line="240" w:lineRule="auto" w:before="44"/>
        <w:ind w:left="1134" w:right="0"/>
        <w:jc w:val="left"/>
      </w:pPr>
      <w:r>
        <w:rPr/>
        <w:t>公司前</w:t>
      </w:r>
      <w:r>
        <w:rPr>
          <w:spacing w:val="-46"/>
        </w:rPr>
        <w:t> </w:t>
      </w:r>
      <w:r>
        <w:rPr>
          <w:rFonts w:ascii="宋体" w:hAnsi="宋体" w:cs="宋体" w:eastAsia="宋体" w:hint="default"/>
        </w:rPr>
        <w:t>5</w:t>
      </w:r>
      <w:r>
        <w:rPr>
          <w:rFonts w:ascii="宋体" w:hAnsi="宋体" w:cs="宋体" w:eastAsia="宋体" w:hint="default"/>
          <w:spacing w:val="-46"/>
        </w:rPr>
        <w:t> </w:t>
      </w:r>
      <w:r>
        <w:rPr/>
        <w:t>大客户资料</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802"/>
        <w:gridCol w:w="3302"/>
        <w:gridCol w:w="2322"/>
        <w:gridCol w:w="3143"/>
      </w:tblGrid>
      <w:tr>
        <w:trPr>
          <w:trHeight w:val="402"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59,220,328.88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3.99%</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57,835,099.20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3.90%</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40,238,018.24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2.71%</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35,418,192.84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2.39%</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31,332,450.22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2.11%</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02" w:type="dxa"/>
            <w:tcBorders>
              <w:top w:val="single" w:sz="4" w:space="0" w:color="000000"/>
              <w:left w:val="single" w:sz="4" w:space="0" w:color="000000"/>
              <w:bottom w:val="single" w:sz="4" w:space="0" w:color="000000"/>
              <w:right w:val="single" w:sz="4" w:space="0" w:color="000000"/>
            </w:tcBorders>
          </w:tcPr>
          <w:p>
            <w:pP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224,044,089.38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15.10%</w:t>
            </w:r>
          </w:p>
        </w:tc>
      </w:tr>
    </w:tbl>
    <w:p>
      <w:pPr>
        <w:spacing w:line="240" w:lineRule="auto" w:before="9"/>
        <w:rPr>
          <w:rFonts w:ascii="宋体" w:hAnsi="宋体" w:cs="宋体" w:eastAsia="宋体" w:hint="default"/>
          <w:sz w:val="6"/>
          <w:szCs w:val="6"/>
        </w:rPr>
      </w:pPr>
    </w:p>
    <w:p>
      <w:pPr>
        <w:pStyle w:val="BodyText"/>
        <w:spacing w:line="240" w:lineRule="auto" w:before="44"/>
        <w:ind w:left="1134" w:right="0"/>
        <w:jc w:val="left"/>
      </w:pPr>
      <w:r>
        <w:rPr/>
        <w:t>公司主要供应商情况</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258"/>
        <w:gridCol w:w="5310"/>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600,370,816.31</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54.50%</w:t>
            </w:r>
          </w:p>
        </w:tc>
      </w:tr>
    </w:tbl>
    <w:p>
      <w:pPr>
        <w:spacing w:line="240" w:lineRule="auto" w:before="9"/>
        <w:rPr>
          <w:rFonts w:ascii="宋体" w:hAnsi="宋体" w:cs="宋体" w:eastAsia="宋体" w:hint="default"/>
          <w:sz w:val="6"/>
          <w:szCs w:val="6"/>
        </w:rPr>
      </w:pPr>
    </w:p>
    <w:p>
      <w:pPr>
        <w:pStyle w:val="BodyText"/>
        <w:spacing w:line="240" w:lineRule="auto" w:before="44"/>
        <w:ind w:left="1134" w:right="0"/>
        <w:jc w:val="left"/>
      </w:pPr>
      <w:r>
        <w:rPr/>
        <w:t>公司前</w:t>
      </w:r>
      <w:r>
        <w:rPr>
          <w:spacing w:val="-46"/>
        </w:rPr>
        <w:t> </w:t>
      </w:r>
      <w:r>
        <w:rPr>
          <w:rFonts w:ascii="宋体" w:hAnsi="宋体" w:cs="宋体" w:eastAsia="宋体" w:hint="default"/>
        </w:rPr>
        <w:t>5</w:t>
      </w:r>
      <w:r>
        <w:rPr>
          <w:rFonts w:ascii="宋体" w:hAnsi="宋体" w:cs="宋体" w:eastAsia="宋体" w:hint="default"/>
          <w:spacing w:val="-46"/>
        </w:rPr>
        <w:t> </w:t>
      </w:r>
      <w:r>
        <w:rPr/>
        <w:t>名供应商资料</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935"/>
        <w:gridCol w:w="3168"/>
        <w:gridCol w:w="2322"/>
        <w:gridCol w:w="3143"/>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421,144,819.08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38.23%</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70,071,773.68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6.36%</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41,851,167.29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3.80%</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34,288,599.06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3.11%</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5</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33,014,457.20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3.00%</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tcPr>
          <w:p>
            <w:pP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600,370,816.31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54.50%</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费用" w:id="36"/>
      <w:bookmarkEnd w:id="36"/>
      <w:r>
        <w:rPr>
          <w:b w:val="0"/>
          <w:bCs w:val="0"/>
        </w:rPr>
      </w:r>
      <w:r>
        <w:rPr>
          <w:rFonts w:ascii="宋体" w:hAnsi="宋体" w:cs="宋体" w:eastAsia="宋体" w:hint="default"/>
        </w:rPr>
        <w:t>3</w:t>
      </w:r>
      <w:r>
        <w:rPr/>
        <w:t>、费用</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31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276"/>
        <w:gridCol w:w="1560"/>
        <w:gridCol w:w="1560"/>
        <w:gridCol w:w="850"/>
        <w:gridCol w:w="4323"/>
      </w:tblGrid>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8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8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
              <w:jc w:val="right"/>
              <w:rPr>
                <w:rFonts w:ascii="宋体" w:hAnsi="宋体" w:cs="宋体" w:eastAsia="宋体" w:hint="default"/>
                <w:sz w:val="18"/>
                <w:szCs w:val="18"/>
              </w:rPr>
            </w:pPr>
            <w:r>
              <w:rPr>
                <w:rFonts w:ascii="宋体" w:hAnsi="宋体" w:cs="宋体" w:eastAsia="宋体" w:hint="default"/>
                <w:sz w:val="18"/>
                <w:szCs w:val="18"/>
              </w:rPr>
              <w:t>同比增减</w:t>
            </w:r>
          </w:p>
        </w:tc>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170,595,028.40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155,834,398.62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9.47%</w:t>
            </w:r>
          </w:p>
        </w:tc>
        <w:tc>
          <w:tcPr>
            <w:tcW w:w="432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199,006,885.47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190,757,174.46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4.32%</w:t>
            </w:r>
          </w:p>
        </w:tc>
        <w:tc>
          <w:tcPr>
            <w:tcW w:w="432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28,637,868.68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3,500,386.27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718.13%</w:t>
            </w:r>
          </w:p>
        </w:tc>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3"/>
                <w:sz w:val="18"/>
                <w:szCs w:val="18"/>
              </w:rPr>
              <w:t>受人民币兑美元汇率大幅贬值影响，公司原材料进口业</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务产生了较大的汇兑损失。</w:t>
            </w: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所得税费用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11,586,902.00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z w:val="18"/>
              </w:rPr>
              <w:t>4,376,768.97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164.74%</w:t>
            </w:r>
          </w:p>
        </w:tc>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both"/>
              <w:rPr>
                <w:rFonts w:ascii="宋体" w:hAnsi="宋体" w:cs="宋体" w:eastAsia="宋体" w:hint="default"/>
                <w:sz w:val="18"/>
                <w:szCs w:val="18"/>
              </w:rPr>
            </w:pPr>
            <w:r>
              <w:rPr>
                <w:rFonts w:ascii="宋体" w:hAnsi="宋体" w:cs="宋体" w:eastAsia="宋体" w:hint="default"/>
                <w:spacing w:val="-3"/>
                <w:sz w:val="18"/>
                <w:szCs w:val="18"/>
              </w:rPr>
              <w:t>上年公司处置子公司股权产生了较大的投资损失，减少</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了应纳税所得额；同时上年公司属于国家规划布局内的</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重点软件企业，所得税税率减按</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z w:val="18"/>
                <w:szCs w:val="18"/>
              </w:rPr>
              <w:t>执行。</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4、研发投入" w:id="37"/>
      <w:bookmarkEnd w:id="37"/>
      <w:r>
        <w:rPr>
          <w:b w:val="0"/>
          <w:bCs w:val="0"/>
        </w:rPr>
      </w:r>
      <w:r>
        <w:rPr>
          <w:rFonts w:ascii="宋体" w:hAnsi="宋体" w:cs="宋体" w:eastAsia="宋体" w:hint="default"/>
        </w:rPr>
        <w:t>4</w:t>
      </w:r>
      <w:r>
        <w:rPr/>
        <w:t>、研发投入</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1134" w:right="0"/>
        <w:jc w:val="left"/>
      </w:pPr>
      <w:r>
        <w:rPr/>
        <w:t>√ 适用 □ 不适用</w:t>
      </w:r>
    </w:p>
    <w:p>
      <w:pPr>
        <w:spacing w:after="0" w:line="240" w:lineRule="auto"/>
        <w:jc w:val="left"/>
        <w:sectPr>
          <w:pgSz w:w="11910" w:h="16840"/>
          <w:pgMar w:header="877" w:footer="1187" w:top="1100" w:bottom="1380" w:left="0" w:right="0"/>
        </w:sectPr>
      </w:pPr>
    </w:p>
    <w:p>
      <w:pPr>
        <w:spacing w:line="240" w:lineRule="auto" w:before="12"/>
        <w:rPr>
          <w:rFonts w:ascii="宋体" w:hAnsi="宋体" w:cs="宋体" w:eastAsia="宋体" w:hint="default"/>
          <w:sz w:val="21"/>
          <w:szCs w:val="21"/>
        </w:rPr>
      </w:pPr>
    </w:p>
    <w:p>
      <w:pPr>
        <w:pStyle w:val="BodyText"/>
        <w:spacing w:line="316" w:lineRule="auto" w:before="44"/>
        <w:ind w:left="1493" w:right="1213"/>
        <w:jc w:val="left"/>
        <w:rPr>
          <w:rFonts w:ascii="宋体" w:hAnsi="宋体" w:cs="宋体" w:eastAsia="宋体" w:hint="default"/>
        </w:rPr>
      </w:pPr>
      <w:r>
        <w:rPr/>
        <w:t>报告期内，公司围绕“卡、终端、服务”大力开展研发工作，为公司各项业务的顺利开展奠定坚实的基础。 公司持续加大对国产芯片金融</w:t>
      </w:r>
      <w:r>
        <w:rPr>
          <w:rFonts w:ascii="宋体" w:hAnsi="宋体" w:cs="宋体" w:eastAsia="宋体" w:hint="default"/>
        </w:rPr>
        <w:t>IC</w:t>
      </w:r>
      <w:r>
        <w:rPr/>
        <w:t>卡产品的研发投入，完成国产芯片第二代金融</w:t>
      </w:r>
      <w:r>
        <w:rPr>
          <w:rFonts w:ascii="宋体" w:hAnsi="宋体" w:cs="宋体" w:eastAsia="宋体" w:hint="default"/>
        </w:rPr>
        <w:t>IC</w:t>
      </w:r>
      <w:r>
        <w:rPr/>
        <w:t>卡的开发，基本实现国产芯片金融</w:t>
      </w:r>
      <w:r>
        <w:rPr>
          <w:rFonts w:ascii="宋体" w:hAnsi="宋体" w:cs="宋体" w:eastAsia="宋体" w:hint="default"/>
        </w:rPr>
        <w:t>IC</w:t>
      </w:r>
    </w:p>
    <w:p>
      <w:pPr>
        <w:pStyle w:val="BodyText"/>
        <w:spacing w:line="319" w:lineRule="auto" w:before="19"/>
        <w:ind w:right="1039"/>
        <w:jc w:val="left"/>
      </w:pPr>
      <w:r>
        <w:rPr>
          <w:spacing w:val="-2"/>
        </w:rPr>
        <w:t>卡产品全覆盖；积极开展金融</w:t>
      </w:r>
      <w:r>
        <w:rPr>
          <w:rFonts w:ascii="宋体" w:hAnsi="宋体" w:cs="宋体" w:eastAsia="宋体" w:hint="default"/>
          <w:spacing w:val="-2"/>
        </w:rPr>
        <w:t>IC</w:t>
      </w:r>
      <w:r>
        <w:rPr>
          <w:spacing w:val="-2"/>
        </w:rPr>
        <w:t>卡产品的国际认证，为拓展国内外金融</w:t>
      </w:r>
      <w:r>
        <w:rPr>
          <w:rFonts w:ascii="宋体" w:hAnsi="宋体" w:cs="宋体" w:eastAsia="宋体" w:hint="default"/>
          <w:spacing w:val="-2"/>
        </w:rPr>
        <w:t>IC</w:t>
      </w:r>
      <w:r>
        <w:rPr>
          <w:spacing w:val="-2"/>
        </w:rPr>
        <w:t>卡产品市场打下基础；持续开发符合中国移动、中</w:t>
      </w:r>
      <w:r>
        <w:rPr>
          <w:spacing w:val="-62"/>
        </w:rPr>
        <w:t> </w:t>
      </w:r>
      <w:r>
        <w:rPr>
          <w:spacing w:val="-62"/>
        </w:rPr>
      </w:r>
      <w:r>
        <w:rPr>
          <w:spacing w:val="-6"/>
        </w:rPr>
        <w:t>国联通、中国电信需求的</w:t>
      </w:r>
      <w:r>
        <w:rPr>
          <w:rFonts w:ascii="宋体" w:hAnsi="宋体" w:cs="宋体" w:eastAsia="宋体" w:hint="default"/>
          <w:spacing w:val="-6"/>
        </w:rPr>
        <w:t>SWP-SIM</w:t>
      </w:r>
      <w:r>
        <w:rPr>
          <w:spacing w:val="-6"/>
        </w:rPr>
        <w:t>卡产品，产品通过三大电信运营商</w:t>
      </w:r>
      <w:r>
        <w:rPr>
          <w:rFonts w:ascii="宋体" w:hAnsi="宋体" w:cs="宋体" w:eastAsia="宋体" w:hint="default"/>
          <w:spacing w:val="-6"/>
        </w:rPr>
        <w:t>2015</w:t>
      </w:r>
      <w:r>
        <w:rPr>
          <w:spacing w:val="-6"/>
        </w:rPr>
        <w:t>年新一轮的备案测试；持续开发嵌入式安全模块（</w:t>
      </w:r>
      <w:r>
        <w:rPr>
          <w:rFonts w:ascii="宋体" w:hAnsi="宋体" w:cs="宋体" w:eastAsia="宋体" w:hint="default"/>
          <w:spacing w:val="-6"/>
        </w:rPr>
        <w:t>eSE</w:t>
      </w:r>
      <w:r>
        <w:rPr>
          <w:spacing w:val="-6"/>
        </w:rPr>
        <w:t>）</w:t>
      </w:r>
      <w:r>
        <w:rPr>
          <w:spacing w:val="-64"/>
        </w:rPr>
        <w:t> </w:t>
      </w:r>
      <w:r>
        <w:rPr/>
        <w:t>产品，并积极与手机芯片厂商和可穿戴设备厂商合作调试，为产品商用做好准备。</w:t>
      </w:r>
    </w:p>
    <w:p>
      <w:pPr>
        <w:pStyle w:val="BodyText"/>
        <w:spacing w:line="316" w:lineRule="auto" w:before="17"/>
        <w:ind w:right="1132" w:firstLine="360"/>
        <w:jc w:val="right"/>
      </w:pPr>
      <w:r>
        <w:rPr>
          <w:spacing w:val="-5"/>
        </w:rPr>
        <w:t>公司以低成本收单终端（</w:t>
      </w:r>
      <w:r>
        <w:rPr>
          <w:rFonts w:ascii="宋体" w:hAnsi="宋体" w:cs="宋体" w:eastAsia="宋体" w:hint="default"/>
          <w:spacing w:val="-5"/>
        </w:rPr>
        <w:t>mPOS</w:t>
      </w:r>
      <w:r>
        <w:rPr>
          <w:spacing w:val="-5"/>
        </w:rPr>
        <w:t>）产品线为核心加大产品研发力度，完成多款</w:t>
      </w:r>
      <w:r>
        <w:rPr>
          <w:rFonts w:ascii="宋体" w:hAnsi="宋体" w:cs="宋体" w:eastAsia="宋体" w:hint="default"/>
          <w:spacing w:val="-5"/>
        </w:rPr>
        <w:t>mPOS</w:t>
      </w:r>
      <w:r>
        <w:rPr>
          <w:spacing w:val="-5"/>
        </w:rPr>
        <w:t>产品化，部分产品已通过中国银联认证。</w:t>
      </w:r>
      <w:r>
        <w:rPr/>
        <w:t> 公司继续深入</w:t>
      </w:r>
      <w:r>
        <w:rPr>
          <w:rFonts w:ascii="宋体" w:hAnsi="宋体" w:cs="宋体" w:eastAsia="宋体" w:hint="default"/>
        </w:rPr>
        <w:t>TEE</w:t>
      </w:r>
      <w:r>
        <w:rPr/>
        <w:t>相关技术研究，优化基于</w:t>
      </w:r>
      <w:r>
        <w:rPr>
          <w:rFonts w:ascii="宋体" w:hAnsi="宋体" w:cs="宋体" w:eastAsia="宋体" w:hint="default"/>
        </w:rPr>
        <w:t>TEE</w:t>
      </w:r>
      <w:r>
        <w:rPr/>
        <w:t>的移动终端安全解决方案，完成国内外主流芯片平台的</w:t>
      </w:r>
      <w:r>
        <w:rPr>
          <w:rFonts w:ascii="宋体" w:hAnsi="宋体" w:cs="宋体" w:eastAsia="宋体" w:hint="default"/>
        </w:rPr>
        <w:t>TEE</w:t>
      </w:r>
      <w:r>
        <w:rPr/>
        <w:t>及各种安全支 付应用产品的开发</w:t>
      </w:r>
      <w:r>
        <w:rPr>
          <w:rFonts w:ascii="宋体" w:hAnsi="宋体" w:cs="宋体" w:eastAsia="宋体" w:hint="default"/>
        </w:rPr>
        <w:t>/</w:t>
      </w:r>
      <w:r>
        <w:rPr/>
        <w:t>移植，与国内外主流指纹厂家合作完成中国银联、</w:t>
      </w:r>
      <w:r>
        <w:rPr>
          <w:rFonts w:ascii="宋体" w:hAnsi="宋体" w:cs="宋体" w:eastAsia="宋体" w:hint="default"/>
        </w:rPr>
        <w:t>IFAA</w:t>
      </w:r>
      <w:r>
        <w:rPr/>
        <w:t>（</w:t>
      </w:r>
      <w:r>
        <w:rPr>
          <w:rFonts w:ascii="宋体" w:hAnsi="宋体" w:cs="宋体" w:eastAsia="宋体" w:hint="default"/>
        </w:rPr>
        <w:t>Internet</w:t>
      </w:r>
      <w:r>
        <w:rPr>
          <w:rFonts w:ascii="宋体" w:hAnsi="宋体" w:cs="宋体" w:eastAsia="宋体" w:hint="default"/>
          <w:spacing w:val="-60"/>
        </w:rPr>
        <w:t> </w:t>
      </w:r>
      <w:r>
        <w:rPr>
          <w:rFonts w:ascii="宋体" w:hAnsi="宋体" w:cs="宋体" w:eastAsia="宋体" w:hint="default"/>
        </w:rPr>
        <w:t>Finance</w:t>
      </w:r>
      <w:r>
        <w:rPr>
          <w:rFonts w:ascii="宋体" w:hAnsi="宋体" w:cs="宋体" w:eastAsia="宋体" w:hint="default"/>
          <w:spacing w:val="-59"/>
        </w:rPr>
        <w:t> </w:t>
      </w:r>
      <w:r>
        <w:rPr>
          <w:rFonts w:ascii="宋体" w:hAnsi="宋体" w:cs="宋体" w:eastAsia="宋体" w:hint="default"/>
        </w:rPr>
        <w:t>Authentication</w:t>
      </w:r>
      <w:r>
        <w:rPr>
          <w:rFonts w:ascii="宋体" w:hAnsi="宋体" w:cs="宋体" w:eastAsia="宋体" w:hint="default"/>
          <w:spacing w:val="-59"/>
        </w:rPr>
        <w:t> </w:t>
      </w:r>
      <w:r>
        <w:rPr>
          <w:rFonts w:ascii="宋体" w:hAnsi="宋体" w:cs="宋体" w:eastAsia="宋体" w:hint="default"/>
        </w:rPr>
        <w:t>Alliance</w:t>
      </w:r>
      <w:r>
        <w:rPr/>
        <w:t>，</w:t>
      </w:r>
    </w:p>
    <w:p>
      <w:pPr>
        <w:pStyle w:val="BodyText"/>
        <w:spacing w:line="360" w:lineRule="auto" w:before="19"/>
        <w:ind w:left="1493" w:right="0" w:hanging="360"/>
        <w:jc w:val="left"/>
      </w:pPr>
      <w:r>
        <w:rPr/>
        <w:t>网络可信身份认证产业联盟互联网金融分会）、腾讯等推进的指纹支付应用的适配。 </w:t>
      </w:r>
      <w:r>
        <w:rPr>
          <w:spacing w:val="-2"/>
        </w:rPr>
        <w:t>公司完成教育云平台虚拟化体系构建，围绕日常教学开发了教学助手、智慧课堂、教学云学案、名师工作室、微课工具</w:t>
      </w:r>
    </w:p>
    <w:p>
      <w:pPr>
        <w:pStyle w:val="BodyText"/>
        <w:spacing w:line="222" w:lineRule="exact"/>
        <w:ind w:right="0"/>
        <w:jc w:val="left"/>
      </w:pPr>
      <w:r>
        <w:rPr/>
        <w:t>等一系列核心教学应用产品。天喻教育云平台相关系统及天喻各项教学应用产品均获得软件著作权。</w:t>
      </w:r>
    </w:p>
    <w:p>
      <w:pPr>
        <w:spacing w:line="240" w:lineRule="auto" w:before="0"/>
        <w:rPr>
          <w:rFonts w:ascii="宋体" w:hAnsi="宋体" w:cs="宋体" w:eastAsia="宋体" w:hint="default"/>
          <w:sz w:val="15"/>
          <w:szCs w:val="15"/>
        </w:rPr>
      </w:pPr>
    </w:p>
    <w:p>
      <w:pPr>
        <w:pStyle w:val="BodyText"/>
        <w:spacing w:line="240" w:lineRule="auto"/>
        <w:ind w:right="0"/>
        <w:jc w:val="left"/>
      </w:pPr>
      <w:r>
        <w:rPr/>
        <w:t>近三年公司研发投入金额及占营业收入的比例</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978"/>
        <w:gridCol w:w="2268"/>
        <w:gridCol w:w="2268"/>
        <w:gridCol w:w="2054"/>
      </w:tblGrid>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1,018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1,021</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789</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35.73%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35.96%</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36.99%</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138,978,137.82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128,675,083.70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109,506,630.05</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9.37%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9.50%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8.62%</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资本化研发支出占研发投入的比例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资本化研发支出占当期净利润的比重</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w:t>
            </w:r>
          </w:p>
        </w:tc>
      </w:tr>
    </w:tbl>
    <w:p>
      <w:pPr>
        <w:spacing w:line="240" w:lineRule="auto" w:before="9"/>
        <w:rPr>
          <w:rFonts w:ascii="宋体" w:hAnsi="宋体" w:cs="宋体" w:eastAsia="宋体" w:hint="default"/>
          <w:sz w:val="6"/>
          <w:szCs w:val="6"/>
        </w:rPr>
      </w:pPr>
    </w:p>
    <w:p>
      <w:pPr>
        <w:pStyle w:val="BodyText"/>
        <w:spacing w:line="240" w:lineRule="auto" w:before="44"/>
        <w:ind w:left="1134" w:right="0"/>
        <w:jc w:val="left"/>
      </w:pPr>
      <w:r>
        <w:rPr/>
        <w:t>研发投入总额占营业收入的比重较上年发生显著变化的原因</w:t>
      </w:r>
    </w:p>
    <w:p>
      <w:pPr>
        <w:pStyle w:val="BodyText"/>
        <w:spacing w:line="439" w:lineRule="auto" w:before="116"/>
        <w:ind w:left="1134" w:right="6792"/>
        <w:jc w:val="left"/>
      </w:pPr>
      <w:r>
        <w:rPr/>
        <w:t>□ 适用 √ 不适用 研发投入资本化率大幅变动的原因及其合理性说明</w:t>
      </w:r>
    </w:p>
    <w:p>
      <w:pPr>
        <w:pStyle w:val="BodyText"/>
        <w:spacing w:line="203" w:lineRule="exact"/>
        <w:ind w:left="1134"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left="1134" w:right="0"/>
        <w:jc w:val="left"/>
        <w:rPr>
          <w:b w:val="0"/>
          <w:bCs w:val="0"/>
        </w:rPr>
      </w:pPr>
      <w:bookmarkStart w:name="5、现金流" w:id="38"/>
      <w:bookmarkEnd w:id="38"/>
      <w:r>
        <w:rPr>
          <w:b w:val="0"/>
          <w:bCs w:val="0"/>
        </w:rPr>
      </w:r>
      <w:r>
        <w:rPr>
          <w:rFonts w:ascii="宋体" w:hAnsi="宋体" w:cs="宋体" w:eastAsia="宋体" w:hint="default"/>
        </w:rPr>
        <w:t>5</w:t>
      </w:r>
      <w:r>
        <w:rPr/>
        <w:t>、现金流</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31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694"/>
        <w:gridCol w:w="2410"/>
        <w:gridCol w:w="2410"/>
        <w:gridCol w:w="2054"/>
      </w:tblGrid>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6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1,837,358,747.88</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1,565,023,355.69</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17.40%</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1,545,245,080.00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1,673,852,727.73</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-7.68%</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292,113,667.88</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-108,829,372.04</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368.41%</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335,166.78</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550,375.15</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-39.10%</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53,564,690.36</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107,508,084.63</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-50.18%</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-53,229,523.58</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-106,957,709.48</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50.23%</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1,699,249,976.01</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4,663,331,675.08</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-63.56%</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2,128,930,688.84</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4,362,545,024.93</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-51.20%</w:t>
            </w:r>
          </w:p>
        </w:tc>
      </w:tr>
    </w:tbl>
    <w:p>
      <w:pPr>
        <w:spacing w:after="0" w:line="240" w:lineRule="auto"/>
        <w:jc w:val="right"/>
        <w:rPr>
          <w:rFonts w:ascii="宋体" w:hAnsi="宋体" w:cs="宋体" w:eastAsia="宋体" w:hint="default"/>
          <w:sz w:val="18"/>
          <w:szCs w:val="18"/>
        </w:rPr>
        <w:sectPr>
          <w:pgSz w:w="11910" w:h="16840"/>
          <w:pgMar w:header="877" w:footer="1187" w:top="1100" w:bottom="138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2694"/>
        <w:gridCol w:w="2410"/>
        <w:gridCol w:w="2410"/>
        <w:gridCol w:w="2054"/>
      </w:tblGrid>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-429,680,712.83</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300,786,650.15</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-242.85%</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-197,689,810.98</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81,295,017.46</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-343.18%</w:t>
            </w:r>
          </w:p>
        </w:tc>
      </w:tr>
    </w:tbl>
    <w:p>
      <w:pPr>
        <w:spacing w:line="240" w:lineRule="auto" w:before="9"/>
        <w:rPr>
          <w:rFonts w:ascii="宋体" w:hAnsi="宋体" w:cs="宋体" w:eastAsia="宋体" w:hint="default"/>
          <w:sz w:val="6"/>
          <w:szCs w:val="6"/>
        </w:rPr>
      </w:pPr>
    </w:p>
    <w:p>
      <w:pPr>
        <w:pStyle w:val="BodyText"/>
        <w:spacing w:line="240" w:lineRule="auto" w:before="44"/>
        <w:ind w:left="1134" w:right="0"/>
        <w:jc w:val="left"/>
      </w:pPr>
      <w:r>
        <w:rPr/>
        <w:t>相关数据同比发生重大变动的主要影响因素说明</w:t>
      </w:r>
    </w:p>
    <w:p>
      <w:pPr>
        <w:pStyle w:val="BodyText"/>
        <w:spacing w:line="357" w:lineRule="auto" w:before="117"/>
        <w:ind w:left="1493" w:right="1123" w:hanging="360"/>
        <w:jc w:val="left"/>
      </w:pPr>
      <w:r>
        <w:rPr/>
        <w:t>√ 适用 □ 不适用 报告期内，公司经营活动产生的现金流量净额较上年同期增长</w:t>
      </w:r>
      <w:r>
        <w:rPr>
          <w:rFonts w:ascii="宋体" w:hAnsi="宋体" w:cs="宋体" w:eastAsia="宋体" w:hint="default"/>
        </w:rPr>
        <w:t>368.41%</w:t>
      </w:r>
      <w:r>
        <w:rPr/>
        <w:t>，主要由于公司销售规模较上年同期增长，以及</w:t>
      </w:r>
    </w:p>
    <w:p>
      <w:pPr>
        <w:pStyle w:val="BodyText"/>
        <w:spacing w:line="224" w:lineRule="exact"/>
        <w:ind w:left="1134" w:right="0"/>
        <w:jc w:val="left"/>
      </w:pPr>
      <w:r>
        <w:rPr/>
        <w:t>公司加强应收账款管理，使销售回款同比增长</w:t>
      </w:r>
      <w:r>
        <w:rPr>
          <w:rFonts w:ascii="宋体" w:hAnsi="宋体" w:cs="宋体" w:eastAsia="宋体" w:hint="default"/>
        </w:rPr>
        <w:t>13.43%</w:t>
      </w:r>
      <w:r>
        <w:rPr/>
        <w:t>；公司进一步加强存货管理，采取了更为合理的备货策略以及有效运用</w:t>
      </w:r>
    </w:p>
    <w:p>
      <w:pPr>
        <w:pStyle w:val="BodyText"/>
        <w:spacing w:line="357" w:lineRule="auto" w:before="77"/>
        <w:ind w:left="1494" w:right="0" w:hanging="360"/>
        <w:jc w:val="left"/>
      </w:pPr>
      <w:r>
        <w:rPr/>
        <w:t>票据、信用证等结算方式，使采购现金支付同比减少</w:t>
      </w:r>
      <w:r>
        <w:rPr>
          <w:rFonts w:ascii="宋体" w:hAnsi="宋体" w:cs="宋体" w:eastAsia="宋体" w:hint="default"/>
        </w:rPr>
        <w:t>14.66%</w:t>
      </w:r>
      <w:r>
        <w:rPr/>
        <w:t>。 </w:t>
      </w:r>
      <w:r>
        <w:rPr>
          <w:spacing w:val="-2"/>
        </w:rPr>
        <w:t>报告期内，公司投资活动产生的现金流入较上年同期减少</w:t>
      </w:r>
      <w:r>
        <w:rPr>
          <w:rFonts w:ascii="宋体" w:hAnsi="宋体" w:cs="宋体" w:eastAsia="宋体" w:hint="default"/>
          <w:spacing w:val="-2"/>
        </w:rPr>
        <w:t>39.10%</w:t>
      </w:r>
      <w:r>
        <w:rPr>
          <w:spacing w:val="-2"/>
        </w:rPr>
        <w:t>，主要由于公司处置固定资产收回的现金较上年同期减</w:t>
      </w:r>
    </w:p>
    <w:p>
      <w:pPr>
        <w:pStyle w:val="BodyText"/>
        <w:spacing w:line="225" w:lineRule="exact"/>
        <w:ind w:right="0"/>
        <w:jc w:val="left"/>
      </w:pPr>
      <w:r>
        <w:rPr/>
        <w:t>少。</w:t>
      </w:r>
    </w:p>
    <w:p>
      <w:pPr>
        <w:pStyle w:val="BodyText"/>
        <w:spacing w:line="316" w:lineRule="auto" w:before="116"/>
        <w:ind w:right="1042" w:firstLine="360"/>
        <w:jc w:val="both"/>
      </w:pPr>
      <w:r>
        <w:rPr>
          <w:spacing w:val="-3"/>
        </w:rPr>
        <w:t>报告期内，公司投资活动产生的现金流出较上年同期减少</w:t>
      </w:r>
      <w:r>
        <w:rPr>
          <w:rFonts w:ascii="宋体" w:hAnsi="宋体" w:cs="宋体" w:eastAsia="宋体" w:hint="default"/>
          <w:spacing w:val="-3"/>
        </w:rPr>
        <w:t>50.18%</w:t>
      </w:r>
      <w:r>
        <w:rPr>
          <w:spacing w:val="-3"/>
        </w:rPr>
        <w:t>，投资活动产生的现金流量净额较上年同期增加</w:t>
      </w:r>
      <w:r>
        <w:rPr>
          <w:rFonts w:ascii="宋体" w:hAnsi="宋体" w:cs="宋体" w:eastAsia="宋体" w:hint="default"/>
          <w:spacing w:val="-3"/>
        </w:rPr>
        <w:t>50.23%</w:t>
      </w:r>
      <w:r>
        <w:rPr>
          <w:spacing w:val="-3"/>
        </w:rPr>
        <w:t>，</w:t>
      </w:r>
      <w:r>
        <w:rPr/>
        <w:t> 主要由于公司数据安全产业园一期工程已达预定可使用状态，其投入相应减少，同时生产设备投入同比减少。</w:t>
      </w:r>
    </w:p>
    <w:p>
      <w:pPr>
        <w:pStyle w:val="BodyText"/>
        <w:spacing w:line="316" w:lineRule="auto" w:before="19"/>
        <w:ind w:right="1132" w:firstLine="360"/>
        <w:jc w:val="both"/>
      </w:pPr>
      <w:r>
        <w:rPr>
          <w:spacing w:val="-2"/>
        </w:rPr>
        <w:t>报告期内，公司筹资活动产生的现金流入、筹资活动产生的现金流出以及筹资活动产生的现金流量净额分别较上年同期</w:t>
      </w:r>
      <w:r>
        <w:rPr/>
        <w:t> 减少</w:t>
      </w:r>
      <w:r>
        <w:rPr>
          <w:rFonts w:ascii="宋体" w:hAnsi="宋体" w:cs="宋体" w:eastAsia="宋体" w:hint="default"/>
        </w:rPr>
        <w:t>63.56%</w:t>
      </w:r>
      <w:r>
        <w:rPr/>
        <w:t>、</w:t>
      </w:r>
      <w:r>
        <w:rPr>
          <w:rFonts w:ascii="宋体" w:hAnsi="宋体" w:cs="宋体" w:eastAsia="宋体" w:hint="default"/>
        </w:rPr>
        <w:t>51.20%</w:t>
      </w:r>
      <w:r>
        <w:rPr/>
        <w:t>、</w:t>
      </w:r>
      <w:r>
        <w:rPr>
          <w:rFonts w:ascii="宋体" w:hAnsi="宋体" w:cs="宋体" w:eastAsia="宋体" w:hint="default"/>
        </w:rPr>
        <w:t>242.85%</w:t>
      </w:r>
      <w:r>
        <w:rPr/>
        <w:t>，主要由于报告期公司销售回款增加及采购现金付款减少，经营性现金流量净额大幅增长， 融资需求同比减少。</w:t>
      </w:r>
    </w:p>
    <w:p>
      <w:pPr>
        <w:pStyle w:val="BodyText"/>
        <w:spacing w:line="240" w:lineRule="auto" w:before="140"/>
        <w:ind w:left="1134" w:right="0"/>
        <w:jc w:val="left"/>
      </w:pPr>
      <w:r>
        <w:rPr/>
        <w:t>报告期内公司经营活动产生的现金净流量与本年度净利润存在重大差异的原因说明</w:t>
      </w:r>
    </w:p>
    <w:p>
      <w:pPr>
        <w:pStyle w:val="BodyText"/>
        <w:spacing w:line="357" w:lineRule="auto" w:before="116"/>
        <w:ind w:left="1493" w:right="1118" w:hanging="360"/>
        <w:jc w:val="left"/>
      </w:pPr>
      <w:r>
        <w:rPr/>
        <w:t>√ 适用 □ 不适用 </w:t>
      </w:r>
      <w:r>
        <w:rPr>
          <w:spacing w:val="-2"/>
        </w:rPr>
        <w:t>报告期内，公司净利润为</w:t>
      </w:r>
      <w:r>
        <w:rPr>
          <w:rFonts w:ascii="宋体" w:hAnsi="宋体" w:cs="宋体" w:eastAsia="宋体" w:hint="default"/>
          <w:spacing w:val="-2"/>
        </w:rPr>
        <w:t>611.11</w:t>
      </w:r>
      <w:r>
        <w:rPr>
          <w:spacing w:val="-2"/>
        </w:rPr>
        <w:t>万元，与公司经营活动产生的现金流量净额</w:t>
      </w:r>
      <w:r>
        <w:rPr>
          <w:rFonts w:ascii="宋体" w:hAnsi="宋体" w:cs="宋体" w:eastAsia="宋体" w:hint="default"/>
          <w:spacing w:val="-2"/>
        </w:rPr>
        <w:t>29,211.37</w:t>
      </w:r>
      <w:r>
        <w:rPr>
          <w:spacing w:val="-2"/>
        </w:rPr>
        <w:t>万元相差</w:t>
      </w:r>
      <w:r>
        <w:rPr>
          <w:rFonts w:ascii="宋体" w:hAnsi="宋体" w:cs="宋体" w:eastAsia="宋体" w:hint="default"/>
          <w:spacing w:val="-2"/>
        </w:rPr>
        <w:t>28,600.26</w:t>
      </w:r>
      <w:r>
        <w:rPr>
          <w:spacing w:val="-2"/>
        </w:rPr>
        <w:t>万元，主要是</w:t>
      </w:r>
    </w:p>
    <w:p>
      <w:pPr>
        <w:pStyle w:val="BodyText"/>
        <w:spacing w:line="224" w:lineRule="exact"/>
        <w:ind w:right="0"/>
        <w:jc w:val="left"/>
      </w:pPr>
      <w:r>
        <w:rPr/>
        <w:t>报告期存货及经营性应收项目减少、经营性应付项目增加分别影响</w:t>
      </w:r>
      <w:r>
        <w:rPr>
          <w:rFonts w:ascii="宋体" w:hAnsi="宋体" w:cs="宋体" w:eastAsia="宋体" w:hint="default"/>
        </w:rPr>
        <w:t>14,693.16</w:t>
      </w:r>
      <w:r>
        <w:rPr/>
        <w:t>万元、</w:t>
      </w:r>
      <w:r>
        <w:rPr>
          <w:rFonts w:ascii="宋体" w:hAnsi="宋体" w:cs="宋体" w:eastAsia="宋体" w:hint="default"/>
        </w:rPr>
        <w:t>3,617.92</w:t>
      </w:r>
      <w:r>
        <w:rPr/>
        <w:t>万元，报告期发生不影响经营</w:t>
      </w:r>
    </w:p>
    <w:p>
      <w:pPr>
        <w:pStyle w:val="BodyText"/>
        <w:spacing w:line="316" w:lineRule="auto" w:before="76"/>
        <w:ind w:right="0"/>
        <w:jc w:val="left"/>
      </w:pPr>
      <w:r>
        <w:rPr>
          <w:spacing w:val="-8"/>
        </w:rPr>
        <w:t>性现金流量的费用（固定资产折旧、无形资产摊销、长期待摊费用、利息支出、汇兑损益）以及资产减值准备分别影响</w:t>
      </w:r>
      <w:r>
        <w:rPr>
          <w:rFonts w:ascii="宋体" w:hAnsi="宋体" w:cs="宋体" w:eastAsia="宋体" w:hint="default"/>
          <w:spacing w:val="-8"/>
        </w:rPr>
        <w:t>7,384.04</w:t>
      </w:r>
      <w:r>
        <w:rPr>
          <w:rFonts w:ascii="宋体" w:hAnsi="宋体" w:cs="宋体" w:eastAsia="宋体" w:hint="default"/>
          <w:spacing w:val="-55"/>
        </w:rPr>
        <w:t> </w:t>
      </w:r>
      <w:r>
        <w:rPr/>
        <w:t>万元和</w:t>
      </w:r>
      <w:r>
        <w:rPr>
          <w:rFonts w:ascii="宋体" w:hAnsi="宋体" w:cs="宋体" w:eastAsia="宋体" w:hint="default"/>
        </w:rPr>
        <w:t>2,805.35</w:t>
      </w:r>
      <w:r>
        <w:rPr/>
        <w:t>万元。</w:t>
      </w:r>
    </w:p>
    <w:p>
      <w:pPr>
        <w:spacing w:line="240" w:lineRule="auto" w:before="10"/>
        <w:rPr>
          <w:rFonts w:ascii="宋体" w:hAnsi="宋体" w:cs="宋体" w:eastAsia="宋体" w:hint="default"/>
          <w:sz w:val="20"/>
          <w:szCs w:val="20"/>
        </w:rPr>
      </w:pPr>
    </w:p>
    <w:p>
      <w:pPr>
        <w:pStyle w:val="Heading2"/>
        <w:spacing w:line="240" w:lineRule="auto"/>
        <w:ind w:left="1134" w:right="0"/>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left="1134" w:right="0"/>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资产构成重大变动情况" w:id="41"/>
      <w:bookmarkEnd w:id="41"/>
      <w:r>
        <w:rPr>
          <w:b w:val="0"/>
          <w:bCs w:val="0"/>
        </w:rPr>
      </w:r>
      <w:r>
        <w:rPr>
          <w:rFonts w:ascii="宋体" w:hAnsi="宋体" w:cs="宋体" w:eastAsia="宋体" w:hint="default"/>
        </w:rPr>
        <w:t>1</w:t>
      </w:r>
      <w:r>
        <w:rPr/>
        <w:t>、资产构成重大变动情况</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0" w:right="1310"/>
        <w:jc w:val="right"/>
      </w:pPr>
      <w:r>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spacing w:line="240" w:lineRule="auto" w:before="44"/>
        <w:ind w:left="0" w:right="1138"/>
        <w:jc w:val="right"/>
      </w:pPr>
      <w:r>
        <w:rPr/>
        <w:pict>
          <v:shape style="position:absolute;margin-left:56.459999pt;margin-top:-152.668274pt;width:479.25pt;height:192.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62"/>
                    <w:gridCol w:w="1331"/>
                    <w:gridCol w:w="685"/>
                    <w:gridCol w:w="1359"/>
                    <w:gridCol w:w="644"/>
                    <w:gridCol w:w="1199"/>
                    <w:gridCol w:w="3190"/>
                  </w:tblGrid>
                  <w:tr>
                    <w:trPr>
                      <w:trHeight w:val="402" w:hRule="exact"/>
                    </w:trPr>
                    <w:tc>
                      <w:tcPr>
                        <w:tcW w:w="11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21"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20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1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1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162" w:type="dxa"/>
                        <w:vMerge/>
                        <w:tcBorders>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67" w:right="66"/>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46" w:right="47"/>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1199"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406,530,577.80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24.15%</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673,693,307.28</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33.28%</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-9.13</w:t>
                        </w:r>
                        <w:r>
                          <w:rPr>
                            <w:rFonts w:ascii="宋体" w:hAnsi="宋体" w:cs="宋体" w:eastAsia="宋体" w:hint="default"/>
                            <w:spacing w:val="-46"/>
                            <w:sz w:val="18"/>
                            <w:szCs w:val="18"/>
                          </w:rPr>
                          <w:t> </w:t>
                        </w:r>
                        <w:r>
                          <w:rPr>
                            <w:rFonts w:ascii="宋体" w:hAnsi="宋体" w:cs="宋体" w:eastAsia="宋体" w:hint="default"/>
                            <w:sz w:val="18"/>
                            <w:szCs w:val="18"/>
                          </w:rPr>
                          <w:t>百分点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公司偿还了到期的短期借款。</w:t>
                        </w:r>
                      </w:p>
                    </w:tc>
                  </w:tr>
                  <w:tr>
                    <w:trPr>
                      <w:trHeight w:val="402"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503,500,012.80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29.91%</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542,057,245.93</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26.77%</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3.14</w:t>
                        </w:r>
                        <w:r>
                          <w:rPr>
                            <w:rFonts w:ascii="宋体" w:hAnsi="宋体" w:cs="宋体" w:eastAsia="宋体" w:hint="default"/>
                            <w:spacing w:val="-46"/>
                            <w:sz w:val="18"/>
                            <w:szCs w:val="18"/>
                          </w:rPr>
                          <w:t> </w:t>
                        </w:r>
                        <w:r>
                          <w:rPr>
                            <w:rFonts w:ascii="宋体" w:hAnsi="宋体" w:cs="宋体" w:eastAsia="宋体" w:hint="default"/>
                            <w:sz w:val="18"/>
                            <w:szCs w:val="18"/>
                          </w:rPr>
                          <w:t>百分点</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418,877,123.88</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24.88%</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473,371,481.74</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23.38%</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1.50</w:t>
                        </w:r>
                        <w:r>
                          <w:rPr>
                            <w:rFonts w:ascii="宋体" w:hAnsi="宋体" w:cs="宋体" w:eastAsia="宋体" w:hint="default"/>
                            <w:spacing w:val="-46"/>
                            <w:sz w:val="18"/>
                            <w:szCs w:val="18"/>
                          </w:rPr>
                          <w:t> </w:t>
                        </w:r>
                        <w:r>
                          <w:rPr>
                            <w:rFonts w:ascii="宋体" w:hAnsi="宋体" w:cs="宋体" w:eastAsia="宋体" w:hint="default"/>
                            <w:sz w:val="18"/>
                            <w:szCs w:val="18"/>
                          </w:rPr>
                          <w:t>百分点</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12,820,587.97</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0.76%</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9,460,471.51</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0.47%</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0.29</w:t>
                        </w:r>
                        <w:r>
                          <w:rPr>
                            <w:rFonts w:ascii="宋体" w:hAnsi="宋体" w:cs="宋体" w:eastAsia="宋体" w:hint="default"/>
                            <w:spacing w:val="-46"/>
                            <w:sz w:val="18"/>
                            <w:szCs w:val="18"/>
                          </w:rPr>
                          <w:t> </w:t>
                        </w:r>
                        <w:r>
                          <w:rPr>
                            <w:rFonts w:ascii="宋体" w:hAnsi="宋体" w:cs="宋体" w:eastAsia="宋体" w:hint="default"/>
                            <w:sz w:val="18"/>
                            <w:szCs w:val="18"/>
                          </w:rPr>
                          <w:t>百分点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公司出资参股福建中教。</w:t>
                        </w:r>
                      </w:p>
                    </w:tc>
                  </w:tr>
                  <w:tr>
                    <w:trPr>
                      <w:trHeight w:val="714"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205,203,329.25</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12.19%</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135,645,551.31</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6.70%</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5.49</w:t>
                        </w:r>
                        <w:r>
                          <w:rPr>
                            <w:rFonts w:ascii="宋体" w:hAnsi="宋体" w:cs="宋体" w:eastAsia="宋体" w:hint="default"/>
                            <w:spacing w:val="-46"/>
                            <w:sz w:val="18"/>
                            <w:szCs w:val="18"/>
                          </w:rPr>
                          <w:t> </w:t>
                        </w:r>
                        <w:r>
                          <w:rPr>
                            <w:rFonts w:ascii="宋体" w:hAnsi="宋体" w:cs="宋体" w:eastAsia="宋体" w:hint="default"/>
                            <w:sz w:val="18"/>
                            <w:szCs w:val="18"/>
                          </w:rPr>
                          <w:t>百分点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公司数据安全产业园一期工程达到预定 可使用状态，由在建工程转为固定资产</w:t>
                        </w:r>
                      </w:p>
                    </w:tc>
                  </w:tr>
                  <w:tr>
                    <w:trPr>
                      <w:trHeight w:val="402"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355,055.56</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0.02%</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38,263,285.05</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1.89%</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-1.87</w:t>
                        </w:r>
                        <w:r>
                          <w:rPr>
                            <w:rFonts w:ascii="宋体" w:hAnsi="宋体" w:cs="宋体" w:eastAsia="宋体" w:hint="default"/>
                            <w:spacing w:val="-46"/>
                            <w:sz w:val="18"/>
                            <w:szCs w:val="18"/>
                          </w:rPr>
                          <w:t> </w:t>
                        </w:r>
                        <w:r>
                          <w:rPr>
                            <w:rFonts w:ascii="宋体" w:hAnsi="宋体" w:cs="宋体" w:eastAsia="宋体" w:hint="default"/>
                            <w:sz w:val="18"/>
                            <w:szCs w:val="18"/>
                          </w:rPr>
                          <w:t>百分点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公司数据安全产业园一期工程达到预定</w:t>
                        </w:r>
                      </w:p>
                    </w:tc>
                  </w:tr>
                </w:tbl>
                <w:p>
                  <w:pPr/>
                </w:p>
              </w:txbxContent>
            </v:textbox>
            <w10:wrap type="none"/>
          </v:shape>
        </w:pict>
      </w:r>
      <w:r>
        <w:rPr/>
        <w:t>。</w:t>
      </w:r>
    </w:p>
    <w:p>
      <w:pPr>
        <w:spacing w:after="0" w:line="240" w:lineRule="auto"/>
        <w:jc w:val="right"/>
        <w:sectPr>
          <w:pgSz w:w="11910" w:h="16840"/>
          <w:pgMar w:header="877" w:footer="1187" w:top="1100" w:bottom="1380" w:left="0" w:right="0"/>
        </w:sectPr>
      </w:pPr>
    </w:p>
    <w:p>
      <w:pPr>
        <w:spacing w:line="240" w:lineRule="auto" w:before="9"/>
        <w:rPr>
          <w:rFonts w:ascii="宋体" w:hAnsi="宋体" w:cs="宋体" w:eastAsia="宋体" w:hint="default"/>
          <w:sz w:val="22"/>
          <w:szCs w:val="22"/>
        </w:rPr>
      </w:pPr>
    </w:p>
    <w:p>
      <w:pPr>
        <w:pStyle w:val="BodyText"/>
        <w:spacing w:line="240" w:lineRule="auto" w:before="44"/>
        <w:ind w:left="0" w:right="1138"/>
        <w:jc w:val="right"/>
      </w:pPr>
      <w:r>
        <w:rPr/>
        <w:pict>
          <v:shape style="position:absolute;margin-left:56.459999pt;margin-top:1.131746pt;width:479.25pt;height:125.7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62"/>
                    <w:gridCol w:w="1331"/>
                    <w:gridCol w:w="685"/>
                    <w:gridCol w:w="1359"/>
                    <w:gridCol w:w="644"/>
                    <w:gridCol w:w="1199"/>
                    <w:gridCol w:w="3190"/>
                  </w:tblGrid>
                  <w:tr>
                    <w:trPr>
                      <w:trHeight w:val="362" w:hRule="exact"/>
                    </w:trPr>
                    <w:tc>
                      <w:tcPr>
                        <w:tcW w:w="1162"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1199"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可使用状态，由在建工程转为固定资产</w:t>
                        </w:r>
                      </w:p>
                    </w:tc>
                  </w:tr>
                  <w:tr>
                    <w:trPr>
                      <w:trHeight w:val="1338"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5" w:right="0"/>
                          <w:jc w:val="center"/>
                          <w:rPr>
                            <w:rFonts w:ascii="宋体" w:hAnsi="宋体" w:cs="宋体" w:eastAsia="宋体" w:hint="default"/>
                            <w:sz w:val="18"/>
                            <w:szCs w:val="18"/>
                          </w:rPr>
                        </w:pPr>
                        <w:r>
                          <w:rPr>
                            <w:rFonts w:ascii="宋体"/>
                            <w:sz w:val="18"/>
                          </w:rPr>
                          <w:t>117,842,253.39</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7.00%</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sz w:val="18"/>
                          </w:rPr>
                          <w:t>517,267,400.46</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25.55%</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-18.55</w:t>
                        </w:r>
                        <w:r>
                          <w:rPr>
                            <w:rFonts w:ascii="宋体" w:hAnsi="宋体" w:cs="宋体" w:eastAsia="宋体" w:hint="default"/>
                            <w:spacing w:val="-46"/>
                            <w:sz w:val="18"/>
                            <w:szCs w:val="18"/>
                          </w:rPr>
                          <w:t> </w:t>
                        </w:r>
                        <w:r>
                          <w:rPr>
                            <w:rFonts w:ascii="宋体" w:hAnsi="宋体" w:cs="宋体" w:eastAsia="宋体" w:hint="default"/>
                            <w:sz w:val="18"/>
                            <w:szCs w:val="18"/>
                          </w:rPr>
                          <w:t>百分点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公司持续加强应收账款和存货管理，取 得一定成效，运营能力和偿债能力均有 所提升。报告期公司经营性现金流量净 额大幅增长，融资需求同比减少。</w:t>
                        </w:r>
                      </w:p>
                    </w:tc>
                  </w:tr>
                  <w:tr>
                    <w:trPr>
                      <w:trHeight w:val="402"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 w:right="0"/>
                          <w:jc w:val="center"/>
                          <w:rPr>
                            <w:rFonts w:ascii="宋体" w:hAnsi="宋体" w:cs="宋体" w:eastAsia="宋体" w:hint="default"/>
                            <w:sz w:val="18"/>
                            <w:szCs w:val="18"/>
                          </w:rPr>
                        </w:pPr>
                        <w:r>
                          <w:rPr>
                            <w:rFonts w:ascii="宋体"/>
                            <w:sz w:val="18"/>
                          </w:rPr>
                          <w:t>134,119,378.14</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7.97%</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86,108,131.32</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4.25%</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3.72</w:t>
                        </w:r>
                        <w:r>
                          <w:rPr>
                            <w:rFonts w:ascii="宋体" w:hAnsi="宋体" w:cs="宋体" w:eastAsia="宋体" w:hint="default"/>
                            <w:spacing w:val="-46"/>
                            <w:sz w:val="18"/>
                            <w:szCs w:val="18"/>
                          </w:rPr>
                          <w:t> </w:t>
                        </w:r>
                        <w:r>
                          <w:rPr>
                            <w:rFonts w:ascii="宋体" w:hAnsi="宋体" w:cs="宋体" w:eastAsia="宋体" w:hint="default"/>
                            <w:sz w:val="18"/>
                            <w:szCs w:val="18"/>
                          </w:rPr>
                          <w:t>百分点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公司采取票据结算方式的业务量增加。</w:t>
                        </w:r>
                      </w:p>
                    </w:tc>
                  </w:tr>
                  <w:tr>
                    <w:trPr>
                      <w:trHeight w:val="402"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 w:right="0"/>
                          <w:jc w:val="center"/>
                          <w:rPr>
                            <w:rFonts w:ascii="宋体" w:hAnsi="宋体" w:cs="宋体" w:eastAsia="宋体" w:hint="default"/>
                            <w:sz w:val="18"/>
                            <w:szCs w:val="18"/>
                          </w:rPr>
                        </w:pPr>
                        <w:r>
                          <w:rPr>
                            <w:rFonts w:ascii="宋体"/>
                            <w:sz w:val="18"/>
                          </w:rPr>
                          <w:t>143,249,173.07</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8.51%</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136,650,096.45</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6.75%</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1.76</w:t>
                        </w:r>
                        <w:r>
                          <w:rPr>
                            <w:rFonts w:ascii="宋体" w:hAnsi="宋体" w:cs="宋体" w:eastAsia="宋体" w:hint="default"/>
                            <w:spacing w:val="-46"/>
                            <w:sz w:val="18"/>
                            <w:szCs w:val="18"/>
                          </w:rPr>
                          <w:t> </w:t>
                        </w:r>
                        <w:r>
                          <w:rPr>
                            <w:rFonts w:ascii="宋体" w:hAnsi="宋体" w:cs="宋体" w:eastAsia="宋体" w:hint="default"/>
                            <w:sz w:val="18"/>
                            <w:szCs w:val="18"/>
                          </w:rPr>
                          <w:t>百分点</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Heading3"/>
        <w:spacing w:line="240" w:lineRule="auto"/>
        <w:ind w:left="1134" w:right="0"/>
        <w:jc w:val="left"/>
        <w:rPr>
          <w:b w:val="0"/>
          <w:bCs w:val="0"/>
        </w:rPr>
      </w:pPr>
      <w:bookmarkStart w:name="2、以公允价值计量的资产和负债" w:id="42"/>
      <w:bookmarkEnd w:id="42"/>
      <w:r>
        <w:rPr>
          <w:b w:val="0"/>
          <w:bCs w:val="0"/>
        </w:rPr>
      </w:r>
      <w:r>
        <w:rPr>
          <w:rFonts w:ascii="宋体" w:hAnsi="宋体" w:cs="宋体" w:eastAsia="宋体" w:hint="default"/>
        </w:rPr>
        <w:t>2</w:t>
      </w:r>
      <w:r>
        <w:rPr/>
        <w:t>、以公允价值计量的资产和负债</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1134" w:right="0"/>
        <w:jc w:val="left"/>
      </w:pPr>
      <w:r>
        <w:rPr/>
        <w:t>√ 适用 □ 不适用</w:t>
      </w:r>
    </w:p>
    <w:p>
      <w:pPr>
        <w:pStyle w:val="BodyText"/>
        <w:spacing w:line="240" w:lineRule="auto" w:before="116"/>
        <w:ind w:left="0" w:right="131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60"/>
        <w:gridCol w:w="1276"/>
        <w:gridCol w:w="993"/>
        <w:gridCol w:w="1338"/>
        <w:gridCol w:w="811"/>
        <w:gridCol w:w="1149"/>
        <w:gridCol w:w="1238"/>
        <w:gridCol w:w="1206"/>
      </w:tblGrid>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40" w:right="40"/>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23" w:right="32" w:hanging="90"/>
              <w:jc w:val="left"/>
              <w:rPr>
                <w:rFonts w:ascii="宋体" w:hAnsi="宋体" w:cs="宋体" w:eastAsia="宋体" w:hint="default"/>
                <w:sz w:val="18"/>
                <w:szCs w:val="18"/>
              </w:rPr>
            </w:pPr>
            <w:r>
              <w:rPr>
                <w:rFonts w:ascii="宋体" w:hAnsi="宋体" w:cs="宋体" w:eastAsia="宋体" w:hint="default"/>
                <w:sz w:val="18"/>
                <w:szCs w:val="18"/>
              </w:rPr>
              <w:t>计入权益的累计 公允价值变动</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29" w:right="41" w:hanging="90"/>
              <w:jc w:val="left"/>
              <w:rPr>
                <w:rFonts w:ascii="宋体" w:hAnsi="宋体" w:cs="宋体" w:eastAsia="宋体" w:hint="default"/>
                <w:sz w:val="18"/>
                <w:szCs w:val="18"/>
              </w:rPr>
            </w:pPr>
            <w:r>
              <w:rPr>
                <w:rFonts w:ascii="宋体" w:hAnsi="宋体" w:cs="宋体" w:eastAsia="宋体" w:hint="default"/>
                <w:sz w:val="18"/>
                <w:szCs w:val="18"/>
              </w:rPr>
              <w:t>本期计提 的减值</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7"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8011" w:type="dxa"/>
            <w:gridSpan w:val="7"/>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5,218,560.00</w:t>
            </w:r>
          </w:p>
        </w:tc>
        <w:tc>
          <w:tcPr>
            <w:tcW w:w="993"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6,102,880.00</w:t>
            </w:r>
          </w:p>
        </w:tc>
        <w:tc>
          <w:tcPr>
            <w:tcW w:w="811" w:type="dxa"/>
            <w:tcBorders>
              <w:top w:val="single" w:sz="4" w:space="0" w:color="000000"/>
              <w:left w:val="single" w:sz="4" w:space="0" w:color="000000"/>
              <w:bottom w:val="single" w:sz="4" w:space="0" w:color="000000"/>
              <w:right w:val="single" w:sz="4" w:space="0" w:color="000000"/>
            </w:tcBorders>
          </w:tcPr>
          <w:p>
            <w:pPr/>
          </w:p>
        </w:tc>
        <w:tc>
          <w:tcPr>
            <w:tcW w:w="1149"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6,302,880.00</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5,218,560.00</w:t>
            </w:r>
          </w:p>
        </w:tc>
        <w:tc>
          <w:tcPr>
            <w:tcW w:w="993"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6,102,880.00</w:t>
            </w:r>
          </w:p>
        </w:tc>
        <w:tc>
          <w:tcPr>
            <w:tcW w:w="811" w:type="dxa"/>
            <w:tcBorders>
              <w:top w:val="single" w:sz="4" w:space="0" w:color="000000"/>
              <w:left w:val="single" w:sz="4" w:space="0" w:color="000000"/>
              <w:bottom w:val="single" w:sz="4" w:space="0" w:color="000000"/>
              <w:right w:val="single" w:sz="4" w:space="0" w:color="000000"/>
            </w:tcBorders>
          </w:tcPr>
          <w:p>
            <w:pPr/>
          </w:p>
        </w:tc>
        <w:tc>
          <w:tcPr>
            <w:tcW w:w="1149"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6,302,880.00</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993"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149"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bl>
    <w:p>
      <w:pPr>
        <w:spacing w:line="240" w:lineRule="auto" w:before="9"/>
        <w:rPr>
          <w:rFonts w:ascii="宋体" w:hAnsi="宋体" w:cs="宋体" w:eastAsia="宋体" w:hint="default"/>
          <w:sz w:val="6"/>
          <w:szCs w:val="6"/>
        </w:rPr>
      </w:pPr>
    </w:p>
    <w:p>
      <w:pPr>
        <w:pStyle w:val="BodyText"/>
        <w:spacing w:line="240" w:lineRule="auto" w:before="44"/>
        <w:ind w:left="1134" w:right="0"/>
        <w:jc w:val="left"/>
      </w:pPr>
      <w:r>
        <w:rPr/>
        <w:t>报告期内公司主要资产计量属性是否发生重大变化</w:t>
      </w:r>
    </w:p>
    <w:p>
      <w:pPr>
        <w:pStyle w:val="BodyText"/>
        <w:spacing w:line="240" w:lineRule="auto" w:before="116"/>
        <w:ind w:left="1134" w:right="0"/>
        <w:jc w:val="left"/>
      </w:pPr>
      <w:r>
        <w:rPr/>
        <w:t>□ 是 √ 否</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五、投资状况分析" w:id="43"/>
      <w:bookmarkEnd w:id="43"/>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总体情况" w:id="44"/>
      <w:bookmarkEnd w:id="44"/>
      <w:r>
        <w:rPr>
          <w:b w:val="0"/>
          <w:bCs w:val="0"/>
        </w:rPr>
      </w:r>
      <w:r>
        <w:rPr>
          <w:rFonts w:ascii="宋体" w:hAnsi="宋体" w:cs="宋体" w:eastAsia="宋体" w:hint="default"/>
        </w:rPr>
        <w:t>1</w:t>
      </w:r>
      <w:r>
        <w:rPr/>
        <w:t>、总体情况</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85" w:right="0"/>
              <w:jc w:val="left"/>
              <w:rPr>
                <w:rFonts w:ascii="宋体" w:hAnsi="宋体" w:cs="宋体" w:eastAsia="宋体" w:hint="default"/>
                <w:sz w:val="18"/>
                <w:szCs w:val="18"/>
              </w:rPr>
            </w:pPr>
            <w:r>
              <w:rPr>
                <w:rFonts w:ascii="宋体"/>
                <w:sz w:val="18"/>
              </w:rPr>
              <w:t>60,161,527.86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97" w:right="0"/>
              <w:jc w:val="left"/>
              <w:rPr>
                <w:rFonts w:ascii="宋体" w:hAnsi="宋体" w:cs="宋体" w:eastAsia="宋体" w:hint="default"/>
                <w:sz w:val="18"/>
                <w:szCs w:val="18"/>
              </w:rPr>
            </w:pPr>
            <w:r>
              <w:rPr>
                <w:rFonts w:ascii="宋体"/>
                <w:sz w:val="18"/>
              </w:rPr>
              <w:t>151,423,938.22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-60.27%</w:t>
            </w:r>
          </w:p>
        </w:tc>
      </w:tr>
    </w:tbl>
    <w:p>
      <w:pPr>
        <w:spacing w:line="240" w:lineRule="auto" w:before="8"/>
        <w:rPr>
          <w:rFonts w:ascii="宋体" w:hAnsi="宋体" w:cs="宋体" w:eastAsia="宋体" w:hint="default"/>
          <w:sz w:val="6"/>
          <w:szCs w:val="6"/>
        </w:rPr>
      </w:pPr>
    </w:p>
    <w:p>
      <w:pPr>
        <w:pStyle w:val="BodyText"/>
        <w:spacing w:line="319" w:lineRule="auto" w:before="44"/>
        <w:ind w:right="1124" w:firstLine="360"/>
        <w:jc w:val="left"/>
      </w:pPr>
      <w:r>
        <w:rPr/>
        <w:t>报告期内公司股权投资额为</w:t>
      </w:r>
      <w:r>
        <w:rPr>
          <w:spacing w:val="-41"/>
        </w:rPr>
        <w:t> </w:t>
      </w:r>
      <w:r>
        <w:rPr>
          <w:rFonts w:ascii="宋体" w:hAnsi="宋体" w:cs="宋体" w:eastAsia="宋体" w:hint="default"/>
        </w:rPr>
        <w:t>1,556</w:t>
      </w:r>
      <w:r>
        <w:rPr>
          <w:rFonts w:ascii="宋体" w:hAnsi="宋体" w:cs="宋体" w:eastAsia="宋体" w:hint="default"/>
          <w:spacing w:val="-41"/>
        </w:rPr>
        <w:t> </w:t>
      </w:r>
      <w:r>
        <w:rPr>
          <w:spacing w:val="-9"/>
        </w:rPr>
        <w:t>万元，包括对聚联网络、福建中教、湖北百旺的投资；固定资产投资额为</w:t>
      </w:r>
      <w:r>
        <w:rPr>
          <w:spacing w:val="-40"/>
        </w:rPr>
        <w:t> </w:t>
      </w:r>
      <w:r>
        <w:rPr>
          <w:rFonts w:ascii="宋体" w:hAnsi="宋体" w:cs="宋体" w:eastAsia="宋体" w:hint="default"/>
        </w:rPr>
        <w:t>4,315</w:t>
      </w:r>
      <w:r>
        <w:rPr>
          <w:rFonts w:ascii="宋体" w:hAnsi="宋体" w:cs="宋体" w:eastAsia="宋体" w:hint="default"/>
          <w:spacing w:val="-41"/>
        </w:rPr>
        <w:t> </w:t>
      </w:r>
      <w:r>
        <w:rPr/>
        <w:t>万元， 主要为对数据安全产业园一期工程项目和生产设备的投资。</w:t>
      </w:r>
    </w:p>
    <w:p>
      <w:pPr>
        <w:spacing w:line="240" w:lineRule="auto" w:before="4"/>
        <w:rPr>
          <w:rFonts w:ascii="宋体" w:hAnsi="宋体" w:cs="宋体" w:eastAsia="宋体" w:hint="default"/>
          <w:sz w:val="22"/>
          <w:szCs w:val="22"/>
        </w:rPr>
      </w:pPr>
    </w:p>
    <w:p>
      <w:pPr>
        <w:pStyle w:val="Heading3"/>
        <w:spacing w:line="240" w:lineRule="auto"/>
        <w:ind w:left="1134" w:right="0"/>
        <w:jc w:val="left"/>
        <w:rPr>
          <w:b w:val="0"/>
          <w:bCs w:val="0"/>
        </w:rPr>
      </w:pPr>
      <w:bookmarkStart w:name="2、报告期内获取的重大的股权投资情况" w:id="45"/>
      <w:bookmarkEnd w:id="45"/>
      <w:r>
        <w:rPr>
          <w:b w:val="0"/>
          <w:bCs w:val="0"/>
        </w:rPr>
      </w:r>
      <w:r>
        <w:rPr>
          <w:rFonts w:ascii="宋体" w:hAnsi="宋体" w:cs="宋体" w:eastAsia="宋体" w:hint="default"/>
        </w:rPr>
        <w:t>2</w:t>
      </w:r>
      <w:r>
        <w:rPr/>
        <w:t>、报告期内获取的重大的股权投资情况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1134"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left="1134" w:right="0"/>
        <w:jc w:val="left"/>
        <w:rPr>
          <w:b w:val="0"/>
          <w:bCs w:val="0"/>
        </w:rPr>
      </w:pPr>
      <w:bookmarkStart w:name="3、报告期内正在进行的重大的非股权投资情况" w:id="46"/>
      <w:bookmarkEnd w:id="46"/>
      <w:r>
        <w:rPr>
          <w:b w:val="0"/>
          <w:bCs w:val="0"/>
        </w:rPr>
      </w:r>
      <w:r>
        <w:rPr>
          <w:rFonts w:ascii="宋体" w:hAnsi="宋体" w:cs="宋体" w:eastAsia="宋体" w:hint="default"/>
        </w:rPr>
        <w:t>3</w:t>
      </w:r>
      <w:r>
        <w:rPr/>
        <w:t>、报告期内正在进行的重大的非股权投资情况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1134" w:right="0"/>
        <w:jc w:val="left"/>
      </w:pPr>
      <w:r>
        <w:rPr/>
        <w:t>□ 适用 √ 不适用</w:t>
      </w:r>
    </w:p>
    <w:p>
      <w:pPr>
        <w:spacing w:after="0" w:line="240" w:lineRule="auto"/>
        <w:jc w:val="left"/>
        <w:sectPr>
          <w:pgSz w:w="11910" w:h="16840"/>
          <w:pgMar w:header="877" w:footer="1187" w:top="1100" w:bottom="1380" w:left="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4、以公允价值计量的金融资产" w:id="47"/>
      <w:bookmarkEnd w:id="47"/>
      <w:r>
        <w:rPr>
          <w:b w:val="0"/>
          <w:bCs w:val="0"/>
        </w:rPr>
      </w:r>
      <w:r>
        <w:rPr>
          <w:rFonts w:ascii="宋体" w:hAnsi="宋体" w:cs="宋体" w:eastAsia="宋体" w:hint="default"/>
        </w:rPr>
        <w:t>4</w:t>
      </w:r>
      <w:r>
        <w:rPr/>
        <w:t>、以公允价值计量的金融资产</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right="0"/>
        <w:jc w:val="left"/>
      </w:pPr>
      <w:r>
        <w:rPr/>
        <w:t>√ 适用 □ 不适用</w:t>
      </w:r>
    </w:p>
    <w:p>
      <w:pPr>
        <w:pStyle w:val="BodyText"/>
        <w:spacing w:line="240" w:lineRule="auto" w:before="116"/>
        <w:ind w:left="0" w:right="131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994"/>
        <w:gridCol w:w="1289"/>
        <w:gridCol w:w="1021"/>
        <w:gridCol w:w="1374"/>
        <w:gridCol w:w="852"/>
        <w:gridCol w:w="895"/>
        <w:gridCol w:w="1044"/>
        <w:gridCol w:w="1241"/>
        <w:gridCol w:w="956"/>
      </w:tblGrid>
      <w:tr>
        <w:trPr>
          <w:trHeight w:val="75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资产类别</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初始投资成本</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2"/>
              <w:ind w:left="55" w:right="54"/>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2"/>
              <w:ind w:left="142" w:right="51" w:hanging="90"/>
              <w:jc w:val="left"/>
              <w:rPr>
                <w:rFonts w:ascii="宋体" w:hAnsi="宋体" w:cs="宋体" w:eastAsia="宋体" w:hint="default"/>
                <w:sz w:val="18"/>
                <w:szCs w:val="18"/>
              </w:rPr>
            </w:pPr>
            <w:r>
              <w:rPr>
                <w:rFonts w:ascii="宋体" w:hAnsi="宋体" w:cs="宋体" w:eastAsia="宋体" w:hint="default"/>
                <w:sz w:val="18"/>
                <w:szCs w:val="18"/>
              </w:rPr>
              <w:t>计入权益的累计 公允价值变动</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2"/>
              <w:ind w:left="61" w:right="59"/>
              <w:jc w:val="left"/>
              <w:rPr>
                <w:rFonts w:ascii="宋体" w:hAnsi="宋体" w:cs="宋体" w:eastAsia="宋体" w:hint="default"/>
                <w:sz w:val="18"/>
                <w:szCs w:val="18"/>
              </w:rPr>
            </w:pPr>
            <w:r>
              <w:rPr>
                <w:rFonts w:ascii="宋体" w:hAnsi="宋体" w:cs="宋体" w:eastAsia="宋体" w:hint="default"/>
                <w:sz w:val="18"/>
                <w:szCs w:val="18"/>
              </w:rPr>
              <w:t>报告期内 购入金额</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2"/>
              <w:ind w:left="82" w:right="80"/>
              <w:jc w:val="left"/>
              <w:rPr>
                <w:rFonts w:ascii="宋体" w:hAnsi="宋体" w:cs="宋体" w:eastAsia="宋体" w:hint="default"/>
                <w:sz w:val="18"/>
                <w:szCs w:val="18"/>
              </w:rPr>
            </w:pPr>
            <w:r>
              <w:rPr>
                <w:rFonts w:ascii="宋体" w:hAnsi="宋体" w:cs="宋体" w:eastAsia="宋体" w:hint="default"/>
                <w:sz w:val="18"/>
                <w:szCs w:val="18"/>
              </w:rPr>
              <w:t>报告期内 售出金额</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335" w:right="156" w:hanging="180"/>
              <w:jc w:val="left"/>
              <w:rPr>
                <w:rFonts w:ascii="宋体" w:hAnsi="宋体" w:cs="宋体" w:eastAsia="宋体" w:hint="default"/>
                <w:sz w:val="18"/>
                <w:szCs w:val="18"/>
              </w:rPr>
            </w:pPr>
            <w:r>
              <w:rPr>
                <w:rFonts w:ascii="宋体" w:hAnsi="宋体" w:cs="宋体" w:eastAsia="宋体" w:hint="default"/>
                <w:sz w:val="18"/>
                <w:szCs w:val="18"/>
              </w:rPr>
              <w:t>累计投资 收益</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资金来源</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股票</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200,000.00</w:t>
            </w:r>
          </w:p>
        </w:tc>
        <w:tc>
          <w:tcPr>
            <w:tcW w:w="1021"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6,102,880.00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602,880.00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center"/>
              <w:rPr>
                <w:rFonts w:ascii="宋体" w:hAnsi="宋体" w:cs="宋体" w:eastAsia="宋体" w:hint="default"/>
                <w:sz w:val="18"/>
                <w:szCs w:val="18"/>
              </w:rPr>
            </w:pPr>
            <w:r>
              <w:rPr>
                <w:rFonts w:ascii="宋体"/>
                <w:sz w:val="18"/>
              </w:rPr>
              <w:t>6,302,880.00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0"/>
              <w:jc w:val="right"/>
              <w:rPr>
                <w:rFonts w:ascii="宋体" w:hAnsi="宋体" w:cs="宋体" w:eastAsia="宋体" w:hint="default"/>
                <w:sz w:val="18"/>
                <w:szCs w:val="18"/>
              </w:rPr>
            </w:pPr>
            <w:r>
              <w:rPr>
                <w:rFonts w:ascii="宋体" w:hAnsi="宋体" w:cs="宋体" w:eastAsia="宋体" w:hint="default"/>
                <w:sz w:val="18"/>
                <w:szCs w:val="18"/>
              </w:rPr>
              <w:t>自有资金</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200,000.00</w:t>
            </w:r>
          </w:p>
        </w:tc>
        <w:tc>
          <w:tcPr>
            <w:tcW w:w="1021"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6,102,880.00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602,880.00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center"/>
              <w:rPr>
                <w:rFonts w:ascii="宋体" w:hAnsi="宋体" w:cs="宋体" w:eastAsia="宋体" w:hint="default"/>
                <w:sz w:val="18"/>
                <w:szCs w:val="18"/>
              </w:rPr>
            </w:pPr>
            <w:r>
              <w:rPr>
                <w:rFonts w:ascii="宋体"/>
                <w:sz w:val="18"/>
              </w:rPr>
              <w:t>6,302,880.00</w:t>
            </w:r>
          </w:p>
        </w:tc>
        <w:tc>
          <w:tcPr>
            <w:tcW w:w="95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87" w:top="1100" w:bottom="1380" w:left="0" w:right="0"/>
        </w:sectPr>
      </w:pPr>
    </w:p>
    <w:p>
      <w:pPr>
        <w:spacing w:line="240" w:lineRule="auto" w:before="9"/>
        <w:rPr>
          <w:rFonts w:ascii="宋体" w:hAnsi="宋体" w:cs="宋体" w:eastAsia="宋体" w:hint="default"/>
          <w:sz w:val="3"/>
          <w:szCs w:val="3"/>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140" w:right="0"/>
        <w:jc w:val="left"/>
        <w:rPr>
          <w:b w:val="0"/>
          <w:bCs w:val="0"/>
        </w:rPr>
      </w:pPr>
      <w:bookmarkStart w:name="5、募集资金使用情况" w:id="48"/>
      <w:bookmarkEnd w:id="48"/>
      <w:r>
        <w:rPr>
          <w:b w:val="0"/>
          <w:bCs w:val="0"/>
        </w:rPr>
      </w:r>
      <w:r>
        <w:rPr>
          <w:rFonts w:ascii="宋体" w:hAnsi="宋体" w:cs="宋体" w:eastAsia="宋体" w:hint="default"/>
        </w:rPr>
        <w:t>5</w:t>
      </w:r>
      <w:r>
        <w:rPr/>
        <w:t>、募集资金使用情况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140"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left="140" w:right="0"/>
        <w:jc w:val="left"/>
        <w:rPr>
          <w:b w:val="0"/>
          <w:bCs w:val="0"/>
        </w:rPr>
      </w:pPr>
      <w:bookmarkStart w:name="（1）募集资金总体使用情况" w:id="49"/>
      <w:bookmarkEnd w:id="49"/>
      <w:r>
        <w:rPr>
          <w:b w:val="0"/>
          <w:bCs w:val="0"/>
        </w:rPr>
      </w:r>
      <w:r>
        <w:rPr/>
        <w:t>（</w:t>
      </w:r>
      <w:r>
        <w:rPr>
          <w:rFonts w:ascii="宋体" w:hAnsi="宋体" w:cs="宋体" w:eastAsia="宋体" w:hint="default"/>
        </w:rPr>
        <w:t>1</w:t>
      </w:r>
      <w:r>
        <w:rPr/>
        <w:t>）募集资金总体使用情况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140" w:right="0"/>
        <w:jc w:val="left"/>
      </w:pPr>
      <w:r>
        <w:rPr/>
        <w:t>√ 适用 □ 不适用</w:t>
      </w:r>
    </w:p>
    <w:p>
      <w:pPr>
        <w:pStyle w:val="BodyText"/>
        <w:spacing w:line="240" w:lineRule="auto" w:before="116"/>
        <w:ind w:left="0" w:right="1436"/>
        <w:jc w:val="right"/>
      </w:pPr>
      <w:r>
        <w:rPr/>
        <w:t>单位：万元</w:t>
      </w:r>
    </w:p>
    <w:p>
      <w:pPr>
        <w:spacing w:line="240" w:lineRule="auto" w:before="1"/>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866"/>
        <w:gridCol w:w="1119"/>
        <w:gridCol w:w="992"/>
        <w:gridCol w:w="1276"/>
        <w:gridCol w:w="1277"/>
        <w:gridCol w:w="1559"/>
        <w:gridCol w:w="1417"/>
        <w:gridCol w:w="1560"/>
        <w:gridCol w:w="1274"/>
        <w:gridCol w:w="1419"/>
        <w:gridCol w:w="1276"/>
      </w:tblGrid>
      <w:tr>
        <w:trPr>
          <w:trHeight w:val="75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67"/>
              <w:jc w:val="right"/>
              <w:rPr>
                <w:rFonts w:ascii="宋体" w:hAnsi="宋体" w:cs="宋体" w:eastAsia="宋体" w:hint="default"/>
                <w:sz w:val="18"/>
                <w:szCs w:val="18"/>
              </w:rPr>
            </w:pPr>
            <w:r>
              <w:rPr>
                <w:rFonts w:ascii="宋体" w:hAnsi="宋体" w:cs="宋体" w:eastAsia="宋体" w:hint="default"/>
                <w:sz w:val="18"/>
                <w:szCs w:val="18"/>
              </w:rPr>
              <w:t>募集年份</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310" w:right="131"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92" w:right="91" w:firstLine="90"/>
              <w:jc w:val="left"/>
              <w:rPr>
                <w:rFonts w:ascii="宋体" w:hAnsi="宋体" w:cs="宋体" w:eastAsia="宋体" w:hint="default"/>
                <w:sz w:val="18"/>
                <w:szCs w:val="18"/>
              </w:rPr>
            </w:pPr>
            <w:r>
              <w:rPr>
                <w:rFonts w:ascii="宋体" w:hAnsi="宋体" w:cs="宋体" w:eastAsia="宋体" w:hint="default"/>
                <w:sz w:val="18"/>
                <w:szCs w:val="18"/>
              </w:rPr>
              <w:t>本期已使用 募集资金总额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92" w:right="92" w:firstLine="90"/>
              <w:jc w:val="left"/>
              <w:rPr>
                <w:rFonts w:ascii="宋体" w:hAnsi="宋体" w:cs="宋体" w:eastAsia="宋体" w:hint="default"/>
                <w:sz w:val="18"/>
                <w:szCs w:val="18"/>
              </w:rPr>
            </w:pPr>
            <w:r>
              <w:rPr>
                <w:rFonts w:ascii="宋体" w:hAnsi="宋体" w:cs="宋体" w:eastAsia="宋体" w:hint="default"/>
                <w:sz w:val="18"/>
                <w:szCs w:val="18"/>
              </w:rPr>
              <w:t>已累计使用 募集资金总额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43" w:right="53" w:hanging="90"/>
              <w:jc w:val="left"/>
              <w:rPr>
                <w:rFonts w:ascii="宋体" w:hAnsi="宋体" w:cs="宋体" w:eastAsia="宋体" w:hint="default"/>
                <w:sz w:val="18"/>
                <w:szCs w:val="18"/>
              </w:rPr>
            </w:pPr>
            <w:r>
              <w:rPr>
                <w:rFonts w:ascii="宋体" w:hAnsi="宋体" w:cs="宋体" w:eastAsia="宋体" w:hint="default"/>
                <w:sz w:val="18"/>
                <w:szCs w:val="18"/>
              </w:rPr>
              <w:t>报告期内变更用途 的募集资金总额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63" w:right="72" w:hanging="90"/>
              <w:jc w:val="left"/>
              <w:rPr>
                <w:rFonts w:ascii="宋体" w:hAnsi="宋体" w:cs="宋体" w:eastAsia="宋体" w:hint="default"/>
                <w:sz w:val="18"/>
                <w:szCs w:val="18"/>
              </w:rPr>
            </w:pPr>
            <w:r>
              <w:rPr>
                <w:rFonts w:ascii="宋体" w:hAnsi="宋体" w:cs="宋体" w:eastAsia="宋体" w:hint="default"/>
                <w:sz w:val="18"/>
                <w:szCs w:val="18"/>
              </w:rPr>
              <w:t>累计变更用途的 募集资金总额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43" w:right="54" w:hanging="90"/>
              <w:jc w:val="left"/>
              <w:rPr>
                <w:rFonts w:ascii="宋体" w:hAnsi="宋体" w:cs="宋体" w:eastAsia="宋体" w:hint="default"/>
                <w:sz w:val="18"/>
                <w:szCs w:val="18"/>
              </w:rPr>
            </w:pPr>
            <w:r>
              <w:rPr>
                <w:rFonts w:ascii="宋体" w:hAnsi="宋体" w:cs="宋体" w:eastAsia="宋体" w:hint="default"/>
                <w:sz w:val="18"/>
                <w:szCs w:val="18"/>
              </w:rPr>
              <w:t>累计变更用途的募 集资金总额比例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72" w:right="90" w:hanging="180"/>
              <w:jc w:val="left"/>
              <w:rPr>
                <w:rFonts w:ascii="宋体" w:hAnsi="宋体" w:cs="宋体" w:eastAsia="宋体" w:hint="default"/>
                <w:sz w:val="18"/>
                <w:szCs w:val="18"/>
              </w:rPr>
            </w:pPr>
            <w:r>
              <w:rPr>
                <w:rFonts w:ascii="宋体" w:hAnsi="宋体" w:cs="宋体" w:eastAsia="宋体" w:hint="default"/>
                <w:sz w:val="18"/>
                <w:szCs w:val="18"/>
              </w:rPr>
              <w:t>尚未使用募集 资金总额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73" w:right="75" w:firstLine="90"/>
              <w:jc w:val="left"/>
              <w:rPr>
                <w:rFonts w:ascii="宋体" w:hAnsi="宋体" w:cs="宋体" w:eastAsia="宋体" w:hint="default"/>
                <w:sz w:val="18"/>
                <w:szCs w:val="18"/>
              </w:rPr>
            </w:pPr>
            <w:r>
              <w:rPr>
                <w:rFonts w:ascii="宋体" w:hAnsi="宋体" w:cs="宋体" w:eastAsia="宋体" w:hint="default"/>
                <w:sz w:val="18"/>
                <w:szCs w:val="18"/>
              </w:rPr>
              <w:t>尚未使用募集 资金用途及去向</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92" w:right="91"/>
              <w:jc w:val="left"/>
              <w:rPr>
                <w:rFonts w:ascii="宋体" w:hAnsi="宋体" w:cs="宋体" w:eastAsia="宋体" w:hint="default"/>
                <w:sz w:val="18"/>
                <w:szCs w:val="18"/>
              </w:rPr>
            </w:pPr>
            <w:r>
              <w:rPr>
                <w:rFonts w:ascii="宋体" w:hAnsi="宋体" w:cs="宋体" w:eastAsia="宋体" w:hint="default"/>
                <w:sz w:val="18"/>
                <w:szCs w:val="18"/>
              </w:rPr>
              <w:t>闲置两年以上 募集资金金额</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34"/>
              <w:jc w:val="righ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84" w:right="102" w:hanging="180"/>
              <w:jc w:val="left"/>
              <w:rPr>
                <w:rFonts w:ascii="宋体" w:hAnsi="宋体" w:cs="宋体" w:eastAsia="宋体" w:hint="default"/>
                <w:sz w:val="18"/>
                <w:szCs w:val="18"/>
              </w:rPr>
            </w:pPr>
            <w:r>
              <w:rPr>
                <w:rFonts w:ascii="宋体" w:hAnsi="宋体" w:cs="宋体" w:eastAsia="宋体" w:hint="default"/>
                <w:sz w:val="18"/>
                <w:szCs w:val="18"/>
              </w:rPr>
              <w:t>首次公开发 行股票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73,044.68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11,638.28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73,044.68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73,044.68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11,638.28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73,044.68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r>
        <w:trPr>
          <w:trHeight w:val="402" w:hRule="exact"/>
        </w:trPr>
        <w:tc>
          <w:tcPr>
            <w:tcW w:w="1403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338" w:hRule="exact"/>
        </w:trPr>
        <w:tc>
          <w:tcPr>
            <w:tcW w:w="1403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公司实际募集资金净额为</w:t>
            </w:r>
            <w:r>
              <w:rPr>
                <w:rFonts w:ascii="宋体" w:hAnsi="宋体" w:cs="宋体" w:eastAsia="宋体" w:hint="default"/>
                <w:spacing w:val="-47"/>
                <w:sz w:val="18"/>
                <w:szCs w:val="18"/>
              </w:rPr>
              <w:t> </w:t>
            </w:r>
            <w:r>
              <w:rPr>
                <w:rFonts w:ascii="宋体" w:hAnsi="宋体" w:cs="宋体" w:eastAsia="宋体" w:hint="default"/>
                <w:sz w:val="18"/>
                <w:szCs w:val="18"/>
              </w:rPr>
              <w:t>73,044.68</w:t>
            </w:r>
            <w:r>
              <w:rPr>
                <w:rFonts w:ascii="宋体" w:hAnsi="宋体" w:cs="宋体" w:eastAsia="宋体" w:hint="default"/>
                <w:spacing w:val="-47"/>
                <w:sz w:val="18"/>
                <w:szCs w:val="18"/>
              </w:rPr>
              <w:t>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z w:val="18"/>
                <w:szCs w:val="18"/>
              </w:rPr>
              <w:t>其中超募资金金额为</w:t>
            </w:r>
            <w:r>
              <w:rPr>
                <w:rFonts w:ascii="宋体" w:hAnsi="宋体" w:cs="宋体" w:eastAsia="宋体" w:hint="default"/>
                <w:spacing w:val="-47"/>
                <w:sz w:val="18"/>
                <w:szCs w:val="18"/>
              </w:rPr>
              <w:t> </w:t>
            </w:r>
            <w:r>
              <w:rPr>
                <w:rFonts w:ascii="宋体" w:hAnsi="宋体" w:cs="宋体" w:eastAsia="宋体" w:hint="default"/>
                <w:sz w:val="18"/>
                <w:szCs w:val="18"/>
              </w:rPr>
              <w:t>51,226.18</w:t>
            </w:r>
            <w:r>
              <w:rPr>
                <w:rFonts w:ascii="宋体" w:hAnsi="宋体" w:cs="宋体" w:eastAsia="宋体" w:hint="default"/>
                <w:spacing w:val="-47"/>
                <w:sz w:val="18"/>
                <w:szCs w:val="18"/>
              </w:rPr>
              <w:t>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z w:val="18"/>
                <w:szCs w:val="18"/>
              </w:rPr>
              <w:t>截至</w:t>
            </w:r>
            <w:r>
              <w:rPr>
                <w:rFonts w:ascii="宋体" w:hAnsi="宋体" w:cs="宋体" w:eastAsia="宋体" w:hint="default"/>
                <w:spacing w:val="-47"/>
                <w:sz w:val="18"/>
                <w:szCs w:val="18"/>
              </w:rPr>
              <w:t> </w:t>
            </w:r>
            <w:r>
              <w:rPr>
                <w:rFonts w:ascii="宋体" w:hAnsi="宋体" w:cs="宋体" w:eastAsia="宋体" w:hint="default"/>
                <w:sz w:val="18"/>
                <w:szCs w:val="18"/>
              </w:rPr>
              <w:t>2012</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30</w:t>
            </w:r>
            <w:r>
              <w:rPr>
                <w:rFonts w:ascii="宋体" w:hAnsi="宋体" w:cs="宋体" w:eastAsia="宋体" w:hint="default"/>
                <w:spacing w:val="-47"/>
                <w:sz w:val="18"/>
                <w:szCs w:val="18"/>
              </w:rPr>
              <w:t> </w:t>
            </w:r>
            <w:r>
              <w:rPr>
                <w:rFonts w:ascii="宋体" w:hAnsi="宋体" w:cs="宋体" w:eastAsia="宋体" w:hint="default"/>
                <w:spacing w:val="1"/>
                <w:sz w:val="18"/>
                <w:szCs w:val="18"/>
              </w:rPr>
              <w:t>日</w:t>
            </w:r>
            <w:r>
              <w:rPr>
                <w:rFonts w:ascii="宋体" w:hAnsi="宋体" w:cs="宋体" w:eastAsia="宋体" w:hint="default"/>
                <w:spacing w:val="-90"/>
                <w:sz w:val="18"/>
                <w:szCs w:val="18"/>
              </w:rPr>
              <w:t>，</w:t>
            </w:r>
            <w:r>
              <w:rPr>
                <w:rFonts w:ascii="宋体" w:hAnsi="宋体" w:cs="宋体" w:eastAsia="宋体" w:hint="default"/>
                <w:sz w:val="18"/>
                <w:szCs w:val="18"/>
              </w:rPr>
              <w:t>公司募集资金投资项目已经达到预期建设目标</w:t>
            </w:r>
            <w:r>
              <w:rPr>
                <w:rFonts w:ascii="宋体" w:hAnsi="宋体" w:cs="宋体" w:eastAsia="宋体" w:hint="default"/>
                <w:spacing w:val="-90"/>
                <w:sz w:val="18"/>
                <w:szCs w:val="18"/>
              </w:rPr>
              <w:t>，</w:t>
            </w:r>
            <w:r>
              <w:rPr>
                <w:rFonts w:ascii="宋体" w:hAnsi="宋体" w:cs="宋体" w:eastAsia="宋体" w:hint="default"/>
                <w:sz w:val="18"/>
                <w:szCs w:val="18"/>
              </w:rPr>
              <w:t>实际投入金额为</w:t>
            </w:r>
            <w:r>
              <w:rPr>
                <w:rFonts w:ascii="宋体" w:hAnsi="宋体" w:cs="宋体" w:eastAsia="宋体" w:hint="default"/>
                <w:spacing w:val="-47"/>
                <w:sz w:val="18"/>
                <w:szCs w:val="18"/>
              </w:rPr>
              <w:t> </w:t>
            </w:r>
            <w:r>
              <w:rPr>
                <w:rFonts w:ascii="宋体" w:hAnsi="宋体" w:cs="宋体" w:eastAsia="宋体" w:hint="default"/>
                <w:sz w:val="18"/>
                <w:szCs w:val="18"/>
              </w:rPr>
              <w:t>12,881.18</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万元，节余资金</w:t>
            </w:r>
            <w:r>
              <w:rPr>
                <w:rFonts w:ascii="宋体" w:hAnsi="宋体" w:cs="宋体" w:eastAsia="宋体" w:hint="default"/>
                <w:spacing w:val="-46"/>
                <w:sz w:val="18"/>
                <w:szCs w:val="18"/>
              </w:rPr>
              <w:t> </w:t>
            </w:r>
            <w:r>
              <w:rPr>
                <w:rFonts w:ascii="宋体" w:hAnsi="宋体" w:cs="宋体" w:eastAsia="宋体" w:hint="default"/>
                <w:sz w:val="18"/>
                <w:szCs w:val="18"/>
              </w:rPr>
              <w:t>8,937.32</w:t>
            </w:r>
            <w:r>
              <w:rPr>
                <w:rFonts w:ascii="宋体" w:hAnsi="宋体" w:cs="宋体" w:eastAsia="宋体" w:hint="default"/>
                <w:spacing w:val="-46"/>
                <w:sz w:val="18"/>
                <w:szCs w:val="18"/>
              </w:rPr>
              <w:t> </w:t>
            </w:r>
            <w:r>
              <w:rPr>
                <w:rFonts w:ascii="宋体" w:hAnsi="宋体" w:cs="宋体" w:eastAsia="宋体" w:hint="default"/>
                <w:sz w:val="18"/>
                <w:szCs w:val="18"/>
              </w:rPr>
              <w:t>万元已用于永久性补充流动资金。公司使用超募资金</w:t>
            </w:r>
            <w:r>
              <w:rPr>
                <w:rFonts w:ascii="宋体" w:hAnsi="宋体" w:cs="宋体" w:eastAsia="宋体" w:hint="default"/>
                <w:spacing w:val="-46"/>
                <w:sz w:val="18"/>
                <w:szCs w:val="18"/>
              </w:rPr>
              <w:t> </w:t>
            </w:r>
            <w:r>
              <w:rPr>
                <w:rFonts w:ascii="宋体" w:hAnsi="宋体" w:cs="宋体" w:eastAsia="宋体" w:hint="default"/>
                <w:sz w:val="18"/>
                <w:szCs w:val="18"/>
              </w:rPr>
              <w:t>3,000</w:t>
            </w:r>
            <w:r>
              <w:rPr>
                <w:rFonts w:ascii="宋体" w:hAnsi="宋体" w:cs="宋体" w:eastAsia="宋体" w:hint="default"/>
                <w:spacing w:val="-46"/>
                <w:sz w:val="18"/>
                <w:szCs w:val="18"/>
              </w:rPr>
              <w:t> </w:t>
            </w:r>
            <w:r>
              <w:rPr>
                <w:rFonts w:ascii="宋体" w:hAnsi="宋体" w:cs="宋体" w:eastAsia="宋体" w:hint="default"/>
                <w:sz w:val="18"/>
                <w:szCs w:val="18"/>
              </w:rPr>
              <w:t>万元增资子公司天喻通讯；</w:t>
            </w:r>
            <w:r>
              <w:rPr>
                <w:rFonts w:ascii="宋体" w:hAnsi="宋体" w:cs="宋体" w:eastAsia="宋体" w:hint="default"/>
                <w:sz w:val="18"/>
                <w:szCs w:val="18"/>
              </w:rPr>
              <w:t>7,000</w:t>
            </w:r>
            <w:r>
              <w:rPr>
                <w:rFonts w:ascii="宋体" w:hAnsi="宋体" w:cs="宋体" w:eastAsia="宋体" w:hint="default"/>
                <w:spacing w:val="-46"/>
                <w:sz w:val="18"/>
                <w:szCs w:val="18"/>
              </w:rPr>
              <w:t> </w:t>
            </w:r>
            <w:r>
              <w:rPr>
                <w:rFonts w:ascii="宋体" w:hAnsi="宋体" w:cs="宋体" w:eastAsia="宋体" w:hint="default"/>
                <w:sz w:val="18"/>
                <w:szCs w:val="18"/>
              </w:rPr>
              <w:t>万元投资数据安全产业园一期工程项目（该项目已于</w:t>
            </w:r>
            <w:r>
              <w:rPr>
                <w:rFonts w:ascii="宋体" w:hAnsi="宋体" w:cs="宋体" w:eastAsia="宋体" w:hint="default"/>
                <w:spacing w:val="-46"/>
                <w:sz w:val="18"/>
                <w:szCs w:val="18"/>
              </w:rPr>
              <w:t> </w:t>
            </w:r>
            <w:r>
              <w:rPr>
                <w:rFonts w:ascii="宋体" w:hAnsi="宋体" w:cs="宋体" w:eastAsia="宋体" w:hint="default"/>
                <w:sz w:val="18"/>
                <w:szCs w:val="18"/>
              </w:rPr>
              <w:t>2015</w:t>
            </w:r>
          </w:p>
          <w:p>
            <w:pPr>
              <w:pStyle w:val="TableParagraph"/>
              <w:spacing w:line="319" w:lineRule="auto" w:before="76"/>
              <w:ind w:left="22" w:right="95"/>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31</w:t>
            </w:r>
            <w:r>
              <w:rPr>
                <w:rFonts w:ascii="宋体" w:hAnsi="宋体" w:cs="宋体" w:eastAsia="宋体" w:hint="default"/>
                <w:spacing w:val="-44"/>
                <w:sz w:val="18"/>
                <w:szCs w:val="18"/>
              </w:rPr>
              <w:t> </w:t>
            </w:r>
            <w:r>
              <w:rPr>
                <w:rFonts w:ascii="宋体" w:hAnsi="宋体" w:cs="宋体" w:eastAsia="宋体" w:hint="default"/>
                <w:sz w:val="18"/>
                <w:szCs w:val="18"/>
              </w:rPr>
              <w:t>日建设完成并达到预定可使用状态，实际投入金额</w:t>
            </w:r>
            <w:r>
              <w:rPr>
                <w:rFonts w:ascii="宋体" w:hAnsi="宋体" w:cs="宋体" w:eastAsia="宋体" w:hint="default"/>
                <w:spacing w:val="-44"/>
                <w:sz w:val="18"/>
                <w:szCs w:val="18"/>
              </w:rPr>
              <w:t> </w:t>
            </w:r>
            <w:r>
              <w:rPr>
                <w:rFonts w:ascii="宋体" w:hAnsi="宋体" w:cs="宋体" w:eastAsia="宋体" w:hint="default"/>
                <w:sz w:val="18"/>
                <w:szCs w:val="18"/>
              </w:rPr>
              <w:t>6,062.07</w:t>
            </w:r>
            <w:r>
              <w:rPr>
                <w:rFonts w:ascii="宋体" w:hAnsi="宋体" w:cs="宋体" w:eastAsia="宋体" w:hint="default"/>
                <w:spacing w:val="-43"/>
                <w:sz w:val="18"/>
                <w:szCs w:val="18"/>
              </w:rPr>
              <w:t> </w:t>
            </w:r>
            <w:r>
              <w:rPr>
                <w:rFonts w:ascii="宋体" w:hAnsi="宋体" w:cs="宋体" w:eastAsia="宋体" w:hint="default"/>
                <w:sz w:val="18"/>
                <w:szCs w:val="18"/>
              </w:rPr>
              <w:t>万元，节余资金</w:t>
            </w:r>
            <w:r>
              <w:rPr>
                <w:rFonts w:ascii="宋体" w:hAnsi="宋体" w:cs="宋体" w:eastAsia="宋体" w:hint="default"/>
                <w:spacing w:val="-44"/>
                <w:sz w:val="18"/>
                <w:szCs w:val="18"/>
              </w:rPr>
              <w:t> </w:t>
            </w:r>
            <w:r>
              <w:rPr>
                <w:rFonts w:ascii="宋体" w:hAnsi="宋体" w:cs="宋体" w:eastAsia="宋体" w:hint="default"/>
                <w:sz w:val="18"/>
                <w:szCs w:val="18"/>
              </w:rPr>
              <w:t>937.93</w:t>
            </w:r>
            <w:r>
              <w:rPr>
                <w:rFonts w:ascii="宋体" w:hAnsi="宋体" w:cs="宋体" w:eastAsia="宋体" w:hint="default"/>
                <w:spacing w:val="-44"/>
                <w:sz w:val="18"/>
                <w:szCs w:val="18"/>
              </w:rPr>
              <w:t> </w:t>
            </w:r>
            <w:r>
              <w:rPr>
                <w:rFonts w:ascii="宋体" w:hAnsi="宋体" w:cs="宋体" w:eastAsia="宋体" w:hint="default"/>
                <w:spacing w:val="-5"/>
                <w:sz w:val="18"/>
                <w:szCs w:val="18"/>
              </w:rPr>
              <w:t>万元已用于永久性补充流动资金）；</w:t>
            </w:r>
            <w:r>
              <w:rPr>
                <w:rFonts w:ascii="宋体" w:hAnsi="宋体" w:cs="宋体" w:eastAsia="宋体" w:hint="default"/>
                <w:spacing w:val="-5"/>
                <w:sz w:val="18"/>
                <w:szCs w:val="18"/>
              </w:rPr>
              <w:t>18,000</w:t>
            </w:r>
            <w:r>
              <w:rPr>
                <w:rFonts w:ascii="宋体" w:hAnsi="宋体" w:cs="宋体" w:eastAsia="宋体" w:hint="default"/>
                <w:spacing w:val="-44"/>
                <w:sz w:val="18"/>
                <w:szCs w:val="18"/>
              </w:rPr>
              <w:t> </w:t>
            </w:r>
            <w:r>
              <w:rPr>
                <w:rFonts w:ascii="宋体" w:hAnsi="宋体" w:cs="宋体" w:eastAsia="宋体" w:hint="default"/>
                <w:sz w:val="18"/>
                <w:szCs w:val="18"/>
              </w:rPr>
              <w:t>万元归还银行贷款及</w:t>
            </w:r>
            <w:r>
              <w:rPr>
                <w:rFonts w:ascii="宋体" w:hAnsi="宋体" w:cs="宋体" w:eastAsia="宋体" w:hint="default"/>
                <w:spacing w:val="-44"/>
                <w:sz w:val="18"/>
                <w:szCs w:val="18"/>
              </w:rPr>
              <w:t> </w:t>
            </w:r>
            <w:r>
              <w:rPr>
                <w:rFonts w:ascii="宋体" w:hAnsi="宋体" w:cs="宋体" w:eastAsia="宋体" w:hint="default"/>
                <w:sz w:val="18"/>
                <w:szCs w:val="18"/>
              </w:rPr>
              <w:t>23,226.18</w:t>
            </w:r>
            <w:r>
              <w:rPr>
                <w:rFonts w:ascii="宋体" w:hAnsi="宋体" w:cs="宋体" w:eastAsia="宋体" w:hint="default"/>
                <w:spacing w:val="-42"/>
                <w:sz w:val="18"/>
                <w:szCs w:val="18"/>
              </w:rPr>
              <w:t> </w:t>
            </w:r>
            <w:r>
              <w:rPr>
                <w:rFonts w:ascii="宋体" w:hAnsi="宋体" w:cs="宋体" w:eastAsia="宋体" w:hint="default"/>
                <w:sz w:val="18"/>
                <w:szCs w:val="18"/>
              </w:rPr>
              <w:t>万元永 久补充流动资金。</w:t>
            </w:r>
          </w:p>
        </w:tc>
      </w:tr>
    </w:tbl>
    <w:p>
      <w:pPr>
        <w:spacing w:after="0" w:line="319" w:lineRule="auto"/>
        <w:jc w:val="left"/>
        <w:rPr>
          <w:rFonts w:ascii="宋体" w:hAnsi="宋体" w:cs="宋体" w:eastAsia="宋体" w:hint="default"/>
          <w:sz w:val="18"/>
          <w:szCs w:val="18"/>
        </w:rPr>
        <w:sectPr>
          <w:headerReference w:type="default" r:id="rId15"/>
          <w:footerReference w:type="default" r:id="rId16"/>
          <w:pgSz w:w="16840" w:h="11910" w:orient="landscape"/>
          <w:pgMar w:header="857" w:footer="1187" w:top="1040" w:bottom="1380" w:left="1300" w:right="0"/>
          <w:pgNumType w:start="19"/>
        </w:sectPr>
      </w:pPr>
    </w:p>
    <w:p>
      <w:pPr>
        <w:spacing w:line="240" w:lineRule="auto" w:before="9"/>
        <w:rPr>
          <w:rFonts w:ascii="宋体" w:hAnsi="宋体" w:cs="宋体" w:eastAsia="宋体" w:hint="default"/>
          <w:sz w:val="3"/>
          <w:szCs w:val="3"/>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140" w:right="0"/>
        <w:jc w:val="left"/>
        <w:rPr>
          <w:b w:val="0"/>
          <w:bCs w:val="0"/>
        </w:rPr>
      </w:pPr>
      <w:bookmarkStart w:name="（2）募集资金承诺项目情况" w:id="50"/>
      <w:bookmarkEnd w:id="50"/>
      <w:r>
        <w:rPr>
          <w:b w:val="0"/>
          <w:bCs w:val="0"/>
        </w:rPr>
      </w:r>
      <w:r>
        <w:rPr/>
        <w:t>（</w:t>
      </w:r>
      <w:r>
        <w:rPr>
          <w:rFonts w:ascii="宋体" w:hAnsi="宋体" w:cs="宋体" w:eastAsia="宋体" w:hint="default"/>
        </w:rPr>
        <w:t>2</w:t>
      </w:r>
      <w:r>
        <w:rPr/>
        <w:t>）募集资金承诺项目情况</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140" w:right="0"/>
        <w:jc w:val="left"/>
      </w:pPr>
      <w:r>
        <w:rPr/>
        <w:t>√ 适用 □ 不适用</w:t>
      </w:r>
    </w:p>
    <w:p>
      <w:pPr>
        <w:pStyle w:val="BodyText"/>
        <w:spacing w:line="240" w:lineRule="auto" w:before="116"/>
        <w:ind w:left="0" w:right="1436"/>
        <w:jc w:val="right"/>
      </w:pPr>
      <w:r>
        <w:rPr/>
        <w:t>单位：万元</w:t>
      </w:r>
    </w:p>
    <w:p>
      <w:pPr>
        <w:spacing w:line="240" w:lineRule="auto" w:before="1"/>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2646"/>
        <w:gridCol w:w="898"/>
        <w:gridCol w:w="992"/>
        <w:gridCol w:w="994"/>
        <w:gridCol w:w="991"/>
        <w:gridCol w:w="993"/>
        <w:gridCol w:w="1096"/>
        <w:gridCol w:w="1597"/>
        <w:gridCol w:w="994"/>
        <w:gridCol w:w="991"/>
        <w:gridCol w:w="856"/>
        <w:gridCol w:w="988"/>
      </w:tblGrid>
      <w:tr>
        <w:trPr>
          <w:trHeight w:val="1026"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47" w:right="0"/>
              <w:jc w:val="left"/>
              <w:rPr>
                <w:rFonts w:ascii="宋体" w:hAnsi="宋体" w:cs="宋体" w:eastAsia="宋体" w:hint="default"/>
                <w:sz w:val="18"/>
                <w:szCs w:val="18"/>
              </w:rPr>
            </w:pPr>
            <w:r>
              <w:rPr>
                <w:rFonts w:ascii="宋体" w:hAnsi="宋体" w:cs="宋体" w:eastAsia="宋体" w:hint="default"/>
                <w:sz w:val="18"/>
                <w:szCs w:val="18"/>
              </w:rPr>
              <w:t>承诺投资项目和超募资金投向</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8" w:right="37" w:firstLine="45"/>
              <w:jc w:val="both"/>
              <w:rPr>
                <w:rFonts w:ascii="宋体" w:hAnsi="宋体" w:cs="宋体" w:eastAsia="宋体" w:hint="default"/>
                <w:sz w:val="18"/>
                <w:szCs w:val="18"/>
              </w:rPr>
            </w:pPr>
            <w:r>
              <w:rPr>
                <w:rFonts w:ascii="宋体" w:hAnsi="宋体" w:cs="宋体" w:eastAsia="宋体" w:hint="default"/>
                <w:sz w:val="18"/>
                <w:szCs w:val="18"/>
              </w:rPr>
              <w:t>是否已变 更项目</w:t>
            </w:r>
            <w:r>
              <w:rPr>
                <w:rFonts w:ascii="宋体" w:hAnsi="宋体" w:cs="宋体" w:eastAsia="宋体" w:hint="default"/>
                <w:sz w:val="18"/>
                <w:szCs w:val="18"/>
              </w:rPr>
              <w:t>(</w:t>
            </w:r>
            <w:r>
              <w:rPr>
                <w:rFonts w:ascii="宋体" w:hAnsi="宋体" w:cs="宋体" w:eastAsia="宋体" w:hint="default"/>
                <w:sz w:val="18"/>
                <w:szCs w:val="18"/>
              </w:rPr>
              <w:t>含 部分变更</w:t>
            </w:r>
            <w:r>
              <w:rPr>
                <w:rFonts w:ascii="宋体" w:hAnsi="宋体" w:cs="宋体" w:eastAsia="宋体" w:hint="default"/>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2" w:right="38"/>
              <w:jc w:val="left"/>
              <w:rPr>
                <w:rFonts w:ascii="宋体" w:hAnsi="宋体" w:cs="宋体" w:eastAsia="宋体" w:hint="default"/>
                <w:sz w:val="18"/>
                <w:szCs w:val="18"/>
              </w:rPr>
            </w:pPr>
            <w:r>
              <w:rPr>
                <w:rFonts w:ascii="宋体" w:hAnsi="宋体" w:cs="宋体" w:eastAsia="宋体" w:hint="default"/>
                <w:sz w:val="18"/>
                <w:szCs w:val="18"/>
              </w:rPr>
              <w:t>募集资金承 诺投资总额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76" w:right="41" w:hanging="136"/>
              <w:jc w:val="left"/>
              <w:rPr>
                <w:rFonts w:ascii="宋体" w:hAnsi="宋体" w:cs="宋体" w:eastAsia="宋体" w:hint="default"/>
                <w:sz w:val="18"/>
                <w:szCs w:val="18"/>
              </w:rPr>
            </w:pPr>
            <w:r>
              <w:rPr>
                <w:rFonts w:ascii="宋体" w:hAnsi="宋体" w:cs="宋体" w:eastAsia="宋体" w:hint="default"/>
                <w:sz w:val="18"/>
                <w:szCs w:val="18"/>
              </w:rPr>
              <w:t>调整后投资 总额</w:t>
            </w:r>
            <w:r>
              <w:rPr>
                <w:rFonts w:ascii="宋体" w:hAnsi="宋体" w:cs="宋体" w:eastAsia="宋体" w:hint="default"/>
                <w:sz w:val="18"/>
                <w:szCs w:val="18"/>
              </w:rPr>
              <w:t>(1)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360" w:lineRule="auto"/>
              <w:ind w:left="130" w:right="128"/>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40" w:right="40"/>
              <w:jc w:val="center"/>
              <w:rPr>
                <w:rFonts w:ascii="宋体" w:hAnsi="宋体" w:cs="宋体" w:eastAsia="宋体" w:hint="default"/>
                <w:sz w:val="18"/>
                <w:szCs w:val="18"/>
              </w:rPr>
            </w:pPr>
            <w:r>
              <w:rPr>
                <w:rFonts w:ascii="宋体" w:hAnsi="宋体" w:cs="宋体" w:eastAsia="宋体" w:hint="default"/>
                <w:sz w:val="18"/>
                <w:szCs w:val="18"/>
              </w:rPr>
              <w:t>截至期末累 计投入金额 </w:t>
            </w:r>
            <w:r>
              <w:rPr>
                <w:rFonts w:ascii="宋体" w:hAnsi="宋体" w:cs="宋体" w:eastAsia="宋体" w:hint="default"/>
                <w:sz w:val="18"/>
                <w:szCs w:val="18"/>
              </w:rPr>
              <w:t>(2)</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47" w:right="47" w:hanging="2"/>
              <w:jc w:val="center"/>
              <w:rPr>
                <w:rFonts w:ascii="宋体" w:hAnsi="宋体" w:cs="宋体" w:eastAsia="宋体" w:hint="default"/>
                <w:sz w:val="18"/>
                <w:szCs w:val="18"/>
              </w:rPr>
            </w:pPr>
            <w:r>
              <w:rPr>
                <w:rFonts w:ascii="宋体" w:hAnsi="宋体" w:cs="宋体" w:eastAsia="宋体" w:hint="default"/>
                <w:sz w:val="18"/>
                <w:szCs w:val="18"/>
              </w:rPr>
              <w:t>截至期末投 资进度</w:t>
            </w:r>
            <w:r>
              <w:rPr>
                <w:rFonts w:ascii="宋体" w:hAnsi="宋体" w:cs="宋体" w:eastAsia="宋体" w:hint="default"/>
                <w:sz w:val="18"/>
                <w:szCs w:val="18"/>
              </w:rPr>
              <w:t>(3)</w:t>
            </w:r>
            <w:r>
              <w:rPr>
                <w:rFonts w:ascii="宋体" w:hAnsi="宋体" w:cs="宋体" w:eastAsia="宋体" w:hint="default"/>
                <w:sz w:val="18"/>
                <w:szCs w:val="18"/>
              </w:rPr>
              <w:t>＝ </w:t>
            </w:r>
            <w:r>
              <w:rPr>
                <w:rFonts w:ascii="宋体" w:hAnsi="宋体" w:cs="宋体" w:eastAsia="宋体" w:hint="default"/>
                <w:sz w:val="18"/>
                <w:szCs w:val="18"/>
              </w:rPr>
              <w:t>(2)/(1)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360" w:lineRule="auto"/>
              <w:ind w:left="163" w:right="162" w:firstLine="90"/>
              <w:jc w:val="left"/>
              <w:rPr>
                <w:rFonts w:ascii="宋体" w:hAnsi="宋体" w:cs="宋体" w:eastAsia="宋体" w:hint="default"/>
                <w:sz w:val="18"/>
                <w:szCs w:val="18"/>
              </w:rPr>
            </w:pPr>
            <w:r>
              <w:rPr>
                <w:rFonts w:ascii="宋体" w:hAnsi="宋体" w:cs="宋体" w:eastAsia="宋体" w:hint="default"/>
                <w:sz w:val="18"/>
                <w:szCs w:val="18"/>
              </w:rPr>
              <w:t>项目达到预定 可使用状态日期</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360" w:lineRule="auto"/>
              <w:ind w:left="40" w:right="41" w:firstLine="90"/>
              <w:jc w:val="left"/>
              <w:rPr>
                <w:rFonts w:ascii="宋体" w:hAnsi="宋体" w:cs="宋体" w:eastAsia="宋体" w:hint="default"/>
                <w:sz w:val="18"/>
                <w:szCs w:val="18"/>
              </w:rPr>
            </w:pPr>
            <w:r>
              <w:rPr>
                <w:rFonts w:ascii="宋体" w:hAnsi="宋体" w:cs="宋体" w:eastAsia="宋体" w:hint="default"/>
                <w:sz w:val="18"/>
                <w:szCs w:val="18"/>
              </w:rPr>
              <w:t>本报告期 实现的效益</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40" w:right="38"/>
              <w:jc w:val="center"/>
              <w:rPr>
                <w:rFonts w:ascii="宋体" w:hAnsi="宋体" w:cs="宋体" w:eastAsia="宋体" w:hint="default"/>
                <w:sz w:val="18"/>
                <w:szCs w:val="18"/>
              </w:rPr>
            </w:pPr>
            <w:r>
              <w:rPr>
                <w:rFonts w:ascii="宋体" w:hAnsi="宋体" w:cs="宋体" w:eastAsia="宋体" w:hint="default"/>
                <w:sz w:val="18"/>
                <w:szCs w:val="18"/>
              </w:rPr>
              <w:t>截止报告期 末累计实现 的效益</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2" w:right="6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8" w:right="37"/>
              <w:jc w:val="center"/>
              <w:rPr>
                <w:rFonts w:ascii="宋体" w:hAnsi="宋体" w:cs="宋体" w:eastAsia="宋体" w:hint="default"/>
                <w:sz w:val="18"/>
                <w:szCs w:val="18"/>
              </w:rPr>
            </w:pPr>
            <w:r>
              <w:rPr>
                <w:rFonts w:ascii="宋体" w:hAnsi="宋体" w:cs="宋体" w:eastAsia="宋体" w:hint="default"/>
                <w:sz w:val="18"/>
                <w:szCs w:val="18"/>
              </w:rPr>
              <w:t>项目可行性 是否发生重 大变化</w:t>
            </w:r>
          </w:p>
        </w:tc>
      </w:tr>
      <w:tr>
        <w:trPr>
          <w:trHeight w:val="402" w:hRule="exact"/>
        </w:trPr>
        <w:tc>
          <w:tcPr>
            <w:tcW w:w="14035"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4"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电子支付智能卡系列产品研发及 产业化项目</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53"/>
              <w:jc w:val="righ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11,939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7,895.3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7,895.3</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2,614.66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21,059.03</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33"/>
              <w:jc w:val="right"/>
              <w:rPr>
                <w:rFonts w:ascii="宋体" w:hAnsi="宋体" w:cs="宋体" w:eastAsia="宋体" w:hint="default"/>
                <w:sz w:val="18"/>
                <w:szCs w:val="18"/>
              </w:rPr>
            </w:pPr>
            <w:r>
              <w:rPr>
                <w:rFonts w:ascii="宋体" w:hAnsi="宋体" w:cs="宋体" w:eastAsia="宋体" w:hint="default"/>
                <w:sz w:val="18"/>
                <w:szCs w:val="18"/>
              </w:rPr>
              <w:t>是</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r>
      <w:tr>
        <w:trPr>
          <w:trHeight w:val="714"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1"/>
              <w:jc w:val="left"/>
              <w:rPr>
                <w:rFonts w:ascii="宋体" w:hAnsi="宋体" w:cs="宋体" w:eastAsia="宋体" w:hint="default"/>
                <w:sz w:val="18"/>
                <w:szCs w:val="18"/>
              </w:rPr>
            </w:pPr>
            <w:r>
              <w:rPr>
                <w:rFonts w:ascii="宋体" w:hAnsi="宋体" w:cs="宋体" w:eastAsia="宋体" w:hint="default"/>
                <w:sz w:val="18"/>
                <w:szCs w:val="18"/>
              </w:rPr>
              <w:t>智能</w:t>
            </w:r>
            <w:r>
              <w:rPr>
                <w:rFonts w:ascii="宋体" w:hAnsi="宋体" w:cs="宋体" w:eastAsia="宋体" w:hint="default"/>
                <w:spacing w:val="-46"/>
                <w:sz w:val="18"/>
                <w:szCs w:val="18"/>
              </w:rPr>
              <w:t> </w:t>
            </w:r>
            <w:r>
              <w:rPr>
                <w:rFonts w:ascii="宋体" w:hAnsi="宋体" w:cs="宋体" w:eastAsia="宋体" w:hint="default"/>
                <w:sz w:val="18"/>
                <w:szCs w:val="18"/>
              </w:rPr>
              <w:t>SD</w:t>
            </w:r>
            <w:r>
              <w:rPr>
                <w:rFonts w:ascii="宋体" w:hAnsi="宋体" w:cs="宋体" w:eastAsia="宋体" w:hint="default"/>
                <w:spacing w:val="-46"/>
                <w:sz w:val="18"/>
                <w:szCs w:val="18"/>
              </w:rPr>
              <w:t> </w:t>
            </w:r>
            <w:r>
              <w:rPr>
                <w:rFonts w:ascii="宋体" w:hAnsi="宋体" w:cs="宋体" w:eastAsia="宋体" w:hint="default"/>
                <w:sz w:val="18"/>
                <w:szCs w:val="18"/>
              </w:rPr>
              <w:t>卡</w:t>
            </w:r>
            <w:r>
              <w:rPr>
                <w:rFonts w:ascii="宋体" w:hAnsi="宋体" w:cs="宋体" w:eastAsia="宋体" w:hint="default"/>
                <w:sz w:val="18"/>
                <w:szCs w:val="18"/>
              </w:rPr>
              <w:t>/</w:t>
            </w:r>
            <w:r>
              <w:rPr>
                <w:rFonts w:ascii="宋体" w:hAnsi="宋体" w:cs="宋体" w:eastAsia="宋体" w:hint="default"/>
                <w:sz w:val="18"/>
                <w:szCs w:val="18"/>
              </w:rPr>
              <w:t>大容量</w:t>
            </w:r>
            <w:r>
              <w:rPr>
                <w:rFonts w:ascii="宋体" w:hAnsi="宋体" w:cs="宋体" w:eastAsia="宋体" w:hint="default"/>
                <w:spacing w:val="-46"/>
                <w:sz w:val="18"/>
                <w:szCs w:val="18"/>
              </w:rPr>
              <w:t> </w:t>
            </w:r>
            <w:r>
              <w:rPr>
                <w:rFonts w:ascii="宋体" w:hAnsi="宋体" w:cs="宋体" w:eastAsia="宋体" w:hint="default"/>
                <w:sz w:val="18"/>
                <w:szCs w:val="18"/>
              </w:rPr>
              <w:t>SIM</w:t>
            </w:r>
            <w:r>
              <w:rPr>
                <w:rFonts w:ascii="宋体" w:hAnsi="宋体" w:cs="宋体" w:eastAsia="宋体" w:hint="default"/>
                <w:spacing w:val="-46"/>
                <w:sz w:val="18"/>
                <w:szCs w:val="18"/>
              </w:rPr>
              <w:t> </w:t>
            </w:r>
            <w:r>
              <w:rPr>
                <w:rFonts w:ascii="宋体" w:hAnsi="宋体" w:cs="宋体" w:eastAsia="宋体" w:hint="default"/>
                <w:sz w:val="18"/>
                <w:szCs w:val="18"/>
              </w:rPr>
              <w:t>卡系列产 品研发及产业化项目</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53"/>
              <w:jc w:val="righ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9,879.5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4,985.88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4,985.88</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194.11</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33"/>
              <w:jc w:val="right"/>
              <w:rPr>
                <w:rFonts w:ascii="宋体" w:hAnsi="宋体" w:cs="宋体" w:eastAsia="宋体" w:hint="default"/>
                <w:sz w:val="18"/>
                <w:szCs w:val="18"/>
              </w:rPr>
            </w:pPr>
            <w:r>
              <w:rPr>
                <w:rFonts w:ascii="宋体" w:hAnsi="宋体" w:cs="宋体" w:eastAsia="宋体" w:hint="default"/>
                <w:sz w:val="18"/>
                <w:szCs w:val="18"/>
              </w:rPr>
              <w:t>否</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r>
      <w:tr>
        <w:trPr>
          <w:trHeight w:val="402"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节余资金永久补充流动资金</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3"/>
              <w:jc w:val="righ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8,937.32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8,937.32</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33"/>
              <w:jc w:val="right"/>
              <w:rPr>
                <w:rFonts w:ascii="宋体" w:hAnsi="宋体" w:cs="宋体" w:eastAsia="宋体" w:hint="default"/>
                <w:sz w:val="18"/>
                <w:szCs w:val="18"/>
              </w:rPr>
            </w:pPr>
            <w:r>
              <w:rPr>
                <w:rFonts w:ascii="宋体"/>
                <w:sz w:val="18"/>
              </w:rPr>
              <w:t>--</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r>
      <w:tr>
        <w:trPr>
          <w:trHeight w:val="402"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3"/>
              <w:jc w:val="right"/>
              <w:rPr>
                <w:rFonts w:ascii="宋体" w:hAnsi="宋体" w:cs="宋体" w:eastAsia="宋体" w:hint="default"/>
                <w:sz w:val="18"/>
                <w:szCs w:val="18"/>
              </w:rPr>
            </w:pPr>
            <w:r>
              <w:rPr>
                <w:rFonts w:ascii="宋体"/>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21,818.5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21,818.5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21,818.5</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2,614.7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21,253.14</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33"/>
              <w:jc w:val="right"/>
              <w:rPr>
                <w:rFonts w:ascii="宋体" w:hAnsi="宋体" w:cs="宋体" w:eastAsia="宋体" w:hint="default"/>
                <w:sz w:val="18"/>
                <w:szCs w:val="18"/>
              </w:rPr>
            </w:pPr>
            <w:r>
              <w:rPr>
                <w:rFonts w:ascii="宋体"/>
                <w:sz w:val="18"/>
              </w:rPr>
              <w:t>--</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r>
      <w:tr>
        <w:trPr>
          <w:trHeight w:val="402" w:hRule="exact"/>
        </w:trPr>
        <w:tc>
          <w:tcPr>
            <w:tcW w:w="14035"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增资子公司天喻通讯</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3"/>
              <w:jc w:val="righ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3,000</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-1,980.19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-2,142.36</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33"/>
              <w:jc w:val="right"/>
              <w:rPr>
                <w:rFonts w:ascii="宋体" w:hAnsi="宋体" w:cs="宋体" w:eastAsia="宋体" w:hint="default"/>
                <w:sz w:val="18"/>
                <w:szCs w:val="18"/>
              </w:rPr>
            </w:pPr>
            <w:r>
              <w:rPr>
                <w:rFonts w:ascii="宋体" w:hAnsi="宋体" w:cs="宋体" w:eastAsia="宋体" w:hint="default"/>
                <w:sz w:val="18"/>
                <w:szCs w:val="18"/>
              </w:rPr>
              <w:t>否</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r>
      <w:tr>
        <w:trPr>
          <w:trHeight w:val="402"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数据安全产业园一期工程项目</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3"/>
              <w:jc w:val="righ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6,062.07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2,474.17</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6,062.07</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33"/>
              <w:jc w:val="right"/>
              <w:rPr>
                <w:rFonts w:ascii="宋体" w:hAnsi="宋体" w:cs="宋体" w:eastAsia="宋体" w:hint="default"/>
                <w:sz w:val="18"/>
                <w:szCs w:val="18"/>
              </w:rPr>
            </w:pPr>
            <w:r>
              <w:rPr>
                <w:rFonts w:ascii="宋体"/>
                <w:sz w:val="18"/>
              </w:rPr>
              <w:t>--</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r>
      <w:tr>
        <w:trPr>
          <w:trHeight w:val="714"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数据安全产业园一期工程项目节 余资金永久补充流动资金</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53"/>
              <w:jc w:val="righ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937.93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937.93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937.93</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33"/>
              <w:jc w:val="right"/>
              <w:rPr>
                <w:rFonts w:ascii="宋体" w:hAnsi="宋体" w:cs="宋体" w:eastAsia="宋体" w:hint="default"/>
                <w:sz w:val="18"/>
                <w:szCs w:val="18"/>
              </w:rPr>
            </w:pPr>
            <w:r>
              <w:rPr>
                <w:rFonts w:ascii="宋体"/>
                <w:sz w:val="18"/>
              </w:rPr>
              <w:t>--</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r>
      <w:tr>
        <w:trPr>
          <w:trHeight w:val="402"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归还银行贷款</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3"/>
              <w:jc w:val="right"/>
              <w:rPr>
                <w:rFonts w:ascii="宋体" w:hAnsi="宋体" w:cs="宋体" w:eastAsia="宋体" w:hint="default"/>
                <w:sz w:val="18"/>
                <w:szCs w:val="18"/>
              </w:rPr>
            </w:pPr>
            <w:r>
              <w:rPr>
                <w:rFonts w:ascii="宋体"/>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18,000</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33"/>
              <w:jc w:val="right"/>
              <w:rPr>
                <w:rFonts w:ascii="宋体" w:hAnsi="宋体" w:cs="宋体" w:eastAsia="宋体" w:hint="default"/>
                <w:sz w:val="18"/>
                <w:szCs w:val="18"/>
              </w:rPr>
            </w:pPr>
            <w:r>
              <w:rPr>
                <w:rFonts w:ascii="宋体"/>
                <w:sz w:val="18"/>
              </w:rPr>
              <w:t>--</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r>
      <w:tr>
        <w:trPr>
          <w:trHeight w:val="402"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补充流动资金</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3"/>
              <w:jc w:val="right"/>
              <w:rPr>
                <w:rFonts w:ascii="宋体" w:hAnsi="宋体" w:cs="宋体" w:eastAsia="宋体" w:hint="default"/>
                <w:sz w:val="18"/>
                <w:szCs w:val="18"/>
              </w:rPr>
            </w:pPr>
            <w:r>
              <w:rPr>
                <w:rFonts w:ascii="宋体"/>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23,226.18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23,226.18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8,226.18</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23,226.18</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33"/>
              <w:jc w:val="right"/>
              <w:rPr>
                <w:rFonts w:ascii="宋体" w:hAnsi="宋体" w:cs="宋体" w:eastAsia="宋体" w:hint="default"/>
                <w:sz w:val="18"/>
                <w:szCs w:val="18"/>
              </w:rPr>
            </w:pPr>
            <w:r>
              <w:rPr>
                <w:rFonts w:ascii="宋体"/>
                <w:sz w:val="18"/>
              </w:rPr>
              <w:t>--</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r>
      <w:tr>
        <w:trPr>
          <w:trHeight w:val="402"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3"/>
              <w:jc w:val="right"/>
              <w:rPr>
                <w:rFonts w:ascii="宋体" w:hAnsi="宋体" w:cs="宋体" w:eastAsia="宋体" w:hint="default"/>
                <w:sz w:val="18"/>
                <w:szCs w:val="18"/>
              </w:rPr>
            </w:pPr>
            <w:r>
              <w:rPr>
                <w:rFonts w:ascii="宋体"/>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51,226.18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51,226.18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11,638.28</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51,226.18</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-1,980.19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-2,142.36</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33"/>
              <w:jc w:val="right"/>
              <w:rPr>
                <w:rFonts w:ascii="宋体" w:hAnsi="宋体" w:cs="宋体" w:eastAsia="宋体" w:hint="default"/>
                <w:sz w:val="18"/>
                <w:szCs w:val="18"/>
              </w:rPr>
            </w:pPr>
            <w:r>
              <w:rPr>
                <w:rFonts w:ascii="宋体"/>
                <w:sz w:val="18"/>
              </w:rPr>
              <w:t>--</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r>
      <w:tr>
        <w:trPr>
          <w:trHeight w:val="402"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3"/>
              <w:jc w:val="right"/>
              <w:rPr>
                <w:rFonts w:ascii="宋体" w:hAnsi="宋体" w:cs="宋体" w:eastAsia="宋体" w:hint="default"/>
                <w:sz w:val="18"/>
                <w:szCs w:val="18"/>
              </w:rPr>
            </w:pPr>
            <w:r>
              <w:rPr>
                <w:rFonts w:ascii="宋体"/>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73,044.68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73,044.68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11,638.28</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73,044.68</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634.51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19,110.78</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33"/>
              <w:jc w:val="right"/>
              <w:rPr>
                <w:rFonts w:ascii="宋体" w:hAnsi="宋体" w:cs="宋体" w:eastAsia="宋体" w:hint="default"/>
                <w:sz w:val="18"/>
                <w:szCs w:val="18"/>
              </w:rPr>
            </w:pPr>
            <w:r>
              <w:rPr>
                <w:rFonts w:ascii="宋体"/>
                <w:sz w:val="18"/>
              </w:rPr>
              <w:t>--</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r>
      <w:tr>
        <w:trPr>
          <w:trHeight w:val="714"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未达到计划进度或预计收益的情 况和原因</w:t>
            </w:r>
          </w:p>
        </w:tc>
        <w:tc>
          <w:tcPr>
            <w:tcW w:w="11389" w:type="dxa"/>
            <w:gridSpan w:val="11"/>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1"/>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智能</w:t>
            </w:r>
            <w:r>
              <w:rPr>
                <w:rFonts w:ascii="宋体" w:hAnsi="宋体" w:cs="宋体" w:eastAsia="宋体" w:hint="default"/>
                <w:spacing w:val="-48"/>
                <w:sz w:val="18"/>
                <w:szCs w:val="18"/>
              </w:rPr>
              <w:t> </w:t>
            </w:r>
            <w:r>
              <w:rPr>
                <w:rFonts w:ascii="宋体" w:hAnsi="宋体" w:cs="宋体" w:eastAsia="宋体" w:hint="default"/>
                <w:sz w:val="18"/>
                <w:szCs w:val="18"/>
              </w:rPr>
              <w:t>SD</w:t>
            </w:r>
            <w:r>
              <w:rPr>
                <w:rFonts w:ascii="宋体" w:hAnsi="宋体" w:cs="宋体" w:eastAsia="宋体" w:hint="default"/>
                <w:spacing w:val="-48"/>
                <w:sz w:val="18"/>
                <w:szCs w:val="18"/>
              </w:rPr>
              <w:t> </w:t>
            </w:r>
            <w:r>
              <w:rPr>
                <w:rFonts w:ascii="宋体" w:hAnsi="宋体" w:cs="宋体" w:eastAsia="宋体" w:hint="default"/>
                <w:sz w:val="18"/>
                <w:szCs w:val="18"/>
              </w:rPr>
              <w:t>卡</w:t>
            </w:r>
            <w:r>
              <w:rPr>
                <w:rFonts w:ascii="宋体" w:hAnsi="宋体" w:cs="宋体" w:eastAsia="宋体" w:hint="default"/>
                <w:sz w:val="18"/>
                <w:szCs w:val="18"/>
              </w:rPr>
              <w:t>/</w:t>
            </w:r>
            <w:r>
              <w:rPr>
                <w:rFonts w:ascii="宋体" w:hAnsi="宋体" w:cs="宋体" w:eastAsia="宋体" w:hint="default"/>
                <w:sz w:val="18"/>
                <w:szCs w:val="18"/>
              </w:rPr>
              <w:t>大容量</w:t>
            </w:r>
            <w:r>
              <w:rPr>
                <w:rFonts w:ascii="宋体" w:hAnsi="宋体" w:cs="宋体" w:eastAsia="宋体" w:hint="default"/>
                <w:spacing w:val="-48"/>
                <w:sz w:val="18"/>
                <w:szCs w:val="18"/>
              </w:rPr>
              <w:t> </w:t>
            </w:r>
            <w:r>
              <w:rPr>
                <w:rFonts w:ascii="宋体" w:hAnsi="宋体" w:cs="宋体" w:eastAsia="宋体" w:hint="default"/>
                <w:sz w:val="18"/>
                <w:szCs w:val="18"/>
              </w:rPr>
              <w:t>SIM</w:t>
            </w:r>
            <w:r>
              <w:rPr>
                <w:rFonts w:ascii="宋体" w:hAnsi="宋体" w:cs="宋体" w:eastAsia="宋体" w:hint="default"/>
                <w:spacing w:val="-48"/>
                <w:sz w:val="18"/>
                <w:szCs w:val="18"/>
              </w:rPr>
              <w:t> </w:t>
            </w:r>
            <w:r>
              <w:rPr>
                <w:rFonts w:ascii="宋体" w:hAnsi="宋体" w:cs="宋体" w:eastAsia="宋体" w:hint="default"/>
                <w:sz w:val="18"/>
                <w:szCs w:val="18"/>
              </w:rPr>
              <w:t>卡系列产品研发及产业化项目未达到预计收益的原因说明：公司</w:t>
            </w:r>
            <w:r>
              <w:rPr>
                <w:rFonts w:ascii="宋体" w:hAnsi="宋体" w:cs="宋体" w:eastAsia="宋体" w:hint="default"/>
                <w:spacing w:val="-48"/>
                <w:sz w:val="18"/>
                <w:szCs w:val="18"/>
              </w:rPr>
              <w:t> </w:t>
            </w:r>
            <w:r>
              <w:rPr>
                <w:rFonts w:ascii="宋体" w:hAnsi="宋体" w:cs="宋体" w:eastAsia="宋体" w:hint="default"/>
                <w:sz w:val="18"/>
                <w:szCs w:val="18"/>
              </w:rPr>
              <w:t>M-CAM</w:t>
            </w:r>
            <w:r>
              <w:rPr>
                <w:rFonts w:ascii="宋体" w:hAnsi="宋体" w:cs="宋体" w:eastAsia="宋体" w:hint="default"/>
                <w:spacing w:val="-47"/>
                <w:sz w:val="18"/>
                <w:szCs w:val="18"/>
              </w:rPr>
              <w:t> </w:t>
            </w:r>
            <w:r>
              <w:rPr>
                <w:rFonts w:ascii="宋体" w:hAnsi="宋体" w:cs="宋体" w:eastAsia="宋体" w:hint="default"/>
                <w:sz w:val="18"/>
                <w:szCs w:val="18"/>
              </w:rPr>
              <w:t>卡（移动多媒体广播有条件接收卡）为该项目中 智能</w:t>
            </w:r>
            <w:r>
              <w:rPr>
                <w:rFonts w:ascii="宋体" w:hAnsi="宋体" w:cs="宋体" w:eastAsia="宋体" w:hint="default"/>
                <w:spacing w:val="-46"/>
                <w:sz w:val="18"/>
                <w:szCs w:val="18"/>
              </w:rPr>
              <w:t> </w:t>
            </w:r>
            <w:r>
              <w:rPr>
                <w:rFonts w:ascii="宋体" w:hAnsi="宋体" w:cs="宋体" w:eastAsia="宋体" w:hint="default"/>
                <w:sz w:val="18"/>
                <w:szCs w:val="18"/>
              </w:rPr>
              <w:t>SD</w:t>
            </w:r>
            <w:r>
              <w:rPr>
                <w:rFonts w:ascii="宋体" w:hAnsi="宋体" w:cs="宋体" w:eastAsia="宋体" w:hint="default"/>
                <w:spacing w:val="-46"/>
                <w:sz w:val="18"/>
                <w:szCs w:val="18"/>
              </w:rPr>
              <w:t> </w:t>
            </w:r>
            <w:r>
              <w:rPr>
                <w:rFonts w:ascii="宋体" w:hAnsi="宋体" w:cs="宋体" w:eastAsia="宋体" w:hint="default"/>
                <w:sz w:val="18"/>
                <w:szCs w:val="18"/>
              </w:rPr>
              <w:t>卡主要产品之一。随着移动通信网络的发展，国家新闻出版广电总局系统主导的</w:t>
            </w:r>
            <w:r>
              <w:rPr>
                <w:rFonts w:ascii="宋体" w:hAnsi="宋体" w:cs="宋体" w:eastAsia="宋体" w:hint="default"/>
                <w:spacing w:val="-46"/>
                <w:sz w:val="18"/>
                <w:szCs w:val="18"/>
              </w:rPr>
              <w:t> </w:t>
            </w:r>
            <w:r>
              <w:rPr>
                <w:rFonts w:ascii="宋体" w:hAnsi="宋体" w:cs="宋体" w:eastAsia="宋体" w:hint="default"/>
                <w:sz w:val="18"/>
                <w:szCs w:val="18"/>
              </w:rPr>
              <w:t>CMMB</w:t>
            </w:r>
            <w:r>
              <w:rPr>
                <w:rFonts w:ascii="宋体" w:hAnsi="宋体" w:cs="宋体" w:eastAsia="宋体" w:hint="default"/>
                <w:sz w:val="18"/>
                <w:szCs w:val="18"/>
              </w:rPr>
              <w:t>（</w:t>
            </w:r>
            <w:r>
              <w:rPr>
                <w:rFonts w:ascii="宋体" w:hAnsi="宋体" w:cs="宋体" w:eastAsia="宋体" w:hint="default"/>
                <w:sz w:val="18"/>
                <w:szCs w:val="18"/>
              </w:rPr>
              <w:t>China Mobile Multimedia Broadcasting</w:t>
            </w:r>
            <w:r>
              <w:rPr>
                <w:rFonts w:ascii="宋体" w:hAnsi="宋体" w:cs="宋体" w:eastAsia="宋体" w:hint="default"/>
                <w:sz w:val="18"/>
                <w:szCs w:val="18"/>
              </w:rPr>
              <w:t>，中国</w:t>
            </w:r>
          </w:p>
        </w:tc>
      </w:tr>
    </w:tbl>
    <w:p>
      <w:pPr>
        <w:spacing w:after="0" w:line="316" w:lineRule="auto"/>
        <w:jc w:val="left"/>
        <w:rPr>
          <w:rFonts w:ascii="宋体" w:hAnsi="宋体" w:cs="宋体" w:eastAsia="宋体" w:hint="default"/>
          <w:sz w:val="18"/>
          <w:szCs w:val="18"/>
        </w:rPr>
        <w:sectPr>
          <w:pgSz w:w="16840" w:h="11910" w:orient="landscape"/>
          <w:pgMar w:header="857" w:footer="1187" w:top="1040" w:bottom="1380" w:left="1300" w:right="0"/>
        </w:sectPr>
      </w:pPr>
    </w:p>
    <w:p>
      <w:pPr>
        <w:spacing w:line="240" w:lineRule="auto" w:before="0"/>
        <w:rPr>
          <w:rFonts w:ascii="宋体" w:hAnsi="宋体" w:cs="宋体" w:eastAsia="宋体" w:hint="default"/>
          <w:sz w:val="20"/>
          <w:szCs w:val="20"/>
        </w:rPr>
      </w:pPr>
      <w:r>
        <w:rPr/>
        <w:pict>
          <v:shape style="position:absolute;margin-left:71.760002pt;margin-top:55.260006pt;width:702.5pt;height:459.2pt;mso-position-horizontal-relative:page;mso-position-vertical-relative:page;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46"/>
                    <w:gridCol w:w="11389"/>
                  </w:tblGrid>
                  <w:tr>
                    <w:trPr>
                      <w:trHeight w:val="1353" w:hRule="exact"/>
                    </w:trPr>
                    <w:tc>
                      <w:tcPr>
                        <w:tcW w:w="2646" w:type="dxa"/>
                        <w:tcBorders>
                          <w:top w:val="single" w:sz="15" w:space="0" w:color="000000"/>
                          <w:left w:val="single" w:sz="4" w:space="0" w:color="000000"/>
                          <w:bottom w:val="single" w:sz="4" w:space="0" w:color="000000"/>
                          <w:right w:val="single" w:sz="4" w:space="0" w:color="000000"/>
                        </w:tcBorders>
                      </w:tcPr>
                      <w:p>
                        <w:pPr/>
                      </w:p>
                    </w:tc>
                    <w:tc>
                      <w:tcPr>
                        <w:tcW w:w="11389"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移动多媒体广播）业务停滞，公司与中广传播集团有限公司于</w:t>
                        </w:r>
                        <w:r>
                          <w:rPr>
                            <w:rFonts w:ascii="宋体" w:hAnsi="宋体" w:cs="宋体" w:eastAsia="宋体" w:hint="default"/>
                            <w:spacing w:val="-46"/>
                            <w:sz w:val="18"/>
                            <w:szCs w:val="18"/>
                          </w:rPr>
                          <w:t> </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月签订的</w:t>
                        </w:r>
                        <w:r>
                          <w:rPr>
                            <w:rFonts w:ascii="宋体" w:hAnsi="宋体" w:cs="宋体" w:eastAsia="宋体" w:hint="default"/>
                            <w:spacing w:val="-46"/>
                            <w:sz w:val="18"/>
                            <w:szCs w:val="18"/>
                          </w:rPr>
                          <w:t> </w:t>
                        </w:r>
                        <w:r>
                          <w:rPr>
                            <w:rFonts w:ascii="宋体" w:hAnsi="宋体" w:cs="宋体" w:eastAsia="宋体" w:hint="default"/>
                            <w:sz w:val="18"/>
                            <w:szCs w:val="18"/>
                          </w:rPr>
                          <w:t>M-CAM</w:t>
                        </w:r>
                        <w:r>
                          <w:rPr>
                            <w:rFonts w:ascii="宋体" w:hAnsi="宋体" w:cs="宋体" w:eastAsia="宋体" w:hint="default"/>
                            <w:spacing w:val="-46"/>
                            <w:sz w:val="18"/>
                            <w:szCs w:val="18"/>
                          </w:rPr>
                          <w:t> </w:t>
                        </w:r>
                        <w:r>
                          <w:rPr>
                            <w:rFonts w:ascii="宋体" w:hAnsi="宋体" w:cs="宋体" w:eastAsia="宋体" w:hint="default"/>
                            <w:sz w:val="18"/>
                            <w:szCs w:val="18"/>
                          </w:rPr>
                          <w:t>卡采购框架合同至今未能执行。行业市场萎缩导致公司 </w:t>
                        </w:r>
                        <w:r>
                          <w:rPr>
                            <w:rFonts w:ascii="宋体" w:hAnsi="宋体" w:cs="宋体" w:eastAsia="宋体" w:hint="default"/>
                            <w:sz w:val="18"/>
                            <w:szCs w:val="18"/>
                          </w:rPr>
                          <w:t>M-CAM</w:t>
                        </w:r>
                        <w:r>
                          <w:rPr>
                            <w:rFonts w:ascii="宋体" w:hAnsi="宋体" w:cs="宋体" w:eastAsia="宋体" w:hint="default"/>
                            <w:spacing w:val="-56"/>
                            <w:sz w:val="18"/>
                            <w:szCs w:val="18"/>
                          </w:rPr>
                          <w:t> </w:t>
                        </w:r>
                        <w:r>
                          <w:rPr>
                            <w:rFonts w:ascii="宋体" w:hAnsi="宋体" w:cs="宋体" w:eastAsia="宋体" w:hint="default"/>
                            <w:sz w:val="18"/>
                            <w:szCs w:val="18"/>
                          </w:rPr>
                          <w:t>卡自</w:t>
                        </w:r>
                        <w:r>
                          <w:rPr>
                            <w:rFonts w:ascii="宋体" w:hAnsi="宋体" w:cs="宋体" w:eastAsia="宋体" w:hint="default"/>
                            <w:spacing w:val="-56"/>
                            <w:sz w:val="18"/>
                            <w:szCs w:val="18"/>
                          </w:rPr>
                          <w:t> </w:t>
                        </w:r>
                        <w:r>
                          <w:rPr>
                            <w:rFonts w:ascii="宋体" w:hAnsi="宋体" w:cs="宋体" w:eastAsia="宋体" w:hint="default"/>
                            <w:sz w:val="18"/>
                            <w:szCs w:val="18"/>
                          </w:rPr>
                          <w:t>2012</w:t>
                        </w:r>
                        <w:r>
                          <w:rPr>
                            <w:rFonts w:ascii="宋体" w:hAnsi="宋体" w:cs="宋体" w:eastAsia="宋体" w:hint="default"/>
                            <w:spacing w:val="-56"/>
                            <w:sz w:val="18"/>
                            <w:szCs w:val="18"/>
                          </w:rPr>
                          <w:t> </w:t>
                        </w:r>
                        <w:r>
                          <w:rPr>
                            <w:rFonts w:ascii="宋体" w:hAnsi="宋体" w:cs="宋体" w:eastAsia="宋体" w:hint="default"/>
                            <w:sz w:val="18"/>
                            <w:szCs w:val="18"/>
                          </w:rPr>
                          <w:t>年始未能实现销售。公司曾判断通信智能卡将向大容量方向发展以安全地支持大量的数据应用，公司投入资源进行大容量</w:t>
                        </w:r>
                        <w:r>
                          <w:rPr>
                            <w:rFonts w:ascii="宋体" w:hAnsi="宋体" w:cs="宋体" w:eastAsia="宋体" w:hint="default"/>
                            <w:spacing w:val="-56"/>
                            <w:sz w:val="18"/>
                            <w:szCs w:val="18"/>
                          </w:rPr>
                          <w:t> </w:t>
                        </w:r>
                        <w:r>
                          <w:rPr>
                            <w:rFonts w:ascii="宋体" w:hAnsi="宋体" w:cs="宋体" w:eastAsia="宋体" w:hint="default"/>
                            <w:sz w:val="18"/>
                            <w:szCs w:val="18"/>
                          </w:rPr>
                          <w:t>SIM</w:t>
                        </w:r>
                        <w:r>
                          <w:rPr>
                            <w:rFonts w:ascii="宋体" w:hAnsi="宋体" w:cs="宋体" w:eastAsia="宋体" w:hint="default"/>
                            <w:spacing w:val="-56"/>
                            <w:sz w:val="18"/>
                            <w:szCs w:val="18"/>
                          </w:rPr>
                          <w:t> </w:t>
                        </w:r>
                        <w:r>
                          <w:rPr>
                            <w:rFonts w:ascii="宋体" w:hAnsi="宋体" w:cs="宋体" w:eastAsia="宋体" w:hint="default"/>
                            <w:sz w:val="18"/>
                            <w:szCs w:val="18"/>
                          </w:rPr>
                          <w:t>卡 的技术积累和产品开发，但该市场尚未出现。</w:t>
                        </w:r>
                      </w:p>
                      <w:p>
                        <w:pPr>
                          <w:pStyle w:val="TableParagraph"/>
                          <w:spacing w:line="240" w:lineRule="auto" w:before="58"/>
                          <w:ind w:left="22" w:right="0"/>
                          <w:jc w:val="left"/>
                          <w:rPr>
                            <w:rFonts w:ascii="宋体" w:hAnsi="宋体" w:cs="宋体" w:eastAsia="宋体" w:hint="default"/>
                            <w:sz w:val="18"/>
                            <w:szCs w:val="18"/>
                          </w:rPr>
                        </w:pPr>
                        <w:r>
                          <w:rPr>
                            <w:rFonts w:ascii="宋体" w:hAnsi="宋体" w:cs="宋体" w:eastAsia="宋体" w:hint="default"/>
                            <w:spacing w:val="-2"/>
                            <w:sz w:val="18"/>
                            <w:szCs w:val="18"/>
                          </w:rPr>
                          <w:t>2.</w:t>
                        </w:r>
                        <w:r>
                          <w:rPr>
                            <w:rFonts w:ascii="宋体" w:hAnsi="宋体" w:cs="宋体" w:eastAsia="宋体" w:hint="default"/>
                            <w:spacing w:val="-2"/>
                            <w:sz w:val="18"/>
                            <w:szCs w:val="18"/>
                          </w:rPr>
                          <w:t>增资子公司天喻通讯未达到预计收益的原因说明：天喻通讯在线教育业务进入快速发展期，研发及市场投入较大，导致整体经营业绩未达预期</w:t>
                        </w:r>
                      </w:p>
                    </w:tc>
                  </w:tr>
                  <w:tr>
                    <w:trPr>
                      <w:trHeight w:val="714"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项目可行性发生重大变化的情况 说明</w:t>
                        </w:r>
                      </w:p>
                    </w:tc>
                    <w:tc>
                      <w:tcPr>
                        <w:tcW w:w="1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264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316" w:lineRule="auto"/>
                          <w:ind w:left="22" w:right="93"/>
                          <w:jc w:val="left"/>
                          <w:rPr>
                            <w:rFonts w:ascii="宋体" w:hAnsi="宋体" w:cs="宋体" w:eastAsia="宋体" w:hint="default"/>
                            <w:sz w:val="18"/>
                            <w:szCs w:val="18"/>
                          </w:rPr>
                        </w:pPr>
                        <w:r>
                          <w:rPr>
                            <w:rFonts w:ascii="宋体" w:hAnsi="宋体" w:cs="宋体" w:eastAsia="宋体" w:hint="default"/>
                            <w:sz w:val="18"/>
                            <w:szCs w:val="18"/>
                          </w:rPr>
                          <w:t>超募资金的金额、用途及使用进 展情况</w:t>
                        </w:r>
                      </w:p>
                    </w:tc>
                    <w:tc>
                      <w:tcPr>
                        <w:tcW w:w="1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6691" w:hRule="exact"/>
                    </w:trPr>
                    <w:tc>
                      <w:tcPr>
                        <w:tcW w:w="2646" w:type="dxa"/>
                        <w:vMerge/>
                        <w:tcBorders>
                          <w:left w:val="single" w:sz="4" w:space="0" w:color="000000"/>
                          <w:bottom w:val="single" w:sz="4" w:space="0" w:color="000000"/>
                          <w:right w:val="single" w:sz="4" w:space="0" w:color="000000"/>
                        </w:tcBorders>
                      </w:tcPr>
                      <w:p>
                        <w:pPr/>
                      </w:p>
                    </w:tc>
                    <w:tc>
                      <w:tcPr>
                        <w:tcW w:w="1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超募资金的金额为</w:t>
                        </w:r>
                        <w:r>
                          <w:rPr>
                            <w:rFonts w:ascii="宋体" w:hAnsi="宋体" w:cs="宋体" w:eastAsia="宋体" w:hint="default"/>
                            <w:spacing w:val="-46"/>
                            <w:sz w:val="18"/>
                            <w:szCs w:val="18"/>
                          </w:rPr>
                          <w:t> </w:t>
                        </w:r>
                        <w:r>
                          <w:rPr>
                            <w:rFonts w:ascii="宋体" w:hAnsi="宋体" w:cs="宋体" w:eastAsia="宋体" w:hint="default"/>
                            <w:sz w:val="18"/>
                            <w:szCs w:val="18"/>
                          </w:rPr>
                          <w:t>51,226.18</w:t>
                        </w:r>
                        <w:r>
                          <w:rPr>
                            <w:rFonts w:ascii="宋体" w:hAnsi="宋体" w:cs="宋体" w:eastAsia="宋体" w:hint="default"/>
                            <w:spacing w:val="-46"/>
                            <w:sz w:val="18"/>
                            <w:szCs w:val="18"/>
                          </w:rPr>
                          <w:t> </w:t>
                        </w:r>
                        <w:r>
                          <w:rPr>
                            <w:rFonts w:ascii="宋体" w:hAnsi="宋体" w:cs="宋体" w:eastAsia="宋体" w:hint="default"/>
                            <w:sz w:val="18"/>
                            <w:szCs w:val="18"/>
                          </w:rPr>
                          <w:t>万元。</w:t>
                        </w:r>
                      </w:p>
                      <w:p>
                        <w:pPr>
                          <w:pStyle w:val="TableParagraph"/>
                          <w:spacing w:line="240" w:lineRule="auto" w:before="117"/>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超募资金用途及使用进展情况</w:t>
                        </w:r>
                      </w:p>
                      <w:p>
                        <w:pPr>
                          <w:pStyle w:val="TableParagraph"/>
                          <w:spacing w:line="319" w:lineRule="auto" w:before="115"/>
                          <w:ind w:left="22" w:right="22"/>
                          <w:jc w:val="left"/>
                          <w:rPr>
                            <w:rFonts w:ascii="宋体" w:hAnsi="宋体" w:cs="宋体" w:eastAsia="宋体" w:hint="default"/>
                            <w:sz w:val="18"/>
                            <w:szCs w:val="18"/>
                          </w:rPr>
                        </w:pPr>
                        <w:r>
                          <w:rPr>
                            <w:rFonts w:ascii="宋体" w:hAnsi="宋体" w:cs="宋体" w:eastAsia="宋体" w:hint="default"/>
                            <w:spacing w:val="-2"/>
                            <w:sz w:val="18"/>
                            <w:szCs w:val="18"/>
                          </w:rPr>
                          <w:t>公司第五届董事会第六次会议、第五届监事会第三次会议、</w:t>
                        </w:r>
                        <w:r>
                          <w:rPr>
                            <w:rFonts w:ascii="宋体" w:hAnsi="宋体" w:cs="宋体" w:eastAsia="宋体" w:hint="default"/>
                            <w:spacing w:val="-2"/>
                            <w:sz w:val="18"/>
                            <w:szCs w:val="18"/>
                          </w:rPr>
                          <w:t>2010</w:t>
                        </w:r>
                        <w:r>
                          <w:rPr>
                            <w:rFonts w:ascii="宋体" w:hAnsi="宋体" w:cs="宋体" w:eastAsia="宋体" w:hint="default"/>
                            <w:spacing w:val="-14"/>
                            <w:sz w:val="18"/>
                            <w:szCs w:val="18"/>
                          </w:rPr>
                          <w:t> </w:t>
                        </w:r>
                        <w:r>
                          <w:rPr>
                            <w:rFonts w:ascii="宋体" w:hAnsi="宋体" w:cs="宋体" w:eastAsia="宋体" w:hint="default"/>
                            <w:spacing w:val="-1"/>
                            <w:sz w:val="18"/>
                            <w:szCs w:val="18"/>
                          </w:rPr>
                          <w:t>年年度股东大会审议通过《关于使用部分超募资金提前偿还银行贷款和永久补充</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流动资金暨超募资金使用计划的议案》，同意公司使用超募资金</w:t>
                        </w:r>
                        <w:r>
                          <w:rPr>
                            <w:rFonts w:ascii="宋体" w:hAnsi="宋体" w:cs="宋体" w:eastAsia="宋体" w:hint="default"/>
                            <w:spacing w:val="-41"/>
                            <w:sz w:val="18"/>
                            <w:szCs w:val="18"/>
                          </w:rPr>
                          <w:t> </w:t>
                        </w:r>
                        <w:r>
                          <w:rPr>
                            <w:rFonts w:ascii="宋体" w:hAnsi="宋体" w:cs="宋体" w:eastAsia="宋体" w:hint="default"/>
                            <w:sz w:val="18"/>
                            <w:szCs w:val="18"/>
                          </w:rPr>
                          <w:t>8,000</w:t>
                        </w:r>
                        <w:r>
                          <w:rPr>
                            <w:rFonts w:ascii="宋体" w:hAnsi="宋体" w:cs="宋体" w:eastAsia="宋体" w:hint="default"/>
                            <w:spacing w:val="-40"/>
                            <w:sz w:val="18"/>
                            <w:szCs w:val="18"/>
                          </w:rPr>
                          <w:t> </w:t>
                        </w:r>
                        <w:r>
                          <w:rPr>
                            <w:rFonts w:ascii="宋体" w:hAnsi="宋体" w:cs="宋体" w:eastAsia="宋体" w:hint="default"/>
                            <w:sz w:val="18"/>
                            <w:szCs w:val="18"/>
                          </w:rPr>
                          <w:t>万元提前偿还银行贷款，使用超募资金</w:t>
                        </w:r>
                        <w:r>
                          <w:rPr>
                            <w:rFonts w:ascii="宋体" w:hAnsi="宋体" w:cs="宋体" w:eastAsia="宋体" w:hint="default"/>
                            <w:spacing w:val="-41"/>
                            <w:sz w:val="18"/>
                            <w:szCs w:val="18"/>
                          </w:rPr>
                          <w:t> </w:t>
                        </w:r>
                        <w:r>
                          <w:rPr>
                            <w:rFonts w:ascii="宋体" w:hAnsi="宋体" w:cs="宋体" w:eastAsia="宋体" w:hint="default"/>
                            <w:sz w:val="18"/>
                            <w:szCs w:val="18"/>
                          </w:rPr>
                          <w:t>2,000</w:t>
                        </w:r>
                        <w:r>
                          <w:rPr>
                            <w:rFonts w:ascii="宋体" w:hAnsi="宋体" w:cs="宋体" w:eastAsia="宋体" w:hint="default"/>
                            <w:spacing w:val="-41"/>
                            <w:sz w:val="18"/>
                            <w:szCs w:val="18"/>
                          </w:rPr>
                          <w:t> </w:t>
                        </w:r>
                        <w:r>
                          <w:rPr>
                            <w:rFonts w:ascii="宋体" w:hAnsi="宋体" w:cs="宋体" w:eastAsia="宋体" w:hint="default"/>
                            <w:sz w:val="18"/>
                            <w:szCs w:val="18"/>
                          </w:rPr>
                          <w:t>万元永久补充流动资金。</w:t>
                        </w:r>
                      </w:p>
                      <w:p>
                        <w:pPr>
                          <w:pStyle w:val="TableParagraph"/>
                          <w:spacing w:line="338" w:lineRule="auto" w:before="56"/>
                          <w:ind w:left="22" w:right="105"/>
                          <w:jc w:val="left"/>
                          <w:rPr>
                            <w:rFonts w:ascii="宋体" w:hAnsi="宋体" w:cs="宋体" w:eastAsia="宋体" w:hint="default"/>
                            <w:sz w:val="18"/>
                            <w:szCs w:val="18"/>
                          </w:rPr>
                        </w:pPr>
                        <w:r>
                          <w:rPr>
                            <w:rFonts w:ascii="宋体" w:hAnsi="宋体" w:cs="宋体" w:eastAsia="宋体" w:hint="default"/>
                            <w:spacing w:val="-2"/>
                            <w:sz w:val="18"/>
                            <w:szCs w:val="18"/>
                          </w:rPr>
                          <w:t>公司第五届董事会第八次会议审议通过《关于使用超募资金增资全资子公司武汉天喻通讯技术有限公司的议案》，同意公司使用超募资金</w:t>
                        </w:r>
                        <w:r>
                          <w:rPr>
                            <w:rFonts w:ascii="宋体" w:hAnsi="宋体" w:cs="宋体" w:eastAsia="宋体" w:hint="default"/>
                            <w:spacing w:val="-32"/>
                            <w:sz w:val="18"/>
                            <w:szCs w:val="18"/>
                          </w:rPr>
                          <w:t> </w:t>
                        </w:r>
                        <w:r>
                          <w:rPr>
                            <w:rFonts w:ascii="宋体" w:hAnsi="宋体" w:cs="宋体" w:eastAsia="宋体" w:hint="default"/>
                            <w:sz w:val="18"/>
                            <w:szCs w:val="18"/>
                          </w:rPr>
                          <w:t>3,000</w:t>
                        </w:r>
                        <w:r>
                          <w:rPr>
                            <w:rFonts w:ascii="宋体" w:hAnsi="宋体" w:cs="宋体" w:eastAsia="宋体" w:hint="default"/>
                            <w:spacing w:val="-74"/>
                            <w:sz w:val="18"/>
                            <w:szCs w:val="18"/>
                          </w:rPr>
                          <w:t> </w:t>
                        </w:r>
                        <w:r>
                          <w:rPr>
                            <w:rFonts w:ascii="宋体" w:hAnsi="宋体" w:cs="宋体" w:eastAsia="宋体" w:hint="default"/>
                            <w:sz w:val="18"/>
                            <w:szCs w:val="18"/>
                          </w:rPr>
                          <w:t>万元对子公司天喻通讯进行增资。 </w:t>
                        </w:r>
                        <w:r>
                          <w:rPr>
                            <w:rFonts w:ascii="宋体" w:hAnsi="宋体" w:cs="宋体" w:eastAsia="宋体" w:hint="default"/>
                            <w:spacing w:val="-2"/>
                            <w:sz w:val="18"/>
                            <w:szCs w:val="18"/>
                          </w:rPr>
                          <w:t>公司第五届董事会第十六次会议、第五届监事会第九次会议审议通过《关于使用部分超募资金提前偿还银行贷款的议案》，同意公司使用超募资</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46"/>
                            <w:sz w:val="18"/>
                            <w:szCs w:val="18"/>
                          </w:rPr>
                          <w:t> </w:t>
                        </w:r>
                        <w:r>
                          <w:rPr>
                            <w:rFonts w:ascii="宋体" w:hAnsi="宋体" w:cs="宋体" w:eastAsia="宋体" w:hint="default"/>
                            <w:sz w:val="18"/>
                            <w:szCs w:val="18"/>
                          </w:rPr>
                          <w:t>10,000</w:t>
                        </w:r>
                        <w:r>
                          <w:rPr>
                            <w:rFonts w:ascii="宋体" w:hAnsi="宋体" w:cs="宋体" w:eastAsia="宋体" w:hint="default"/>
                            <w:spacing w:val="-46"/>
                            <w:sz w:val="18"/>
                            <w:szCs w:val="18"/>
                          </w:rPr>
                          <w:t> </w:t>
                        </w:r>
                        <w:r>
                          <w:rPr>
                            <w:rFonts w:ascii="宋体" w:hAnsi="宋体" w:cs="宋体" w:eastAsia="宋体" w:hint="default"/>
                            <w:sz w:val="18"/>
                            <w:szCs w:val="18"/>
                          </w:rPr>
                          <w:t>万元用于提前偿还银行贷款。</w:t>
                        </w:r>
                      </w:p>
                      <w:p>
                        <w:pPr>
                          <w:pStyle w:val="TableParagraph"/>
                          <w:spacing w:line="338" w:lineRule="auto" w:before="115"/>
                          <w:ind w:left="22" w:right="23"/>
                          <w:jc w:val="left"/>
                          <w:rPr>
                            <w:rFonts w:ascii="宋体" w:hAnsi="宋体" w:cs="宋体" w:eastAsia="宋体" w:hint="default"/>
                            <w:sz w:val="18"/>
                            <w:szCs w:val="18"/>
                          </w:rPr>
                        </w:pPr>
                        <w:r>
                          <w:rPr>
                            <w:rFonts w:ascii="宋体" w:hAnsi="宋体" w:cs="宋体" w:eastAsia="宋体" w:hint="default"/>
                            <w:spacing w:val="-5"/>
                            <w:sz w:val="18"/>
                            <w:szCs w:val="18"/>
                          </w:rPr>
                          <w:t>公司第五届董事会第二十五次会议、</w:t>
                        </w:r>
                        <w:r>
                          <w:rPr>
                            <w:rFonts w:ascii="宋体" w:hAnsi="宋体" w:cs="宋体" w:eastAsia="宋体" w:hint="default"/>
                            <w:spacing w:val="-5"/>
                            <w:sz w:val="18"/>
                            <w:szCs w:val="18"/>
                          </w:rPr>
                          <w:t>2013</w:t>
                        </w:r>
                        <w:r>
                          <w:rPr>
                            <w:rFonts w:ascii="宋体" w:hAnsi="宋体" w:cs="宋体" w:eastAsia="宋体" w:hint="default"/>
                            <w:spacing w:val="-30"/>
                            <w:sz w:val="18"/>
                            <w:szCs w:val="18"/>
                          </w:rPr>
                          <w:t> </w:t>
                        </w:r>
                        <w:r>
                          <w:rPr>
                            <w:rFonts w:ascii="宋体" w:hAnsi="宋体" w:cs="宋体" w:eastAsia="宋体" w:hint="default"/>
                            <w:spacing w:val="-7"/>
                            <w:sz w:val="18"/>
                            <w:szCs w:val="18"/>
                          </w:rPr>
                          <w:t>年第一次临时股东大会审议通过《关于使用部分超募资金永久补充流动资金的议案》，同意公司使用</w:t>
                        </w:r>
                        <w:r>
                          <w:rPr>
                            <w:rFonts w:ascii="宋体" w:hAnsi="宋体" w:cs="宋体" w:eastAsia="宋体" w:hint="default"/>
                            <w:spacing w:val="-28"/>
                            <w:sz w:val="18"/>
                            <w:szCs w:val="18"/>
                          </w:rPr>
                          <w:t> </w:t>
                        </w:r>
                        <w:r>
                          <w:rPr>
                            <w:rFonts w:ascii="宋体" w:hAnsi="宋体" w:cs="宋体" w:eastAsia="宋体" w:hint="default"/>
                            <w:sz w:val="18"/>
                            <w:szCs w:val="18"/>
                          </w:rPr>
                          <w:t>7,000</w:t>
                        </w:r>
                        <w:r>
                          <w:rPr>
                            <w:rFonts w:ascii="宋体" w:hAnsi="宋体" w:cs="宋体" w:eastAsia="宋体" w:hint="default"/>
                            <w:spacing w:val="-84"/>
                            <w:sz w:val="18"/>
                            <w:szCs w:val="18"/>
                          </w:rPr>
                          <w:t> </w:t>
                        </w:r>
                        <w:r>
                          <w:rPr>
                            <w:rFonts w:ascii="宋体" w:hAnsi="宋体" w:cs="宋体" w:eastAsia="宋体" w:hint="default"/>
                            <w:sz w:val="18"/>
                            <w:szCs w:val="18"/>
                          </w:rPr>
                          <w:t>万元超募资金永久补充流动资金。 </w:t>
                        </w:r>
                        <w:r>
                          <w:rPr>
                            <w:rFonts w:ascii="宋体" w:hAnsi="宋体" w:cs="宋体" w:eastAsia="宋体" w:hint="default"/>
                            <w:spacing w:val="-2"/>
                            <w:sz w:val="18"/>
                            <w:szCs w:val="18"/>
                          </w:rPr>
                          <w:t>公司第五届董事会第二十七次会议审议通过《关于使用部分超募资金投资建设数据安全产业园一期工程的议案》，同意公司使用超募资金</w:t>
                        </w:r>
                        <w:r>
                          <w:rPr>
                            <w:rFonts w:ascii="宋体" w:hAnsi="宋体" w:cs="宋体" w:eastAsia="宋体" w:hint="default"/>
                            <w:spacing w:val="-15"/>
                            <w:sz w:val="18"/>
                            <w:szCs w:val="18"/>
                          </w:rPr>
                          <w:t> </w:t>
                        </w:r>
                        <w:r>
                          <w:rPr>
                            <w:rFonts w:ascii="宋体" w:hAnsi="宋体" w:cs="宋体" w:eastAsia="宋体" w:hint="default"/>
                            <w:sz w:val="18"/>
                            <w:szCs w:val="18"/>
                          </w:rPr>
                          <w:t>7,000</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万元投资建设数据安全产业园一期工程。</w:t>
                        </w:r>
                      </w:p>
                      <w:p>
                        <w:pPr>
                          <w:pStyle w:val="TableParagraph"/>
                          <w:spacing w:line="319" w:lineRule="auto" w:before="115"/>
                          <w:ind w:left="22" w:right="59"/>
                          <w:jc w:val="left"/>
                          <w:rPr>
                            <w:rFonts w:ascii="宋体" w:hAnsi="宋体" w:cs="宋体" w:eastAsia="宋体" w:hint="default"/>
                            <w:sz w:val="18"/>
                            <w:szCs w:val="18"/>
                          </w:rPr>
                        </w:pPr>
                        <w:r>
                          <w:rPr>
                            <w:rFonts w:ascii="宋体" w:hAnsi="宋体" w:cs="宋体" w:eastAsia="宋体" w:hint="default"/>
                            <w:sz w:val="18"/>
                            <w:szCs w:val="18"/>
                          </w:rPr>
                          <w:t>公司第六届董事会第七次会议、</w:t>
                        </w: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pacing w:val="-2"/>
                            <w:sz w:val="18"/>
                            <w:szCs w:val="18"/>
                          </w:rPr>
                          <w:t>年第一次临时股东大会审议通过《关于使用部分超募资金永久补充流动资金的议案》，同意公司使用超募资</w:t>
                        </w:r>
                        <w:r>
                          <w:rPr>
                            <w:rFonts w:ascii="宋体" w:hAnsi="宋体" w:cs="宋体" w:eastAsia="宋体" w:hint="default"/>
                            <w:sz w:val="18"/>
                            <w:szCs w:val="18"/>
                          </w:rPr>
                          <w:t> 金</w:t>
                        </w:r>
                        <w:r>
                          <w:rPr>
                            <w:rFonts w:ascii="宋体" w:hAnsi="宋体" w:cs="宋体" w:eastAsia="宋体" w:hint="default"/>
                            <w:spacing w:val="-46"/>
                            <w:sz w:val="18"/>
                            <w:szCs w:val="18"/>
                          </w:rPr>
                          <w:t> </w:t>
                        </w:r>
                        <w:r>
                          <w:rPr>
                            <w:rFonts w:ascii="宋体" w:hAnsi="宋体" w:cs="宋体" w:eastAsia="宋体" w:hint="default"/>
                            <w:sz w:val="18"/>
                            <w:szCs w:val="18"/>
                          </w:rPr>
                          <w:t>10,000</w:t>
                        </w:r>
                        <w:r>
                          <w:rPr>
                            <w:rFonts w:ascii="宋体" w:hAnsi="宋体" w:cs="宋体" w:eastAsia="宋体" w:hint="default"/>
                            <w:spacing w:val="-46"/>
                            <w:sz w:val="18"/>
                            <w:szCs w:val="18"/>
                          </w:rPr>
                          <w:t> </w:t>
                        </w:r>
                        <w:r>
                          <w:rPr>
                            <w:rFonts w:ascii="宋体" w:hAnsi="宋体" w:cs="宋体" w:eastAsia="宋体" w:hint="default"/>
                            <w:sz w:val="18"/>
                            <w:szCs w:val="18"/>
                          </w:rPr>
                          <w:t>万元永久补充流动资金。</w:t>
                        </w:r>
                      </w:p>
                      <w:p>
                        <w:pPr>
                          <w:pStyle w:val="TableParagraph"/>
                          <w:spacing w:line="319" w:lineRule="auto" w:before="55"/>
                          <w:ind w:left="22" w:right="61"/>
                          <w:jc w:val="left"/>
                          <w:rPr>
                            <w:rFonts w:ascii="宋体" w:hAnsi="宋体" w:cs="宋体" w:eastAsia="宋体" w:hint="default"/>
                            <w:sz w:val="18"/>
                            <w:szCs w:val="18"/>
                          </w:rPr>
                        </w:pPr>
                        <w:r>
                          <w:rPr>
                            <w:rFonts w:ascii="宋体" w:hAnsi="宋体" w:cs="宋体" w:eastAsia="宋体" w:hint="default"/>
                            <w:sz w:val="18"/>
                            <w:szCs w:val="18"/>
                          </w:rPr>
                          <w:t>公司第六届董事会第九次会议、</w:t>
                        </w: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pacing w:val="-2"/>
                            <w:sz w:val="18"/>
                            <w:szCs w:val="18"/>
                          </w:rPr>
                          <w:t>年年度股东大会审议通过《关于使用剩余超募资金及部分募集资金利息永久补充流动资金的议案》，同意公</w:t>
                        </w:r>
                        <w:r>
                          <w:rPr>
                            <w:rFonts w:ascii="宋体" w:hAnsi="宋体" w:cs="宋体" w:eastAsia="宋体" w:hint="default"/>
                            <w:sz w:val="18"/>
                            <w:szCs w:val="18"/>
                          </w:rPr>
                          <w:t> 司使用剩余超募资金</w:t>
                        </w:r>
                        <w:r>
                          <w:rPr>
                            <w:rFonts w:ascii="宋体" w:hAnsi="宋体" w:cs="宋体" w:eastAsia="宋体" w:hint="default"/>
                            <w:spacing w:val="-46"/>
                            <w:sz w:val="18"/>
                            <w:szCs w:val="18"/>
                          </w:rPr>
                          <w:t> </w:t>
                        </w:r>
                        <w:r>
                          <w:rPr>
                            <w:rFonts w:ascii="宋体" w:hAnsi="宋体" w:cs="宋体" w:eastAsia="宋体" w:hint="default"/>
                            <w:sz w:val="18"/>
                            <w:szCs w:val="18"/>
                          </w:rPr>
                          <w:t>4,226.18</w:t>
                        </w:r>
                        <w:r>
                          <w:rPr>
                            <w:rFonts w:ascii="宋体" w:hAnsi="宋体" w:cs="宋体" w:eastAsia="宋体" w:hint="default"/>
                            <w:spacing w:val="-46"/>
                            <w:sz w:val="18"/>
                            <w:szCs w:val="18"/>
                          </w:rPr>
                          <w:t> </w:t>
                        </w:r>
                        <w:r>
                          <w:rPr>
                            <w:rFonts w:ascii="宋体" w:hAnsi="宋体" w:cs="宋体" w:eastAsia="宋体" w:hint="default"/>
                            <w:sz w:val="18"/>
                            <w:szCs w:val="18"/>
                          </w:rPr>
                          <w:t>万元及部分募集资金利息</w:t>
                        </w:r>
                        <w:r>
                          <w:rPr>
                            <w:rFonts w:ascii="宋体" w:hAnsi="宋体" w:cs="宋体" w:eastAsia="宋体" w:hint="default"/>
                            <w:spacing w:val="-46"/>
                            <w:sz w:val="18"/>
                            <w:szCs w:val="18"/>
                          </w:rPr>
                          <w:t> </w:t>
                        </w:r>
                        <w:r>
                          <w:rPr>
                            <w:rFonts w:ascii="宋体" w:hAnsi="宋体" w:cs="宋体" w:eastAsia="宋体" w:hint="default"/>
                            <w:sz w:val="18"/>
                            <w:szCs w:val="18"/>
                          </w:rPr>
                          <w:t>1,073.82</w:t>
                        </w:r>
                        <w:r>
                          <w:rPr>
                            <w:rFonts w:ascii="宋体" w:hAnsi="宋体" w:cs="宋体" w:eastAsia="宋体" w:hint="default"/>
                            <w:spacing w:val="-46"/>
                            <w:sz w:val="18"/>
                            <w:szCs w:val="18"/>
                          </w:rPr>
                          <w:t> </w:t>
                        </w:r>
                        <w:r>
                          <w:rPr>
                            <w:rFonts w:ascii="宋体" w:hAnsi="宋体" w:cs="宋体" w:eastAsia="宋体" w:hint="default"/>
                            <w:sz w:val="18"/>
                            <w:szCs w:val="18"/>
                          </w:rPr>
                          <w:t>万元永久补充流动资金。</w:t>
                        </w:r>
                      </w:p>
                      <w:p>
                        <w:pPr>
                          <w:pStyle w:val="TableParagraph"/>
                          <w:spacing w:line="319" w:lineRule="auto" w:before="56"/>
                          <w:ind w:left="22" w:right="21"/>
                          <w:jc w:val="left"/>
                          <w:rPr>
                            <w:rFonts w:ascii="宋体" w:hAnsi="宋体" w:cs="宋体" w:eastAsia="宋体" w:hint="default"/>
                            <w:sz w:val="18"/>
                            <w:szCs w:val="18"/>
                          </w:rPr>
                        </w:pPr>
                        <w:r>
                          <w:rPr>
                            <w:rFonts w:ascii="宋体" w:hAnsi="宋体" w:cs="宋体" w:eastAsia="宋体" w:hint="default"/>
                            <w:spacing w:val="-2"/>
                            <w:sz w:val="18"/>
                            <w:szCs w:val="18"/>
                          </w:rPr>
                          <w:t>公司第六届董事会第十四次会议、</w:t>
                        </w:r>
                        <w:r>
                          <w:rPr>
                            <w:rFonts w:ascii="宋体" w:hAnsi="宋体" w:cs="宋体" w:eastAsia="宋体" w:hint="default"/>
                            <w:spacing w:val="-2"/>
                            <w:sz w:val="18"/>
                            <w:szCs w:val="18"/>
                          </w:rPr>
                          <w:t>2015</w:t>
                        </w:r>
                        <w:r>
                          <w:rPr>
                            <w:rFonts w:ascii="宋体" w:hAnsi="宋体" w:cs="宋体" w:eastAsia="宋体" w:hint="default"/>
                            <w:spacing w:val="-24"/>
                            <w:sz w:val="18"/>
                            <w:szCs w:val="18"/>
                          </w:rPr>
                          <w:t> </w:t>
                        </w:r>
                        <w:r>
                          <w:rPr>
                            <w:rFonts w:ascii="宋体" w:hAnsi="宋体" w:cs="宋体" w:eastAsia="宋体" w:hint="default"/>
                            <w:spacing w:val="-1"/>
                            <w:sz w:val="18"/>
                            <w:szCs w:val="18"/>
                          </w:rPr>
                          <w:t>年第一次临时股东大会审议通过《关于使用超募资金投资项目节余资金及募集资金利息永久补充流动资金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的议案》，同意公司使用超募资金投资项目节余资金</w:t>
                        </w:r>
                        <w:r>
                          <w:rPr>
                            <w:rFonts w:ascii="宋体" w:hAnsi="宋体" w:cs="宋体" w:eastAsia="宋体" w:hint="default"/>
                            <w:spacing w:val="-46"/>
                            <w:sz w:val="18"/>
                            <w:szCs w:val="18"/>
                          </w:rPr>
                          <w:t> </w:t>
                        </w:r>
                        <w:r>
                          <w:rPr>
                            <w:rFonts w:ascii="宋体" w:hAnsi="宋体" w:cs="宋体" w:eastAsia="宋体" w:hint="default"/>
                            <w:sz w:val="18"/>
                            <w:szCs w:val="18"/>
                          </w:rPr>
                          <w:t>937.93</w:t>
                        </w:r>
                        <w:r>
                          <w:rPr>
                            <w:rFonts w:ascii="宋体" w:hAnsi="宋体" w:cs="宋体" w:eastAsia="宋体" w:hint="default"/>
                            <w:spacing w:val="-46"/>
                            <w:sz w:val="18"/>
                            <w:szCs w:val="18"/>
                          </w:rPr>
                          <w:t> </w:t>
                        </w:r>
                        <w:r>
                          <w:rPr>
                            <w:rFonts w:ascii="宋体" w:hAnsi="宋体" w:cs="宋体" w:eastAsia="宋体" w:hint="default"/>
                            <w:sz w:val="18"/>
                            <w:szCs w:val="18"/>
                          </w:rPr>
                          <w:t>万元及募集资金利息</w:t>
                        </w:r>
                        <w:r>
                          <w:rPr>
                            <w:rFonts w:ascii="宋体" w:hAnsi="宋体" w:cs="宋体" w:eastAsia="宋体" w:hint="default"/>
                            <w:spacing w:val="-46"/>
                            <w:sz w:val="18"/>
                            <w:szCs w:val="18"/>
                          </w:rPr>
                          <w:t> </w:t>
                        </w:r>
                        <w:r>
                          <w:rPr>
                            <w:rFonts w:ascii="宋体" w:hAnsi="宋体" w:cs="宋体" w:eastAsia="宋体" w:hint="default"/>
                            <w:sz w:val="18"/>
                            <w:szCs w:val="18"/>
                          </w:rPr>
                          <w:t>2,027.69</w:t>
                        </w:r>
                        <w:r>
                          <w:rPr>
                            <w:rFonts w:ascii="宋体" w:hAnsi="宋体" w:cs="宋体" w:eastAsia="宋体" w:hint="default"/>
                            <w:spacing w:val="-46"/>
                            <w:sz w:val="18"/>
                            <w:szCs w:val="18"/>
                          </w:rPr>
                          <w:t> </w:t>
                        </w:r>
                        <w:r>
                          <w:rPr>
                            <w:rFonts w:ascii="宋体" w:hAnsi="宋体" w:cs="宋体" w:eastAsia="宋体" w:hint="default"/>
                            <w:sz w:val="18"/>
                            <w:szCs w:val="18"/>
                          </w:rPr>
                          <w:t>万元（实际利息以转出当日银行结算余额为准）永久 补充流动资金。</w:t>
                        </w:r>
                      </w:p>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针对上述公司超募资金使用事项及议案，公司独立董事均出具了表示同意的独立意见，公司保荐机构长江证券承销保荐有限公司均出具了表示无</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pStyle w:val="BodyText"/>
        <w:spacing w:line="240" w:lineRule="auto" w:before="44"/>
        <w:ind w:left="0" w:right="1299"/>
        <w:jc w:val="right"/>
      </w:pPr>
      <w:r>
        <w:rPr/>
        <w:t>。</w:t>
      </w:r>
    </w:p>
    <w:p>
      <w:pPr>
        <w:spacing w:after="0" w:line="240" w:lineRule="auto"/>
        <w:jc w:val="right"/>
        <w:sectPr>
          <w:pgSz w:w="16840" w:h="11910" w:orient="landscape"/>
          <w:pgMar w:header="857" w:footer="1187" w:top="1040" w:bottom="1380" w:left="1320" w:right="0"/>
        </w:sectPr>
      </w:pPr>
    </w:p>
    <w:p>
      <w:pPr>
        <w:spacing w:line="240" w:lineRule="auto" w:before="2"/>
        <w:rPr>
          <w:rFonts w:ascii="Times New Roman" w:hAnsi="Times New Roman" w:cs="Times New Roman" w:eastAsia="Times New Roman"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2646"/>
        <w:gridCol w:w="11389"/>
      </w:tblGrid>
      <w:tr>
        <w:trPr>
          <w:trHeight w:val="377" w:hRule="exact"/>
        </w:trPr>
        <w:tc>
          <w:tcPr>
            <w:tcW w:w="2646" w:type="dxa"/>
            <w:tcBorders>
              <w:top w:val="single" w:sz="15" w:space="0" w:color="000000"/>
              <w:left w:val="single" w:sz="4" w:space="0" w:color="000000"/>
              <w:bottom w:val="single" w:sz="4" w:space="0" w:color="000000"/>
              <w:right w:val="single" w:sz="4" w:space="0" w:color="000000"/>
            </w:tcBorders>
          </w:tcPr>
          <w:p>
            <w:pPr/>
          </w:p>
        </w:tc>
        <w:tc>
          <w:tcPr>
            <w:tcW w:w="1138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异议的核查意见。</w:t>
            </w:r>
          </w:p>
        </w:tc>
      </w:tr>
      <w:tr>
        <w:trPr>
          <w:trHeight w:val="714"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募集资金投资项目实施地点变更 情况</w:t>
            </w:r>
          </w:p>
        </w:tc>
        <w:tc>
          <w:tcPr>
            <w:tcW w:w="1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募集资金投资项目实施方式调整 情况</w:t>
            </w:r>
          </w:p>
        </w:tc>
        <w:tc>
          <w:tcPr>
            <w:tcW w:w="1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264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316" w:lineRule="auto"/>
              <w:ind w:left="22" w:right="93"/>
              <w:jc w:val="left"/>
              <w:rPr>
                <w:rFonts w:ascii="宋体" w:hAnsi="宋体" w:cs="宋体" w:eastAsia="宋体" w:hint="default"/>
                <w:sz w:val="18"/>
                <w:szCs w:val="18"/>
              </w:rPr>
            </w:pPr>
            <w:r>
              <w:rPr>
                <w:rFonts w:ascii="宋体" w:hAnsi="宋体" w:cs="宋体" w:eastAsia="宋体" w:hint="default"/>
                <w:sz w:val="18"/>
                <w:szCs w:val="18"/>
              </w:rPr>
              <w:t>募集资金投资项目先期投入及置 换情况</w:t>
            </w:r>
          </w:p>
        </w:tc>
        <w:tc>
          <w:tcPr>
            <w:tcW w:w="1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002" w:hRule="exact"/>
        </w:trPr>
        <w:tc>
          <w:tcPr>
            <w:tcW w:w="2646" w:type="dxa"/>
            <w:vMerge/>
            <w:tcBorders>
              <w:left w:val="single" w:sz="4" w:space="0" w:color="000000"/>
              <w:bottom w:val="single" w:sz="4" w:space="0" w:color="000000"/>
              <w:right w:val="single" w:sz="4" w:space="0" w:color="000000"/>
            </w:tcBorders>
          </w:tcPr>
          <w:p>
            <w:pPr/>
          </w:p>
        </w:tc>
        <w:tc>
          <w:tcPr>
            <w:tcW w:w="113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3"/>
                <w:sz w:val="18"/>
                <w:szCs w:val="18"/>
              </w:rPr>
              <w:t> </w:t>
            </w: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宋体" w:hAnsi="宋体" w:cs="宋体" w:eastAsia="宋体" w:hint="default"/>
                <w:sz w:val="18"/>
                <w:szCs w:val="18"/>
              </w:rPr>
              <w:t>4</w:t>
            </w:r>
            <w:r>
              <w:rPr>
                <w:rFonts w:ascii="宋体" w:hAnsi="宋体" w:cs="宋体" w:eastAsia="宋体" w:hint="default"/>
                <w:spacing w:val="-4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20</w:t>
            </w:r>
            <w:r>
              <w:rPr>
                <w:rFonts w:ascii="宋体" w:hAnsi="宋体" w:cs="宋体" w:eastAsia="宋体" w:hint="default"/>
                <w:spacing w:val="-43"/>
                <w:sz w:val="18"/>
                <w:szCs w:val="18"/>
              </w:rPr>
              <w:t> </w:t>
            </w:r>
            <w:r>
              <w:rPr>
                <w:rFonts w:ascii="宋体" w:hAnsi="宋体" w:cs="宋体" w:eastAsia="宋体" w:hint="default"/>
                <w:spacing w:val="-2"/>
                <w:sz w:val="18"/>
                <w:szCs w:val="18"/>
              </w:rPr>
              <w:t>日，公司以自筹资金预先投入募集资金投资项目的实际投资额为</w:t>
            </w:r>
            <w:r>
              <w:rPr>
                <w:rFonts w:ascii="宋体" w:hAnsi="宋体" w:cs="宋体" w:eastAsia="宋体" w:hint="default"/>
                <w:spacing w:val="-43"/>
                <w:sz w:val="18"/>
                <w:szCs w:val="18"/>
              </w:rPr>
              <w:t> </w:t>
            </w:r>
            <w:r>
              <w:rPr>
                <w:rFonts w:ascii="宋体" w:hAnsi="宋体" w:cs="宋体" w:eastAsia="宋体" w:hint="default"/>
                <w:sz w:val="18"/>
                <w:szCs w:val="18"/>
              </w:rPr>
              <w:t>7,650.95</w:t>
            </w:r>
            <w:r>
              <w:rPr>
                <w:rFonts w:ascii="宋体" w:hAnsi="宋体" w:cs="宋体" w:eastAsia="宋体" w:hint="default"/>
                <w:spacing w:val="-43"/>
                <w:sz w:val="18"/>
                <w:szCs w:val="18"/>
              </w:rPr>
              <w:t> </w:t>
            </w:r>
            <w:r>
              <w:rPr>
                <w:rFonts w:ascii="宋体" w:hAnsi="宋体" w:cs="宋体" w:eastAsia="宋体" w:hint="default"/>
                <w:spacing w:val="-11"/>
                <w:sz w:val="18"/>
                <w:szCs w:val="18"/>
              </w:rPr>
              <w:t>万元，中审众环会计师事务所（特殊普通合伙）（原</w:t>
            </w:r>
            <w:r>
              <w:rPr>
                <w:rFonts w:ascii="宋体" w:hAnsi="宋体" w:cs="宋体" w:eastAsia="宋体" w:hint="default"/>
                <w:sz w:val="18"/>
                <w:szCs w:val="18"/>
              </w:rPr>
              <w:t> </w:t>
            </w:r>
            <w:r>
              <w:rPr>
                <w:rFonts w:ascii="宋体" w:hAnsi="宋体" w:cs="宋体" w:eastAsia="宋体" w:hint="default"/>
                <w:spacing w:val="-2"/>
                <w:sz w:val="18"/>
                <w:szCs w:val="18"/>
              </w:rPr>
              <w:t>武汉众环会计师事务所有限责任公司）出具《关于武汉天喻信息产业股份有限公司以自筹资金预先投入募集资金投资项目的专项审核报告》（众</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环专字（</w:t>
            </w:r>
            <w:r>
              <w:rPr>
                <w:rFonts w:ascii="宋体" w:hAnsi="宋体" w:cs="宋体" w:eastAsia="宋体" w:hint="default"/>
                <w:sz w:val="18"/>
                <w:szCs w:val="18"/>
              </w:rPr>
              <w:t>2011</w:t>
            </w:r>
            <w:r>
              <w:rPr>
                <w:rFonts w:ascii="宋体" w:hAnsi="宋体" w:cs="宋体" w:eastAsia="宋体" w:hint="default"/>
                <w:sz w:val="18"/>
                <w:szCs w:val="18"/>
              </w:rPr>
              <w:t>）</w:t>
            </w:r>
            <w:r>
              <w:rPr>
                <w:rFonts w:ascii="宋体" w:hAnsi="宋体" w:cs="宋体" w:eastAsia="宋体" w:hint="default"/>
                <w:sz w:val="18"/>
                <w:szCs w:val="18"/>
              </w:rPr>
              <w:t>348</w:t>
            </w:r>
            <w:r>
              <w:rPr>
                <w:rFonts w:ascii="宋体" w:hAnsi="宋体" w:cs="宋体" w:eastAsia="宋体" w:hint="default"/>
                <w:spacing w:val="-46"/>
                <w:sz w:val="18"/>
                <w:szCs w:val="18"/>
              </w:rPr>
              <w:t> </w:t>
            </w:r>
            <w:r>
              <w:rPr>
                <w:rFonts w:ascii="宋体" w:hAnsi="宋体" w:cs="宋体" w:eastAsia="宋体" w:hint="default"/>
                <w:sz w:val="18"/>
                <w:szCs w:val="18"/>
              </w:rPr>
              <w:t>号）对上述募集资金投资项目的预先投入情况进行了鉴证确认。</w:t>
            </w:r>
          </w:p>
          <w:p>
            <w:pPr>
              <w:pStyle w:val="TableParagraph"/>
              <w:spacing w:line="319" w:lineRule="auto" w:before="58"/>
              <w:ind w:left="22" w:right="104"/>
              <w:jc w:val="both"/>
              <w:rPr>
                <w:rFonts w:ascii="宋体" w:hAnsi="宋体" w:cs="宋体" w:eastAsia="宋体" w:hint="default"/>
                <w:sz w:val="18"/>
                <w:szCs w:val="18"/>
              </w:rPr>
            </w:pPr>
            <w:r>
              <w:rPr>
                <w:rFonts w:ascii="宋体" w:hAnsi="宋体" w:cs="宋体" w:eastAsia="宋体" w:hint="default"/>
                <w:spacing w:val="-2"/>
                <w:sz w:val="18"/>
                <w:szCs w:val="18"/>
              </w:rPr>
              <w:t>公司第五届董事会第六次会议、第五届监事会第三次会议审议通过《关于使用募集资金置换预先投入募集资金投资项目自筹资金的议案》，批准</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公司以募集资金</w:t>
            </w:r>
            <w:r>
              <w:rPr>
                <w:rFonts w:ascii="宋体" w:hAnsi="宋体" w:cs="宋体" w:eastAsia="宋体" w:hint="default"/>
                <w:spacing w:val="-46"/>
                <w:sz w:val="18"/>
                <w:szCs w:val="18"/>
              </w:rPr>
              <w:t> </w:t>
            </w:r>
            <w:r>
              <w:rPr>
                <w:rFonts w:ascii="宋体" w:hAnsi="宋体" w:cs="宋体" w:eastAsia="宋体" w:hint="default"/>
                <w:sz w:val="18"/>
                <w:szCs w:val="18"/>
              </w:rPr>
              <w:t>7,650.95</w:t>
            </w:r>
            <w:r>
              <w:rPr>
                <w:rFonts w:ascii="宋体" w:hAnsi="宋体" w:cs="宋体" w:eastAsia="宋体" w:hint="default"/>
                <w:spacing w:val="-46"/>
                <w:sz w:val="18"/>
                <w:szCs w:val="18"/>
              </w:rPr>
              <w:t> </w:t>
            </w:r>
            <w:r>
              <w:rPr>
                <w:rFonts w:ascii="宋体" w:hAnsi="宋体" w:cs="宋体" w:eastAsia="宋体" w:hint="default"/>
                <w:sz w:val="18"/>
                <w:szCs w:val="18"/>
              </w:rPr>
              <w:t>万元置换预先已投入募集资金投资项目的自筹资金。对该议案，公司独立董事出具了表示同意的独立意见，公司保荐 机构长江证券承销保荐有限公司出具了表示无异议的核查意见。</w:t>
            </w:r>
          </w:p>
        </w:tc>
      </w:tr>
      <w:tr>
        <w:trPr>
          <w:trHeight w:val="402" w:hRule="exact"/>
        </w:trPr>
        <w:tc>
          <w:tcPr>
            <w:tcW w:w="264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316" w:lineRule="auto"/>
              <w:ind w:left="22" w:right="93"/>
              <w:jc w:val="left"/>
              <w:rPr>
                <w:rFonts w:ascii="宋体" w:hAnsi="宋体" w:cs="宋体" w:eastAsia="宋体" w:hint="default"/>
                <w:sz w:val="18"/>
                <w:szCs w:val="18"/>
              </w:rPr>
            </w:pPr>
            <w:r>
              <w:rPr>
                <w:rFonts w:ascii="宋体" w:hAnsi="宋体" w:cs="宋体" w:eastAsia="宋体" w:hint="default"/>
                <w:sz w:val="18"/>
                <w:szCs w:val="18"/>
              </w:rPr>
              <w:t>用闲置募集资金暂时补充流动资 金情况</w:t>
            </w:r>
          </w:p>
        </w:tc>
        <w:tc>
          <w:tcPr>
            <w:tcW w:w="1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26" w:hRule="exact"/>
        </w:trPr>
        <w:tc>
          <w:tcPr>
            <w:tcW w:w="2646" w:type="dxa"/>
            <w:vMerge/>
            <w:tcBorders>
              <w:left w:val="single" w:sz="4" w:space="0" w:color="000000"/>
              <w:bottom w:val="single" w:sz="4" w:space="0" w:color="000000"/>
              <w:right w:val="single" w:sz="4" w:space="0" w:color="000000"/>
            </w:tcBorders>
          </w:tcPr>
          <w:p>
            <w:pPr/>
          </w:p>
        </w:tc>
        <w:tc>
          <w:tcPr>
            <w:tcW w:w="1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公司第五届董事会第八次会议</w:t>
            </w:r>
            <w:r>
              <w:rPr>
                <w:rFonts w:ascii="宋体" w:hAnsi="宋体" w:cs="宋体" w:eastAsia="宋体" w:hint="default"/>
                <w:spacing w:val="-18"/>
                <w:sz w:val="18"/>
                <w:szCs w:val="18"/>
              </w:rPr>
              <w:t>、</w:t>
            </w:r>
            <w:r>
              <w:rPr>
                <w:rFonts w:ascii="宋体" w:hAnsi="宋体" w:cs="宋体" w:eastAsia="宋体" w:hint="default"/>
                <w:sz w:val="18"/>
                <w:szCs w:val="18"/>
              </w:rPr>
              <w:t>第五届监事会第四次会议审议通</w:t>
            </w:r>
            <w:r>
              <w:rPr>
                <w:rFonts w:ascii="宋体" w:hAnsi="宋体" w:cs="宋体" w:eastAsia="宋体" w:hint="default"/>
                <w:spacing w:val="-18"/>
                <w:sz w:val="18"/>
                <w:szCs w:val="18"/>
              </w:rPr>
              <w:t>过</w:t>
            </w:r>
            <w:r>
              <w:rPr>
                <w:rFonts w:ascii="宋体" w:hAnsi="宋体" w:cs="宋体" w:eastAsia="宋体" w:hint="default"/>
                <w:sz w:val="18"/>
                <w:szCs w:val="18"/>
              </w:rPr>
              <w:t>《关于使用超募资金暂时补充流动资金的议案</w:t>
            </w:r>
            <w:r>
              <w:rPr>
                <w:rFonts w:ascii="宋体" w:hAnsi="宋体" w:cs="宋体" w:eastAsia="宋体" w:hint="default"/>
                <w:spacing w:val="-90"/>
                <w:sz w:val="18"/>
                <w:szCs w:val="18"/>
              </w:rPr>
              <w:t>》</w:t>
            </w:r>
            <w:r>
              <w:rPr>
                <w:rFonts w:ascii="宋体" w:hAnsi="宋体" w:cs="宋体" w:eastAsia="宋体" w:hint="default"/>
                <w:spacing w:val="-18"/>
                <w:sz w:val="18"/>
                <w:szCs w:val="18"/>
              </w:rPr>
              <w:t>，</w:t>
            </w:r>
            <w:r>
              <w:rPr>
                <w:rFonts w:ascii="宋体" w:hAnsi="宋体" w:cs="宋体" w:eastAsia="宋体" w:hint="default"/>
                <w:sz w:val="18"/>
                <w:szCs w:val="18"/>
              </w:rPr>
              <w:t>批准公司使用超募资金</w:t>
            </w:r>
            <w:r>
              <w:rPr>
                <w:rFonts w:ascii="宋体" w:hAnsi="宋体" w:cs="宋体" w:eastAsia="宋体" w:hint="default"/>
                <w:spacing w:val="-45"/>
                <w:sz w:val="18"/>
                <w:szCs w:val="18"/>
              </w:rPr>
              <w:t> </w:t>
            </w:r>
            <w:r>
              <w:rPr>
                <w:rFonts w:ascii="宋体" w:hAnsi="宋体" w:cs="宋体" w:eastAsia="宋体" w:hint="default"/>
                <w:sz w:val="18"/>
                <w:szCs w:val="18"/>
              </w:rPr>
              <w:t>7,000</w:t>
            </w:r>
          </w:p>
          <w:p>
            <w:pPr>
              <w:pStyle w:val="TableParagraph"/>
              <w:spacing w:line="319" w:lineRule="auto" w:before="76"/>
              <w:ind w:left="22" w:right="22"/>
              <w:jc w:val="left"/>
              <w:rPr>
                <w:rFonts w:ascii="宋体" w:hAnsi="宋体" w:cs="宋体" w:eastAsia="宋体" w:hint="default"/>
                <w:sz w:val="18"/>
                <w:szCs w:val="18"/>
              </w:rPr>
            </w:pPr>
            <w:r>
              <w:rPr>
                <w:rFonts w:ascii="宋体" w:hAnsi="宋体" w:cs="宋体" w:eastAsia="宋体" w:hint="default"/>
                <w:sz w:val="18"/>
                <w:szCs w:val="18"/>
              </w:rPr>
              <w:t>万元暂时补充流动资金，期限不超过</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7"/>
                <w:sz w:val="18"/>
                <w:szCs w:val="18"/>
              </w:rPr>
              <w:t> </w:t>
            </w:r>
            <w:r>
              <w:rPr>
                <w:rFonts w:ascii="宋体" w:hAnsi="宋体" w:cs="宋体" w:eastAsia="宋体" w:hint="default"/>
                <w:sz w:val="18"/>
                <w:szCs w:val="18"/>
              </w:rPr>
              <w:t>个月。公司已于</w:t>
            </w:r>
            <w:r>
              <w:rPr>
                <w:rFonts w:ascii="宋体" w:hAnsi="宋体" w:cs="宋体" w:eastAsia="宋体" w:hint="default"/>
                <w:spacing w:val="-47"/>
                <w:sz w:val="18"/>
                <w:szCs w:val="18"/>
              </w:rPr>
              <w:t> </w:t>
            </w:r>
            <w:r>
              <w:rPr>
                <w:rFonts w:ascii="宋体" w:hAnsi="宋体" w:cs="宋体" w:eastAsia="宋体" w:hint="default"/>
                <w:sz w:val="18"/>
                <w:szCs w:val="18"/>
              </w:rPr>
              <w:t>2012</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日将上述用于暂时补充流动资金的超募资金归还至公司募集资金专户，并 将归还情况通知了保荐机构和保荐代表人。</w:t>
            </w:r>
          </w:p>
        </w:tc>
      </w:tr>
      <w:tr>
        <w:trPr>
          <w:trHeight w:val="402" w:hRule="exact"/>
        </w:trPr>
        <w:tc>
          <w:tcPr>
            <w:tcW w:w="264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2" w:right="93"/>
              <w:jc w:val="left"/>
              <w:rPr>
                <w:rFonts w:ascii="宋体" w:hAnsi="宋体" w:cs="宋体" w:eastAsia="宋体" w:hint="default"/>
                <w:sz w:val="18"/>
                <w:szCs w:val="18"/>
              </w:rPr>
            </w:pPr>
            <w:r>
              <w:rPr>
                <w:rFonts w:ascii="宋体" w:hAnsi="宋体" w:cs="宋体" w:eastAsia="宋体" w:hint="default"/>
                <w:sz w:val="18"/>
                <w:szCs w:val="18"/>
              </w:rPr>
              <w:t>项目实施出现募集资金结余的金 额及原因</w:t>
            </w:r>
          </w:p>
        </w:tc>
        <w:tc>
          <w:tcPr>
            <w:tcW w:w="1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330" w:hRule="exact"/>
        </w:trPr>
        <w:tc>
          <w:tcPr>
            <w:tcW w:w="2646" w:type="dxa"/>
            <w:vMerge/>
            <w:tcBorders>
              <w:left w:val="single" w:sz="4" w:space="0" w:color="000000"/>
              <w:bottom w:val="single" w:sz="4" w:space="0" w:color="000000"/>
              <w:right w:val="single" w:sz="4" w:space="0" w:color="000000"/>
            </w:tcBorders>
          </w:tcPr>
          <w:p>
            <w:pPr/>
          </w:p>
        </w:tc>
        <w:tc>
          <w:tcPr>
            <w:tcW w:w="1138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公司募集资金投资项目“电子支付智能卡系列产品研发及产业化项目”及“智能</w:t>
            </w:r>
            <w:r>
              <w:rPr>
                <w:rFonts w:ascii="宋体" w:hAnsi="宋体" w:cs="宋体" w:eastAsia="宋体" w:hint="default"/>
                <w:spacing w:val="-46"/>
                <w:sz w:val="18"/>
                <w:szCs w:val="18"/>
              </w:rPr>
              <w:t> </w:t>
            </w:r>
            <w:r>
              <w:rPr>
                <w:rFonts w:ascii="宋体" w:hAnsi="宋体" w:cs="宋体" w:eastAsia="宋体" w:hint="default"/>
                <w:sz w:val="18"/>
                <w:szCs w:val="18"/>
              </w:rPr>
              <w:t>SD</w:t>
            </w:r>
            <w:r>
              <w:rPr>
                <w:rFonts w:ascii="宋体" w:hAnsi="宋体" w:cs="宋体" w:eastAsia="宋体" w:hint="default"/>
                <w:spacing w:val="-46"/>
                <w:sz w:val="18"/>
                <w:szCs w:val="18"/>
              </w:rPr>
              <w:t> </w:t>
            </w:r>
            <w:r>
              <w:rPr>
                <w:rFonts w:ascii="宋体" w:hAnsi="宋体" w:cs="宋体" w:eastAsia="宋体" w:hint="default"/>
                <w:sz w:val="18"/>
                <w:szCs w:val="18"/>
              </w:rPr>
              <w:t>卡</w:t>
            </w:r>
            <w:r>
              <w:rPr>
                <w:rFonts w:ascii="宋体" w:hAnsi="宋体" w:cs="宋体" w:eastAsia="宋体" w:hint="default"/>
                <w:sz w:val="18"/>
                <w:szCs w:val="18"/>
              </w:rPr>
              <w:t>/</w:t>
            </w:r>
            <w:r>
              <w:rPr>
                <w:rFonts w:ascii="宋体" w:hAnsi="宋体" w:cs="宋体" w:eastAsia="宋体" w:hint="default"/>
                <w:sz w:val="18"/>
                <w:szCs w:val="18"/>
              </w:rPr>
              <w:t>大容量</w:t>
            </w:r>
            <w:r>
              <w:rPr>
                <w:rFonts w:ascii="宋体" w:hAnsi="宋体" w:cs="宋体" w:eastAsia="宋体" w:hint="default"/>
                <w:spacing w:val="-46"/>
                <w:sz w:val="18"/>
                <w:szCs w:val="18"/>
              </w:rPr>
              <w:t> </w:t>
            </w:r>
            <w:r>
              <w:rPr>
                <w:rFonts w:ascii="宋体" w:hAnsi="宋体" w:cs="宋体" w:eastAsia="宋体" w:hint="default"/>
                <w:sz w:val="18"/>
                <w:szCs w:val="18"/>
              </w:rPr>
              <w:t>SIM</w:t>
            </w:r>
            <w:r>
              <w:rPr>
                <w:rFonts w:ascii="宋体" w:hAnsi="宋体" w:cs="宋体" w:eastAsia="宋体" w:hint="default"/>
                <w:spacing w:val="-46"/>
                <w:sz w:val="18"/>
                <w:szCs w:val="18"/>
              </w:rPr>
              <w:t> </w:t>
            </w:r>
            <w:r>
              <w:rPr>
                <w:rFonts w:ascii="宋体" w:hAnsi="宋体" w:cs="宋体" w:eastAsia="宋体" w:hint="default"/>
                <w:sz w:val="18"/>
                <w:szCs w:val="18"/>
              </w:rPr>
              <w:t>卡系列产品研发及产业化项目”已于</w:t>
            </w:r>
            <w:r>
              <w:rPr>
                <w:rFonts w:ascii="宋体" w:hAnsi="宋体" w:cs="宋体" w:eastAsia="宋体" w:hint="default"/>
                <w:spacing w:val="-46"/>
                <w:sz w:val="18"/>
                <w:szCs w:val="18"/>
              </w:rPr>
              <w:t> </w:t>
            </w:r>
            <w:r>
              <w:rPr>
                <w:rFonts w:ascii="宋体" w:hAnsi="宋体" w:cs="宋体" w:eastAsia="宋体"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日达到预期项目目标</w:t>
            </w:r>
            <w:r>
              <w:rPr>
                <w:rFonts w:ascii="宋体" w:hAnsi="宋体" w:cs="宋体" w:eastAsia="宋体" w:hint="default"/>
                <w:sz w:val="18"/>
                <w:szCs w:val="18"/>
              </w:rPr>
              <w:t>,</w:t>
            </w:r>
            <w:r>
              <w:rPr>
                <w:rFonts w:ascii="宋体" w:hAnsi="宋体" w:cs="宋体" w:eastAsia="宋体" w:hint="default"/>
                <w:sz w:val="18"/>
                <w:szCs w:val="18"/>
              </w:rPr>
              <w:t>节余资金为</w:t>
            </w:r>
            <w:r>
              <w:rPr>
                <w:rFonts w:ascii="宋体" w:hAnsi="宋体" w:cs="宋体" w:eastAsia="宋体" w:hint="default"/>
                <w:spacing w:val="-46"/>
                <w:sz w:val="18"/>
                <w:szCs w:val="18"/>
              </w:rPr>
              <w:t> </w:t>
            </w:r>
            <w:r>
              <w:rPr>
                <w:rFonts w:ascii="宋体" w:hAnsi="宋体" w:cs="宋体" w:eastAsia="宋体" w:hint="default"/>
                <w:sz w:val="18"/>
                <w:szCs w:val="18"/>
              </w:rPr>
              <w:t>8,937.32</w:t>
            </w:r>
            <w:r>
              <w:rPr>
                <w:rFonts w:ascii="宋体" w:hAnsi="宋体" w:cs="宋体" w:eastAsia="宋体" w:hint="default"/>
                <w:spacing w:val="-46"/>
                <w:sz w:val="18"/>
                <w:szCs w:val="18"/>
              </w:rPr>
              <w:t> </w:t>
            </w:r>
            <w:r>
              <w:rPr>
                <w:rFonts w:ascii="宋体" w:hAnsi="宋体" w:cs="宋体" w:eastAsia="宋体" w:hint="default"/>
                <w:sz w:val="18"/>
                <w:szCs w:val="18"/>
              </w:rPr>
              <w:t>万元，资金节余的主要原因：</w:t>
            </w:r>
          </w:p>
          <w:p>
            <w:pPr>
              <w:pStyle w:val="TableParagraph"/>
              <w:spacing w:line="319" w:lineRule="auto" w:before="55"/>
              <w:ind w:left="22" w:right="104"/>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）募集资金投资项目工程建设过程中，在保证工程质量的前提下，公司本着厉行节约的原则，进一步加强了项目费用控制、监督和管理，减 少了项目总开支。</w:t>
            </w:r>
          </w:p>
          <w:p>
            <w:pPr>
              <w:pStyle w:val="TableParagraph"/>
              <w:spacing w:line="319" w:lineRule="auto" w:before="55"/>
              <w:ind w:left="22" w:right="22"/>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）公司充分结合现有的设备配置与自身的技术优势和经验，对募集资金投资项目的研发和生产环节进行了优化，使得研发和生产设备的固定 资产投入较计划投入大幅减少。其中，鉴于行业市场</w:t>
            </w:r>
            <w:r>
              <w:rPr>
                <w:rFonts w:ascii="宋体" w:hAnsi="宋体" w:cs="宋体" w:eastAsia="宋体" w:hint="default"/>
                <w:spacing w:val="-48"/>
                <w:sz w:val="18"/>
                <w:szCs w:val="18"/>
              </w:rPr>
              <w:t> </w:t>
            </w:r>
            <w:r>
              <w:rPr>
                <w:rFonts w:ascii="宋体" w:hAnsi="宋体" w:cs="宋体" w:eastAsia="宋体" w:hint="default"/>
                <w:sz w:val="18"/>
                <w:szCs w:val="18"/>
              </w:rPr>
              <w:t>SIP</w:t>
            </w:r>
            <w:r>
              <w:rPr>
                <w:rFonts w:ascii="宋体" w:hAnsi="宋体" w:cs="宋体" w:eastAsia="宋体" w:hint="default"/>
                <w:spacing w:val="-48"/>
                <w:sz w:val="18"/>
                <w:szCs w:val="18"/>
              </w:rPr>
              <w:t> </w:t>
            </w:r>
            <w:r>
              <w:rPr>
                <w:rFonts w:ascii="宋体" w:hAnsi="宋体" w:cs="宋体" w:eastAsia="宋体" w:hint="default"/>
                <w:sz w:val="18"/>
                <w:szCs w:val="18"/>
              </w:rPr>
              <w:t>封装产能趋于饱和及</w:t>
            </w:r>
            <w:r>
              <w:rPr>
                <w:rFonts w:ascii="宋体" w:hAnsi="宋体" w:cs="宋体" w:eastAsia="宋体" w:hint="default"/>
                <w:spacing w:val="-48"/>
                <w:sz w:val="18"/>
                <w:szCs w:val="18"/>
              </w:rPr>
              <w:t> </w:t>
            </w:r>
            <w:r>
              <w:rPr>
                <w:rFonts w:ascii="宋体" w:hAnsi="宋体" w:cs="宋体" w:eastAsia="宋体" w:hint="default"/>
                <w:sz w:val="18"/>
                <w:szCs w:val="18"/>
              </w:rPr>
              <w:t>SIP</w:t>
            </w:r>
            <w:r>
              <w:rPr>
                <w:rFonts w:ascii="宋体" w:hAnsi="宋体" w:cs="宋体" w:eastAsia="宋体" w:hint="default"/>
                <w:spacing w:val="-48"/>
                <w:sz w:val="18"/>
                <w:szCs w:val="18"/>
              </w:rPr>
              <w:t> </w:t>
            </w:r>
            <w:r>
              <w:rPr>
                <w:rFonts w:ascii="宋体" w:hAnsi="宋体" w:cs="宋体" w:eastAsia="宋体" w:hint="default"/>
                <w:sz w:val="18"/>
                <w:szCs w:val="18"/>
              </w:rPr>
              <w:t>设备的投入成本较高，公司决定取消购置“智能</w:t>
            </w:r>
            <w:r>
              <w:rPr>
                <w:rFonts w:ascii="宋体" w:hAnsi="宋体" w:cs="宋体" w:eastAsia="宋体" w:hint="default"/>
                <w:spacing w:val="-48"/>
                <w:sz w:val="18"/>
                <w:szCs w:val="18"/>
              </w:rPr>
              <w:t> </w:t>
            </w:r>
            <w:r>
              <w:rPr>
                <w:rFonts w:ascii="宋体" w:hAnsi="宋体" w:cs="宋体" w:eastAsia="宋体" w:hint="default"/>
                <w:sz w:val="18"/>
                <w:szCs w:val="18"/>
              </w:rPr>
              <w:t>SD</w:t>
            </w:r>
            <w:r>
              <w:rPr>
                <w:rFonts w:ascii="宋体" w:hAnsi="宋体" w:cs="宋体" w:eastAsia="宋体" w:hint="default"/>
                <w:spacing w:val="-48"/>
                <w:sz w:val="18"/>
                <w:szCs w:val="18"/>
              </w:rPr>
              <w:t> </w:t>
            </w:r>
            <w:r>
              <w:rPr>
                <w:rFonts w:ascii="宋体" w:hAnsi="宋体" w:cs="宋体" w:eastAsia="宋体" w:hint="default"/>
                <w:sz w:val="18"/>
                <w:szCs w:val="18"/>
              </w:rPr>
              <w:t>卡</w:t>
            </w:r>
            <w:r>
              <w:rPr>
                <w:rFonts w:ascii="宋体" w:hAnsi="宋体" w:cs="宋体" w:eastAsia="宋体" w:hint="default"/>
                <w:sz w:val="18"/>
                <w:szCs w:val="18"/>
              </w:rPr>
              <w:t>/</w:t>
            </w:r>
            <w:r>
              <w:rPr>
                <w:rFonts w:ascii="宋体" w:hAnsi="宋体" w:cs="宋体" w:eastAsia="宋体" w:hint="default"/>
                <w:sz w:val="18"/>
                <w:szCs w:val="18"/>
              </w:rPr>
              <w:t>大容量 </w:t>
            </w:r>
            <w:r>
              <w:rPr>
                <w:rFonts w:ascii="宋体" w:hAnsi="宋体" w:cs="宋体" w:eastAsia="宋体" w:hint="default"/>
                <w:sz w:val="18"/>
                <w:szCs w:val="18"/>
              </w:rPr>
              <w:t>SIM</w:t>
            </w:r>
            <w:r>
              <w:rPr>
                <w:rFonts w:ascii="宋体" w:hAnsi="宋体" w:cs="宋体" w:eastAsia="宋体" w:hint="default"/>
                <w:spacing w:val="-46"/>
                <w:sz w:val="18"/>
                <w:szCs w:val="18"/>
              </w:rPr>
              <w:t> </w:t>
            </w:r>
            <w:r>
              <w:rPr>
                <w:rFonts w:ascii="宋体" w:hAnsi="宋体" w:cs="宋体" w:eastAsia="宋体" w:hint="default"/>
                <w:sz w:val="18"/>
                <w:szCs w:val="18"/>
              </w:rPr>
              <w:t>卡系列产品研发及产业化项目”SIP</w:t>
            </w:r>
            <w:r>
              <w:rPr>
                <w:rFonts w:ascii="宋体" w:hAnsi="宋体" w:cs="宋体" w:eastAsia="宋体" w:hint="default"/>
                <w:spacing w:val="-46"/>
                <w:sz w:val="18"/>
                <w:szCs w:val="18"/>
              </w:rPr>
              <w:t> </w:t>
            </w:r>
            <w:r>
              <w:rPr>
                <w:rFonts w:ascii="宋体" w:hAnsi="宋体" w:cs="宋体" w:eastAsia="宋体" w:hint="default"/>
                <w:sz w:val="18"/>
                <w:szCs w:val="18"/>
              </w:rPr>
              <w:t>封装生产线，转为选择稳定可靠的</w:t>
            </w:r>
            <w:r>
              <w:rPr>
                <w:rFonts w:ascii="宋体" w:hAnsi="宋体" w:cs="宋体" w:eastAsia="宋体" w:hint="default"/>
                <w:spacing w:val="-46"/>
                <w:sz w:val="18"/>
                <w:szCs w:val="18"/>
              </w:rPr>
              <w:t> </w:t>
            </w:r>
            <w:r>
              <w:rPr>
                <w:rFonts w:ascii="宋体" w:hAnsi="宋体" w:cs="宋体" w:eastAsia="宋体" w:hint="default"/>
                <w:sz w:val="18"/>
                <w:szCs w:val="18"/>
              </w:rPr>
              <w:t>SIP</w:t>
            </w:r>
            <w:r>
              <w:rPr>
                <w:rFonts w:ascii="宋体" w:hAnsi="宋体" w:cs="宋体" w:eastAsia="宋体" w:hint="default"/>
                <w:spacing w:val="-46"/>
                <w:sz w:val="18"/>
                <w:szCs w:val="18"/>
              </w:rPr>
              <w:t> </w:t>
            </w:r>
            <w:r>
              <w:rPr>
                <w:rFonts w:ascii="宋体" w:hAnsi="宋体" w:cs="宋体" w:eastAsia="宋体" w:hint="default"/>
                <w:sz w:val="18"/>
                <w:szCs w:val="18"/>
              </w:rPr>
              <w:t>封装厂商合作。</w:t>
            </w:r>
          </w:p>
          <w:p>
            <w:pPr>
              <w:pStyle w:val="TableParagraph"/>
              <w:spacing w:line="319" w:lineRule="auto" w:before="56"/>
              <w:ind w:left="22" w:right="21"/>
              <w:jc w:val="both"/>
              <w:rPr>
                <w:rFonts w:ascii="宋体" w:hAnsi="宋体" w:cs="宋体" w:eastAsia="宋体" w:hint="default"/>
                <w:sz w:val="18"/>
                <w:szCs w:val="18"/>
              </w:rPr>
            </w:pPr>
            <w:r>
              <w:rPr>
                <w:rFonts w:ascii="宋体" w:hAnsi="宋体" w:cs="宋体" w:eastAsia="宋体" w:hint="default"/>
                <w:spacing w:val="-2"/>
                <w:sz w:val="18"/>
                <w:szCs w:val="18"/>
              </w:rPr>
              <w:t>公司第五届董事会第十七次会议、第五届监事会第十次会议、</w:t>
            </w:r>
            <w:r>
              <w:rPr>
                <w:rFonts w:ascii="宋体" w:hAnsi="宋体" w:cs="宋体" w:eastAsia="宋体" w:hint="default"/>
                <w:spacing w:val="-2"/>
                <w:sz w:val="18"/>
                <w:szCs w:val="18"/>
              </w:rPr>
              <w:t>2012</w:t>
            </w:r>
            <w:r>
              <w:rPr>
                <w:rFonts w:ascii="宋体" w:hAnsi="宋体" w:cs="宋体" w:eastAsia="宋体" w:hint="default"/>
                <w:spacing w:val="-14"/>
                <w:sz w:val="18"/>
                <w:szCs w:val="18"/>
              </w:rPr>
              <w:t> </w:t>
            </w:r>
            <w:r>
              <w:rPr>
                <w:rFonts w:ascii="宋体" w:hAnsi="宋体" w:cs="宋体" w:eastAsia="宋体" w:hint="default"/>
                <w:spacing w:val="-1"/>
                <w:sz w:val="18"/>
                <w:szCs w:val="18"/>
              </w:rPr>
              <w:t>年第一次临时股东大会审议通过《关于将募集资金投资项目节余资金永久补充</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流动资金的议案》，批准公司以募集资金投资项目节余资金</w:t>
            </w:r>
            <w:r>
              <w:rPr>
                <w:rFonts w:ascii="宋体" w:hAnsi="宋体" w:cs="宋体" w:eastAsia="宋体" w:hint="default"/>
                <w:spacing w:val="-31"/>
                <w:sz w:val="18"/>
                <w:szCs w:val="18"/>
              </w:rPr>
              <w:t> </w:t>
            </w:r>
            <w:r>
              <w:rPr>
                <w:rFonts w:ascii="宋体" w:hAnsi="宋体" w:cs="宋体" w:eastAsia="宋体" w:hint="default"/>
                <w:sz w:val="18"/>
                <w:szCs w:val="18"/>
              </w:rPr>
              <w:t>8,937.32</w:t>
            </w:r>
            <w:r>
              <w:rPr>
                <w:rFonts w:ascii="宋体" w:hAnsi="宋体" w:cs="宋体" w:eastAsia="宋体" w:hint="default"/>
                <w:spacing w:val="-31"/>
                <w:sz w:val="18"/>
                <w:szCs w:val="18"/>
              </w:rPr>
              <w:t> </w:t>
            </w:r>
            <w:r>
              <w:rPr>
                <w:rFonts w:ascii="宋体" w:hAnsi="宋体" w:cs="宋体" w:eastAsia="宋体" w:hint="default"/>
                <w:spacing w:val="-1"/>
                <w:sz w:val="18"/>
                <w:szCs w:val="18"/>
              </w:rPr>
              <w:t>万元永久补充流动资金。对该议案，公司独立董事出具了表示同意的独立意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见，公司保荐机构长江证券承销保荐有限公司出具了表示无异议的核查意见。</w:t>
            </w:r>
          </w:p>
        </w:tc>
      </w:tr>
    </w:tbl>
    <w:p>
      <w:pPr>
        <w:spacing w:after="0" w:line="319" w:lineRule="auto"/>
        <w:jc w:val="both"/>
        <w:rPr>
          <w:rFonts w:ascii="宋体" w:hAnsi="宋体" w:cs="宋体" w:eastAsia="宋体" w:hint="default"/>
          <w:sz w:val="18"/>
          <w:szCs w:val="18"/>
        </w:rPr>
        <w:sectPr>
          <w:pgSz w:w="16840" w:h="11910" w:orient="landscape"/>
          <w:pgMar w:header="857" w:footer="1187" w:top="1040" w:bottom="1400" w:left="1320" w:right="0"/>
        </w:sectPr>
      </w:pPr>
    </w:p>
    <w:p>
      <w:pPr>
        <w:spacing w:line="240" w:lineRule="auto" w:before="2"/>
        <w:rPr>
          <w:rFonts w:ascii="Times New Roman" w:hAnsi="Times New Roman" w:cs="Times New Roman" w:eastAsia="Times New Roman"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2646"/>
        <w:gridCol w:w="11389"/>
      </w:tblGrid>
      <w:tr>
        <w:trPr>
          <w:trHeight w:val="1665" w:hRule="exact"/>
        </w:trPr>
        <w:tc>
          <w:tcPr>
            <w:tcW w:w="2646" w:type="dxa"/>
            <w:tcBorders>
              <w:top w:val="single" w:sz="15" w:space="0" w:color="000000"/>
              <w:left w:val="single" w:sz="4" w:space="0" w:color="000000"/>
              <w:bottom w:val="single" w:sz="4" w:space="0" w:color="000000"/>
              <w:right w:val="single" w:sz="4" w:space="0" w:color="000000"/>
            </w:tcBorders>
          </w:tcPr>
          <w:p>
            <w:pPr/>
          </w:p>
        </w:tc>
        <w:tc>
          <w:tcPr>
            <w:tcW w:w="11389"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10"/>
              <w:ind w:left="22" w:right="104"/>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公司超募资金投资项目“数据安全产业园一期工程项目”已于</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日建设完成并达到预定可使用状态，节余资金</w:t>
            </w:r>
            <w:r>
              <w:rPr>
                <w:rFonts w:ascii="宋体" w:hAnsi="宋体" w:cs="宋体" w:eastAsia="宋体" w:hint="default"/>
                <w:spacing w:val="-46"/>
                <w:sz w:val="18"/>
                <w:szCs w:val="18"/>
              </w:rPr>
              <w:t> </w:t>
            </w:r>
            <w:r>
              <w:rPr>
                <w:rFonts w:ascii="宋体" w:hAnsi="宋体" w:cs="宋体" w:eastAsia="宋体" w:hint="default"/>
                <w:sz w:val="18"/>
                <w:szCs w:val="18"/>
              </w:rPr>
              <w:t>937.93</w:t>
            </w:r>
            <w:r>
              <w:rPr>
                <w:rFonts w:ascii="宋体" w:hAnsi="宋体" w:cs="宋体" w:eastAsia="宋体" w:hint="default"/>
                <w:spacing w:val="-46"/>
                <w:sz w:val="18"/>
                <w:szCs w:val="18"/>
              </w:rPr>
              <w:t> </w:t>
            </w:r>
            <w:r>
              <w:rPr>
                <w:rFonts w:ascii="宋体" w:hAnsi="宋体" w:cs="宋体" w:eastAsia="宋体" w:hint="default"/>
                <w:sz w:val="18"/>
                <w:szCs w:val="18"/>
              </w:rPr>
              <w:t>万元为工 程建设及相关设备采购合同中尚未达到约定支付条件的尾款。</w:t>
            </w:r>
          </w:p>
          <w:p>
            <w:pPr>
              <w:pStyle w:val="TableParagraph"/>
              <w:spacing w:line="319" w:lineRule="auto" w:before="56"/>
              <w:ind w:left="22" w:right="14"/>
              <w:jc w:val="left"/>
              <w:rPr>
                <w:rFonts w:ascii="宋体" w:hAnsi="宋体" w:cs="宋体" w:eastAsia="宋体" w:hint="default"/>
                <w:sz w:val="18"/>
                <w:szCs w:val="18"/>
              </w:rPr>
            </w:pPr>
            <w:r>
              <w:rPr>
                <w:rFonts w:ascii="宋体" w:hAnsi="宋体" w:cs="宋体" w:eastAsia="宋体" w:hint="default"/>
                <w:spacing w:val="-2"/>
                <w:sz w:val="18"/>
                <w:szCs w:val="18"/>
              </w:rPr>
              <w:t>公司第六届董事会第十四次会议、</w:t>
            </w:r>
            <w:r>
              <w:rPr>
                <w:rFonts w:ascii="宋体" w:hAnsi="宋体" w:cs="宋体" w:eastAsia="宋体" w:hint="default"/>
                <w:spacing w:val="-2"/>
                <w:sz w:val="18"/>
                <w:szCs w:val="18"/>
              </w:rPr>
              <w:t>2015</w:t>
            </w:r>
            <w:r>
              <w:rPr>
                <w:rFonts w:ascii="宋体" w:hAnsi="宋体" w:cs="宋体" w:eastAsia="宋体" w:hint="default"/>
                <w:spacing w:val="-27"/>
                <w:sz w:val="18"/>
                <w:szCs w:val="18"/>
              </w:rPr>
              <w:t> </w:t>
            </w:r>
            <w:r>
              <w:rPr>
                <w:rFonts w:ascii="宋体" w:hAnsi="宋体" w:cs="宋体" w:eastAsia="宋体" w:hint="default"/>
                <w:spacing w:val="-1"/>
                <w:sz w:val="18"/>
                <w:szCs w:val="18"/>
              </w:rPr>
              <w:t>年第一次临时股东大会审议通过《关于使用超募资金投资项目节余资金及募集资金利息永久补充流动资金</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的议案》，同意公司使用超募资金投资项目节余资金</w:t>
            </w:r>
            <w:r>
              <w:rPr>
                <w:rFonts w:ascii="宋体" w:hAnsi="宋体" w:cs="宋体" w:eastAsia="宋体" w:hint="default"/>
                <w:spacing w:val="-46"/>
                <w:sz w:val="18"/>
                <w:szCs w:val="18"/>
              </w:rPr>
              <w:t> </w:t>
            </w:r>
            <w:r>
              <w:rPr>
                <w:rFonts w:ascii="宋体" w:hAnsi="宋体" w:cs="宋体" w:eastAsia="宋体" w:hint="default"/>
                <w:sz w:val="18"/>
                <w:szCs w:val="18"/>
              </w:rPr>
              <w:t>937.93</w:t>
            </w:r>
            <w:r>
              <w:rPr>
                <w:rFonts w:ascii="宋体" w:hAnsi="宋体" w:cs="宋体" w:eastAsia="宋体" w:hint="default"/>
                <w:spacing w:val="-46"/>
                <w:sz w:val="18"/>
                <w:szCs w:val="18"/>
              </w:rPr>
              <w:t> </w:t>
            </w:r>
            <w:r>
              <w:rPr>
                <w:rFonts w:ascii="宋体" w:hAnsi="宋体" w:cs="宋体" w:eastAsia="宋体" w:hint="default"/>
                <w:sz w:val="18"/>
                <w:szCs w:val="18"/>
              </w:rPr>
              <w:t>万元及募集资金利息</w:t>
            </w:r>
            <w:r>
              <w:rPr>
                <w:rFonts w:ascii="宋体" w:hAnsi="宋体" w:cs="宋体" w:eastAsia="宋体" w:hint="default"/>
                <w:spacing w:val="-46"/>
                <w:sz w:val="18"/>
                <w:szCs w:val="18"/>
              </w:rPr>
              <w:t> </w:t>
            </w:r>
            <w:r>
              <w:rPr>
                <w:rFonts w:ascii="宋体" w:hAnsi="宋体" w:cs="宋体" w:eastAsia="宋体" w:hint="default"/>
                <w:sz w:val="18"/>
                <w:szCs w:val="18"/>
              </w:rPr>
              <w:t>2,027.69</w:t>
            </w:r>
            <w:r>
              <w:rPr>
                <w:rFonts w:ascii="宋体" w:hAnsi="宋体" w:cs="宋体" w:eastAsia="宋体" w:hint="default"/>
                <w:spacing w:val="-46"/>
                <w:sz w:val="18"/>
                <w:szCs w:val="18"/>
              </w:rPr>
              <w:t> </w:t>
            </w:r>
            <w:r>
              <w:rPr>
                <w:rFonts w:ascii="宋体" w:hAnsi="宋体" w:cs="宋体" w:eastAsia="宋体" w:hint="default"/>
                <w:sz w:val="18"/>
                <w:szCs w:val="18"/>
              </w:rPr>
              <w:t>万元（实际利息以转出当日银行结算余额为准）永久 补充流动资金。对该议案，公司独立董事出具了表示同意的独立意见，公司保荐机构长江证券承销保荐有限公司出具了表示无异议的核查意见。</w:t>
            </w:r>
          </w:p>
        </w:tc>
      </w:tr>
      <w:tr>
        <w:trPr>
          <w:trHeight w:val="402"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尚未使用的募集资金用途及去向</w:t>
            </w:r>
          </w:p>
        </w:tc>
        <w:tc>
          <w:tcPr>
            <w:tcW w:w="1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截至报告期末，公司募集资金已全部使用完毕。</w:t>
            </w:r>
          </w:p>
        </w:tc>
      </w:tr>
      <w:tr>
        <w:trPr>
          <w:trHeight w:val="714"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募集资金使用及披露中存在的问 题或其他情况</w:t>
            </w:r>
          </w:p>
        </w:tc>
        <w:tc>
          <w:tcPr>
            <w:tcW w:w="1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20" w:right="11598"/>
        <w:jc w:val="left"/>
        <w:rPr>
          <w:b w:val="0"/>
          <w:bCs w:val="0"/>
        </w:rPr>
      </w:pPr>
      <w:bookmarkStart w:name="（3）募集资金变更项目情况" w:id="51"/>
      <w:bookmarkEnd w:id="51"/>
      <w:r>
        <w:rPr>
          <w:b w:val="0"/>
          <w:bCs w:val="0"/>
        </w:rPr>
      </w:r>
      <w:r>
        <w:rPr/>
        <w:t>（</w:t>
      </w:r>
      <w:r>
        <w:rPr>
          <w:rFonts w:ascii="宋体" w:hAnsi="宋体" w:cs="宋体" w:eastAsia="宋体" w:hint="default"/>
        </w:rPr>
        <w:t>3</w:t>
      </w:r>
      <w:r>
        <w:rPr/>
        <w:t>）募集资金变更项目情况</w:t>
      </w:r>
      <w:r>
        <w:rPr>
          <w:b w:val="0"/>
          <w:bCs w:val="0"/>
        </w:rPr>
      </w:r>
    </w:p>
    <w:p>
      <w:pPr>
        <w:spacing w:line="240" w:lineRule="auto" w:before="11"/>
        <w:rPr>
          <w:rFonts w:ascii="宋体" w:hAnsi="宋体" w:cs="宋体" w:eastAsia="宋体" w:hint="default"/>
          <w:b/>
          <w:bCs/>
          <w:sz w:val="27"/>
          <w:szCs w:val="27"/>
        </w:rPr>
      </w:pPr>
    </w:p>
    <w:p>
      <w:pPr>
        <w:pStyle w:val="BodyText"/>
        <w:spacing w:line="360" w:lineRule="auto"/>
        <w:ind w:left="480" w:right="11598" w:hanging="360"/>
        <w:jc w:val="left"/>
      </w:pPr>
      <w:r>
        <w:rPr/>
        <w:t>□ 适用 √ 不适用 公司报告期不存在募集资金变更项目情况。</w:t>
      </w:r>
    </w:p>
    <w:p>
      <w:pPr>
        <w:spacing w:after="0" w:line="360" w:lineRule="auto"/>
        <w:jc w:val="left"/>
        <w:sectPr>
          <w:pgSz w:w="16840" w:h="11910" w:orient="landscape"/>
          <w:pgMar w:header="857" w:footer="1187" w:top="1040" w:bottom="1380" w:left="1320" w:right="0"/>
        </w:sectPr>
      </w:pPr>
    </w:p>
    <w:p>
      <w:pPr>
        <w:spacing w:line="240" w:lineRule="auto" w:before="0"/>
        <w:rPr>
          <w:rFonts w:ascii="宋体" w:hAnsi="宋体" w:cs="宋体" w:eastAsia="宋体" w:hint="default"/>
          <w:sz w:val="20"/>
          <w:szCs w:val="20"/>
        </w:rPr>
      </w:pPr>
      <w:r>
        <w:rPr/>
        <w:pict>
          <v:shape style="position:absolute;margin-left:0pt;margin-top:799.919983pt;width:595.320007pt;height:42pt;mso-position-horizontal-relative:page;mso-position-vertical-relative:page;z-index:1240" type="#_x0000_t75" stroked="false">
            <v:imagedata r:id="rId19" o:title=""/>
          </v:shape>
        </w:pict>
      </w:r>
    </w:p>
    <w:p>
      <w:pPr>
        <w:spacing w:line="240" w:lineRule="auto" w:before="7"/>
        <w:rPr>
          <w:rFonts w:ascii="宋体" w:hAnsi="宋体" w:cs="宋体" w:eastAsia="宋体" w:hint="default"/>
          <w:sz w:val="19"/>
          <w:szCs w:val="19"/>
        </w:rPr>
      </w:pPr>
    </w:p>
    <w:p>
      <w:pPr>
        <w:pStyle w:val="Heading2"/>
        <w:spacing w:line="240" w:lineRule="auto" w:before="26"/>
        <w:ind w:right="0"/>
        <w:jc w:val="left"/>
        <w:rPr>
          <w:b w:val="0"/>
          <w:bCs w:val="0"/>
        </w:rPr>
      </w:pPr>
      <w:bookmarkStart w:name="六、重大资产和股权出售" w:id="52"/>
      <w:bookmarkEnd w:id="52"/>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出售重大资产情况" w:id="53"/>
      <w:bookmarkEnd w:id="53"/>
      <w:r>
        <w:rPr>
          <w:b w:val="0"/>
          <w:bCs w:val="0"/>
        </w:rPr>
      </w:r>
      <w:r>
        <w:rPr>
          <w:rFonts w:ascii="宋体" w:hAnsi="宋体" w:cs="宋体" w:eastAsia="宋体" w:hint="default"/>
        </w:rPr>
        <w:t>1</w:t>
      </w:r>
      <w:r>
        <w:rPr/>
        <w:t>、出售重大资产情况</w:t>
      </w:r>
      <w:r>
        <w:rPr>
          <w:b w:val="0"/>
          <w:bCs w:val="0"/>
        </w:rPr>
      </w:r>
    </w:p>
    <w:p>
      <w:pPr>
        <w:spacing w:line="240" w:lineRule="auto" w:before="11"/>
        <w:rPr>
          <w:rFonts w:ascii="宋体" w:hAnsi="宋体" w:cs="宋体" w:eastAsia="宋体" w:hint="default"/>
          <w:b/>
          <w:bCs/>
          <w:sz w:val="27"/>
          <w:szCs w:val="27"/>
        </w:rPr>
      </w:pPr>
    </w:p>
    <w:p>
      <w:pPr>
        <w:pStyle w:val="BodyText"/>
        <w:spacing w:line="357" w:lineRule="auto"/>
        <w:ind w:left="1493" w:right="8053" w:hanging="360"/>
        <w:jc w:val="left"/>
      </w:pPr>
      <w:r>
        <w:rPr/>
        <w:t>□ 适用 √ 不适用 公司报告期未出售重大资产。</w:t>
      </w:r>
    </w:p>
    <w:p>
      <w:pPr>
        <w:spacing w:line="240" w:lineRule="auto" w:before="13"/>
        <w:rPr>
          <w:rFonts w:ascii="宋体" w:hAnsi="宋体" w:cs="宋体" w:eastAsia="宋体" w:hint="default"/>
          <w:sz w:val="19"/>
          <w:szCs w:val="19"/>
        </w:rPr>
      </w:pPr>
    </w:p>
    <w:p>
      <w:pPr>
        <w:pStyle w:val="Heading3"/>
        <w:spacing w:line="240" w:lineRule="auto"/>
        <w:ind w:right="0"/>
        <w:jc w:val="left"/>
        <w:rPr>
          <w:b w:val="0"/>
          <w:bCs w:val="0"/>
        </w:rPr>
      </w:pPr>
      <w:bookmarkStart w:name="2、出售重大股权情况" w:id="54"/>
      <w:bookmarkEnd w:id="54"/>
      <w:r>
        <w:rPr>
          <w:b w:val="0"/>
          <w:bCs w:val="0"/>
        </w:rPr>
      </w:r>
      <w:r>
        <w:rPr>
          <w:rFonts w:ascii="宋体" w:hAnsi="宋体" w:cs="宋体" w:eastAsia="宋体" w:hint="default"/>
        </w:rPr>
        <w:t>2</w:t>
      </w:r>
      <w:r>
        <w:rPr/>
        <w:t>、出售重大股权情况</w:t>
      </w:r>
      <w:r>
        <w:rPr>
          <w:b w:val="0"/>
          <w:bCs w:val="0"/>
        </w:rPr>
      </w:r>
    </w:p>
    <w:p>
      <w:pPr>
        <w:spacing w:line="240" w:lineRule="auto" w:before="12"/>
        <w:rPr>
          <w:rFonts w:ascii="宋体" w:hAnsi="宋体" w:cs="宋体" w:eastAsia="宋体" w:hint="default"/>
          <w:b/>
          <w:bCs/>
          <w:sz w:val="27"/>
          <w:szCs w:val="27"/>
        </w:rPr>
      </w:pPr>
    </w:p>
    <w:p>
      <w:pPr>
        <w:pStyle w:val="BodyText"/>
        <w:spacing w:line="360" w:lineRule="auto"/>
        <w:ind w:left="1493" w:right="8053" w:hanging="360"/>
        <w:jc w:val="left"/>
      </w:pPr>
      <w:r>
        <w:rPr/>
        <w:t>□ 适用 √ 不适用 公司报告期未出售重大股权。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before="76"/>
        <w:ind w:left="1131" w:right="1130"/>
        <w:jc w:val="center"/>
        <w:rPr>
          <w:rFonts w:ascii="Times New Roman" w:hAnsi="Times New Roman" w:cs="Times New Roman" w:eastAsia="Times New Roman" w:hint="default"/>
        </w:rPr>
      </w:pPr>
      <w:r>
        <w:rPr>
          <w:rFonts w:ascii="Times New Roman"/>
        </w:rPr>
        <w:t>24</w:t>
      </w:r>
    </w:p>
    <w:p>
      <w:pPr>
        <w:spacing w:after="0" w:line="240" w:lineRule="auto"/>
        <w:jc w:val="center"/>
        <w:rPr>
          <w:rFonts w:ascii="Times New Roman" w:hAnsi="Times New Roman" w:cs="Times New Roman" w:eastAsia="Times New Roman" w:hint="default"/>
        </w:rPr>
        <w:sectPr>
          <w:headerReference w:type="default" r:id="rId17"/>
          <w:footerReference w:type="default" r:id="rId18"/>
          <w:pgSz w:w="11910" w:h="16840"/>
          <w:pgMar w:header="877" w:footer="0" w:top="1100" w:bottom="0" w:left="0" w:right="0"/>
        </w:sectPr>
      </w:pPr>
    </w:p>
    <w:p>
      <w:pPr>
        <w:spacing w:line="240" w:lineRule="auto" w:before="3"/>
        <w:rPr>
          <w:rFonts w:ascii="Times New Roman" w:hAnsi="Times New Roman" w:cs="Times New Roman" w:eastAsia="Times New Roman" w:hint="default"/>
          <w:sz w:val="25"/>
          <w:szCs w:val="25"/>
        </w:rPr>
      </w:pPr>
    </w:p>
    <w:p>
      <w:pPr>
        <w:pStyle w:val="Heading2"/>
        <w:spacing w:line="240" w:lineRule="auto"/>
        <w:ind w:left="140" w:right="-20"/>
        <w:jc w:val="left"/>
        <w:rPr>
          <w:b w:val="0"/>
          <w:bCs w:val="0"/>
        </w:rPr>
      </w:pPr>
      <w:bookmarkStart w:name="七、主要控股参股公司分析" w:id="55"/>
      <w:bookmarkEnd w:id="55"/>
      <w:r>
        <w:rPr>
          <w:b w:val="0"/>
          <w:bCs w:val="0"/>
        </w:rPr>
      </w:r>
      <w:r>
        <w:rPr/>
        <w:t>七、主要控股参股公司分析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40" w:right="-20"/>
        <w:jc w:val="left"/>
      </w:pPr>
      <w:r>
        <w:rPr/>
        <w:t>√ 适用 □ 不适用</w:t>
      </w:r>
    </w:p>
    <w:p>
      <w:pPr>
        <w:pStyle w:val="BodyText"/>
        <w:spacing w:line="240" w:lineRule="auto" w:before="116"/>
        <w:ind w:left="140" w:right="-20"/>
        <w:jc w:val="left"/>
      </w:pPr>
      <w:r>
        <w:rPr/>
        <w:t>主要子公司及对公司净利润影响达</w:t>
      </w:r>
      <w:r>
        <w:rPr>
          <w:spacing w:val="-46"/>
        </w:rPr>
        <w:t> </w:t>
      </w:r>
      <w:r>
        <w:rPr>
          <w:rFonts w:ascii="宋体" w:hAnsi="宋体" w:cs="宋体" w:eastAsia="宋体" w:hint="default"/>
        </w:rPr>
        <w:t>10%</w:t>
      </w:r>
      <w:r>
        <w:rPr/>
        <w:t>以上的参股公司情况</w:t>
      </w:r>
    </w:p>
    <w:p>
      <w:pPr>
        <w:pStyle w:val="BodyText"/>
        <w:spacing w:line="240" w:lineRule="auto" w:before="15"/>
        <w:ind w:left="140" w:right="0"/>
        <w:jc w:val="left"/>
      </w:pPr>
      <w:r>
        <w:rPr/>
        <w:br w:type="column"/>
      </w:r>
      <w:r>
        <w:rPr/>
        <w:t>武汉天喻信息产业股份有限公司</w:t>
      </w:r>
      <w:r>
        <w:rPr>
          <w:spacing w:val="-46"/>
        </w:rPr>
        <w:t> </w:t>
      </w:r>
      <w:r>
        <w:rPr>
          <w:rFonts w:ascii="宋体" w:hAnsi="宋体" w:cs="宋体" w:eastAsia="宋体" w:hint="default"/>
        </w:rPr>
        <w:t>2015</w:t>
      </w:r>
      <w:r>
        <w:rPr>
          <w:rFonts w:ascii="宋体" w:hAnsi="宋体" w:cs="宋体" w:eastAsia="宋体" w:hint="default"/>
          <w:spacing w:val="-46"/>
        </w:rPr>
        <w:t> </w:t>
      </w:r>
      <w:r>
        <w:rPr/>
        <w:t>年度报告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7"/>
          <w:szCs w:val="17"/>
        </w:rPr>
      </w:pPr>
    </w:p>
    <w:p>
      <w:pPr>
        <w:pStyle w:val="BodyText"/>
        <w:spacing w:line="240" w:lineRule="auto"/>
        <w:ind w:left="3013" w:right="0"/>
        <w:jc w:val="left"/>
      </w:pPr>
      <w:r>
        <w:rPr/>
        <w:pict>
          <v:group style="position:absolute;margin-left:70.5pt;margin-top:-67.568283pt;width:701pt;height:.1pt;mso-position-horizontal-relative:page;mso-position-vertical-relative:paragraph;z-index:-778864" coordorigin="1410,-1351" coordsize="14020,2">
            <v:shape style="position:absolute;left:1410;top:-1351;width:14020;height:2" coordorigin="1410,-1351" coordsize="14020,0" path="m1410,-1351l15430,-1351e" filled="false" stroked="true" strokeweight=".72pt" strokecolor="#000000">
              <v:path arrowok="t"/>
            </v:shape>
            <w10:wrap type="none"/>
          </v:group>
        </w:pict>
      </w:r>
      <w:r>
        <w:rPr/>
        <w:t>单位：元</w:t>
      </w:r>
    </w:p>
    <w:p>
      <w:pPr>
        <w:spacing w:after="0" w:line="240" w:lineRule="auto"/>
        <w:jc w:val="left"/>
        <w:sectPr>
          <w:headerReference w:type="default" r:id="rId20"/>
          <w:footerReference w:type="default" r:id="rId21"/>
          <w:pgSz w:w="16840" w:h="11910" w:orient="landscape"/>
          <w:pgMar w:header="0" w:footer="0" w:top="800" w:bottom="0" w:left="1300" w:right="0"/>
          <w:cols w:num="2" w:equalWidth="0">
            <w:col w:w="4775" w:space="5494"/>
            <w:col w:w="5271"/>
          </w:cols>
        </w:sectPr>
      </w:pPr>
    </w:p>
    <w:p>
      <w:pPr>
        <w:spacing w:line="240" w:lineRule="auto" w:before="13"/>
        <w:rPr>
          <w:rFonts w:ascii="宋体" w:hAnsi="宋体" w:cs="宋体" w:eastAsia="宋体" w:hint="default"/>
          <w:sz w:val="7"/>
          <w:szCs w:val="7"/>
        </w:rPr>
      </w:pPr>
    </w:p>
    <w:tbl>
      <w:tblPr>
        <w:tblW w:w="0" w:type="auto"/>
        <w:jc w:val="left"/>
        <w:tblInd w:w="135" w:type="dxa"/>
        <w:tblLayout w:type="fixed"/>
        <w:tblCellMar>
          <w:top w:w="0" w:type="dxa"/>
          <w:left w:w="0" w:type="dxa"/>
          <w:bottom w:w="0" w:type="dxa"/>
          <w:right w:w="0" w:type="dxa"/>
        </w:tblCellMar>
        <w:tblLook w:val="01E0"/>
      </w:tblPr>
      <w:tblGrid>
        <w:gridCol w:w="1054"/>
        <w:gridCol w:w="1074"/>
        <w:gridCol w:w="3827"/>
        <w:gridCol w:w="1185"/>
        <w:gridCol w:w="1442"/>
        <w:gridCol w:w="1342"/>
        <w:gridCol w:w="1277"/>
        <w:gridCol w:w="1416"/>
        <w:gridCol w:w="1418"/>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公司类型</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5"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5"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4"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天喻通讯</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1"/>
                <w:sz w:val="18"/>
                <w:szCs w:val="18"/>
              </w:rPr>
              <w:t>教育云平台、在线学习平台及核心教学应用的开</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发、销售和运营服务</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5,000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110,634,449.66</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-1,063,302.66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77,910,633.09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-25,458,187.26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-25,001,089.01</w:t>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擎动网络</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9"/>
              <w:jc w:val="left"/>
              <w:rPr>
                <w:rFonts w:ascii="宋体" w:hAnsi="宋体" w:cs="宋体" w:eastAsia="宋体" w:hint="default"/>
                <w:sz w:val="18"/>
                <w:szCs w:val="18"/>
              </w:rPr>
            </w:pPr>
            <w:r>
              <w:rPr>
                <w:rFonts w:ascii="宋体" w:hAnsi="宋体" w:cs="宋体" w:eastAsia="宋体" w:hint="default"/>
                <w:sz w:val="18"/>
                <w:szCs w:val="18"/>
              </w:rPr>
              <w:t>零售及流通供应链</w:t>
            </w:r>
            <w:r>
              <w:rPr>
                <w:rFonts w:ascii="宋体" w:hAnsi="宋体" w:cs="宋体" w:eastAsia="宋体" w:hint="default"/>
                <w:spacing w:val="-46"/>
                <w:sz w:val="18"/>
                <w:szCs w:val="18"/>
              </w:rPr>
              <w:t> </w:t>
            </w:r>
            <w:r>
              <w:rPr>
                <w:rFonts w:ascii="宋体" w:hAnsi="宋体" w:cs="宋体" w:eastAsia="宋体" w:hint="default"/>
                <w:sz w:val="18"/>
                <w:szCs w:val="18"/>
              </w:rPr>
              <w:t>O2O+</w:t>
            </w:r>
            <w:r>
              <w:rPr>
                <w:rFonts w:ascii="宋体" w:hAnsi="宋体" w:cs="宋体" w:eastAsia="宋体" w:hint="default"/>
                <w:sz w:val="18"/>
                <w:szCs w:val="18"/>
              </w:rPr>
              <w:t>金融支付解决方案的开 发和服务</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亿元</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43,269,468.88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36,394,014.59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7,141,843.34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-18,559,310.35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-18,554,310.35</w:t>
            </w:r>
          </w:p>
        </w:tc>
      </w:tr>
      <w:tr>
        <w:trPr>
          <w:trHeight w:val="40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湖北百旺</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税控产品的开发、销售和税务服务</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17,098,372.35</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4,114,859.15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28,511,850.83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-4,499,234.75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-4,499,234.75</w:t>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果核科技</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
                <w:sz w:val="18"/>
                <w:szCs w:val="18"/>
              </w:rPr>
              <w:t>手机安全解决方案、安全应用管理平台和安全应</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用的开发及运营服务</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8,449,351.67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5,248,630.03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6,614,223.64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-4,331,764.50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-4,291,264.15</w:t>
            </w:r>
          </w:p>
        </w:tc>
      </w:tr>
      <w:tr>
        <w:trPr>
          <w:trHeight w:val="40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中天慧购</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参股公司</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智慧零售</w:t>
            </w:r>
            <w:r>
              <w:rPr>
                <w:rFonts w:ascii="宋体" w:hAnsi="宋体" w:cs="宋体" w:eastAsia="宋体" w:hint="default"/>
                <w:spacing w:val="-46"/>
                <w:sz w:val="18"/>
                <w:szCs w:val="18"/>
              </w:rPr>
              <w:t> </w:t>
            </w:r>
            <w:r>
              <w:rPr>
                <w:rFonts w:ascii="宋体" w:hAnsi="宋体" w:cs="宋体" w:eastAsia="宋体" w:hint="default"/>
                <w:sz w:val="18"/>
                <w:szCs w:val="18"/>
              </w:rPr>
              <w:t>O2O</w:t>
            </w:r>
            <w:r>
              <w:rPr>
                <w:rFonts w:ascii="宋体" w:hAnsi="宋体" w:cs="宋体" w:eastAsia="宋体" w:hint="default"/>
                <w:spacing w:val="-45"/>
                <w:sz w:val="18"/>
                <w:szCs w:val="18"/>
              </w:rPr>
              <w:t> </w:t>
            </w:r>
            <w:r>
              <w:rPr>
                <w:rFonts w:ascii="宋体" w:hAnsi="宋体" w:cs="宋体" w:eastAsia="宋体" w:hint="default"/>
                <w:sz w:val="18"/>
                <w:szCs w:val="18"/>
              </w:rPr>
              <w:t>电子商务平台的开发及运营服务</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8,473,935.58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6,789,747.60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42,960.64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-2,749,940.24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-2,749,941.48</w:t>
            </w:r>
          </w:p>
        </w:tc>
      </w:tr>
    </w:tbl>
    <w:p>
      <w:pPr>
        <w:spacing w:line="240" w:lineRule="auto" w:before="9"/>
        <w:rPr>
          <w:rFonts w:ascii="宋体" w:hAnsi="宋体" w:cs="宋体" w:eastAsia="宋体" w:hint="default"/>
          <w:sz w:val="6"/>
          <w:szCs w:val="6"/>
        </w:rPr>
      </w:pPr>
    </w:p>
    <w:p>
      <w:pPr>
        <w:pStyle w:val="BodyText"/>
        <w:spacing w:line="240" w:lineRule="auto" w:before="44"/>
        <w:ind w:left="140" w:right="0"/>
        <w:jc w:val="left"/>
      </w:pPr>
      <w:r>
        <w:rPr/>
        <w:t>报告期内取得和处置子公司的情况</w:t>
      </w:r>
    </w:p>
    <w:p>
      <w:pPr>
        <w:pStyle w:val="BodyText"/>
        <w:spacing w:line="439" w:lineRule="auto" w:before="117"/>
        <w:ind w:left="140" w:right="13218"/>
        <w:jc w:val="left"/>
      </w:pPr>
      <w:r>
        <w:rPr/>
        <w:t>□ 适用 √ 不适用 主要控股参股公司情况说明</w:t>
      </w:r>
    </w:p>
    <w:p>
      <w:pPr>
        <w:pStyle w:val="BodyText"/>
        <w:spacing w:line="202" w:lineRule="exact"/>
        <w:ind w:left="500" w:right="0"/>
        <w:jc w:val="left"/>
      </w:pPr>
      <w:r>
        <w:rPr/>
        <w:t>天喻通讯：报告期内中国移动“和生活”（原“无线城市”）业务继续萎缩，“和生活”业务收入同比大幅减少。随着在线教育业务的发展，教育云业务收入同比增幅较大，</w:t>
      </w:r>
    </w:p>
    <w:p>
      <w:pPr>
        <w:pStyle w:val="BodyText"/>
        <w:spacing w:line="357" w:lineRule="auto" w:before="77"/>
        <w:ind w:left="499" w:right="0" w:hanging="360"/>
        <w:jc w:val="left"/>
      </w:pPr>
      <w:r>
        <w:rPr/>
        <w:t>但教育云业务正处于产品研发和市场拓展投入不断加大而收入规模相对较小时期，致使天喻通讯亏损额同比大幅增加。 </w:t>
      </w:r>
      <w:r>
        <w:rPr>
          <w:spacing w:val="-2"/>
        </w:rPr>
        <w:t>湖北百旺：随着“营改增”政策的推进，报告期内湖北百旺积极拓展税控盘产品销售和税务服务市场，相关业务收入同比增长的同时，产品成本及期间费用也在增长。为纳税</w:t>
      </w:r>
    </w:p>
    <w:p>
      <w:pPr>
        <w:pStyle w:val="BodyText"/>
        <w:spacing w:line="357" w:lineRule="auto"/>
        <w:ind w:left="500" w:right="1698" w:hanging="360"/>
        <w:jc w:val="left"/>
      </w:pPr>
      <w:r>
        <w:rPr/>
        <w:t>户提供基于税控盘的纳税服务业务未能盈利。 擎动网络：报告期内虽然实现了与中信银行的业务合作，供应链</w:t>
      </w:r>
      <w:r>
        <w:rPr>
          <w:rFonts w:ascii="宋体" w:hAnsi="宋体" w:cs="宋体" w:eastAsia="宋体" w:hint="default"/>
        </w:rPr>
        <w:t>O2O+</w:t>
      </w:r>
      <w:r>
        <w:rPr/>
        <w:t>金融支付解决方案用户数有所增加，但报告期该业务活跃用户数量的规模偏小，擎动网络继续亏损。 果核科技：基于</w:t>
      </w:r>
      <w:r>
        <w:rPr>
          <w:rFonts w:ascii="宋体" w:hAnsi="宋体" w:cs="宋体" w:eastAsia="宋体" w:hint="default"/>
        </w:rPr>
        <w:t>TEE</w:t>
      </w:r>
      <w:r>
        <w:rPr/>
        <w:t>架构的手机安全产品及服务市场尚在形成。果核科技处于初创期，短期内其业务发展目标是切入产业链，奠定业务发展基础。 主要子公司经营情况参见“第四节 管理层讨论与分析</w:t>
      </w:r>
      <w:r>
        <w:rPr>
          <w:rFonts w:ascii="宋体" w:hAnsi="宋体" w:cs="宋体" w:eastAsia="宋体" w:hint="default"/>
        </w:rPr>
        <w:t>/</w:t>
      </w:r>
      <w:r>
        <w:rPr/>
        <w:t>一、概述”。</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BodyText"/>
        <w:spacing w:line="240" w:lineRule="auto" w:before="76"/>
        <w:ind w:left="7010" w:right="8307"/>
        <w:jc w:val="center"/>
        <w:rPr>
          <w:rFonts w:ascii="Times New Roman" w:hAnsi="Times New Roman" w:cs="Times New Roman" w:eastAsia="Times New Roman" w:hint="default"/>
        </w:rPr>
      </w:pPr>
      <w:r>
        <w:rPr/>
        <w:pict>
          <v:shape style="position:absolute;margin-left:201.919983pt;margin-top:32.302341pt;width:640pt;height:42pt;mso-position-horizontal-relative:page;mso-position-vertical-relative:paragraph;z-index:1288" type="#_x0000_t75" stroked="false">
            <v:imagedata r:id="rId22" o:title=""/>
          </v:shape>
        </w:pict>
      </w:r>
      <w:r>
        <w:rPr>
          <w:rFonts w:ascii="Times New Roman"/>
        </w:rPr>
        <w:t>25</w:t>
      </w:r>
    </w:p>
    <w:p>
      <w:pPr>
        <w:spacing w:after="0" w:line="240" w:lineRule="auto"/>
        <w:jc w:val="center"/>
        <w:rPr>
          <w:rFonts w:ascii="Times New Roman" w:hAnsi="Times New Roman" w:cs="Times New Roman" w:eastAsia="Times New Roman" w:hint="default"/>
        </w:rPr>
        <w:sectPr>
          <w:type w:val="continuous"/>
          <w:pgSz w:w="16840" w:h="11910" w:orient="landscape"/>
          <w:pgMar w:top="1580" w:bottom="840" w:left="1300" w:right="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4"/>
          <w:szCs w:val="24"/>
        </w:rPr>
      </w:pPr>
    </w:p>
    <w:p>
      <w:pPr>
        <w:pStyle w:val="Heading2"/>
        <w:spacing w:line="240" w:lineRule="auto" w:before="26"/>
        <w:ind w:right="0"/>
        <w:jc w:val="both"/>
        <w:rPr>
          <w:b w:val="0"/>
          <w:bCs w:val="0"/>
        </w:rPr>
      </w:pPr>
      <w:bookmarkStart w:name="八、公司控制的结构化主体情况" w:id="56"/>
      <w:bookmarkEnd w:id="56"/>
      <w:r>
        <w:rPr>
          <w:b w:val="0"/>
          <w:bCs w:val="0"/>
        </w:rPr>
      </w:r>
      <w:r>
        <w:rPr/>
        <w:t>八、公司控制的结构化主体情况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 适用 √ 不适用</w:t>
      </w:r>
    </w:p>
    <w:p>
      <w:pPr>
        <w:spacing w:line="240" w:lineRule="auto" w:before="0"/>
        <w:rPr>
          <w:rFonts w:ascii="宋体" w:hAnsi="宋体" w:cs="宋体" w:eastAsia="宋体" w:hint="default"/>
          <w:sz w:val="25"/>
          <w:szCs w:val="25"/>
        </w:rPr>
      </w:pPr>
    </w:p>
    <w:p>
      <w:pPr>
        <w:pStyle w:val="Heading2"/>
        <w:spacing w:line="240" w:lineRule="auto"/>
        <w:ind w:left="1134" w:right="0"/>
        <w:jc w:val="both"/>
        <w:rPr>
          <w:b w:val="0"/>
          <w:bCs w:val="0"/>
        </w:rPr>
      </w:pPr>
      <w:bookmarkStart w:name="九、公司未来发展的展望" w:id="57"/>
      <w:bookmarkEnd w:id="57"/>
      <w:r>
        <w:rPr>
          <w:b w:val="0"/>
          <w:bCs w:val="0"/>
        </w:rPr>
      </w:r>
      <w:r>
        <w:rPr/>
        <w:t>九、公司未来发展的展望</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rFonts w:ascii="宋体" w:hAnsi="宋体" w:cs="宋体" w:eastAsia="宋体" w:hint="default"/>
        </w:rPr>
        <w:t>1</w:t>
      </w:r>
      <w:r>
        <w:rPr/>
        <w:t>、行业格局和趋势</w:t>
      </w:r>
      <w:r>
        <w:rPr>
          <w:b w:val="0"/>
          <w:bCs w:val="0"/>
        </w:rPr>
      </w:r>
    </w:p>
    <w:p>
      <w:pPr>
        <w:spacing w:line="240" w:lineRule="auto" w:before="9"/>
        <w:rPr>
          <w:rFonts w:ascii="宋体" w:hAnsi="宋体" w:cs="宋体" w:eastAsia="宋体" w:hint="default"/>
          <w:b/>
          <w:bCs/>
          <w:sz w:val="27"/>
          <w:szCs w:val="27"/>
        </w:rPr>
      </w:pPr>
    </w:p>
    <w:p>
      <w:pPr>
        <w:pStyle w:val="BodyText"/>
        <w:spacing w:line="319" w:lineRule="auto"/>
        <w:ind w:right="1130" w:firstLine="360"/>
        <w:jc w:val="both"/>
      </w:pPr>
      <w:r>
        <w:rPr>
          <w:spacing w:val="-2"/>
        </w:rPr>
        <w:t>近年来，在中国人民银行的指导下，金融</w:t>
      </w:r>
      <w:r>
        <w:rPr>
          <w:rFonts w:ascii="宋体" w:hAnsi="宋体" w:cs="宋体" w:eastAsia="宋体" w:hint="default"/>
          <w:spacing w:val="-2"/>
        </w:rPr>
        <w:t>IC</w:t>
      </w:r>
      <w:r>
        <w:rPr>
          <w:spacing w:val="-2"/>
        </w:rPr>
        <w:t>卡作为芯片化迁移的重要载体，凭借更高的安全性与便捷性，正在逐步取代</w:t>
      </w:r>
      <w:r>
        <w:rPr/>
        <w:t> 磁条卡。根据中国人民银行公布的数据，截至</w:t>
      </w:r>
      <w:r>
        <w:rPr>
          <w:rFonts w:ascii="宋体" w:hAnsi="宋体" w:cs="宋体" w:eastAsia="宋体" w:hint="default"/>
        </w:rPr>
        <w:t>2015</w:t>
      </w:r>
      <w:r>
        <w:rPr/>
        <w:t>年三季度末，全国金融</w:t>
      </w:r>
      <w:r>
        <w:rPr>
          <w:rFonts w:ascii="宋体" w:hAnsi="宋体" w:cs="宋体" w:eastAsia="宋体" w:hint="default"/>
        </w:rPr>
        <w:t>IC</w:t>
      </w:r>
      <w:r>
        <w:rPr/>
        <w:t>卡累计发行</w:t>
      </w:r>
      <w:r>
        <w:rPr>
          <w:rFonts w:ascii="宋体" w:hAnsi="宋体" w:cs="宋体" w:eastAsia="宋体" w:hint="default"/>
        </w:rPr>
        <w:t>18.83</w:t>
      </w:r>
      <w:r>
        <w:rPr/>
        <w:t>亿张，新增发卡量连续三个季 </w:t>
      </w:r>
      <w:r>
        <w:rPr>
          <w:spacing w:val="-2"/>
        </w:rPr>
        <w:t>度超过</w:t>
      </w:r>
      <w:r>
        <w:rPr>
          <w:rFonts w:ascii="宋体" w:hAnsi="宋体" w:cs="宋体" w:eastAsia="宋体" w:hint="default"/>
          <w:spacing w:val="-2"/>
        </w:rPr>
        <w:t>2</w:t>
      </w:r>
      <w:r>
        <w:rPr>
          <w:spacing w:val="-2"/>
        </w:rPr>
        <w:t>亿张，行业发卡量增速持续保持较高水平；全国银行卡在用发卡数量</w:t>
      </w:r>
      <w:r>
        <w:rPr>
          <w:rFonts w:ascii="宋体" w:hAnsi="宋体" w:cs="宋体" w:eastAsia="宋体" w:hint="default"/>
          <w:spacing w:val="-2"/>
        </w:rPr>
        <w:t>52.52</w:t>
      </w:r>
      <w:r>
        <w:rPr>
          <w:spacing w:val="-2"/>
        </w:rPr>
        <w:t>亿张，人均持有</w:t>
      </w:r>
      <w:r>
        <w:rPr>
          <w:rFonts w:ascii="宋体" w:hAnsi="宋体" w:cs="宋体" w:eastAsia="宋体" w:hint="default"/>
          <w:spacing w:val="-2"/>
        </w:rPr>
        <w:t>3.85</w:t>
      </w:r>
      <w:r>
        <w:rPr>
          <w:spacing w:val="-2"/>
        </w:rPr>
        <w:t>张。截至</w:t>
      </w:r>
      <w:r>
        <w:rPr>
          <w:rFonts w:ascii="宋体" w:hAnsi="宋体" w:cs="宋体" w:eastAsia="宋体" w:hint="default"/>
          <w:spacing w:val="-2"/>
        </w:rPr>
        <w:t>2015</w:t>
      </w:r>
      <w:r>
        <w:rPr>
          <w:spacing w:val="-2"/>
        </w:rPr>
        <w:t>年三季</w:t>
      </w:r>
      <w:r>
        <w:rPr>
          <w:spacing w:val="-53"/>
        </w:rPr>
        <w:t> </w:t>
      </w:r>
      <w:r>
        <w:rPr/>
        <w:t>度末，国内金融</w:t>
      </w:r>
      <w:r>
        <w:rPr>
          <w:rFonts w:ascii="宋体" w:hAnsi="宋体" w:cs="宋体" w:eastAsia="宋体" w:hint="default"/>
        </w:rPr>
        <w:t>IC</w:t>
      </w:r>
      <w:r>
        <w:rPr/>
        <w:t>卡的渗透率约为</w:t>
      </w:r>
      <w:r>
        <w:rPr>
          <w:rFonts w:ascii="宋体" w:hAnsi="宋体" w:cs="宋体" w:eastAsia="宋体" w:hint="default"/>
        </w:rPr>
        <w:t>36%</w:t>
      </w:r>
      <w:r>
        <w:rPr/>
        <w:t>。</w:t>
      </w:r>
      <w:r>
        <w:rPr>
          <w:rFonts w:ascii="宋体" w:hAnsi="宋体" w:cs="宋体" w:eastAsia="宋体" w:hint="default"/>
        </w:rPr>
        <w:t>2016</w:t>
      </w:r>
      <w:r>
        <w:rPr/>
        <w:t>年国内金融</w:t>
      </w:r>
      <w:r>
        <w:rPr>
          <w:rFonts w:ascii="宋体" w:hAnsi="宋体" w:cs="宋体" w:eastAsia="宋体" w:hint="default"/>
        </w:rPr>
        <w:t>IC</w:t>
      </w:r>
      <w:r>
        <w:rPr/>
        <w:t>卡发卡量预计仍将增长。</w:t>
      </w:r>
    </w:p>
    <w:p>
      <w:pPr>
        <w:pStyle w:val="BodyText"/>
        <w:spacing w:line="319" w:lineRule="auto" w:before="55"/>
        <w:ind w:right="1131" w:firstLine="360"/>
        <w:jc w:val="both"/>
      </w:pPr>
      <w:r>
        <w:rPr>
          <w:spacing w:val="-3"/>
        </w:rPr>
        <w:t>根据中国人民银行发布的《</w:t>
      </w:r>
      <w:r>
        <w:rPr>
          <w:rFonts w:ascii="宋体" w:hAnsi="宋体" w:cs="宋体" w:eastAsia="宋体" w:hint="default"/>
          <w:spacing w:val="-3"/>
        </w:rPr>
        <w:t>2015</w:t>
      </w:r>
      <w:r>
        <w:rPr>
          <w:spacing w:val="-3"/>
        </w:rPr>
        <w:t>年支付体系运行总体情况》报告，截至</w:t>
      </w:r>
      <w:r>
        <w:rPr>
          <w:rFonts w:ascii="宋体" w:hAnsi="宋体" w:cs="宋体" w:eastAsia="宋体" w:hint="default"/>
          <w:spacing w:val="-3"/>
        </w:rPr>
        <w:t>2015</w:t>
      </w:r>
      <w:r>
        <w:rPr>
          <w:spacing w:val="-3"/>
        </w:rPr>
        <w:t>年末，国内联网</w:t>
      </w:r>
      <w:r>
        <w:rPr>
          <w:rFonts w:ascii="宋体" w:hAnsi="宋体" w:cs="宋体" w:eastAsia="宋体" w:hint="default"/>
          <w:spacing w:val="-3"/>
        </w:rPr>
        <w:t>POS</w:t>
      </w:r>
      <w:r>
        <w:rPr>
          <w:spacing w:val="-3"/>
        </w:rPr>
        <w:t>机具数量累计为</w:t>
      </w:r>
      <w:r>
        <w:rPr>
          <w:rFonts w:ascii="宋体" w:hAnsi="宋体" w:cs="宋体" w:eastAsia="宋体" w:hint="default"/>
          <w:spacing w:val="-3"/>
        </w:rPr>
        <w:t>2,282.10</w:t>
      </w:r>
      <w:r>
        <w:rPr>
          <w:rFonts w:ascii="宋体" w:hAnsi="宋体" w:cs="宋体" w:eastAsia="宋体" w:hint="default"/>
        </w:rPr>
        <w:t> </w:t>
      </w:r>
      <w:r>
        <w:rPr>
          <w:spacing w:val="-2"/>
        </w:rPr>
        <w:t>万台，其中，</w:t>
      </w:r>
      <w:r>
        <w:rPr>
          <w:rFonts w:ascii="宋体" w:hAnsi="宋体" w:cs="宋体" w:eastAsia="宋体" w:hint="default"/>
          <w:spacing w:val="-2"/>
        </w:rPr>
        <w:t>2015</w:t>
      </w:r>
      <w:r>
        <w:rPr>
          <w:spacing w:val="-2"/>
        </w:rPr>
        <w:t>年新增</w:t>
      </w:r>
      <w:r>
        <w:rPr>
          <w:rFonts w:ascii="宋体" w:hAnsi="宋体" w:cs="宋体" w:eastAsia="宋体" w:hint="default"/>
          <w:spacing w:val="-2"/>
        </w:rPr>
        <w:t>688.60</w:t>
      </w:r>
      <w:r>
        <w:rPr>
          <w:spacing w:val="-2"/>
        </w:rPr>
        <w:t>万台。为更好的满足餐饮、零售、金融等行业企业及商户的收单与资金管理需求，具备更高</w:t>
      </w:r>
      <w:r>
        <w:rPr>
          <w:spacing w:val="-59"/>
        </w:rPr>
        <w:t> </w:t>
      </w:r>
      <w:r>
        <w:rPr>
          <w:spacing w:val="-59"/>
        </w:rPr>
      </w:r>
      <w:r>
        <w:rPr>
          <w:spacing w:val="-2"/>
        </w:rPr>
        <w:t>安全等级、更便捷使用体验和更强功能延展性的</w:t>
      </w:r>
      <w:r>
        <w:rPr>
          <w:rFonts w:ascii="宋体" w:hAnsi="宋体" w:cs="宋体" w:eastAsia="宋体" w:hint="default"/>
          <w:spacing w:val="-2"/>
        </w:rPr>
        <w:t>mPOS</w:t>
      </w:r>
      <w:r>
        <w:rPr>
          <w:spacing w:val="-2"/>
        </w:rPr>
        <w:t>、智能</w:t>
      </w:r>
      <w:r>
        <w:rPr>
          <w:rFonts w:ascii="宋体" w:hAnsi="宋体" w:cs="宋体" w:eastAsia="宋体" w:hint="default"/>
          <w:spacing w:val="-2"/>
        </w:rPr>
        <w:t>POS</w:t>
      </w:r>
      <w:r>
        <w:rPr>
          <w:spacing w:val="-2"/>
        </w:rPr>
        <w:t>等新型</w:t>
      </w:r>
      <w:r>
        <w:rPr>
          <w:rFonts w:ascii="宋体" w:hAnsi="宋体" w:cs="宋体" w:eastAsia="宋体" w:hint="default"/>
          <w:spacing w:val="-2"/>
        </w:rPr>
        <w:t>POS</w:t>
      </w:r>
      <w:r>
        <w:rPr>
          <w:spacing w:val="-2"/>
        </w:rPr>
        <w:t>机具被陆续投放市场，在客户需求的推动下已呈现</w:t>
      </w:r>
      <w:r>
        <w:rPr>
          <w:spacing w:val="-57"/>
        </w:rPr>
        <w:t> </w:t>
      </w:r>
      <w:r>
        <w:rPr>
          <w:spacing w:val="-57"/>
        </w:rPr>
      </w:r>
      <w:r>
        <w:rPr/>
        <w:t>出逐步替代传统</w:t>
      </w:r>
      <w:r>
        <w:rPr>
          <w:rFonts w:ascii="宋体" w:hAnsi="宋体" w:cs="宋体" w:eastAsia="宋体" w:hint="default"/>
        </w:rPr>
        <w:t>POS</w:t>
      </w:r>
      <w:r>
        <w:rPr/>
        <w:t>的趋势，相关产品市场前景广阔。</w:t>
      </w:r>
    </w:p>
    <w:p>
      <w:pPr>
        <w:pStyle w:val="BodyText"/>
        <w:spacing w:line="316" w:lineRule="auto" w:before="55"/>
        <w:ind w:right="1128" w:firstLine="360"/>
        <w:jc w:val="both"/>
      </w:pPr>
      <w:r>
        <w:rPr/>
        <w:t>受多方面因素影响，目前尚有建筑业、房地产业、金融业和生活服务业未纳入“营改增”范围。</w:t>
      </w:r>
      <w:r>
        <w:rPr>
          <w:rFonts w:ascii="宋体" w:hAnsi="宋体" w:cs="宋体" w:eastAsia="宋体" w:hint="default"/>
        </w:rPr>
        <w:t>2016</w:t>
      </w:r>
      <w:r>
        <w:rPr/>
        <w:t>年</w:t>
      </w:r>
      <w:r>
        <w:rPr>
          <w:rFonts w:ascii="宋体" w:hAnsi="宋体" w:cs="宋体" w:eastAsia="宋体" w:hint="default"/>
        </w:rPr>
        <w:t>3</w:t>
      </w:r>
      <w:r>
        <w:rPr/>
        <w:t>月，李克强总 </w:t>
      </w:r>
      <w:r>
        <w:rPr>
          <w:spacing w:val="-2"/>
        </w:rPr>
        <w:t>理在政府工作报告中指出，“今年将全面实施‘营改增’，从</w:t>
      </w:r>
      <w:r>
        <w:rPr>
          <w:rFonts w:ascii="宋体" w:hAnsi="宋体" w:cs="宋体" w:eastAsia="宋体" w:hint="default"/>
          <w:spacing w:val="-2"/>
        </w:rPr>
        <w:t>5</w:t>
      </w:r>
      <w:r>
        <w:rPr>
          <w:spacing w:val="-2"/>
        </w:rPr>
        <w:t>月</w:t>
      </w:r>
      <w:r>
        <w:rPr>
          <w:rFonts w:ascii="宋体" w:hAnsi="宋体" w:cs="宋体" w:eastAsia="宋体" w:hint="default"/>
          <w:spacing w:val="-2"/>
        </w:rPr>
        <w:t>1</w:t>
      </w:r>
      <w:r>
        <w:rPr>
          <w:spacing w:val="-2"/>
        </w:rPr>
        <w:t>日起，将试点范围扩大到建筑业、房地产业、金融业、生</w:t>
      </w:r>
      <w:r>
        <w:rPr>
          <w:spacing w:val="-64"/>
        </w:rPr>
        <w:t> </w:t>
      </w:r>
      <w:r>
        <w:rPr>
          <w:spacing w:val="-64"/>
        </w:rPr>
      </w:r>
      <w:r>
        <w:rPr>
          <w:spacing w:val="-1"/>
        </w:rPr>
        <w:t>活服务业，并将所有企业新增不动产所含增值税纳入抵扣范围，确保所有行业税负只减不增”。</w:t>
      </w:r>
      <w:r>
        <w:rPr>
          <w:spacing w:val="-13"/>
        </w:rPr>
        <w:t> </w:t>
      </w:r>
      <w:r>
        <w:rPr>
          <w:rFonts w:ascii="宋体" w:hAnsi="宋体" w:cs="宋体" w:eastAsia="宋体" w:hint="default"/>
          <w:spacing w:val="-2"/>
        </w:rPr>
        <w:t>2015</w:t>
      </w:r>
      <w:r>
        <w:rPr>
          <w:spacing w:val="-2"/>
        </w:rPr>
        <w:t>年</w:t>
      </w:r>
      <w:r>
        <w:rPr>
          <w:rFonts w:ascii="宋体" w:hAnsi="宋体" w:cs="宋体" w:eastAsia="宋体" w:hint="default"/>
          <w:spacing w:val="-2"/>
        </w:rPr>
        <w:t>9</w:t>
      </w:r>
      <w:r>
        <w:rPr>
          <w:spacing w:val="-2"/>
        </w:rPr>
        <w:t>月，国税总局印发</w:t>
      </w:r>
    </w:p>
    <w:p>
      <w:pPr>
        <w:pStyle w:val="BodyText"/>
        <w:spacing w:line="319" w:lineRule="auto" w:before="19"/>
        <w:ind w:right="1132"/>
        <w:jc w:val="both"/>
      </w:pPr>
      <w:r>
        <w:rPr/>
        <w:t>《“互联网</w:t>
      </w:r>
      <w:r>
        <w:rPr>
          <w:rFonts w:ascii="宋体" w:hAnsi="宋体" w:cs="宋体" w:eastAsia="宋体" w:hint="default"/>
        </w:rPr>
        <w:t>+</w:t>
      </w:r>
      <w:r>
        <w:rPr/>
        <w:t>税务”行动计划》，提出“以增值税发票系统升级版为基础，深化数字证书与移动技术的融合，实现纳税人利 </w:t>
      </w:r>
      <w:r>
        <w:rPr>
          <w:spacing w:val="-2"/>
        </w:rPr>
        <w:t>用手机等掌上设备开具增值税发票，开创移动互联网开票新时代”及“探索自然人实名认证、在线开户，逐步通过互联网实</w:t>
      </w:r>
      <w:r>
        <w:rPr>
          <w:spacing w:val="-66"/>
        </w:rPr>
        <w:t> </w:t>
      </w:r>
      <w:r>
        <w:rPr>
          <w:spacing w:val="-66"/>
        </w:rPr>
      </w:r>
      <w:r>
        <w:rPr/>
        <w:t>现面向自然人的个人所得税、车船税申报纳税等业务”。政策的推动和技术的创新将不断拓展税控行业的市场空间。</w:t>
      </w:r>
    </w:p>
    <w:p>
      <w:pPr>
        <w:pStyle w:val="BodyText"/>
        <w:spacing w:line="319" w:lineRule="auto" w:before="56"/>
        <w:ind w:right="1033" w:firstLine="360"/>
        <w:jc w:val="left"/>
      </w:pPr>
      <w:r>
        <w:rPr>
          <w:spacing w:val="-2"/>
        </w:rPr>
        <w:t>近几年，以“三通两平台”为目标的国家教育信息化建设步伐逐年加快。</w:t>
      </w: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月，全国人大常委会表决通过《关于</w:t>
      </w:r>
      <w:r>
        <w:rPr/>
        <w:t> </w:t>
      </w:r>
      <w:r>
        <w:rPr>
          <w:spacing w:val="-2"/>
        </w:rPr>
        <w:t>修改〈中华人民共和国教育法〉的决定》，明确“国家推进教育信息化，加快教育信息基础设施建设，利用信息技术促进优</w:t>
      </w:r>
      <w:r>
        <w:rPr>
          <w:spacing w:val="-67"/>
        </w:rPr>
        <w:t> </w:t>
      </w:r>
      <w:r>
        <w:rPr>
          <w:spacing w:val="-67"/>
        </w:rPr>
      </w:r>
      <w:r>
        <w:rPr>
          <w:spacing w:val="-2"/>
        </w:rPr>
        <w:t>质教育资源普及共享，提高教育教学水平和教育管理水平。县级以上人民政府及其有关部门应当发展教育信息技术和其他现</w:t>
      </w:r>
      <w:r>
        <w:rPr>
          <w:spacing w:val="-64"/>
        </w:rPr>
        <w:t> </w:t>
      </w:r>
      <w:r>
        <w:rPr>
          <w:spacing w:val="-64"/>
        </w:rPr>
      </w:r>
      <w:r>
        <w:rPr>
          <w:spacing w:val="-2"/>
        </w:rPr>
        <w:t>代化教学方式，有关行政部门应当优先安排，给予扶持”。教育信息化正式纳入《中华人民共和国教育法》，将进一步促进</w:t>
      </w:r>
      <w:r>
        <w:rPr>
          <w:spacing w:val="-68"/>
        </w:rPr>
        <w:t> </w:t>
      </w:r>
      <w:r>
        <w:rPr>
          <w:spacing w:val="-68"/>
        </w:rPr>
      </w:r>
      <w:r>
        <w:rPr>
          <w:spacing w:val="-2"/>
        </w:rPr>
        <w:t>相关工作的推进。教育部办公厅在《关于“十三五”期间全面深入推进教育信息化工作的指导意见（征求意见稿）》中提出</w:t>
      </w:r>
      <w:r>
        <w:rPr>
          <w:spacing w:val="-68"/>
        </w:rPr>
        <w:t> </w:t>
      </w:r>
      <w:r>
        <w:rPr>
          <w:spacing w:val="-68"/>
        </w:rPr>
      </w:r>
      <w:r>
        <w:rPr>
          <w:spacing w:val="-2"/>
        </w:rPr>
        <w:t>“鼓励教师应用网络学习空间开展备课授课、家校互动、网络研修、指导学生学习等活动；鼓励学生应用网络学习空间进行</w:t>
      </w:r>
      <w:r>
        <w:rPr>
          <w:spacing w:val="-66"/>
        </w:rPr>
        <w:t> </w:t>
      </w:r>
      <w:r>
        <w:rPr>
          <w:spacing w:val="-66"/>
        </w:rPr>
      </w:r>
      <w:r>
        <w:rPr>
          <w:spacing w:val="-2"/>
        </w:rPr>
        <w:t>预习、作业、自测、拓展阅读、网络选修课等学习活动，养成自主管理、自主学习、自主服务的良好习惯；鼓励家长应用网</w:t>
      </w:r>
      <w:r>
        <w:rPr>
          <w:spacing w:val="-67"/>
        </w:rPr>
        <w:t> </w:t>
      </w:r>
      <w:r>
        <w:rPr>
          <w:spacing w:val="-67"/>
        </w:rPr>
      </w:r>
      <w:r>
        <w:rPr>
          <w:spacing w:val="-2"/>
        </w:rPr>
        <w:t>络学习空间与学校、教师便捷沟通、互动，关注学生学习成长过程，有效引导学生科学使用空间。要实现学生学习过程、实</w:t>
      </w:r>
      <w:r>
        <w:rPr>
          <w:spacing w:val="-67"/>
        </w:rPr>
        <w:t> </w:t>
      </w:r>
      <w:r>
        <w:rPr>
          <w:spacing w:val="-67"/>
        </w:rPr>
      </w:r>
      <w:r>
        <w:rPr/>
        <w:t>践经历记录的网络学习空间呈现；依托网络学习空间逐步实现对学生日常学习情况的大数据采集和分析，优化教学模式”。</w:t>
      </w:r>
      <w:r>
        <w:rPr>
          <w:spacing w:val="-84"/>
        </w:rPr>
        <w:t> </w:t>
      </w:r>
      <w:r>
        <w:rPr>
          <w:spacing w:val="-84"/>
        </w:rPr>
      </w:r>
      <w:r>
        <w:rPr>
          <w:spacing w:val="-2"/>
        </w:rPr>
        <w:t>在政策的支持以及学校提升教学效率、学生提升学习成绩需求的推动下，政府教育信息化投入不断加大，教育云平台及围绕</w:t>
      </w:r>
      <w:r>
        <w:rPr>
          <w:spacing w:val="-66"/>
        </w:rPr>
        <w:t> </w:t>
      </w:r>
      <w:r>
        <w:rPr>
          <w:spacing w:val="-66"/>
        </w:rPr>
      </w:r>
      <w:r>
        <w:rPr/>
        <w:t>导学（预习）、备授课、作业、考试、测评等核心教学环节的应用系统的信息化教育产品与服务市场前景广阔。</w:t>
      </w:r>
    </w:p>
    <w:p>
      <w:pPr>
        <w:pStyle w:val="BodyText"/>
        <w:spacing w:line="240" w:lineRule="auto" w:before="55"/>
        <w:ind w:left="1493" w:right="0"/>
        <w:jc w:val="left"/>
      </w:pPr>
      <w:r>
        <w:rPr>
          <w:rFonts w:ascii="宋体" w:hAnsi="宋体" w:cs="宋体" w:eastAsia="宋体" w:hint="default"/>
        </w:rPr>
        <w:t>2015</w:t>
      </w:r>
      <w:r>
        <w:rPr/>
        <w:t>年华为</w:t>
      </w:r>
      <w:r>
        <w:rPr>
          <w:rFonts w:ascii="宋体" w:hAnsi="宋体" w:cs="宋体" w:eastAsia="宋体" w:hint="default"/>
        </w:rPr>
        <w:t>Mate 8</w:t>
      </w:r>
      <w:r>
        <w:rPr/>
        <w:t>、小米</w:t>
      </w:r>
      <w:r>
        <w:rPr>
          <w:rFonts w:ascii="宋体" w:hAnsi="宋体" w:cs="宋体" w:eastAsia="宋体" w:hint="default"/>
        </w:rPr>
        <w:t>Note3</w:t>
      </w:r>
      <w:r>
        <w:rPr/>
        <w:t>等带有</w:t>
      </w:r>
      <w:r>
        <w:rPr>
          <w:rFonts w:ascii="宋体" w:hAnsi="宋体" w:cs="宋体" w:eastAsia="宋体" w:hint="default"/>
        </w:rPr>
        <w:t>TEE</w:t>
      </w:r>
      <w:r>
        <w:rPr/>
        <w:t>技术的国产手机开始商用，支付宝与微信开始推出基于</w:t>
      </w:r>
      <w:r>
        <w:rPr>
          <w:rFonts w:ascii="宋体" w:hAnsi="宋体" w:cs="宋体" w:eastAsia="宋体" w:hint="default"/>
        </w:rPr>
        <w:t>TEE</w:t>
      </w:r>
      <w:r>
        <w:rPr/>
        <w:t>的指纹支付产品；</w:t>
      </w:r>
    </w:p>
    <w:p>
      <w:pPr>
        <w:pStyle w:val="BodyText"/>
        <w:spacing w:line="319" w:lineRule="auto" w:before="76"/>
        <w:ind w:right="1131"/>
        <w:jc w:val="both"/>
      </w:pPr>
      <w:r>
        <w:rPr>
          <w:rFonts w:ascii="宋体" w:hAnsi="宋体" w:cs="宋体" w:eastAsia="宋体" w:hint="default"/>
          <w:spacing w:val="-1"/>
        </w:rPr>
        <w:t>2016</w:t>
      </w:r>
      <w:r>
        <w:rPr>
          <w:spacing w:val="-1"/>
        </w:rPr>
        <w:t>年</w:t>
      </w:r>
      <w:r>
        <w:rPr>
          <w:rFonts w:ascii="宋体" w:hAnsi="宋体" w:cs="宋体" w:eastAsia="宋体" w:hint="default"/>
          <w:spacing w:val="-1"/>
        </w:rPr>
        <w:t>2</w:t>
      </w:r>
      <w:r>
        <w:rPr>
          <w:spacing w:val="-1"/>
        </w:rPr>
        <w:t>月苹果与中国银联（银行）合作，</w:t>
      </w:r>
      <w:r>
        <w:rPr>
          <w:rFonts w:ascii="宋体" w:hAnsi="宋体" w:cs="宋体" w:eastAsia="宋体" w:hint="default"/>
          <w:spacing w:val="-1"/>
        </w:rPr>
        <w:t>Apple</w:t>
      </w:r>
      <w:r>
        <w:rPr>
          <w:rFonts w:ascii="宋体" w:hAnsi="宋体" w:cs="宋体" w:eastAsia="宋体" w:hint="default"/>
          <w:spacing w:val="-28"/>
        </w:rPr>
        <w:t> </w:t>
      </w:r>
      <w:r>
        <w:rPr>
          <w:rFonts w:ascii="宋体" w:hAnsi="宋体" w:cs="宋体" w:eastAsia="宋体" w:hint="default"/>
          <w:spacing w:val="-1"/>
        </w:rPr>
        <w:t>Pay</w:t>
      </w:r>
      <w:r>
        <w:rPr>
          <w:spacing w:val="-1"/>
        </w:rPr>
        <w:t>入华，手机厂商、支付应用提供商、中国银联、商业银行纷纷参与到移</w:t>
      </w:r>
      <w:r>
        <w:rPr>
          <w:spacing w:val="-87"/>
        </w:rPr>
        <w:t> </w:t>
      </w:r>
      <w:r>
        <w:rPr>
          <w:spacing w:val="-87"/>
        </w:rPr>
      </w:r>
      <w:r>
        <w:rPr>
          <w:spacing w:val="-2"/>
        </w:rPr>
        <w:t>动支付领域中来。在产业链各方的共同推动下，</w:t>
      </w:r>
      <w:r>
        <w:rPr>
          <w:rFonts w:ascii="宋体" w:hAnsi="宋体" w:cs="宋体" w:eastAsia="宋体" w:hint="default"/>
          <w:spacing w:val="-2"/>
        </w:rPr>
        <w:t>2016</w:t>
      </w:r>
      <w:r>
        <w:rPr>
          <w:spacing w:val="-2"/>
        </w:rPr>
        <w:t>年基于</w:t>
      </w:r>
      <w:r>
        <w:rPr>
          <w:rFonts w:ascii="宋体" w:hAnsi="宋体" w:cs="宋体" w:eastAsia="宋体" w:hint="default"/>
          <w:spacing w:val="-2"/>
        </w:rPr>
        <w:t>TEE</w:t>
      </w:r>
      <w:r>
        <w:rPr>
          <w:spacing w:val="-2"/>
        </w:rPr>
        <w:t>架构、融合</w:t>
      </w:r>
      <w:r>
        <w:rPr>
          <w:rFonts w:ascii="宋体" w:hAnsi="宋体" w:cs="宋体" w:eastAsia="宋体" w:hint="default"/>
          <w:spacing w:val="-2"/>
        </w:rPr>
        <w:t>eSE</w:t>
      </w:r>
      <w:r>
        <w:rPr>
          <w:spacing w:val="-2"/>
        </w:rPr>
        <w:t>、</w:t>
      </w:r>
      <w:r>
        <w:rPr>
          <w:rFonts w:ascii="宋体" w:hAnsi="宋体" w:cs="宋体" w:eastAsia="宋体" w:hint="default"/>
          <w:spacing w:val="-2"/>
        </w:rPr>
        <w:t>TSM</w:t>
      </w:r>
      <w:r>
        <w:rPr>
          <w:spacing w:val="-2"/>
        </w:rPr>
        <w:t>、指纹、</w:t>
      </w:r>
      <w:r>
        <w:rPr>
          <w:rFonts w:ascii="宋体" w:hAnsi="宋体" w:cs="宋体" w:eastAsia="宋体" w:hint="default"/>
          <w:spacing w:val="-2"/>
        </w:rPr>
        <w:t>NFC</w:t>
      </w:r>
      <w:r>
        <w:rPr>
          <w:spacing w:val="-2"/>
        </w:rPr>
        <w:t>、</w:t>
      </w:r>
      <w:r>
        <w:rPr>
          <w:rFonts w:ascii="宋体" w:hAnsi="宋体" w:cs="宋体" w:eastAsia="宋体" w:hint="default"/>
          <w:spacing w:val="-2"/>
        </w:rPr>
        <w:t>Token</w:t>
      </w:r>
      <w:r>
        <w:rPr>
          <w:spacing w:val="-2"/>
        </w:rPr>
        <w:t>、</w:t>
      </w:r>
      <w:r>
        <w:rPr>
          <w:rFonts w:ascii="宋体" w:hAnsi="宋体" w:cs="宋体" w:eastAsia="宋体" w:hint="default"/>
          <w:spacing w:val="-2"/>
        </w:rPr>
        <w:t>HCE</w:t>
      </w:r>
      <w:r>
        <w:rPr>
          <w:spacing w:val="-2"/>
        </w:rPr>
        <w:t>等各类创新技</w:t>
      </w:r>
      <w:r>
        <w:rPr>
          <w:spacing w:val="-42"/>
        </w:rPr>
        <w:t> </w:t>
      </w:r>
      <w:r>
        <w:rPr>
          <w:spacing w:val="-42"/>
        </w:rPr>
      </w:r>
      <w:r>
        <w:rPr/>
        <w:t>术的手机产品和安全应用将增多，手机安全服务相关市场有望在</w:t>
      </w:r>
      <w:r>
        <w:rPr>
          <w:rFonts w:ascii="宋体" w:hAnsi="宋体" w:cs="宋体" w:eastAsia="宋体" w:hint="default"/>
        </w:rPr>
        <w:t>2016</w:t>
      </w:r>
      <w:r>
        <w:rPr/>
        <w:t>年从移动支付应用开始启动。</w:t>
      </w:r>
    </w:p>
    <w:p>
      <w:pPr>
        <w:spacing w:line="240" w:lineRule="auto" w:before="3"/>
        <w:rPr>
          <w:rFonts w:ascii="宋体" w:hAnsi="宋体" w:cs="宋体" w:eastAsia="宋体" w:hint="default"/>
          <w:sz w:val="22"/>
          <w:szCs w:val="22"/>
        </w:rPr>
      </w:pPr>
    </w:p>
    <w:p>
      <w:pPr>
        <w:pStyle w:val="Heading3"/>
        <w:spacing w:line="240" w:lineRule="auto"/>
        <w:ind w:right="0"/>
        <w:jc w:val="both"/>
        <w:rPr>
          <w:b w:val="0"/>
          <w:bCs w:val="0"/>
        </w:rPr>
      </w:pPr>
      <w:r>
        <w:rPr>
          <w:rFonts w:ascii="宋体" w:hAnsi="宋体" w:cs="宋体" w:eastAsia="宋体" w:hint="default"/>
        </w:rPr>
        <w:t>2</w:t>
      </w:r>
      <w:r>
        <w:rPr/>
        <w:t>、发展战略</w:t>
      </w:r>
      <w:r>
        <w:rPr>
          <w:b w:val="0"/>
          <w:bCs w:val="0"/>
        </w:rPr>
      </w:r>
    </w:p>
    <w:p>
      <w:pPr>
        <w:spacing w:line="240" w:lineRule="auto" w:before="10"/>
        <w:rPr>
          <w:rFonts w:ascii="宋体" w:hAnsi="宋体" w:cs="宋体" w:eastAsia="宋体" w:hint="default"/>
          <w:b/>
          <w:bCs/>
          <w:sz w:val="27"/>
          <w:szCs w:val="27"/>
        </w:rPr>
      </w:pPr>
    </w:p>
    <w:p>
      <w:pPr>
        <w:pStyle w:val="BodyText"/>
        <w:spacing w:line="316" w:lineRule="auto"/>
        <w:ind w:right="1132" w:firstLine="360"/>
        <w:jc w:val="both"/>
      </w:pPr>
      <w:r>
        <w:rPr>
          <w:spacing w:val="-2"/>
        </w:rPr>
        <w:t>公司将坚持“云</w:t>
      </w:r>
      <w:r>
        <w:rPr>
          <w:rFonts w:ascii="宋体" w:hAnsi="宋体" w:cs="宋体" w:eastAsia="宋体" w:hint="default"/>
          <w:spacing w:val="-2"/>
        </w:rPr>
        <w:t>+</w:t>
      </w:r>
      <w:r>
        <w:rPr>
          <w:spacing w:val="-2"/>
        </w:rPr>
        <w:t>端”、“产品</w:t>
      </w:r>
      <w:r>
        <w:rPr>
          <w:rFonts w:ascii="宋体" w:hAnsi="宋体" w:cs="宋体" w:eastAsia="宋体" w:hint="default"/>
          <w:spacing w:val="-2"/>
        </w:rPr>
        <w:t>+</w:t>
      </w:r>
      <w:r>
        <w:rPr>
          <w:spacing w:val="-2"/>
        </w:rPr>
        <w:t>服务”的发展战略，在保持以金融</w:t>
      </w:r>
      <w:r>
        <w:rPr>
          <w:rFonts w:ascii="宋体" w:hAnsi="宋体" w:cs="宋体" w:eastAsia="宋体" w:hint="default"/>
          <w:spacing w:val="-2"/>
        </w:rPr>
        <w:t>IC</w:t>
      </w:r>
      <w:r>
        <w:rPr>
          <w:spacing w:val="-2"/>
        </w:rPr>
        <w:t>卡产品为核心的数据安全业务稳定发展的同时，紧</w:t>
      </w:r>
      <w:r>
        <w:rPr/>
        <w:t> 抓国家“互联网+”战略风口的机遇，积极推进公司在线教育、手机安全服务、供应链</w:t>
      </w:r>
      <w:r>
        <w:rPr>
          <w:rFonts w:ascii="宋体" w:hAnsi="宋体" w:cs="宋体" w:eastAsia="宋体" w:hint="default"/>
        </w:rPr>
        <w:t>O2O+</w:t>
      </w:r>
      <w:r>
        <w:rPr/>
        <w:t>金融支付服务等互联网平台服务 业务的发展，推动公司业务从产品向服务的战略转型。公司还将坚持股权激励</w:t>
      </w:r>
      <w:r>
        <w:rPr>
          <w:rFonts w:ascii="宋体" w:hAnsi="宋体" w:cs="宋体" w:eastAsia="宋体" w:hint="default"/>
        </w:rPr>
        <w:t>+</w:t>
      </w:r>
      <w:r>
        <w:rPr/>
        <w:t>业绩奖励相结合的激励制度，为公司业务发</w:t>
      </w:r>
    </w:p>
    <w:p>
      <w:pPr>
        <w:spacing w:after="0" w:line="316" w:lineRule="auto"/>
        <w:jc w:val="both"/>
        <w:sectPr>
          <w:footerReference w:type="default" r:id="rId23"/>
          <w:pgSz w:w="11910" w:h="16840"/>
          <w:pgMar w:footer="1187" w:header="0" w:top="1100" w:bottom="1380" w:left="0" w:right="0"/>
          <w:pgNumType w:start="26"/>
        </w:sectPr>
      </w:pPr>
    </w:p>
    <w:p>
      <w:pPr>
        <w:spacing w:line="240" w:lineRule="auto" w:before="13"/>
        <w:rPr>
          <w:rFonts w:ascii="宋体" w:hAnsi="宋体" w:cs="宋体" w:eastAsia="宋体" w:hint="default"/>
          <w:sz w:val="21"/>
          <w:szCs w:val="21"/>
        </w:rPr>
      </w:pPr>
    </w:p>
    <w:p>
      <w:pPr>
        <w:pStyle w:val="BodyText"/>
        <w:spacing w:line="240" w:lineRule="auto" w:before="44"/>
        <w:ind w:right="0"/>
        <w:jc w:val="left"/>
      </w:pPr>
      <w:r>
        <w:rPr/>
        <w:t>展提供机制保障。</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宋体" w:hAnsi="宋体" w:cs="宋体" w:eastAsia="宋体" w:hint="default"/>
        </w:rPr>
        <w:t>3</w:t>
      </w:r>
      <w:r>
        <w:rPr/>
        <w:t>、</w:t>
      </w:r>
      <w:r>
        <w:rPr>
          <w:rFonts w:ascii="宋体" w:hAnsi="宋体" w:cs="宋体" w:eastAsia="宋体" w:hint="default"/>
        </w:rPr>
        <w:t>2016</w:t>
      </w:r>
      <w:r>
        <w:rPr/>
        <w:t>年经营计划</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1494" w:right="0"/>
        <w:jc w:val="left"/>
      </w:pPr>
      <w:r>
        <w:rPr/>
        <w:t>参见“第四节 管理层讨论与分析</w:t>
      </w:r>
      <w:r>
        <w:rPr>
          <w:rFonts w:ascii="宋体" w:hAnsi="宋体" w:cs="宋体" w:eastAsia="宋体" w:hint="default"/>
        </w:rPr>
        <w:t>/</w:t>
      </w:r>
      <w:r>
        <w:rPr/>
        <w:t>一、概述”。</w:t>
      </w:r>
    </w:p>
    <w:p>
      <w:pPr>
        <w:spacing w:line="240" w:lineRule="auto" w:before="10"/>
        <w:rPr>
          <w:rFonts w:ascii="宋体" w:hAnsi="宋体" w:cs="宋体" w:eastAsia="宋体" w:hint="default"/>
          <w:sz w:val="26"/>
          <w:szCs w:val="26"/>
        </w:rPr>
      </w:pPr>
    </w:p>
    <w:p>
      <w:pPr>
        <w:pStyle w:val="Heading3"/>
        <w:spacing w:line="240" w:lineRule="auto"/>
        <w:ind w:left="1134" w:right="0"/>
        <w:jc w:val="left"/>
        <w:rPr>
          <w:b w:val="0"/>
          <w:bCs w:val="0"/>
        </w:rPr>
      </w:pPr>
      <w:r>
        <w:rPr>
          <w:rFonts w:ascii="宋体" w:hAnsi="宋体" w:cs="宋体" w:eastAsia="宋体" w:hint="default"/>
        </w:rPr>
        <w:t>4</w:t>
      </w:r>
      <w:r>
        <w:rPr/>
        <w:t>、可能面对的风险</w:t>
      </w:r>
      <w:r>
        <w:rPr>
          <w:b w:val="0"/>
          <w:bCs w:val="0"/>
        </w:rPr>
      </w:r>
    </w:p>
    <w:p>
      <w:pPr>
        <w:spacing w:line="240" w:lineRule="auto" w:before="9"/>
        <w:rPr>
          <w:rFonts w:ascii="宋体" w:hAnsi="宋体" w:cs="宋体" w:eastAsia="宋体" w:hint="default"/>
          <w:b/>
          <w:bCs/>
          <w:sz w:val="27"/>
          <w:szCs w:val="27"/>
        </w:rPr>
      </w:pPr>
    </w:p>
    <w:p>
      <w:pPr>
        <w:pStyle w:val="BodyText"/>
        <w:spacing w:line="319" w:lineRule="auto"/>
        <w:ind w:left="1134" w:right="1032" w:firstLine="360"/>
        <w:jc w:val="left"/>
      </w:pPr>
      <w:r>
        <w:rPr>
          <w:spacing w:val="-2"/>
        </w:rPr>
        <w:t>公司存在金融</w:t>
      </w:r>
      <w:r>
        <w:rPr>
          <w:rFonts w:ascii="宋体" w:hAnsi="宋体" w:cs="宋体" w:eastAsia="宋体" w:hint="default"/>
          <w:spacing w:val="-2"/>
        </w:rPr>
        <w:t>IC</w:t>
      </w:r>
      <w:r>
        <w:rPr>
          <w:spacing w:val="-2"/>
        </w:rPr>
        <w:t>卡产品发卡量的增长不达预期，产品成本控制不达预期，从而直接影响公司整体盈利水平的风险；存在</w:t>
      </w:r>
      <w:r>
        <w:rPr/>
        <w:t> 在线教育业务运营体系建设迟缓，市场拓展不利，导致在线教育业务收入增长缓慢、无法达成该业务年度经营目标的风险；</w:t>
      </w:r>
      <w:r>
        <w:rPr>
          <w:spacing w:val="-85"/>
        </w:rPr>
        <w:t> </w:t>
      </w:r>
      <w:r>
        <w:rPr>
          <w:spacing w:val="-85"/>
        </w:rPr>
      </w:r>
      <w:r>
        <w:rPr/>
        <w:t>存在人民币大幅贬值增加公司采购成本的风险。</w:t>
      </w:r>
    </w:p>
    <w:p>
      <w:pPr>
        <w:pStyle w:val="BodyText"/>
        <w:spacing w:line="319" w:lineRule="auto" w:before="55"/>
        <w:ind w:right="1132" w:firstLine="360"/>
        <w:jc w:val="both"/>
      </w:pPr>
      <w:r>
        <w:rPr>
          <w:spacing w:val="-2"/>
        </w:rPr>
        <w:t>公司将加强营销及生产环节的精细化管理，继续提升金融</w:t>
      </w:r>
      <w:r>
        <w:rPr>
          <w:rFonts w:ascii="宋体" w:hAnsi="宋体" w:cs="宋体" w:eastAsia="宋体" w:hint="default"/>
          <w:spacing w:val="-2"/>
        </w:rPr>
        <w:t>IC</w:t>
      </w:r>
      <w:r>
        <w:rPr>
          <w:spacing w:val="-2"/>
        </w:rPr>
        <w:t>卡产品销量，降低原材料采购及生产制造成本，在更加激烈</w:t>
      </w:r>
      <w:r>
        <w:rPr/>
        <w:t> 的市场竞争中保持该产品盈利能力；继续扩大税控盘、</w:t>
      </w:r>
      <w:r>
        <w:rPr>
          <w:rFonts w:ascii="宋体" w:hAnsi="宋体" w:cs="宋体" w:eastAsia="宋体" w:hint="default"/>
        </w:rPr>
        <w:t>mPOS</w:t>
      </w:r>
      <w:r>
        <w:rPr/>
        <w:t>、智能</w:t>
      </w:r>
      <w:r>
        <w:rPr>
          <w:rFonts w:ascii="宋体" w:hAnsi="宋体" w:cs="宋体" w:eastAsia="宋体" w:hint="default"/>
        </w:rPr>
        <w:t>POS</w:t>
      </w:r>
      <w:r>
        <w:rPr/>
        <w:t>等终端产品的销量，努力提升公司整体盈利水平；加 </w:t>
      </w:r>
      <w:r>
        <w:rPr>
          <w:spacing w:val="-2"/>
        </w:rPr>
        <w:t>强在线教育业务的目标考核管理，努力达成该业务的运营体系建设目标，实现教育云服务收入的大幅增长，提高公司整体盈</w:t>
      </w:r>
      <w:r>
        <w:rPr>
          <w:spacing w:val="-66"/>
        </w:rPr>
        <w:t> </w:t>
      </w:r>
      <w:r>
        <w:rPr>
          <w:spacing w:val="-66"/>
        </w:rPr>
      </w:r>
      <w:r>
        <w:rPr/>
        <w:t>利水平；紧抓与中信银行合作在全国范围内推广“信</w:t>
      </w:r>
      <w:r>
        <w:rPr>
          <w:rFonts w:ascii="宋体" w:hAnsi="宋体" w:cs="宋体" w:eastAsia="宋体" w:hint="default"/>
        </w:rPr>
        <w:t>e</w:t>
      </w:r>
      <w:r>
        <w:rPr/>
        <w:t>付”产品的契机，努力拓展商户和用户，加快供应链</w:t>
      </w:r>
      <w:r>
        <w:rPr>
          <w:rFonts w:ascii="宋体" w:hAnsi="宋体" w:cs="宋体" w:eastAsia="宋体" w:hint="default"/>
        </w:rPr>
        <w:t>O2O+</w:t>
      </w:r>
      <w:r>
        <w:rPr/>
        <w:t>金融支付服 务业务增长。</w:t>
      </w:r>
    </w:p>
    <w:p>
      <w:pPr>
        <w:spacing w:line="240" w:lineRule="auto" w:before="7"/>
        <w:rPr>
          <w:rFonts w:ascii="宋体" w:hAnsi="宋体" w:cs="宋体" w:eastAsia="宋体" w:hint="default"/>
          <w:sz w:val="20"/>
          <w:szCs w:val="20"/>
        </w:rPr>
      </w:pPr>
    </w:p>
    <w:p>
      <w:pPr>
        <w:pStyle w:val="Heading2"/>
        <w:spacing w:line="240" w:lineRule="auto"/>
        <w:ind w:right="0"/>
        <w:jc w:val="left"/>
        <w:rPr>
          <w:b w:val="0"/>
          <w:bCs w:val="0"/>
        </w:rPr>
      </w:pPr>
      <w:bookmarkStart w:name="十、接待调研、沟通、采访等活动情况" w:id="58"/>
      <w:bookmarkEnd w:id="58"/>
      <w:r>
        <w:rPr>
          <w:b w:val="0"/>
          <w:bCs w:val="0"/>
        </w:rPr>
      </w:r>
      <w:r>
        <w:rPr/>
        <w:t>十、接待调研、沟通、采访等活动情况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报告期内接待调研、沟通、采访等活动登记表" w:id="59"/>
      <w:bookmarkEnd w:id="59"/>
      <w:r>
        <w:rPr>
          <w:b w:val="0"/>
          <w:bCs w:val="0"/>
        </w:rPr>
      </w:r>
      <w:r>
        <w:rPr/>
        <w:t>报告期内接待调研、沟通、采访等活动登记表</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178"/>
        <w:gridCol w:w="1084"/>
        <w:gridCol w:w="1559"/>
        <w:gridCol w:w="4749"/>
      </w:tblGrid>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4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58"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7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深交所互动易 </w:t>
            </w:r>
            <w:hyperlink r:id="rId24">
              <w:r>
                <w:rPr>
                  <w:rFonts w:ascii="宋体" w:hAnsi="宋体" w:cs="宋体" w:eastAsia="宋体" w:hint="default"/>
                  <w:sz w:val="18"/>
                  <w:szCs w:val="18"/>
                </w:rPr>
                <w:t>http://irm.cninfo.com.cn/ssessgs/S300205/index.html</w:t>
              </w:r>
            </w:hyperlink>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机构、其他</w:t>
            </w:r>
          </w:p>
        </w:tc>
        <w:tc>
          <w:tcPr>
            <w:tcW w:w="47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深交所互动易 </w:t>
            </w:r>
            <w:hyperlink r:id="rId24">
              <w:r>
                <w:rPr>
                  <w:rFonts w:ascii="宋体" w:hAnsi="宋体" w:cs="宋体" w:eastAsia="宋体" w:hint="default"/>
                  <w:sz w:val="18"/>
                  <w:szCs w:val="18"/>
                </w:rPr>
                <w:t>http://irm.cninfo.com.cn/ssessgs/S300205/index.html</w:t>
              </w:r>
            </w:hyperlink>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机构、个人</w:t>
            </w:r>
          </w:p>
        </w:tc>
        <w:tc>
          <w:tcPr>
            <w:tcW w:w="47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深交所互动易 </w:t>
            </w:r>
            <w:hyperlink r:id="rId24">
              <w:r>
                <w:rPr>
                  <w:rFonts w:ascii="宋体" w:hAnsi="宋体" w:cs="宋体" w:eastAsia="宋体" w:hint="default"/>
                  <w:sz w:val="18"/>
                  <w:szCs w:val="18"/>
                </w:rPr>
                <w:t>http://irm.cninfo.com.cn/ssessgs/S300205/index.html</w:t>
              </w:r>
            </w:hyperlink>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7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深交所互动易 </w:t>
            </w:r>
            <w:hyperlink r:id="rId24">
              <w:r>
                <w:rPr>
                  <w:rFonts w:ascii="宋体" w:hAnsi="宋体" w:cs="宋体" w:eastAsia="宋体" w:hint="default"/>
                  <w:sz w:val="18"/>
                  <w:szCs w:val="18"/>
                </w:rPr>
                <w:t>http://irm.cninfo.com.cn/ssessgs/S300205/index.html</w:t>
              </w:r>
            </w:hyperlink>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7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深交所互动易 </w:t>
            </w:r>
            <w:hyperlink r:id="rId24">
              <w:r>
                <w:rPr>
                  <w:rFonts w:ascii="宋体" w:hAnsi="宋体" w:cs="宋体" w:eastAsia="宋体" w:hint="default"/>
                  <w:sz w:val="18"/>
                  <w:szCs w:val="18"/>
                </w:rPr>
                <w:t>http://irm.cninfo.com.cn/ssessgs/S300205/index.html</w:t>
              </w:r>
            </w:hyperlink>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7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深交所互动易 </w:t>
            </w:r>
            <w:hyperlink r:id="rId24">
              <w:r>
                <w:rPr>
                  <w:rFonts w:ascii="宋体" w:hAnsi="宋体" w:cs="宋体" w:eastAsia="宋体" w:hint="default"/>
                  <w:sz w:val="18"/>
                  <w:szCs w:val="18"/>
                </w:rPr>
                <w:t>http://irm.cninfo.com.cn/ssessgs/S300205/index.html</w:t>
              </w:r>
            </w:hyperlink>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7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深交所互动易 </w:t>
            </w:r>
            <w:hyperlink r:id="rId24">
              <w:r>
                <w:rPr>
                  <w:rFonts w:ascii="宋体" w:hAnsi="宋体" w:cs="宋体" w:eastAsia="宋体" w:hint="default"/>
                  <w:sz w:val="18"/>
                  <w:szCs w:val="18"/>
                </w:rPr>
                <w:t>http://irm.cninfo.com.cn/ssessgs/S300205/index.html</w:t>
              </w:r>
            </w:hyperlink>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74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深交所互动易 </w:t>
            </w:r>
            <w:hyperlink r:id="rId24">
              <w:r>
                <w:rPr>
                  <w:rFonts w:ascii="宋体" w:hAnsi="宋体" w:cs="宋体" w:eastAsia="宋体" w:hint="default"/>
                  <w:sz w:val="18"/>
                  <w:szCs w:val="18"/>
                </w:rPr>
                <w:t>http://irm.cninfo.com.cn/ssessgs/S300205/index.html</w:t>
              </w:r>
            </w:hyperlink>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7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深交所互动易 </w:t>
            </w:r>
            <w:hyperlink r:id="rId24">
              <w:r>
                <w:rPr>
                  <w:rFonts w:ascii="宋体" w:hAnsi="宋体" w:cs="宋体" w:eastAsia="宋体" w:hint="default"/>
                  <w:sz w:val="18"/>
                  <w:szCs w:val="18"/>
                </w:rPr>
                <w:t>http://irm.cninfo.com.cn/ssessgs/S300205/index.html</w:t>
              </w:r>
            </w:hyperlink>
          </w:p>
        </w:tc>
      </w:tr>
    </w:tbl>
    <w:p>
      <w:pPr>
        <w:spacing w:after="0" w:line="316" w:lineRule="auto"/>
        <w:jc w:val="left"/>
        <w:rPr>
          <w:rFonts w:ascii="宋体" w:hAnsi="宋体" w:cs="宋体" w:eastAsia="宋体" w:hint="default"/>
          <w:sz w:val="18"/>
          <w:szCs w:val="18"/>
        </w:rPr>
        <w:sectPr>
          <w:pgSz w:w="11910" w:h="16840"/>
          <w:pgMar w:header="0" w:footer="1187" w:top="1100" w:bottom="1380" w:left="0" w:right="0"/>
        </w:sectPr>
      </w:pPr>
    </w:p>
    <w:p>
      <w:pPr>
        <w:spacing w:line="240" w:lineRule="auto" w:before="10"/>
        <w:rPr>
          <w:rFonts w:ascii="Times New Roman" w:hAnsi="Times New Roman" w:cs="Times New Roman" w:eastAsia="Times New Roman" w:hint="default"/>
          <w:sz w:val="27"/>
          <w:szCs w:val="27"/>
        </w:rPr>
      </w:pPr>
      <w:r>
        <w:rPr/>
        <w:pict>
          <v:group style="position:absolute;margin-left:165.860001pt;margin-top:151.12999pt;width:52.5pt;height:20.8pt;mso-position-horizontal-relative:page;mso-position-vertical-relative:page;z-index:-778816" coordorigin="3317,3023" coordsize="1050,416">
            <v:group style="position:absolute;left:3329;top:3034;width:2;height:393" coordorigin="3329,3034" coordsize="2,393">
              <v:shape style="position:absolute;left:3329;top:3034;width:2;height:393" coordorigin="3329,3034" coordsize="0,393" path="m3329,3034l3329,3426e" filled="false" stroked="true" strokeweight="1.140pt" strokecolor="#ffffff">
                <v:path arrowok="t"/>
              </v:shape>
            </v:group>
            <v:group style="position:absolute;left:3340;top:3034;width:1028;height:393" coordorigin="3340,3034" coordsize="1028,393">
              <v:shape style="position:absolute;left:3340;top:3034;width:1028;height:393" coordorigin="3340,3034" coordsize="1028,393" path="m3340,3426l4367,3426,4367,3034,3340,3034,3340,3426xe" filled="true" fillcolor="#ffffff" stroked="false">
                <v:path arrowok="t"/>
                <v:fill type="solid"/>
              </v:shape>
            </v:group>
            <w10:wrap type="none"/>
          </v:group>
        </w:pict>
      </w:r>
      <w:r>
        <w:rPr/>
        <w:pict>
          <v:group style="position:absolute;margin-left:165.860001pt;margin-top:186.829987pt;width:52.5pt;height:20.8pt;mso-position-horizontal-relative:page;mso-position-vertical-relative:page;z-index:-778792" coordorigin="3317,3737" coordsize="1050,416">
            <v:group style="position:absolute;left:3329;top:3748;width:2;height:393" coordorigin="3329,3748" coordsize="2,393">
              <v:shape style="position:absolute;left:3329;top:3748;width:2;height:393" coordorigin="3329,3748" coordsize="0,393" path="m3329,3748l3329,4140e" filled="false" stroked="true" strokeweight="1.140pt" strokecolor="#ffffff">
                <v:path arrowok="t"/>
              </v:shape>
            </v:group>
            <v:group style="position:absolute;left:3340;top:3748;width:1028;height:393" coordorigin="3340,3748" coordsize="1028,393">
              <v:shape style="position:absolute;left:3340;top:3748;width:1028;height:393" coordorigin="3340,3748" coordsize="1028,393" path="m3340,4140l4367,4140,4367,3748,3340,3748,3340,4140xe" filled="true" fillcolor="#ffffff" stroked="false">
                <v:path arrowok="t"/>
                <v:fill type="solid"/>
              </v:shape>
            </v:group>
            <w10:wrap type="none"/>
          </v:group>
        </w:pict>
      </w:r>
    </w:p>
    <w:tbl>
      <w:tblPr>
        <w:tblW w:w="0" w:type="auto"/>
        <w:jc w:val="left"/>
        <w:tblInd w:w="1129" w:type="dxa"/>
        <w:tblLayout w:type="fixed"/>
        <w:tblCellMar>
          <w:top w:w="0" w:type="dxa"/>
          <w:left w:w="0" w:type="dxa"/>
          <w:bottom w:w="0" w:type="dxa"/>
          <w:right w:w="0" w:type="dxa"/>
        </w:tblCellMar>
        <w:tblLook w:val="01E0"/>
      </w:tblPr>
      <w:tblGrid>
        <w:gridCol w:w="2178"/>
        <w:gridCol w:w="1084"/>
        <w:gridCol w:w="1559"/>
        <w:gridCol w:w="4749"/>
      </w:tblGrid>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74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深交所互动易 </w:t>
            </w:r>
            <w:hyperlink r:id="rId24">
              <w:r>
                <w:rPr>
                  <w:rFonts w:ascii="宋体" w:hAnsi="宋体" w:cs="宋体" w:eastAsia="宋体" w:hint="default"/>
                  <w:sz w:val="18"/>
                  <w:szCs w:val="18"/>
                </w:rPr>
                <w:t>http://irm.cninfo.com.cn/ssessgs/S300205/index.html</w:t>
              </w:r>
            </w:hyperlink>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74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深交所互动易 </w:t>
            </w:r>
            <w:hyperlink r:id="rId24">
              <w:r>
                <w:rPr>
                  <w:rFonts w:ascii="宋体" w:hAnsi="宋体" w:cs="宋体" w:eastAsia="宋体" w:hint="default"/>
                  <w:sz w:val="18"/>
                  <w:szCs w:val="18"/>
                </w:rPr>
                <w:t>http://irm.cninfo.com.cn/ssessgs/S300205/index.html</w:t>
              </w:r>
            </w:hyperlink>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33"/>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pacing w:val="-6"/>
                <w:sz w:val="18"/>
                <w:szCs w:val="18"/>
              </w:rPr>
              <w:t>日（上午）</w:t>
            </w:r>
            <w:r>
              <w:rPr>
                <w:rFonts w:ascii="宋体" w:hAnsi="宋体" w:cs="宋体" w:eastAsia="宋体" w:hint="default"/>
                <w:sz w:val="18"/>
                <w:szCs w:val="18"/>
              </w:rPr>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74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深交所互动易 </w:t>
            </w:r>
            <w:hyperlink r:id="rId24">
              <w:r>
                <w:rPr>
                  <w:rFonts w:ascii="宋体" w:hAnsi="宋体" w:cs="宋体" w:eastAsia="宋体" w:hint="default"/>
                  <w:sz w:val="18"/>
                  <w:szCs w:val="18"/>
                </w:rPr>
                <w:t>http://irm.cninfo.com.cn/ssessgs/S300205/index.html</w:t>
              </w:r>
            </w:hyperlink>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33"/>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pacing w:val="-6"/>
                <w:sz w:val="18"/>
                <w:szCs w:val="18"/>
              </w:rPr>
              <w:t>日（下午）</w:t>
            </w:r>
            <w:r>
              <w:rPr>
                <w:rFonts w:ascii="宋体" w:hAnsi="宋体" w:cs="宋体" w:eastAsia="宋体" w:hint="default"/>
                <w:sz w:val="18"/>
                <w:szCs w:val="18"/>
              </w:rPr>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74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深交所互动易 </w:t>
            </w:r>
            <w:hyperlink r:id="rId24">
              <w:r>
                <w:rPr>
                  <w:rFonts w:ascii="宋体" w:hAnsi="宋体" w:cs="宋体" w:eastAsia="宋体" w:hint="default"/>
                  <w:sz w:val="18"/>
                  <w:szCs w:val="18"/>
                </w:rPr>
                <w:t>http://irm.cninfo.com.cn/ssessgs/S300205/index.html</w:t>
              </w:r>
            </w:hyperlink>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74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深交所互动易 </w:t>
            </w:r>
            <w:hyperlink r:id="rId24">
              <w:r>
                <w:rPr>
                  <w:rFonts w:ascii="宋体" w:hAnsi="宋体" w:cs="宋体" w:eastAsia="宋体" w:hint="default"/>
                  <w:sz w:val="18"/>
                  <w:szCs w:val="18"/>
                </w:rPr>
                <w:t>http://irm.cninfo.com.cn/ssessgs/S300205/index.html</w:t>
              </w:r>
            </w:hyperlink>
          </w:p>
        </w:tc>
      </w:tr>
    </w:tbl>
    <w:p>
      <w:pPr>
        <w:spacing w:after="0" w:line="319" w:lineRule="auto"/>
        <w:jc w:val="left"/>
        <w:rPr>
          <w:rFonts w:ascii="宋体" w:hAnsi="宋体" w:cs="宋体" w:eastAsia="宋体" w:hint="default"/>
          <w:sz w:val="18"/>
          <w:szCs w:val="18"/>
        </w:rPr>
        <w:sectPr>
          <w:pgSz w:w="11910" w:h="16840"/>
          <w:pgMar w:header="0" w:footer="1187" w:top="1100" w:bottom="138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3"/>
          <w:szCs w:val="23"/>
        </w:rPr>
      </w:pPr>
    </w:p>
    <w:p>
      <w:pPr>
        <w:pStyle w:val="Heading1"/>
        <w:spacing w:line="240" w:lineRule="auto"/>
        <w:ind w:right="1130"/>
        <w:jc w:val="center"/>
        <w:rPr>
          <w:b w:val="0"/>
          <w:bCs w:val="0"/>
        </w:rPr>
      </w:pPr>
      <w:bookmarkStart w:name="第五节 重要事项" w:id="60"/>
      <w:bookmarkEnd w:id="60"/>
      <w:r>
        <w:rPr>
          <w:b w:val="0"/>
          <w:bCs w:val="0"/>
        </w:rPr>
      </w:r>
      <w:bookmarkStart w:name="_bookmark4" w:id="61"/>
      <w:bookmarkEnd w:id="61"/>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2"/>
      <w:bookmarkEnd w:id="62"/>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357" w:lineRule="auto" w:before="117"/>
        <w:ind w:left="1493" w:right="1118" w:hanging="360"/>
        <w:jc w:val="left"/>
      </w:pPr>
      <w:r>
        <w:rPr/>
        <w:t>√ 适用 □ 不适用 </w:t>
      </w:r>
      <w:r>
        <w:rPr>
          <w:spacing w:val="-2"/>
        </w:rPr>
        <w:t>公司</w:t>
      </w:r>
      <w:r>
        <w:rPr>
          <w:rFonts w:ascii="宋体" w:hAnsi="宋体" w:cs="宋体" w:eastAsia="宋体" w:hint="default"/>
          <w:spacing w:val="-2"/>
        </w:rPr>
        <w:t>2014</w:t>
      </w:r>
      <w:r>
        <w:rPr>
          <w:spacing w:val="-2"/>
        </w:rPr>
        <w:t>年度利润分配方案经</w:t>
      </w:r>
      <w:r>
        <w:rPr>
          <w:rFonts w:ascii="宋体" w:hAnsi="宋体" w:cs="宋体" w:eastAsia="宋体" w:hint="default"/>
          <w:spacing w:val="-2"/>
        </w:rPr>
        <w:t>2015</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8</w:t>
      </w:r>
      <w:r>
        <w:rPr>
          <w:spacing w:val="-2"/>
        </w:rPr>
        <w:t>日召开的第六届董事会第九次会议、</w:t>
      </w:r>
      <w:r>
        <w:rPr>
          <w:rFonts w:ascii="宋体" w:hAnsi="宋体" w:cs="宋体" w:eastAsia="宋体" w:hint="default"/>
          <w:spacing w:val="-2"/>
        </w:rPr>
        <w:t>2015</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5</w:t>
      </w:r>
      <w:r>
        <w:rPr>
          <w:spacing w:val="-2"/>
        </w:rPr>
        <w:t>日召开的</w:t>
      </w:r>
      <w:r>
        <w:rPr>
          <w:rFonts w:ascii="宋体" w:hAnsi="宋体" w:cs="宋体" w:eastAsia="宋体" w:hint="default"/>
          <w:spacing w:val="-2"/>
        </w:rPr>
        <w:t>2014</w:t>
      </w:r>
      <w:r>
        <w:rPr>
          <w:spacing w:val="-2"/>
        </w:rPr>
        <w:t>年年度股东大会</w:t>
      </w:r>
    </w:p>
    <w:p>
      <w:pPr>
        <w:pStyle w:val="BodyText"/>
        <w:spacing w:line="224" w:lineRule="exact"/>
        <w:ind w:right="0"/>
        <w:jc w:val="left"/>
      </w:pPr>
      <w:r>
        <w:rPr>
          <w:spacing w:val="-4"/>
        </w:rPr>
        <w:t>审议通过，具体方案为：公司以</w:t>
      </w:r>
      <w:r>
        <w:rPr>
          <w:rFonts w:ascii="宋体" w:hAnsi="宋体" w:cs="宋体" w:eastAsia="宋体" w:hint="default"/>
          <w:spacing w:val="-4"/>
        </w:rPr>
        <w:t>2014</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31</w:t>
      </w:r>
      <w:r>
        <w:rPr>
          <w:spacing w:val="-4"/>
        </w:rPr>
        <w:t>日总股本</w:t>
      </w:r>
      <w:r>
        <w:rPr>
          <w:rFonts w:ascii="宋体" w:hAnsi="宋体" w:cs="宋体" w:eastAsia="宋体" w:hint="default"/>
          <w:spacing w:val="-4"/>
        </w:rPr>
        <w:t>430,056,000</w:t>
      </w:r>
      <w:r>
        <w:rPr>
          <w:spacing w:val="-4"/>
        </w:rPr>
        <w:t>股为基数向全体股东每</w:t>
      </w:r>
      <w:r>
        <w:rPr>
          <w:rFonts w:ascii="宋体" w:hAnsi="宋体" w:cs="宋体" w:eastAsia="宋体" w:hint="default"/>
          <w:spacing w:val="-4"/>
        </w:rPr>
        <w:t>10</w:t>
      </w:r>
      <w:r>
        <w:rPr>
          <w:spacing w:val="-4"/>
        </w:rPr>
        <w:t>股派发现金股利</w:t>
      </w:r>
      <w:r>
        <w:rPr>
          <w:rFonts w:ascii="宋体" w:hAnsi="宋体" w:cs="宋体" w:eastAsia="宋体" w:hint="default"/>
          <w:spacing w:val="-4"/>
        </w:rPr>
        <w:t>0.5</w:t>
      </w:r>
      <w:r>
        <w:rPr>
          <w:spacing w:val="-4"/>
        </w:rPr>
        <w:t>元（含税）。</w:t>
      </w:r>
    </w:p>
    <w:p>
      <w:pPr>
        <w:pStyle w:val="BodyText"/>
        <w:spacing w:line="240" w:lineRule="auto" w:before="77"/>
        <w:ind w:left="1134" w:right="0"/>
        <w:jc w:val="left"/>
      </w:pPr>
      <w:r>
        <w:rPr/>
        <w:t>该利润分配方案于</w:t>
      </w:r>
      <w:r>
        <w:rPr>
          <w:rFonts w:ascii="宋体" w:hAnsi="宋体" w:cs="宋体" w:eastAsia="宋体" w:hint="default"/>
        </w:rPr>
        <w:t>2015</w:t>
      </w:r>
      <w:r>
        <w:rPr/>
        <w:t>年</w:t>
      </w:r>
      <w:r>
        <w:rPr>
          <w:rFonts w:ascii="宋体" w:hAnsi="宋体" w:cs="宋体" w:eastAsia="宋体" w:hint="default"/>
        </w:rPr>
        <w:t>6</w:t>
      </w:r>
      <w:r>
        <w:rPr/>
        <w:t>月</w:t>
      </w:r>
      <w:r>
        <w:rPr>
          <w:rFonts w:ascii="宋体" w:hAnsi="宋体" w:cs="宋体" w:eastAsia="宋体" w:hint="default"/>
        </w:rPr>
        <w:t>4</w:t>
      </w:r>
      <w:r>
        <w:rPr/>
        <w:t>日实施完毕。</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6805"/>
        <w:gridCol w:w="2764"/>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中小股东是否有充分表达意见和诉求的机会，其合法权益是否得到了充分保护：</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9"/>
        <w:rPr>
          <w:rFonts w:ascii="宋体" w:hAnsi="宋体" w:cs="宋体" w:eastAsia="宋体" w:hint="default"/>
          <w:sz w:val="6"/>
          <w:szCs w:val="6"/>
        </w:rPr>
      </w:pPr>
    </w:p>
    <w:p>
      <w:pPr>
        <w:pStyle w:val="BodyText"/>
        <w:spacing w:line="240" w:lineRule="auto" w:before="44"/>
        <w:ind w:left="1134" w:right="0"/>
        <w:jc w:val="left"/>
      </w:pPr>
      <w:r>
        <w:rPr/>
        <w:t>公司报告期利润分配预案及资本公积金转增股本预案与公司章程和分红管理办法等的相关规定一致</w:t>
      </w:r>
    </w:p>
    <w:p>
      <w:pPr>
        <w:pStyle w:val="BodyText"/>
        <w:spacing w:line="357" w:lineRule="auto" w:before="116"/>
        <w:ind w:left="1494" w:right="3912" w:hanging="360"/>
        <w:jc w:val="left"/>
      </w:pPr>
      <w:r>
        <w:rPr/>
        <w:t>√ 是 □ 否 □ 不适用 公司报告期利润分配预案及资本公积金转增股本预案符合公司章程等的相关规定。</w:t>
      </w:r>
    </w:p>
    <w:p>
      <w:pPr>
        <w:pStyle w:val="BodyText"/>
        <w:spacing w:line="240" w:lineRule="auto" w:before="108"/>
        <w:ind w:right="0"/>
        <w:jc w:val="left"/>
      </w:pPr>
      <w:r>
        <w:rPr/>
        <w:t>本年度利润分配及资本公积金转增股本预案</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718"/>
        <w:gridCol w:w="5851"/>
      </w:tblGrid>
      <w:tr>
        <w:trPr>
          <w:trHeight w:val="402"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股送红股数（股）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0.5</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股转增数（股）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430,056,000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21,502,800.00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212,659,426.56</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1"/>
                <w:sz w:val="18"/>
                <w:szCs w:val="18"/>
              </w:rPr>
              <w:t>在符合利润分配原则、保证公司正常经营和长远发展的前提下，如无重大投资或重大现金支出计划，公司单一年度以现金</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形式分配的利润不少于当年实现的可供分配利润的</w:t>
            </w:r>
            <w:r>
              <w:rPr>
                <w:rFonts w:ascii="宋体" w:hAnsi="宋体" w:cs="宋体" w:eastAsia="宋体" w:hint="default"/>
                <w:spacing w:val="-45"/>
                <w:sz w:val="18"/>
                <w:szCs w:val="18"/>
              </w:rPr>
              <w:t> </w:t>
            </w:r>
            <w:r>
              <w:rPr>
                <w:rFonts w:ascii="宋体" w:hAnsi="宋体" w:cs="宋体" w:eastAsia="宋体" w:hint="default"/>
                <w:sz w:val="18"/>
                <w:szCs w:val="18"/>
              </w:rPr>
              <w:t>20%</w:t>
            </w:r>
            <w:r>
              <w:rPr>
                <w:rFonts w:ascii="宋体" w:hAnsi="宋体" w:cs="宋体" w:eastAsia="宋体" w:hint="default"/>
                <w:sz w:val="18"/>
                <w:szCs w:val="18"/>
              </w:rPr>
              <w:t>。</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5"/>
              <w:jc w:val="left"/>
              <w:rPr>
                <w:rFonts w:ascii="宋体" w:hAnsi="宋体" w:cs="宋体" w:eastAsia="宋体" w:hint="default"/>
                <w:sz w:val="18"/>
                <w:szCs w:val="18"/>
              </w:rPr>
            </w:pPr>
            <w:r>
              <w:rPr>
                <w:rFonts w:ascii="宋体" w:hAnsi="宋体" w:cs="宋体" w:eastAsia="宋体" w:hint="default"/>
                <w:sz w:val="18"/>
                <w:szCs w:val="18"/>
              </w:rPr>
              <w:t>公司拟以</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日总股本</w:t>
            </w:r>
            <w:r>
              <w:rPr>
                <w:rFonts w:ascii="宋体" w:hAnsi="宋体" w:cs="宋体" w:eastAsia="宋体" w:hint="default"/>
                <w:spacing w:val="-46"/>
                <w:sz w:val="18"/>
                <w:szCs w:val="18"/>
              </w:rPr>
              <w:t> </w:t>
            </w:r>
            <w:r>
              <w:rPr>
                <w:rFonts w:ascii="宋体" w:hAnsi="宋体" w:cs="宋体" w:eastAsia="宋体" w:hint="default"/>
                <w:sz w:val="18"/>
                <w:szCs w:val="18"/>
              </w:rPr>
              <w:t>430,056,000</w:t>
            </w:r>
            <w:r>
              <w:rPr>
                <w:rFonts w:ascii="宋体" w:hAnsi="宋体" w:cs="宋体" w:eastAsia="宋体" w:hint="default"/>
                <w:spacing w:val="-46"/>
                <w:sz w:val="18"/>
                <w:szCs w:val="18"/>
              </w:rPr>
              <w:t> </w:t>
            </w:r>
            <w:r>
              <w:rPr>
                <w:rFonts w:ascii="宋体" w:hAnsi="宋体" w:cs="宋体" w:eastAsia="宋体" w:hint="default"/>
                <w:sz w:val="18"/>
                <w:szCs w:val="18"/>
              </w:rPr>
              <w:t>股为基数向全体股东每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股派发现金股利</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pacing w:val="-9"/>
                <w:sz w:val="18"/>
                <w:szCs w:val="18"/>
              </w:rPr>
              <w:t>元（含税），以现金形式</w:t>
            </w:r>
            <w:r>
              <w:rPr>
                <w:rFonts w:ascii="宋体" w:hAnsi="宋体" w:cs="宋体" w:eastAsia="宋体" w:hint="default"/>
                <w:sz w:val="18"/>
                <w:szCs w:val="18"/>
              </w:rPr>
              <w:t> 分配的利润占公司当年实现的可供分配利润的</w:t>
            </w:r>
            <w:r>
              <w:rPr>
                <w:rFonts w:ascii="宋体" w:hAnsi="宋体" w:cs="宋体" w:eastAsia="宋体" w:hint="default"/>
                <w:spacing w:val="-46"/>
                <w:sz w:val="18"/>
                <w:szCs w:val="18"/>
              </w:rPr>
              <w:t> </w:t>
            </w:r>
            <w:r>
              <w:rPr>
                <w:rFonts w:ascii="宋体" w:hAnsi="宋体" w:cs="宋体" w:eastAsia="宋体" w:hint="default"/>
                <w:sz w:val="18"/>
                <w:szCs w:val="18"/>
              </w:rPr>
              <w:t>1,978.04%</w:t>
            </w:r>
            <w:r>
              <w:rPr>
                <w:rFonts w:ascii="宋体" w:hAnsi="宋体" w:cs="宋体" w:eastAsia="宋体" w:hint="default"/>
                <w:sz w:val="18"/>
                <w:szCs w:val="18"/>
              </w:rPr>
              <w:t>。</w:t>
            </w:r>
          </w:p>
        </w:tc>
      </w:tr>
    </w:tbl>
    <w:p>
      <w:pPr>
        <w:spacing w:line="240" w:lineRule="auto" w:before="9"/>
        <w:rPr>
          <w:rFonts w:ascii="宋体" w:hAnsi="宋体" w:cs="宋体" w:eastAsia="宋体" w:hint="default"/>
          <w:sz w:val="6"/>
          <w:szCs w:val="6"/>
        </w:rPr>
      </w:pPr>
    </w:p>
    <w:p>
      <w:pPr>
        <w:pStyle w:val="BodyText"/>
        <w:spacing w:line="357" w:lineRule="auto" w:before="44"/>
        <w:ind w:left="1494" w:right="1392" w:hanging="360"/>
        <w:jc w:val="left"/>
      </w:pPr>
      <w:r>
        <w:rPr/>
        <w:t>公司近</w:t>
      </w:r>
      <w:r>
        <w:rPr>
          <w:spacing w:val="-45"/>
        </w:rPr>
        <w:t> </w:t>
      </w:r>
      <w:r>
        <w:rPr>
          <w:rFonts w:ascii="宋体" w:hAnsi="宋体" w:cs="宋体" w:eastAsia="宋体" w:hint="default"/>
        </w:rPr>
        <w:t>3</w:t>
      </w:r>
      <w:r>
        <w:rPr>
          <w:rFonts w:ascii="宋体" w:hAnsi="宋体" w:cs="宋体" w:eastAsia="宋体" w:hint="default"/>
          <w:spacing w:val="-45"/>
        </w:rPr>
        <w:t> </w:t>
      </w:r>
      <w:r>
        <w:rPr>
          <w:spacing w:val="-3"/>
        </w:rPr>
        <w:t>年（包括本报告期）的普通股股利分配方案（预案）、资本公积金转增股本方案（预案）情况</w:t>
      </w:r>
      <w:r>
        <w:rPr>
          <w:spacing w:val="-59"/>
        </w:rPr>
        <w:t> </w:t>
      </w:r>
      <w:r>
        <w:rPr>
          <w:spacing w:val="-59"/>
        </w:rPr>
      </w:r>
      <w:r>
        <w:rPr>
          <w:rFonts w:ascii="宋体" w:hAnsi="宋体" w:cs="宋体" w:eastAsia="宋体" w:hint="default"/>
        </w:rPr>
        <w:t>2015</w:t>
      </w:r>
      <w:r>
        <w:rPr/>
        <w:t>年度：公司拟以</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日总股本</w:t>
      </w:r>
      <w:r>
        <w:rPr>
          <w:rFonts w:ascii="宋体" w:hAnsi="宋体" w:cs="宋体" w:eastAsia="宋体" w:hint="default"/>
        </w:rPr>
        <w:t>430,056,000</w:t>
      </w:r>
      <w:r>
        <w:rPr/>
        <w:t>股为基数向全体股东每</w:t>
      </w:r>
      <w:r>
        <w:rPr>
          <w:rFonts w:ascii="宋体" w:hAnsi="宋体" w:cs="宋体" w:eastAsia="宋体" w:hint="default"/>
        </w:rPr>
        <w:t>10</w:t>
      </w:r>
      <w:r>
        <w:rPr/>
        <w:t>股派发现金股利</w:t>
      </w:r>
      <w:r>
        <w:rPr>
          <w:rFonts w:ascii="宋体" w:hAnsi="宋体" w:cs="宋体" w:eastAsia="宋体" w:hint="default"/>
        </w:rPr>
        <w:t>0.5</w:t>
      </w:r>
      <w:r>
        <w:rPr/>
        <w:t>元（含税）。</w:t>
      </w:r>
    </w:p>
    <w:p>
      <w:pPr>
        <w:spacing w:after="0" w:line="357" w:lineRule="auto"/>
        <w:jc w:val="left"/>
        <w:sectPr>
          <w:pgSz w:w="11910" w:h="16840"/>
          <w:pgMar w:header="0" w:footer="1187" w:top="1100" w:bottom="1380" w:left="0" w:right="0"/>
        </w:sectPr>
      </w:pPr>
    </w:p>
    <w:p>
      <w:pPr>
        <w:spacing w:line="240" w:lineRule="auto" w:before="12"/>
        <w:rPr>
          <w:rFonts w:ascii="宋体" w:hAnsi="宋体" w:cs="宋体" w:eastAsia="宋体" w:hint="default"/>
          <w:sz w:val="21"/>
          <w:szCs w:val="21"/>
        </w:rPr>
      </w:pPr>
    </w:p>
    <w:p>
      <w:pPr>
        <w:pStyle w:val="BodyText"/>
        <w:spacing w:line="319" w:lineRule="auto" w:before="44"/>
        <w:ind w:right="1139" w:firstLine="360"/>
        <w:jc w:val="both"/>
      </w:pPr>
      <w:r>
        <w:rPr>
          <w:rFonts w:ascii="宋体" w:hAnsi="宋体" w:cs="宋体" w:eastAsia="宋体" w:hint="default"/>
        </w:rPr>
        <w:t>2014</w:t>
      </w:r>
      <w:r>
        <w:rPr/>
        <w:t>年度：经</w:t>
      </w:r>
      <w:r>
        <w:rPr>
          <w:rFonts w:ascii="宋体" w:hAnsi="宋体" w:cs="宋体" w:eastAsia="宋体" w:hint="default"/>
        </w:rPr>
        <w:t>2015</w:t>
      </w:r>
      <w:r>
        <w:rPr/>
        <w:t>年</w:t>
      </w:r>
      <w:r>
        <w:rPr>
          <w:rFonts w:ascii="宋体" w:hAnsi="宋体" w:cs="宋体" w:eastAsia="宋体" w:hint="default"/>
        </w:rPr>
        <w:t>5</w:t>
      </w:r>
      <w:r>
        <w:rPr/>
        <w:t>月</w:t>
      </w:r>
      <w:r>
        <w:rPr>
          <w:rFonts w:ascii="宋体" w:hAnsi="宋体" w:cs="宋体" w:eastAsia="宋体" w:hint="default"/>
        </w:rPr>
        <w:t>5</w:t>
      </w:r>
      <w:r>
        <w:rPr/>
        <w:t>日召开的</w:t>
      </w:r>
      <w:r>
        <w:rPr>
          <w:rFonts w:ascii="宋体" w:hAnsi="宋体" w:cs="宋体" w:eastAsia="宋体" w:hint="default"/>
        </w:rPr>
        <w:t>2014</w:t>
      </w:r>
      <w:r>
        <w:rPr/>
        <w:t>年年度股东大会审议批准，公司以</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日总股本</w:t>
      </w:r>
      <w:r>
        <w:rPr>
          <w:rFonts w:ascii="宋体" w:hAnsi="宋体" w:cs="宋体" w:eastAsia="宋体" w:hint="default"/>
        </w:rPr>
        <w:t>430,056,000</w:t>
      </w:r>
      <w:r>
        <w:rPr/>
        <w:t>股为基数 向全体股东每</w:t>
      </w:r>
      <w:r>
        <w:rPr>
          <w:rFonts w:ascii="宋体" w:hAnsi="宋体" w:cs="宋体" w:eastAsia="宋体" w:hint="default"/>
        </w:rPr>
        <w:t>10</w:t>
      </w:r>
      <w:r>
        <w:rPr/>
        <w:t>股派发现金股利</w:t>
      </w:r>
      <w:r>
        <w:rPr>
          <w:rFonts w:ascii="宋体" w:hAnsi="宋体" w:cs="宋体" w:eastAsia="宋体" w:hint="default"/>
        </w:rPr>
        <w:t>0.5</w:t>
      </w:r>
      <w:r>
        <w:rPr/>
        <w:t>元（含税）。公司于</w:t>
      </w:r>
      <w:r>
        <w:rPr>
          <w:rFonts w:ascii="宋体" w:hAnsi="宋体" w:cs="宋体" w:eastAsia="宋体" w:hint="default"/>
        </w:rPr>
        <w:t>2015</w:t>
      </w:r>
      <w:r>
        <w:rPr/>
        <w:t>年</w:t>
      </w:r>
      <w:r>
        <w:rPr>
          <w:rFonts w:ascii="宋体" w:hAnsi="宋体" w:cs="宋体" w:eastAsia="宋体" w:hint="default"/>
        </w:rPr>
        <w:t>6</w:t>
      </w:r>
      <w:r>
        <w:rPr/>
        <w:t>月</w:t>
      </w:r>
      <w:r>
        <w:rPr>
          <w:rFonts w:ascii="宋体" w:hAnsi="宋体" w:cs="宋体" w:eastAsia="宋体" w:hint="default"/>
        </w:rPr>
        <w:t>4</w:t>
      </w:r>
      <w:r>
        <w:rPr/>
        <w:t>日实施了权益分派。</w:t>
      </w:r>
    </w:p>
    <w:p>
      <w:pPr>
        <w:pStyle w:val="BodyText"/>
        <w:spacing w:line="319" w:lineRule="auto" w:before="55"/>
        <w:ind w:right="1129" w:firstLine="360"/>
        <w:jc w:val="both"/>
      </w:pPr>
      <w:r>
        <w:rPr>
          <w:rFonts w:ascii="宋体" w:hAnsi="宋体" w:cs="宋体" w:eastAsia="宋体" w:hint="default"/>
        </w:rPr>
        <w:t>2013</w:t>
      </w:r>
      <w:r>
        <w:rPr/>
        <w:t>年度：经</w:t>
      </w:r>
      <w:r>
        <w:rPr>
          <w:rFonts w:ascii="宋体" w:hAnsi="宋体" w:cs="宋体" w:eastAsia="宋体" w:hint="default"/>
        </w:rPr>
        <w:t>2014</w:t>
      </w:r>
      <w:r>
        <w:rPr/>
        <w:t>年</w:t>
      </w:r>
      <w:r>
        <w:rPr>
          <w:rFonts w:ascii="宋体" w:hAnsi="宋体" w:cs="宋体" w:eastAsia="宋体" w:hint="default"/>
        </w:rPr>
        <w:t>5</w:t>
      </w:r>
      <w:r>
        <w:rPr/>
        <w:t>月</w:t>
      </w:r>
      <w:r>
        <w:rPr>
          <w:rFonts w:ascii="宋体" w:hAnsi="宋体" w:cs="宋体" w:eastAsia="宋体" w:hint="default"/>
        </w:rPr>
        <w:t>8</w:t>
      </w:r>
      <w:r>
        <w:rPr/>
        <w:t>日召开的</w:t>
      </w:r>
      <w:r>
        <w:rPr>
          <w:rFonts w:ascii="宋体" w:hAnsi="宋体" w:cs="宋体" w:eastAsia="宋体" w:hint="default"/>
        </w:rPr>
        <w:t>2013</w:t>
      </w:r>
      <w:r>
        <w:rPr/>
        <w:t>年年度股东大会审议批准，公司以</w:t>
      </w:r>
      <w:r>
        <w:rPr>
          <w:rFonts w:ascii="宋体" w:hAnsi="宋体" w:cs="宋体" w:eastAsia="宋体" w:hint="default"/>
        </w:rPr>
        <w:t>2013</w:t>
      </w:r>
      <w:r>
        <w:rPr/>
        <w:t>年</w:t>
      </w:r>
      <w:r>
        <w:rPr>
          <w:rFonts w:ascii="宋体" w:hAnsi="宋体" w:cs="宋体" w:eastAsia="宋体" w:hint="default"/>
        </w:rPr>
        <w:t>12</w:t>
      </w:r>
      <w:r>
        <w:rPr/>
        <w:t>月</w:t>
      </w:r>
      <w:r>
        <w:rPr>
          <w:rFonts w:ascii="宋体" w:hAnsi="宋体" w:cs="宋体" w:eastAsia="宋体" w:hint="default"/>
        </w:rPr>
        <w:t>31</w:t>
      </w:r>
      <w:r>
        <w:rPr/>
        <w:t>日总股本</w:t>
      </w:r>
      <w:r>
        <w:rPr>
          <w:rFonts w:ascii="宋体" w:hAnsi="宋体" w:cs="宋体" w:eastAsia="宋体" w:hint="default"/>
        </w:rPr>
        <w:t>215,028,000</w:t>
      </w:r>
      <w:r>
        <w:rPr/>
        <w:t>股为基数 </w:t>
      </w:r>
      <w:r>
        <w:rPr>
          <w:spacing w:val="9"/>
        </w:rPr>
        <w:t>向全体股东每</w:t>
      </w:r>
      <w:r>
        <w:rPr>
          <w:rFonts w:ascii="宋体" w:hAnsi="宋体" w:cs="宋体" w:eastAsia="宋体" w:hint="default"/>
          <w:spacing w:val="9"/>
        </w:rPr>
        <w:t>10</w:t>
      </w:r>
      <w:r>
        <w:rPr>
          <w:spacing w:val="9"/>
        </w:rPr>
        <w:t>股派发现金股利</w:t>
      </w:r>
      <w:r>
        <w:rPr>
          <w:rFonts w:ascii="宋体" w:hAnsi="宋体" w:cs="宋体" w:eastAsia="宋体" w:hint="default"/>
          <w:spacing w:val="9"/>
        </w:rPr>
        <w:t>1</w:t>
      </w:r>
      <w:r>
        <w:rPr>
          <w:spacing w:val="9"/>
        </w:rPr>
        <w:t>元（含税）；同时以资本公积金向全体股东每</w:t>
      </w:r>
      <w:r>
        <w:rPr>
          <w:rFonts w:ascii="宋体" w:hAnsi="宋体" w:cs="宋体" w:eastAsia="宋体" w:hint="default"/>
          <w:spacing w:val="9"/>
        </w:rPr>
        <w:t>10</w:t>
      </w:r>
      <w:r>
        <w:rPr>
          <w:spacing w:val="9"/>
        </w:rPr>
        <w:t>股转增</w:t>
      </w:r>
      <w:r>
        <w:rPr>
          <w:rFonts w:ascii="宋体" w:hAnsi="宋体" w:cs="宋体" w:eastAsia="宋体" w:hint="default"/>
          <w:spacing w:val="9"/>
        </w:rPr>
        <w:t>10</w:t>
      </w:r>
      <w:r>
        <w:rPr>
          <w:spacing w:val="9"/>
        </w:rPr>
        <w:t>股，转增后公司总股本由</w:t>
      </w:r>
      <w:r>
        <w:rPr>
          <w:spacing w:val="-61"/>
        </w:rPr>
        <w:t> </w:t>
      </w:r>
      <w:r>
        <w:rPr>
          <w:spacing w:val="-61"/>
        </w:rPr>
      </w:r>
      <w:r>
        <w:rPr>
          <w:rFonts w:ascii="宋体" w:hAnsi="宋体" w:cs="宋体" w:eastAsia="宋体" w:hint="default"/>
        </w:rPr>
        <w:t>215,028,000</w:t>
      </w:r>
      <w:r>
        <w:rPr/>
        <w:t>股增至</w:t>
      </w:r>
      <w:r>
        <w:rPr>
          <w:rFonts w:ascii="宋体" w:hAnsi="宋体" w:cs="宋体" w:eastAsia="宋体" w:hint="default"/>
        </w:rPr>
        <w:t>430,056,000</w:t>
      </w:r>
      <w:r>
        <w:rPr/>
        <w:t>股。公司于</w:t>
      </w:r>
      <w:r>
        <w:rPr>
          <w:rFonts w:ascii="宋体" w:hAnsi="宋体" w:cs="宋体" w:eastAsia="宋体" w:hint="default"/>
        </w:rPr>
        <w:t>2014</w:t>
      </w:r>
      <w:r>
        <w:rPr/>
        <w:t>年</w:t>
      </w:r>
      <w:r>
        <w:rPr>
          <w:rFonts w:ascii="宋体" w:hAnsi="宋体" w:cs="宋体" w:eastAsia="宋体" w:hint="default"/>
        </w:rPr>
        <w:t>5</w:t>
      </w:r>
      <w:r>
        <w:rPr/>
        <w:t>月</w:t>
      </w:r>
      <w:r>
        <w:rPr>
          <w:rFonts w:ascii="宋体" w:hAnsi="宋体" w:cs="宋体" w:eastAsia="宋体" w:hint="default"/>
        </w:rPr>
        <w:t>23</w:t>
      </w:r>
      <w:r>
        <w:rPr/>
        <w:t>日实施了权益分派。</w:t>
      </w:r>
    </w:p>
    <w:p>
      <w:pPr>
        <w:pStyle w:val="BodyText"/>
        <w:spacing w:line="240" w:lineRule="auto" w:before="137"/>
        <w:ind w:right="0"/>
        <w:jc w:val="left"/>
      </w:pPr>
      <w:r>
        <w:rPr/>
        <w:t>公司近三年（包括本报告期）普通股现金分红情况表</w:t>
      </w:r>
    </w:p>
    <w:p>
      <w:pPr>
        <w:pStyle w:val="BodyText"/>
        <w:spacing w:line="240" w:lineRule="auto" w:before="117"/>
        <w:ind w:left="0" w:right="131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6"/>
        <w:gridCol w:w="1523"/>
        <w:gridCol w:w="1844"/>
        <w:gridCol w:w="1702"/>
        <w:gridCol w:w="1416"/>
        <w:gridCol w:w="1487"/>
      </w:tblGrid>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116"/>
              <w:ind w:right="1"/>
              <w:jc w:val="center"/>
              <w:rPr>
                <w:rFonts w:ascii="宋体" w:hAnsi="宋体" w:cs="宋体" w:eastAsia="宋体" w:hint="default"/>
                <w:sz w:val="18"/>
                <w:szCs w:val="18"/>
              </w:rPr>
            </w:pPr>
            <w:r>
              <w:rPr>
                <w:rFonts w:ascii="宋体" w:hAnsi="宋体" w:cs="宋体" w:eastAsia="宋体" w:hint="default"/>
                <w:sz w:val="18"/>
                <w:szCs w:val="18"/>
              </w:rPr>
              <w:t>（含税）</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5" w:right="106"/>
              <w:jc w:val="center"/>
              <w:rPr>
                <w:rFonts w:ascii="宋体" w:hAnsi="宋体" w:cs="宋体" w:eastAsia="宋体" w:hint="default"/>
                <w:sz w:val="18"/>
                <w:szCs w:val="18"/>
              </w:rPr>
            </w:pPr>
            <w:r>
              <w:rPr>
                <w:rFonts w:ascii="宋体" w:hAnsi="宋体" w:cs="宋体" w:eastAsia="宋体" w:hint="default"/>
                <w:sz w:val="18"/>
                <w:szCs w:val="18"/>
              </w:rPr>
              <w:t>分红年度合并报表中 归属于上市公司普通 股股东的净利润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4" w:right="35"/>
              <w:jc w:val="center"/>
              <w:rPr>
                <w:rFonts w:ascii="宋体" w:hAnsi="宋体" w:cs="宋体" w:eastAsia="宋体" w:hint="default"/>
                <w:sz w:val="18"/>
                <w:szCs w:val="18"/>
              </w:rPr>
            </w:pPr>
            <w:r>
              <w:rPr>
                <w:rFonts w:ascii="宋体" w:hAnsi="宋体" w:cs="宋体" w:eastAsia="宋体" w:hint="default"/>
                <w:sz w:val="18"/>
                <w:szCs w:val="18"/>
              </w:rPr>
              <w:t>占合并报表中归属于 上市公司普通股股东 的净利润的比率</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3" w:right="71" w:hanging="180"/>
              <w:jc w:val="left"/>
              <w:rPr>
                <w:rFonts w:ascii="宋体" w:hAnsi="宋体" w:cs="宋体" w:eastAsia="宋体" w:hint="default"/>
                <w:sz w:val="18"/>
                <w:szCs w:val="18"/>
              </w:rPr>
            </w:pPr>
            <w:r>
              <w:rPr>
                <w:rFonts w:ascii="宋体" w:hAnsi="宋体" w:cs="宋体" w:eastAsia="宋体" w:hint="default"/>
                <w:sz w:val="18"/>
                <w:szCs w:val="18"/>
              </w:rPr>
              <w:t>以其他方式现金 分红的金额</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89" w:right="107" w:hanging="180"/>
              <w:jc w:val="left"/>
              <w:rPr>
                <w:rFonts w:ascii="宋体" w:hAnsi="宋体" w:cs="宋体" w:eastAsia="宋体" w:hint="default"/>
                <w:sz w:val="18"/>
                <w:szCs w:val="18"/>
              </w:rPr>
            </w:pPr>
            <w:r>
              <w:rPr>
                <w:rFonts w:ascii="宋体" w:hAnsi="宋体" w:cs="宋体" w:eastAsia="宋体" w:hint="default"/>
                <w:sz w:val="18"/>
                <w:szCs w:val="18"/>
              </w:rPr>
              <w:t>以其他方式现金 分红的比例</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21,502,800.00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6,994,961.07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307.40%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0"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21,502,800.00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58,620,962.31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36.68%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0"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21,502,800.00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86,161,049.57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24.96%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bl>
    <w:p>
      <w:pPr>
        <w:spacing w:line="240" w:lineRule="auto" w:before="9"/>
        <w:rPr>
          <w:rFonts w:ascii="宋体" w:hAnsi="宋体" w:cs="宋体" w:eastAsia="宋体" w:hint="default"/>
          <w:sz w:val="6"/>
          <w:szCs w:val="6"/>
        </w:rPr>
      </w:pPr>
    </w:p>
    <w:p>
      <w:pPr>
        <w:pStyle w:val="BodyText"/>
        <w:spacing w:line="240" w:lineRule="auto" w:before="44"/>
        <w:ind w:left="1134" w:right="0"/>
        <w:jc w:val="left"/>
      </w:pPr>
      <w:r>
        <w:rPr/>
        <w:t>公司报告期内盈利且母公司可供普通股股东分配利润为正但未提出普通股现金红利分配预案</w:t>
      </w:r>
    </w:p>
    <w:p>
      <w:pPr>
        <w:pStyle w:val="BodyText"/>
        <w:spacing w:line="240" w:lineRule="auto" w:before="117"/>
        <w:ind w:right="0"/>
        <w:jc w:val="left"/>
      </w:pPr>
      <w:r>
        <w:rPr/>
        <w:t>□ 适用 √ 不适用</w:t>
      </w:r>
    </w:p>
    <w:p>
      <w:pPr>
        <w:spacing w:after="0" w:line="240" w:lineRule="auto"/>
        <w:jc w:val="left"/>
        <w:sectPr>
          <w:pgSz w:w="11910" w:h="16840"/>
          <w:pgMar w:header="0" w:footer="1187" w:top="1100" w:bottom="1380" w:left="0" w:right="0"/>
        </w:sectPr>
      </w:pPr>
    </w:p>
    <w:p>
      <w:pPr>
        <w:pStyle w:val="Heading2"/>
        <w:spacing w:line="240" w:lineRule="auto" w:before="40"/>
        <w:ind w:left="140" w:right="0"/>
        <w:jc w:val="left"/>
        <w:rPr>
          <w:b w:val="0"/>
          <w:bCs w:val="0"/>
        </w:rPr>
      </w:pPr>
      <w:r>
        <w:rPr/>
        <w:pict>
          <v:group style="position:absolute;margin-left:70.5pt;margin-top:2.755627pt;width:701pt;height:.1pt;mso-position-horizontal-relative:page;mso-position-vertical-relative:paragraph;z-index:-778696" coordorigin="1410,55" coordsize="14020,2">
            <v:shape style="position:absolute;left:1410;top:55;width:14020;height:2" coordorigin="1410,55" coordsize="14020,0" path="m1410,55l15430,55e" filled="false" stroked="true" strokeweight=".72pt" strokecolor="#000000">
              <v:path arrowok="t"/>
            </v:shape>
            <w10:wrap type="none"/>
          </v:group>
        </w:pict>
      </w:r>
      <w:bookmarkStart w:name="二、承诺事项履行情况" w:id="63"/>
      <w:bookmarkEnd w:id="63"/>
      <w:r>
        <w:rPr>
          <w:b w:val="0"/>
          <w:bCs w:val="0"/>
        </w:rPr>
      </w: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40" w:right="0"/>
        <w:jc w:val="left"/>
        <w:rPr>
          <w:b w:val="0"/>
          <w:bCs w:val="0"/>
        </w:rPr>
      </w:pPr>
      <w:bookmarkStart w:name="1、公司、股东、实际控制人、收购人、董事、监事、高级管理人员或其他关联方在报告期" w:id="64"/>
      <w:bookmarkEnd w:id="64"/>
      <w:r>
        <w:rPr>
          <w:b w:val="0"/>
          <w:bCs w:val="0"/>
        </w:rPr>
      </w:r>
      <w:r>
        <w:rPr>
          <w:rFonts w:ascii="宋体" w:hAnsi="宋体" w:cs="宋体" w:eastAsia="宋体" w:hint="default"/>
        </w:rPr>
        <w:t>1</w:t>
      </w:r>
      <w:r>
        <w:rPr/>
        <w:t>、公司、股东、实际控制人、收购人、董事、监事、高级管理人员或其他关联方在报告期内履行完毕及截至报告期末尚未履行完毕的承诺事项</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140" w:right="0"/>
        <w:jc w:val="left"/>
      </w:pPr>
      <w:r>
        <w:rPr/>
        <w:pict>
          <v:shape style="position:absolute;margin-left:401.480011pt;margin-top:93.431709pt;width:247.7pt;height:120.05pt;mso-position-horizontal-relative:page;mso-position-vertical-relative:paragraph;z-index:-77872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4"/>
                      <w:szCs w:val="24"/>
                    </w:rPr>
                  </w:pPr>
                </w:p>
                <w:p>
                  <w:pPr>
                    <w:pStyle w:val="BodyText"/>
                    <w:spacing w:line="240" w:lineRule="auto"/>
                    <w:ind w:left="0" w:right="0"/>
                    <w:jc w:val="left"/>
                  </w:pPr>
                  <w:r>
                    <w:rPr/>
                    <w:t>不进行有损天喻信息及其中小股东利益的关联交易。</w:t>
                  </w:r>
                </w:p>
              </w:txbxContent>
            </v:textbox>
            <w10:wrap type="none"/>
          </v:shape>
        </w:pict>
      </w:r>
      <w:r>
        <w:rPr/>
        <w:t>√ 适用 □ 不适用</w:t>
      </w:r>
    </w:p>
    <w:p>
      <w:pPr>
        <w:spacing w:line="240" w:lineRule="auto" w:before="13"/>
        <w:rPr>
          <w:rFonts w:ascii="宋体" w:hAnsi="宋体" w:cs="宋体" w:eastAsia="宋体" w:hint="default"/>
          <w:sz w:val="7"/>
          <w:szCs w:val="7"/>
        </w:rPr>
      </w:pPr>
    </w:p>
    <w:tbl>
      <w:tblPr>
        <w:tblW w:w="0" w:type="auto"/>
        <w:jc w:val="left"/>
        <w:tblInd w:w="135" w:type="dxa"/>
        <w:tblLayout w:type="fixed"/>
        <w:tblCellMar>
          <w:top w:w="0" w:type="dxa"/>
          <w:left w:w="0" w:type="dxa"/>
          <w:bottom w:w="0" w:type="dxa"/>
          <w:right w:w="0" w:type="dxa"/>
        </w:tblCellMar>
        <w:tblLook w:val="01E0"/>
      </w:tblPr>
      <w:tblGrid>
        <w:gridCol w:w="1844"/>
        <w:gridCol w:w="2510"/>
        <w:gridCol w:w="1033"/>
        <w:gridCol w:w="5280"/>
        <w:gridCol w:w="881"/>
        <w:gridCol w:w="1353"/>
        <w:gridCol w:w="1134"/>
      </w:tblGrid>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55"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52"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5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6"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12"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9"/>
              <w:jc w:val="left"/>
              <w:rPr>
                <w:rFonts w:ascii="宋体" w:hAnsi="宋体" w:cs="宋体" w:eastAsia="宋体" w:hint="default"/>
                <w:sz w:val="18"/>
                <w:szCs w:val="18"/>
              </w:rPr>
            </w:pPr>
            <w:r>
              <w:rPr>
                <w:rFonts w:ascii="宋体" w:hAnsi="宋体" w:cs="宋体" w:eastAsia="宋体" w:hint="default"/>
                <w:sz w:val="18"/>
                <w:szCs w:val="18"/>
              </w:rPr>
              <w:t>收购报告书或权益变 动报告书中所作承诺</w:t>
            </w:r>
          </w:p>
        </w:tc>
        <w:tc>
          <w:tcPr>
            <w:tcW w:w="2510" w:type="dxa"/>
            <w:tcBorders>
              <w:top w:val="single" w:sz="4" w:space="0" w:color="000000"/>
              <w:left w:val="single" w:sz="4" w:space="0" w:color="000000"/>
              <w:bottom w:val="single" w:sz="4" w:space="0" w:color="000000"/>
              <w:right w:val="single" w:sz="4" w:space="0" w:color="000000"/>
            </w:tcBorders>
          </w:tcPr>
          <w:p>
            <w:pPr/>
          </w:p>
        </w:tc>
        <w:tc>
          <w:tcPr>
            <w:tcW w:w="1033" w:type="dxa"/>
            <w:tcBorders>
              <w:top w:val="single" w:sz="4" w:space="0" w:color="000000"/>
              <w:left w:val="single" w:sz="4" w:space="0" w:color="000000"/>
              <w:bottom w:val="single" w:sz="4" w:space="0" w:color="000000"/>
              <w:right w:val="single" w:sz="4" w:space="0" w:color="000000"/>
            </w:tcBorders>
          </w:tcPr>
          <w:p>
            <w:pPr/>
          </w:p>
        </w:tc>
        <w:tc>
          <w:tcPr>
            <w:tcW w:w="5280"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35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2510" w:type="dxa"/>
            <w:tcBorders>
              <w:top w:val="single" w:sz="4" w:space="0" w:color="000000"/>
              <w:left w:val="single" w:sz="4" w:space="0" w:color="000000"/>
              <w:bottom w:val="single" w:sz="4" w:space="0" w:color="000000"/>
              <w:right w:val="single" w:sz="4" w:space="0" w:color="000000"/>
            </w:tcBorders>
          </w:tcPr>
          <w:p>
            <w:pPr/>
          </w:p>
        </w:tc>
        <w:tc>
          <w:tcPr>
            <w:tcW w:w="1033" w:type="dxa"/>
            <w:tcBorders>
              <w:top w:val="single" w:sz="4" w:space="0" w:color="000000"/>
              <w:left w:val="single" w:sz="4" w:space="0" w:color="000000"/>
              <w:bottom w:val="single" w:sz="4" w:space="0" w:color="000000"/>
              <w:right w:val="single" w:sz="4" w:space="0" w:color="000000"/>
            </w:tcBorders>
          </w:tcPr>
          <w:p>
            <w:pPr/>
          </w:p>
        </w:tc>
        <w:tc>
          <w:tcPr>
            <w:tcW w:w="5280"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35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5515" w:hRule="exact"/>
        </w:trPr>
        <w:tc>
          <w:tcPr>
            <w:tcW w:w="18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319" w:lineRule="auto"/>
              <w:ind w:left="22" w:right="189"/>
              <w:jc w:val="left"/>
              <w:rPr>
                <w:rFonts w:ascii="宋体" w:hAnsi="宋体" w:cs="宋体" w:eastAsia="宋体" w:hint="default"/>
                <w:sz w:val="18"/>
                <w:szCs w:val="18"/>
              </w:rPr>
            </w:pPr>
            <w:r>
              <w:rPr>
                <w:rFonts w:ascii="宋体" w:hAnsi="宋体" w:cs="宋体" w:eastAsia="宋体" w:hint="default"/>
                <w:sz w:val="18"/>
                <w:szCs w:val="18"/>
              </w:rPr>
              <w:t>首次公开发行或再融 资时所作承诺</w:t>
            </w:r>
          </w:p>
        </w:tc>
        <w:tc>
          <w:tcPr>
            <w:tcW w:w="2510"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316" w:lineRule="auto"/>
              <w:ind w:left="22" w:right="99"/>
              <w:jc w:val="left"/>
              <w:rPr>
                <w:rFonts w:ascii="宋体" w:hAnsi="宋体" w:cs="宋体" w:eastAsia="宋体" w:hint="default"/>
                <w:sz w:val="18"/>
                <w:szCs w:val="18"/>
              </w:rPr>
            </w:pPr>
            <w:r>
              <w:rPr>
                <w:rFonts w:ascii="宋体" w:hAnsi="宋体" w:cs="宋体" w:eastAsia="宋体" w:hint="default"/>
                <w:spacing w:val="-12"/>
                <w:sz w:val="18"/>
                <w:szCs w:val="18"/>
              </w:rPr>
              <w:t>华工创投、光谷基金、产业集团</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和瑞投资</w:t>
            </w:r>
          </w:p>
        </w:tc>
        <w:tc>
          <w:tcPr>
            <w:tcW w:w="1033"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310" w:lineRule="atLeast"/>
              <w:ind w:left="12" w:right="97"/>
              <w:jc w:val="left"/>
              <w:rPr>
                <w:rFonts w:ascii="宋体" w:hAnsi="宋体" w:cs="宋体" w:eastAsia="宋体" w:hint="default"/>
                <w:sz w:val="18"/>
                <w:szCs w:val="18"/>
              </w:rPr>
            </w:pPr>
            <w:r>
              <w:rPr>
                <w:rFonts w:ascii="宋体" w:hAnsi="宋体" w:cs="宋体" w:eastAsia="宋体" w:hint="default"/>
                <w:sz w:val="18"/>
                <w:szCs w:val="18"/>
              </w:rPr>
              <w:t>关于同业竞 争、关联交</w:t>
            </w:r>
          </w:p>
          <w:p>
            <w:pPr>
              <w:pStyle w:val="TableParagraph"/>
              <w:spacing w:line="117" w:lineRule="exact"/>
              <w:ind w:left="-13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5" w:lineRule="exact"/>
              <w:ind w:left="12" w:right="0"/>
              <w:jc w:val="left"/>
              <w:rPr>
                <w:rFonts w:ascii="宋体" w:hAnsi="宋体" w:cs="宋体" w:eastAsia="宋体" w:hint="default"/>
                <w:sz w:val="18"/>
                <w:szCs w:val="18"/>
              </w:rPr>
            </w:pPr>
            <w:r>
              <w:rPr>
                <w:rFonts w:ascii="宋体" w:hAnsi="宋体" w:cs="宋体" w:eastAsia="宋体" w:hint="default"/>
                <w:sz w:val="18"/>
                <w:szCs w:val="18"/>
              </w:rPr>
              <w:t>易、资金占</w:t>
            </w:r>
          </w:p>
          <w:p>
            <w:pPr>
              <w:pStyle w:val="TableParagraph"/>
              <w:spacing w:line="319" w:lineRule="auto" w:before="76"/>
              <w:ind w:left="12" w:right="97"/>
              <w:jc w:val="left"/>
              <w:rPr>
                <w:rFonts w:ascii="宋体" w:hAnsi="宋体" w:cs="宋体" w:eastAsia="宋体" w:hint="default"/>
                <w:sz w:val="18"/>
                <w:szCs w:val="18"/>
              </w:rPr>
            </w:pPr>
            <w:r>
              <w:rPr>
                <w:rFonts w:ascii="宋体" w:hAnsi="宋体" w:cs="宋体" w:eastAsia="宋体" w:hint="default"/>
                <w:sz w:val="18"/>
                <w:szCs w:val="18"/>
              </w:rPr>
              <w:t>用方面的承 诺</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624" w:lineRule="exact"/>
              <w:ind w:left="12" w:right="-28"/>
              <w:jc w:val="left"/>
              <w:rPr>
                <w:rFonts w:ascii="宋体" w:hAnsi="宋体" w:cs="宋体" w:eastAsia="宋体" w:hint="default"/>
                <w:sz w:val="20"/>
                <w:szCs w:val="20"/>
              </w:rPr>
            </w:pPr>
            <w:r>
              <w:rPr>
                <w:rFonts w:ascii="宋体" w:hAnsi="宋体" w:cs="宋体" w:eastAsia="宋体" w:hint="default"/>
                <w:position w:val="-11"/>
                <w:sz w:val="20"/>
                <w:szCs w:val="20"/>
              </w:rPr>
              <w:pict>
                <v:group style="width:48.85pt;height:31.2pt;mso-position-horizontal-relative:char;mso-position-vertical-relative:line" coordorigin="0,0" coordsize="977,624">
                  <v:group style="position:absolute;left:0;top:0;width:977;height:312" coordorigin="0,0" coordsize="977,312">
                    <v:shape style="position:absolute;left:0;top:0;width:977;height:312" coordorigin="0,0" coordsize="977,312" path="m0,312l977,312,977,0,0,0,0,312xe" filled="true" fillcolor="#ffffff" stroked="false">
                      <v:path arrowok="t"/>
                      <v:fill type="solid"/>
                    </v:shape>
                  </v:group>
                  <v:group style="position:absolute;left:0;top:312;width:977;height:312" coordorigin="0,312" coordsize="977,312">
                    <v:shape style="position:absolute;left:0;top:312;width:977;height:312" coordorigin="0,312" coordsize="977,312" path="m0,624l977,624,977,312,0,312,0,624xe" filled="true" fillcolor="#ffffff" stroked="false">
                      <v:path arrowok="t"/>
                      <v:fill type="solid"/>
                    </v:shape>
                  </v:group>
                </v:group>
              </w:pict>
            </w:r>
            <w:r>
              <w:rPr>
                <w:rFonts w:ascii="宋体" w:hAnsi="宋体" w:cs="宋体" w:eastAsia="宋体" w:hint="default"/>
                <w:position w:val="-11"/>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tc>
        <w:tc>
          <w:tcPr>
            <w:tcW w:w="5280"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2"/>
              <w:ind w:left="23" w:right="24"/>
              <w:jc w:val="left"/>
              <w:rPr>
                <w:rFonts w:ascii="宋体" w:hAnsi="宋体" w:cs="宋体" w:eastAsia="宋体" w:hint="default"/>
                <w:sz w:val="18"/>
                <w:szCs w:val="18"/>
              </w:rPr>
            </w:pPr>
            <w:r>
              <w:rPr>
                <w:rFonts w:ascii="宋体" w:hAnsi="宋体" w:cs="宋体" w:eastAsia="宋体" w:hint="default"/>
                <w:sz w:val="18"/>
                <w:szCs w:val="18"/>
              </w:rPr>
              <w:t>关于规范关联交易的承诺 承诺将按照法律、法规及公司章程依法行使股东权利，不利用关联 股东身份影响天喻信息的独立性，保持天喻信息在资产、人员、财</w:t>
            </w:r>
          </w:p>
          <w:p>
            <w:pPr>
              <w:pStyle w:val="TableParagraph"/>
              <w:spacing w:line="319" w:lineRule="auto" w:before="2"/>
              <w:ind w:left="23" w:right="24"/>
              <w:jc w:val="both"/>
              <w:rPr>
                <w:rFonts w:ascii="宋体" w:hAnsi="宋体" w:cs="宋体" w:eastAsia="宋体" w:hint="default"/>
                <w:sz w:val="18"/>
                <w:szCs w:val="18"/>
              </w:rPr>
            </w:pPr>
            <w:r>
              <w:rPr>
                <w:rFonts w:ascii="宋体" w:hAnsi="宋体" w:cs="宋体" w:eastAsia="宋体" w:hint="default"/>
                <w:sz w:val="18"/>
                <w:szCs w:val="18"/>
              </w:rPr>
              <w:t>务、业务和机构等方面的独立性；承诺与天喻信息进行关联交易时 将按公平、公开的市场原则进行，并履行法律、法规、规范性文件 和公司章程规定的程序；承诺不通过与天喻信息之间的关联交易谋 求特殊的利益，</w:t>
            </w:r>
          </w:p>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关于避免同业竞争的承诺</w:t>
            </w:r>
          </w:p>
          <w:p>
            <w:pPr>
              <w:pStyle w:val="TableParagraph"/>
              <w:spacing w:line="319" w:lineRule="auto" w:before="115"/>
              <w:ind w:left="23" w:right="21"/>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1</w:t>
            </w:r>
            <w:r>
              <w:rPr>
                <w:rFonts w:ascii="宋体" w:hAnsi="宋体" w:cs="宋体" w:eastAsia="宋体" w:hint="default"/>
                <w:spacing w:val="-3"/>
                <w:sz w:val="18"/>
                <w:szCs w:val="18"/>
              </w:rPr>
              <w:t>）承诺人及其全资、控股子企业目前不拥有及经营任何在商业上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与天喻信息正在经营的业务有直接竞争的业务。（</w:t>
            </w:r>
            <w:r>
              <w:rPr>
                <w:rFonts w:ascii="宋体" w:hAnsi="宋体" w:cs="宋体" w:eastAsia="宋体" w:hint="default"/>
                <w:spacing w:val="-3"/>
                <w:sz w:val="18"/>
                <w:szCs w:val="18"/>
              </w:rPr>
              <w:t>2</w:t>
            </w:r>
            <w:r>
              <w:rPr>
                <w:rFonts w:ascii="宋体" w:hAnsi="宋体" w:cs="宋体" w:eastAsia="宋体" w:hint="default"/>
                <w:spacing w:val="-3"/>
                <w:sz w:val="18"/>
                <w:szCs w:val="18"/>
              </w:rPr>
              <w:t>）承诺人本身、</w:t>
            </w:r>
            <w:r>
              <w:rPr>
                <w:rFonts w:ascii="宋体" w:hAnsi="宋体" w:cs="宋体" w:eastAsia="宋体" w:hint="default"/>
                <w:sz w:val="18"/>
                <w:szCs w:val="18"/>
              </w:rPr>
              <w:t> 并且承诺人必将通过法律程序使承诺人之全资、控股子企业将来均 不从事任何在商业上与天喻信息正在经营的业务有直接竞争的业 </w:t>
            </w:r>
            <w:r>
              <w:rPr>
                <w:rFonts w:ascii="宋体" w:hAnsi="宋体" w:cs="宋体" w:eastAsia="宋体" w:hint="default"/>
                <w:spacing w:val="-3"/>
                <w:sz w:val="18"/>
                <w:szCs w:val="18"/>
              </w:rPr>
              <w:t>务。（</w:t>
            </w:r>
            <w:r>
              <w:rPr>
                <w:rFonts w:ascii="宋体" w:hAnsi="宋体" w:cs="宋体" w:eastAsia="宋体" w:hint="default"/>
                <w:spacing w:val="-3"/>
                <w:sz w:val="18"/>
                <w:szCs w:val="18"/>
              </w:rPr>
              <w:t>3</w:t>
            </w:r>
            <w:r>
              <w:rPr>
                <w:rFonts w:ascii="宋体" w:hAnsi="宋体" w:cs="宋体" w:eastAsia="宋体" w:hint="default"/>
                <w:spacing w:val="-3"/>
                <w:sz w:val="18"/>
                <w:szCs w:val="18"/>
              </w:rPr>
              <w:t>）如承诺人（包括受承诺人控制的子企业或其他关联企业）</w:t>
            </w:r>
            <w:r>
              <w:rPr>
                <w:rFonts w:ascii="宋体" w:hAnsi="宋体" w:cs="宋体" w:eastAsia="宋体" w:hint="default"/>
                <w:sz w:val="18"/>
                <w:szCs w:val="18"/>
              </w:rPr>
              <w:t> 将来经营的产品或服务与天喻信息的主营产品或服务有可能形成竞 争，承诺人同意天喻信息有权优先收购承诺人与该等产品或服务有 </w:t>
            </w:r>
            <w:r>
              <w:rPr>
                <w:rFonts w:ascii="宋体" w:hAnsi="宋体" w:cs="宋体" w:eastAsia="宋体" w:hint="default"/>
                <w:spacing w:val="-3"/>
                <w:sz w:val="18"/>
                <w:szCs w:val="18"/>
              </w:rPr>
              <w:t>关的资产或承诺人在子企业中的全部股权。（</w:t>
            </w:r>
            <w:r>
              <w:rPr>
                <w:rFonts w:ascii="宋体" w:hAnsi="宋体" w:cs="宋体" w:eastAsia="宋体" w:hint="default"/>
                <w:spacing w:val="-3"/>
                <w:sz w:val="18"/>
                <w:szCs w:val="18"/>
              </w:rPr>
              <w:t>4</w:t>
            </w:r>
            <w:r>
              <w:rPr>
                <w:rFonts w:ascii="宋体" w:hAnsi="宋体" w:cs="宋体" w:eastAsia="宋体" w:hint="default"/>
                <w:spacing w:val="-3"/>
                <w:sz w:val="18"/>
                <w:szCs w:val="18"/>
              </w:rPr>
              <w:t>）如因承诺人未履行</w:t>
            </w:r>
            <w:r>
              <w:rPr>
                <w:rFonts w:ascii="宋体" w:hAnsi="宋体" w:cs="宋体" w:eastAsia="宋体" w:hint="default"/>
                <w:sz w:val="18"/>
                <w:szCs w:val="18"/>
              </w:rPr>
              <w:t> 承诺给天喻信息造成损失的，承诺人将赔偿天喻信息的实际损失。</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0" w:lineRule="exact"/>
              <w:ind w:right="-51"/>
              <w:jc w:val="left"/>
              <w:rPr>
                <w:rFonts w:ascii="宋体" w:hAnsi="宋体" w:cs="宋体" w:eastAsia="宋体" w:hint="default"/>
                <w:sz w:val="20"/>
                <w:szCs w:val="20"/>
              </w:rPr>
            </w:pPr>
            <w:r>
              <w:rPr>
                <w:rFonts w:ascii="宋体" w:hAnsi="宋体" w:cs="宋体" w:eastAsia="宋体" w:hint="default"/>
                <w:position w:val="-47"/>
                <w:sz w:val="20"/>
                <w:szCs w:val="20"/>
              </w:rPr>
              <w:pict>
                <v:group style="width:43.6pt;height:120.05pt;mso-position-horizontal-relative:char;mso-position-vertical-relative:line" coordorigin="0,0" coordsize="872,2401">
                  <v:group style="position:absolute;left:0;top:0;width:872;height:2401" coordorigin="0,0" coordsize="872,2401">
                    <v:shape style="position:absolute;left:0;top:0;width:872;height:2401" coordorigin="0,0" coordsize="872,2401" path="m0,2400l871,2400,871,0,0,0,0,2400xe" filled="true" fillcolor="#ffffff" stroked="false">
                      <v:path arrowok="t"/>
                      <v:fill type="solid"/>
                    </v:shape>
                  </v:group>
                </v:group>
              </w:pict>
            </w:r>
            <w:r>
              <w:rPr>
                <w:rFonts w:ascii="宋体" w:hAnsi="宋体" w:cs="宋体" w:eastAsia="宋体" w:hint="default"/>
                <w:position w:val="-47"/>
                <w:sz w:val="20"/>
                <w:szCs w:val="20"/>
              </w:rPr>
            </w:r>
          </w:p>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tc>
        <w:tc>
          <w:tcPr>
            <w:tcW w:w="135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715" w:hRule="exact"/>
        </w:trPr>
        <w:tc>
          <w:tcPr>
            <w:tcW w:w="1844" w:type="dxa"/>
            <w:vMerge/>
            <w:tcBorders>
              <w:left w:val="single" w:sz="4" w:space="0" w:color="000000"/>
              <w:bottom w:val="single" w:sz="4" w:space="0" w:color="000000"/>
              <w:right w:val="single" w:sz="4" w:space="0" w:color="000000"/>
            </w:tcBorders>
          </w:tcPr>
          <w:p>
            <w:pPr/>
          </w:p>
        </w:tc>
        <w:tc>
          <w:tcPr>
            <w:tcW w:w="2510"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71"/>
              <w:ind w:left="22" w:right="-55"/>
              <w:jc w:val="left"/>
              <w:rPr>
                <w:rFonts w:ascii="宋体" w:hAnsi="宋体" w:cs="宋体" w:eastAsia="宋体" w:hint="default"/>
                <w:sz w:val="18"/>
                <w:szCs w:val="18"/>
              </w:rPr>
            </w:pPr>
            <w:r>
              <w:rPr>
                <w:rFonts w:ascii="宋体" w:hAnsi="宋体" w:cs="宋体" w:eastAsia="宋体" w:hint="default"/>
                <w:spacing w:val="-5"/>
                <w:sz w:val="18"/>
                <w:szCs w:val="18"/>
              </w:rPr>
              <w:t>武汉华创欣网科技有限公司、武</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汉开目信息技术有限责任公司、</w:t>
            </w:r>
          </w:p>
        </w:tc>
        <w:tc>
          <w:tcPr>
            <w:tcW w:w="1033" w:type="dxa"/>
            <w:tcBorders>
              <w:top w:val="single" w:sz="4" w:space="0" w:color="000000"/>
              <w:left w:val="single" w:sz="13" w:space="0" w:color="FFFFFF"/>
              <w:bottom w:val="single" w:sz="4" w:space="0" w:color="000000"/>
              <w:right w:val="single" w:sz="4" w:space="0" w:color="000000"/>
            </w:tcBorders>
          </w:tcPr>
          <w:p>
            <w:pPr>
              <w:pStyle w:val="TableParagraph"/>
              <w:spacing w:line="316" w:lineRule="auto" w:before="71"/>
              <w:ind w:left="12" w:right="97"/>
              <w:jc w:val="left"/>
              <w:rPr>
                <w:rFonts w:ascii="宋体" w:hAnsi="宋体" w:cs="宋体" w:eastAsia="宋体" w:hint="default"/>
                <w:sz w:val="18"/>
                <w:szCs w:val="18"/>
              </w:rPr>
            </w:pPr>
            <w:r>
              <w:rPr>
                <w:rFonts w:ascii="宋体" w:hAnsi="宋体" w:cs="宋体" w:eastAsia="宋体" w:hint="default"/>
                <w:sz w:val="18"/>
                <w:szCs w:val="18"/>
              </w:rPr>
              <w:t>关于同业竞 争、关联交</w:t>
            </w:r>
          </w:p>
        </w:tc>
        <w:tc>
          <w:tcPr>
            <w:tcW w:w="5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关于避免同业竞争的承诺</w:t>
            </w: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pacing w:val="-87"/>
                <w:sz w:val="18"/>
                <w:szCs w:val="18"/>
              </w:rPr>
              <w:t>）</w:t>
            </w:r>
            <w:r>
              <w:rPr>
                <w:rFonts w:ascii="宋体" w:hAnsi="宋体" w:cs="宋体" w:eastAsia="宋体" w:hint="default"/>
                <w:sz w:val="18"/>
                <w:szCs w:val="18"/>
              </w:rPr>
              <w:t>我公司目前不从事与天喻信息业务竞争或可能构成竞争的业务</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5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center"/>
        <w:rPr>
          <w:rFonts w:ascii="宋体" w:hAnsi="宋体" w:cs="宋体" w:eastAsia="宋体" w:hint="default"/>
          <w:sz w:val="18"/>
          <w:szCs w:val="18"/>
        </w:rPr>
        <w:sectPr>
          <w:headerReference w:type="default" r:id="rId25"/>
          <w:footerReference w:type="default" r:id="rId26"/>
          <w:pgSz w:w="16840" w:h="11910" w:orient="landscape"/>
          <w:pgMar w:header="857" w:footer="1187" w:top="1040" w:bottom="1420" w:left="1300" w:right="0"/>
          <w:pgNumType w:start="31"/>
        </w:sectPr>
      </w:pPr>
    </w:p>
    <w:p>
      <w:pPr>
        <w:spacing w:line="240" w:lineRule="auto" w:before="2"/>
        <w:rPr>
          <w:rFonts w:ascii="Times New Roman" w:hAnsi="Times New Roman" w:cs="Times New Roman" w:eastAsia="Times New Roman"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1844"/>
        <w:gridCol w:w="2510"/>
        <w:gridCol w:w="1033"/>
        <w:gridCol w:w="5280"/>
        <w:gridCol w:w="881"/>
        <w:gridCol w:w="1353"/>
        <w:gridCol w:w="1136"/>
      </w:tblGrid>
      <w:tr>
        <w:trPr>
          <w:trHeight w:val="1937" w:hRule="exact"/>
        </w:trPr>
        <w:tc>
          <w:tcPr>
            <w:tcW w:w="1844" w:type="dxa"/>
            <w:vMerge w:val="restart"/>
            <w:tcBorders>
              <w:top w:val="single" w:sz="15" w:space="0" w:color="000000"/>
              <w:left w:val="single" w:sz="4" w:space="0" w:color="000000"/>
              <w:right w:val="single" w:sz="4" w:space="0" w:color="000000"/>
            </w:tcBorders>
          </w:tcPr>
          <w:p>
            <w:pPr/>
          </w:p>
        </w:tc>
        <w:tc>
          <w:tcPr>
            <w:tcW w:w="2510"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武汉集成电路设计工程技术有 </w:t>
            </w:r>
            <w:r>
              <w:rPr>
                <w:rFonts w:ascii="宋体" w:hAnsi="宋体" w:cs="宋体" w:eastAsia="宋体" w:hint="default"/>
                <w:spacing w:val="-5"/>
                <w:sz w:val="18"/>
                <w:szCs w:val="18"/>
              </w:rPr>
              <w:t>限公司、武汉华工大创能科技有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限责任公司、武汉鸿象信息技术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有限公司、深圳市华科兆恒科技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有限公司（公司控股股东、实际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控制人控制的六家企业）</w:t>
            </w:r>
          </w:p>
        </w:tc>
        <w:tc>
          <w:tcPr>
            <w:tcW w:w="1033"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10"/>
              <w:ind w:left="23" w:right="97"/>
              <w:jc w:val="both"/>
              <w:rPr>
                <w:rFonts w:ascii="宋体" w:hAnsi="宋体" w:cs="宋体" w:eastAsia="宋体" w:hint="default"/>
                <w:sz w:val="18"/>
                <w:szCs w:val="18"/>
              </w:rPr>
            </w:pPr>
            <w:r>
              <w:rPr>
                <w:rFonts w:ascii="宋体" w:hAnsi="宋体" w:cs="宋体" w:eastAsia="宋体" w:hint="default"/>
                <w:sz w:val="18"/>
                <w:szCs w:val="18"/>
              </w:rPr>
              <w:t>易、资金占 用方面的承 诺</w:t>
            </w:r>
          </w:p>
        </w:tc>
        <w:tc>
          <w:tcPr>
            <w:tcW w:w="5280"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10"/>
              <w:ind w:left="23" w:right="24"/>
              <w:jc w:val="left"/>
              <w:rPr>
                <w:rFonts w:ascii="宋体" w:hAnsi="宋体" w:cs="宋体" w:eastAsia="宋体" w:hint="default"/>
                <w:sz w:val="18"/>
                <w:szCs w:val="18"/>
              </w:rPr>
            </w:pPr>
            <w:r>
              <w:rPr>
                <w:rFonts w:ascii="宋体" w:hAnsi="宋体" w:cs="宋体" w:eastAsia="宋体" w:hint="default"/>
                <w:spacing w:val="-3"/>
                <w:sz w:val="18"/>
                <w:szCs w:val="18"/>
              </w:rPr>
              <w:t>或其它经济活动。（</w:t>
            </w:r>
            <w:r>
              <w:rPr>
                <w:rFonts w:ascii="宋体" w:hAnsi="宋体" w:cs="宋体" w:eastAsia="宋体" w:hint="default"/>
                <w:spacing w:val="-3"/>
                <w:sz w:val="18"/>
                <w:szCs w:val="18"/>
              </w:rPr>
              <w:t>2</w:t>
            </w:r>
            <w:r>
              <w:rPr>
                <w:rFonts w:ascii="宋体" w:hAnsi="宋体" w:cs="宋体" w:eastAsia="宋体" w:hint="default"/>
                <w:spacing w:val="-3"/>
                <w:sz w:val="18"/>
                <w:szCs w:val="18"/>
              </w:rPr>
              <w:t>）我公司承诺以后也不会从事与天喻信息业务</w:t>
            </w:r>
            <w:r>
              <w:rPr>
                <w:rFonts w:ascii="宋体" w:hAnsi="宋体" w:cs="宋体" w:eastAsia="宋体" w:hint="default"/>
                <w:sz w:val="18"/>
                <w:szCs w:val="18"/>
              </w:rPr>
              <w:t> 有竞争或可能构成竞争的业务或其它经济活动。</w:t>
            </w:r>
          </w:p>
        </w:tc>
        <w:tc>
          <w:tcPr>
            <w:tcW w:w="881" w:type="dxa"/>
            <w:tcBorders>
              <w:top w:val="single" w:sz="15" w:space="0" w:color="000000"/>
              <w:left w:val="single" w:sz="4" w:space="0" w:color="000000"/>
              <w:bottom w:val="single" w:sz="4" w:space="0" w:color="000000"/>
              <w:right w:val="single" w:sz="4" w:space="0" w:color="000000"/>
            </w:tcBorders>
          </w:tcPr>
          <w:p>
            <w:pPr/>
          </w:p>
        </w:tc>
        <w:tc>
          <w:tcPr>
            <w:tcW w:w="1353" w:type="dxa"/>
            <w:tcBorders>
              <w:top w:val="single" w:sz="15" w:space="0" w:color="000000"/>
              <w:left w:val="single" w:sz="4" w:space="0" w:color="000000"/>
              <w:bottom w:val="single" w:sz="4" w:space="0" w:color="000000"/>
              <w:right w:val="single" w:sz="4" w:space="0" w:color="000000"/>
            </w:tcBorders>
          </w:tcPr>
          <w:p>
            <w:pPr/>
          </w:p>
        </w:tc>
        <w:tc>
          <w:tcPr>
            <w:tcW w:w="1136" w:type="dxa"/>
            <w:tcBorders>
              <w:top w:val="single" w:sz="15" w:space="0" w:color="000000"/>
              <w:left w:val="single" w:sz="4" w:space="0" w:color="000000"/>
              <w:bottom w:val="single" w:sz="4" w:space="0" w:color="000000"/>
              <w:right w:val="single" w:sz="4" w:space="0" w:color="000000"/>
            </w:tcBorders>
          </w:tcPr>
          <w:p>
            <w:pPr/>
          </w:p>
        </w:tc>
      </w:tr>
      <w:tr>
        <w:trPr>
          <w:trHeight w:val="714" w:hRule="exact"/>
        </w:trPr>
        <w:tc>
          <w:tcPr>
            <w:tcW w:w="1844" w:type="dxa"/>
            <w:vMerge/>
            <w:tcBorders>
              <w:left w:val="single" w:sz="4" w:space="0" w:color="000000"/>
              <w:right w:val="single" w:sz="4" w:space="0" w:color="000000"/>
            </w:tcBorders>
          </w:tcPr>
          <w:p>
            <w:pPr/>
          </w:p>
        </w:tc>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华工创投</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保证与公司在人员、资产、财务、机构和业务方面独立。</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5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5203" w:hRule="exact"/>
        </w:trPr>
        <w:tc>
          <w:tcPr>
            <w:tcW w:w="1844" w:type="dxa"/>
            <w:vMerge/>
            <w:tcBorders>
              <w:left w:val="single" w:sz="4" w:space="0" w:color="000000"/>
              <w:right w:val="single" w:sz="4" w:space="0" w:color="000000"/>
            </w:tcBorders>
          </w:tcPr>
          <w:p>
            <w:pPr/>
          </w:p>
        </w:tc>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华中科技大学</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316" w:lineRule="auto"/>
              <w:ind w:left="23" w:right="97"/>
              <w:jc w:val="both"/>
              <w:rPr>
                <w:rFonts w:ascii="宋体" w:hAnsi="宋体" w:cs="宋体" w:eastAsia="宋体" w:hint="default"/>
                <w:sz w:val="18"/>
                <w:szCs w:val="18"/>
              </w:rPr>
            </w:pPr>
            <w:r>
              <w:rPr>
                <w:rFonts w:ascii="宋体" w:hAnsi="宋体" w:cs="宋体" w:eastAsia="宋体" w:hint="default"/>
                <w:sz w:val="18"/>
                <w:szCs w:val="18"/>
              </w:rPr>
              <w:t>关于同业竞 争、关联交 易、资金占 用方面的承 诺</w:t>
            </w:r>
          </w:p>
        </w:tc>
        <w:tc>
          <w:tcPr>
            <w:tcW w:w="5280"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3" w:right="24"/>
              <w:jc w:val="left"/>
              <w:rPr>
                <w:rFonts w:ascii="宋体" w:hAnsi="宋体" w:cs="宋体" w:eastAsia="宋体" w:hint="default"/>
                <w:sz w:val="18"/>
                <w:szCs w:val="18"/>
              </w:rPr>
            </w:pPr>
            <w:r>
              <w:rPr>
                <w:rFonts w:ascii="宋体" w:hAnsi="宋体" w:cs="宋体" w:eastAsia="宋体" w:hint="default"/>
                <w:sz w:val="18"/>
                <w:szCs w:val="18"/>
              </w:rPr>
              <w:t>关于规范关联交易的承诺 承诺在不与法律、法规相抵触的前提下，在权利所及范围内，确保 自身及其全资、控股下属企业在与天喻信息进行关联交易时将按公</w:t>
            </w:r>
          </w:p>
          <w:p>
            <w:pPr>
              <w:pStyle w:val="TableParagraph"/>
              <w:spacing w:line="319" w:lineRule="auto" w:before="3"/>
              <w:ind w:left="23" w:right="24"/>
              <w:jc w:val="both"/>
              <w:rPr>
                <w:rFonts w:ascii="宋体" w:hAnsi="宋体" w:cs="宋体" w:eastAsia="宋体" w:hint="default"/>
                <w:sz w:val="18"/>
                <w:szCs w:val="18"/>
              </w:rPr>
            </w:pPr>
            <w:r>
              <w:rPr>
                <w:rFonts w:ascii="宋体" w:hAnsi="宋体" w:cs="宋体" w:eastAsia="宋体" w:hint="default"/>
                <w:sz w:val="18"/>
                <w:szCs w:val="18"/>
              </w:rPr>
              <w:t>平、公开的市场原则进行，并履行法律、法规、规范性文件和公司 章程规定的程序；承诺并确保自身全资、控股下属企业不通过与天 喻信息之间的关联交易谋求特殊的利益，不进行有损天喻信息及其 中小股东利益的关联交易。</w:t>
            </w:r>
          </w:p>
          <w:p>
            <w:pPr>
              <w:pStyle w:val="TableParagraph"/>
              <w:spacing w:line="240" w:lineRule="auto" w:before="56"/>
              <w:ind w:left="23" w:right="0"/>
              <w:jc w:val="both"/>
              <w:rPr>
                <w:rFonts w:ascii="宋体" w:hAnsi="宋体" w:cs="宋体" w:eastAsia="宋体" w:hint="default"/>
                <w:sz w:val="18"/>
                <w:szCs w:val="18"/>
              </w:rPr>
            </w:pPr>
            <w:r>
              <w:rPr>
                <w:rFonts w:ascii="宋体" w:hAnsi="宋体" w:cs="宋体" w:eastAsia="宋体" w:hint="default"/>
                <w:sz w:val="18"/>
                <w:szCs w:val="18"/>
              </w:rPr>
              <w:t>关于避免同业竞争的承诺</w:t>
            </w:r>
          </w:p>
          <w:p>
            <w:pPr>
              <w:pStyle w:val="TableParagraph"/>
              <w:spacing w:line="319" w:lineRule="auto" w:before="115"/>
              <w:ind w:left="23" w:right="20"/>
              <w:jc w:val="both"/>
              <w:rPr>
                <w:rFonts w:ascii="宋体" w:hAnsi="宋体" w:cs="宋体" w:eastAsia="宋体" w:hint="default"/>
                <w:sz w:val="18"/>
                <w:szCs w:val="18"/>
              </w:rPr>
            </w:pPr>
            <w:r>
              <w:rPr>
                <w:rFonts w:ascii="宋体" w:hAnsi="宋体" w:cs="宋体" w:eastAsia="宋体" w:hint="default"/>
                <w:spacing w:val="-6"/>
                <w:sz w:val="18"/>
                <w:szCs w:val="18"/>
              </w:rPr>
              <w:t>（</w:t>
            </w:r>
            <w:r>
              <w:rPr>
                <w:rFonts w:ascii="宋体" w:hAnsi="宋体" w:cs="宋体" w:eastAsia="宋体" w:hint="default"/>
                <w:spacing w:val="-6"/>
                <w:sz w:val="18"/>
                <w:szCs w:val="18"/>
              </w:rPr>
              <w:t>1</w:t>
            </w:r>
            <w:r>
              <w:rPr>
                <w:rFonts w:ascii="宋体" w:hAnsi="宋体" w:cs="宋体" w:eastAsia="宋体" w:hint="default"/>
                <w:spacing w:val="-6"/>
                <w:sz w:val="18"/>
                <w:szCs w:val="18"/>
              </w:rPr>
              <w:t>）我校作为行政事业单位不会直接从事经营活动。（</w:t>
            </w:r>
            <w:r>
              <w:rPr>
                <w:rFonts w:ascii="宋体" w:hAnsi="宋体" w:cs="宋体" w:eastAsia="宋体" w:hint="default"/>
                <w:spacing w:val="-6"/>
                <w:sz w:val="18"/>
                <w:szCs w:val="18"/>
              </w:rPr>
              <w:t>2</w:t>
            </w:r>
            <w:r>
              <w:rPr>
                <w:rFonts w:ascii="宋体" w:hAnsi="宋体" w:cs="宋体" w:eastAsia="宋体" w:hint="default"/>
                <w:spacing w:val="-6"/>
                <w:sz w:val="18"/>
                <w:szCs w:val="18"/>
              </w:rPr>
              <w:t>）我校承诺</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不支持、不批准我校下属的除天喻信息以外的其他企业从事与天喻 信息业务竞争或可能构成竞争的业务或其它经济活动，不以独资经 营、合资经营和拥有在其他公司或企业的股权或权益的方式从事与 </w:t>
            </w:r>
            <w:r>
              <w:rPr>
                <w:rFonts w:ascii="宋体" w:hAnsi="宋体" w:cs="宋体" w:eastAsia="宋体" w:hint="default"/>
                <w:spacing w:val="-3"/>
                <w:sz w:val="18"/>
                <w:szCs w:val="18"/>
              </w:rPr>
              <w:t>天喻信息业务有竞争或可能构成竞争的业务或其它经济活动。（</w:t>
            </w:r>
            <w:r>
              <w:rPr>
                <w:rFonts w:ascii="宋体" w:hAnsi="宋体" w:cs="宋体" w:eastAsia="宋体" w:hint="default"/>
                <w:spacing w:val="-3"/>
                <w:sz w:val="18"/>
                <w:szCs w:val="18"/>
              </w:rPr>
              <w:t>3</w:t>
            </w:r>
            <w:r>
              <w:rPr>
                <w:rFonts w:ascii="宋体" w:hAnsi="宋体" w:cs="宋体" w:eastAsia="宋体" w:hint="default"/>
                <w:spacing w:val="-3"/>
                <w:sz w:val="18"/>
                <w:szCs w:val="18"/>
              </w:rPr>
              <w:t>）</w:t>
            </w:r>
            <w:r>
              <w:rPr>
                <w:rFonts w:ascii="宋体" w:hAnsi="宋体" w:cs="宋体" w:eastAsia="宋体" w:hint="default"/>
                <w:sz w:val="18"/>
                <w:szCs w:val="18"/>
              </w:rPr>
              <w:t> 我校承诺将促使我校下属的除天喻信息以外的其他企业在今后的经 营范围和投资方向上，避免与天喻信息相同或相似；对天喻信息已 经进行建设或拟投资兴建的项目，将不会进行同样的建设或投资。</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5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1298" w:hRule="exact"/>
        </w:trPr>
        <w:tc>
          <w:tcPr>
            <w:tcW w:w="1844" w:type="dxa"/>
            <w:vMerge/>
            <w:tcBorders>
              <w:left w:val="single" w:sz="4" w:space="0" w:color="000000"/>
              <w:bottom w:val="single" w:sz="4" w:space="0" w:color="000000"/>
              <w:right w:val="single" w:sz="4" w:space="0" w:color="000000"/>
            </w:tcBorders>
          </w:tcPr>
          <w:p>
            <w:pPr/>
          </w:p>
        </w:tc>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47"/>
              <w:jc w:val="left"/>
              <w:rPr>
                <w:rFonts w:ascii="宋体" w:hAnsi="宋体" w:cs="宋体" w:eastAsia="宋体" w:hint="default"/>
                <w:sz w:val="18"/>
                <w:szCs w:val="18"/>
              </w:rPr>
            </w:pPr>
            <w:r>
              <w:rPr>
                <w:rFonts w:ascii="宋体" w:hAnsi="宋体" w:cs="宋体" w:eastAsia="宋体" w:hint="default"/>
                <w:sz w:val="18"/>
                <w:szCs w:val="18"/>
              </w:rPr>
              <w:t>张新访、王彬、刘春（离任</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z w:val="18"/>
                <w:szCs w:val="18"/>
              </w:rPr>
              <w:t> 王宜明（离任</w:t>
            </w:r>
            <w:r>
              <w:rPr>
                <w:rFonts w:ascii="宋体" w:hAnsi="宋体" w:cs="宋体" w:eastAsia="宋体" w:hint="default"/>
                <w:spacing w:val="-90"/>
                <w:sz w:val="18"/>
                <w:szCs w:val="18"/>
              </w:rPr>
              <w:t>）</w:t>
            </w:r>
            <w:r>
              <w:rPr>
                <w:rFonts w:ascii="宋体" w:hAnsi="宋体" w:cs="宋体" w:eastAsia="宋体" w:hint="default"/>
                <w:sz w:val="18"/>
                <w:szCs w:val="18"/>
              </w:rPr>
              <w:t>、江绥</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3" w:right="97"/>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52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4"/>
              <w:jc w:val="both"/>
              <w:rPr>
                <w:rFonts w:ascii="宋体" w:hAnsi="宋体" w:cs="宋体" w:eastAsia="宋体" w:hint="default"/>
                <w:sz w:val="18"/>
                <w:szCs w:val="18"/>
              </w:rPr>
            </w:pPr>
            <w:r>
              <w:rPr>
                <w:rFonts w:ascii="宋体" w:hAnsi="宋体" w:cs="宋体" w:eastAsia="宋体" w:hint="default"/>
                <w:sz w:val="18"/>
                <w:szCs w:val="18"/>
              </w:rPr>
              <w:t>自发行人股票在深圳证券交易所上市之日起十二个月内，将不通过 包括但不限于签署转让协议、进行股权托管等任何方式，减少本人 在本次发行前所持有或者实际持有的发行人的股票，也不会促使或 者同意发行人回购部分或者全部本人所持有的股份。本人在任职期</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4"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5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正常履行中</w:t>
            </w:r>
          </w:p>
          <w:p>
            <w:pPr>
              <w:pStyle w:val="TableParagraph"/>
              <w:spacing w:line="316" w:lineRule="auto" w:before="75"/>
              <w:ind w:left="22" w:right="203"/>
              <w:jc w:val="both"/>
              <w:rPr>
                <w:rFonts w:ascii="宋体" w:hAnsi="宋体" w:cs="宋体" w:eastAsia="宋体" w:hint="default"/>
                <w:sz w:val="18"/>
                <w:szCs w:val="18"/>
              </w:rPr>
            </w:pPr>
            <w:r>
              <w:rPr>
                <w:rFonts w:ascii="宋体" w:hAnsi="宋体" w:cs="宋体" w:eastAsia="宋体" w:hint="default"/>
                <w:sz w:val="18"/>
                <w:szCs w:val="18"/>
              </w:rPr>
              <w:t>（离任高级 管理人员王 宜明已经履</w:t>
            </w:r>
          </w:p>
        </w:tc>
      </w:tr>
    </w:tbl>
    <w:p>
      <w:pPr>
        <w:spacing w:after="0" w:line="316" w:lineRule="auto"/>
        <w:jc w:val="both"/>
        <w:rPr>
          <w:rFonts w:ascii="宋体" w:hAnsi="宋体" w:cs="宋体" w:eastAsia="宋体" w:hint="default"/>
          <w:sz w:val="18"/>
          <w:szCs w:val="18"/>
        </w:rPr>
        <w:sectPr>
          <w:pgSz w:w="16840" w:h="11910" w:orient="landscape"/>
          <w:pgMar w:header="857" w:footer="1187" w:top="1040" w:bottom="1380" w:left="1320" w:right="0"/>
        </w:sectPr>
      </w:pPr>
    </w:p>
    <w:p>
      <w:pPr>
        <w:spacing w:line="240" w:lineRule="auto" w:before="2"/>
        <w:rPr>
          <w:rFonts w:ascii="Times New Roman" w:hAnsi="Times New Roman" w:cs="Times New Roman" w:eastAsia="Times New Roman"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1844"/>
        <w:gridCol w:w="2510"/>
        <w:gridCol w:w="1033"/>
        <w:gridCol w:w="5280"/>
        <w:gridCol w:w="881"/>
        <w:gridCol w:w="1353"/>
        <w:gridCol w:w="1134"/>
      </w:tblGrid>
      <w:tr>
        <w:trPr>
          <w:trHeight w:val="1937" w:hRule="exact"/>
        </w:trPr>
        <w:tc>
          <w:tcPr>
            <w:tcW w:w="1844" w:type="dxa"/>
            <w:tcBorders>
              <w:top w:val="single" w:sz="15" w:space="0" w:color="000000"/>
              <w:left w:val="single" w:sz="4" w:space="0" w:color="000000"/>
              <w:bottom w:val="single" w:sz="4" w:space="0" w:color="000000"/>
              <w:right w:val="single" w:sz="4" w:space="0" w:color="000000"/>
            </w:tcBorders>
          </w:tcPr>
          <w:p>
            <w:pPr/>
          </w:p>
        </w:tc>
        <w:tc>
          <w:tcPr>
            <w:tcW w:w="2510" w:type="dxa"/>
            <w:tcBorders>
              <w:top w:val="single" w:sz="15" w:space="0" w:color="000000"/>
              <w:left w:val="single" w:sz="4" w:space="0" w:color="000000"/>
              <w:bottom w:val="single" w:sz="4" w:space="0" w:color="000000"/>
              <w:right w:val="single" w:sz="4" w:space="0" w:color="000000"/>
            </w:tcBorders>
          </w:tcPr>
          <w:p>
            <w:pPr/>
          </w:p>
        </w:tc>
        <w:tc>
          <w:tcPr>
            <w:tcW w:w="1033" w:type="dxa"/>
            <w:tcBorders>
              <w:top w:val="single" w:sz="15" w:space="0" w:color="000000"/>
              <w:left w:val="single" w:sz="4" w:space="0" w:color="000000"/>
              <w:bottom w:val="single" w:sz="4" w:space="0" w:color="000000"/>
              <w:right w:val="single" w:sz="4" w:space="0" w:color="000000"/>
            </w:tcBorders>
          </w:tcPr>
          <w:p>
            <w:pPr/>
          </w:p>
        </w:tc>
        <w:tc>
          <w:tcPr>
            <w:tcW w:w="5280"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10"/>
              <w:ind w:left="23" w:right="24"/>
              <w:jc w:val="both"/>
              <w:rPr>
                <w:rFonts w:ascii="宋体" w:hAnsi="宋体" w:cs="宋体" w:eastAsia="宋体" w:hint="default"/>
                <w:sz w:val="18"/>
                <w:szCs w:val="18"/>
              </w:rPr>
            </w:pPr>
            <w:r>
              <w:rPr>
                <w:rFonts w:ascii="宋体" w:hAnsi="宋体" w:cs="宋体" w:eastAsia="宋体" w:hint="default"/>
                <w:sz w:val="18"/>
                <w:szCs w:val="18"/>
              </w:rPr>
              <w:t>间每年转让的股份不超过本人所持有的发行人股份总数的</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z w:val="18"/>
                <w:szCs w:val="18"/>
              </w:rPr>
              <w:t>；离 职后半年内，不转让本承诺人所持有的发行人股份。若本人在发行 人首次公开发行股票上市之日起六个月内申报离职的，自申报离职 之日起十八个月内不转让本人直接持有发行人的股份；在首次公开 发行股票上市之日起第七个月至第十二个月之间申报离职的，自申 报离职之日起十二个月内不转让本人直接持有发行人的股份。</w:t>
            </w:r>
          </w:p>
        </w:tc>
        <w:tc>
          <w:tcPr>
            <w:tcW w:w="881" w:type="dxa"/>
            <w:tcBorders>
              <w:top w:val="single" w:sz="15" w:space="0" w:color="000000"/>
              <w:left w:val="single" w:sz="4" w:space="0" w:color="000000"/>
              <w:bottom w:val="single" w:sz="4" w:space="0" w:color="000000"/>
              <w:right w:val="single" w:sz="4" w:space="0" w:color="000000"/>
            </w:tcBorders>
          </w:tcPr>
          <w:p>
            <w:pPr/>
          </w:p>
        </w:tc>
        <w:tc>
          <w:tcPr>
            <w:tcW w:w="1353"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10"/>
              <w:ind w:left="22" w:right="199"/>
              <w:jc w:val="both"/>
              <w:rPr>
                <w:rFonts w:ascii="宋体" w:hAnsi="宋体" w:cs="宋体" w:eastAsia="宋体" w:hint="default"/>
                <w:sz w:val="18"/>
                <w:szCs w:val="18"/>
              </w:rPr>
            </w:pPr>
            <w:r>
              <w:rPr>
                <w:rFonts w:ascii="宋体" w:hAnsi="宋体" w:cs="宋体" w:eastAsia="宋体" w:hint="default"/>
                <w:sz w:val="18"/>
                <w:szCs w:val="18"/>
              </w:rPr>
              <w:t>行完毕其关 于股份锁定 </w:t>
            </w:r>
            <w:r>
              <w:rPr>
                <w:rFonts w:ascii="宋体" w:hAnsi="宋体" w:cs="宋体" w:eastAsia="宋体" w:hint="default"/>
                <w:spacing w:val="-18"/>
                <w:sz w:val="18"/>
                <w:szCs w:val="18"/>
              </w:rPr>
              <w:t>的承诺）。</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2510" w:type="dxa"/>
            <w:tcBorders>
              <w:top w:val="single" w:sz="4" w:space="0" w:color="000000"/>
              <w:left w:val="single" w:sz="4" w:space="0" w:color="000000"/>
              <w:bottom w:val="single" w:sz="4" w:space="0" w:color="000000"/>
              <w:right w:val="single" w:sz="4" w:space="0" w:color="000000"/>
            </w:tcBorders>
          </w:tcPr>
          <w:p>
            <w:pPr/>
          </w:p>
        </w:tc>
        <w:tc>
          <w:tcPr>
            <w:tcW w:w="1033" w:type="dxa"/>
            <w:tcBorders>
              <w:top w:val="single" w:sz="4" w:space="0" w:color="000000"/>
              <w:left w:val="single" w:sz="4" w:space="0" w:color="000000"/>
              <w:bottom w:val="single" w:sz="4" w:space="0" w:color="000000"/>
              <w:right w:val="single" w:sz="4" w:space="0" w:color="000000"/>
            </w:tcBorders>
          </w:tcPr>
          <w:p>
            <w:pPr/>
          </w:p>
        </w:tc>
        <w:tc>
          <w:tcPr>
            <w:tcW w:w="5280"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35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319" w:lineRule="auto"/>
              <w:ind w:left="22" w:right="189"/>
              <w:jc w:val="left"/>
              <w:rPr>
                <w:rFonts w:ascii="宋体" w:hAnsi="宋体" w:cs="宋体" w:eastAsia="宋体" w:hint="default"/>
                <w:sz w:val="18"/>
                <w:szCs w:val="18"/>
              </w:rPr>
            </w:pPr>
            <w:r>
              <w:rPr>
                <w:rFonts w:ascii="宋体" w:hAnsi="宋体" w:cs="宋体" w:eastAsia="宋体" w:hint="default"/>
                <w:sz w:val="18"/>
                <w:szCs w:val="18"/>
              </w:rPr>
              <w:t>其他对公司中小股东 所作承诺</w:t>
            </w:r>
          </w:p>
        </w:tc>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华工创投</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7"/>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52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自首次减持公司股份之日（</w:t>
            </w:r>
            <w:r>
              <w:rPr>
                <w:rFonts w:ascii="宋体" w:hAnsi="宋体" w:cs="宋体" w:eastAsia="宋体" w:hint="default"/>
                <w:sz w:val="18"/>
                <w:szCs w:val="18"/>
              </w:rPr>
              <w:t>2014</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9</w:t>
            </w:r>
            <w:r>
              <w:rPr>
                <w:rFonts w:ascii="宋体" w:hAnsi="宋体" w:cs="宋体" w:eastAsia="宋体" w:hint="default"/>
                <w:spacing w:val="-53"/>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9</w:t>
            </w:r>
            <w:r>
              <w:rPr>
                <w:rFonts w:ascii="宋体" w:hAnsi="宋体" w:cs="宋体" w:eastAsia="宋体" w:hint="default"/>
                <w:spacing w:val="-54"/>
                <w:sz w:val="18"/>
                <w:szCs w:val="18"/>
              </w:rPr>
              <w:t> </w:t>
            </w:r>
            <w:r>
              <w:rPr>
                <w:rFonts w:ascii="宋体" w:hAnsi="宋体" w:cs="宋体" w:eastAsia="宋体" w:hint="default"/>
                <w:sz w:val="18"/>
                <w:szCs w:val="18"/>
              </w:rPr>
              <w:t>日）起连续六个月内通过 证券交易系统出售的股份将不超过公司股份总数的</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02"/>
              <w:jc w:val="left"/>
              <w:rPr>
                <w:rFonts w:ascii="宋体" w:hAnsi="宋体" w:cs="宋体" w:eastAsia="宋体" w:hint="default"/>
                <w:sz w:val="18"/>
                <w:szCs w:val="18"/>
              </w:rPr>
            </w:pPr>
            <w:r>
              <w:rPr>
                <w:rFonts w:ascii="宋体" w:hAnsi="宋体" w:cs="宋体" w:eastAsia="宋体" w:hint="default"/>
                <w:sz w:val="18"/>
                <w:szCs w:val="18"/>
              </w:rPr>
              <w:t>自承诺之日起</w:t>
            </w:r>
            <w:r>
              <w:rPr>
                <w:rFonts w:ascii="宋体" w:hAnsi="宋体" w:cs="宋体" w:eastAsia="宋体" w:hint="default"/>
                <w:spacing w:val="-46"/>
                <w:sz w:val="18"/>
                <w:szCs w:val="18"/>
              </w:rPr>
              <w:t> </w:t>
            </w:r>
            <w:r>
              <w:rPr>
                <w:rFonts w:ascii="宋体" w:hAnsi="宋体" w:cs="宋体" w:eastAsia="宋体" w:hint="default"/>
                <w:sz w:val="18"/>
                <w:szCs w:val="18"/>
              </w:rPr>
              <w:t>6 </w:t>
            </w:r>
            <w:r>
              <w:rPr>
                <w:rFonts w:ascii="宋体" w:hAnsi="宋体" w:cs="宋体" w:eastAsia="宋体" w:hint="default"/>
                <w:sz w:val="18"/>
                <w:szCs w:val="18"/>
              </w:rPr>
              <w:t>个月内</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1338" w:hRule="exact"/>
        </w:trPr>
        <w:tc>
          <w:tcPr>
            <w:tcW w:w="1844" w:type="dxa"/>
            <w:vMerge/>
            <w:tcBorders>
              <w:left w:val="single" w:sz="4" w:space="0" w:color="000000"/>
              <w:bottom w:val="single" w:sz="4" w:space="0" w:color="000000"/>
              <w:right w:val="single" w:sz="4" w:space="0" w:color="000000"/>
            </w:tcBorders>
          </w:tcPr>
          <w:p>
            <w:pPr/>
          </w:p>
        </w:tc>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华工创投</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3" w:right="97"/>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5280"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3" w:right="-46"/>
              <w:jc w:val="left"/>
              <w:rPr>
                <w:rFonts w:ascii="宋体" w:hAnsi="宋体" w:cs="宋体" w:eastAsia="宋体" w:hint="default"/>
                <w:sz w:val="18"/>
                <w:szCs w:val="18"/>
              </w:rPr>
            </w:pPr>
            <w:r>
              <w:rPr>
                <w:rFonts w:ascii="宋体" w:hAnsi="宋体" w:cs="宋体" w:eastAsia="宋体" w:hint="default"/>
                <w:spacing w:val="-6"/>
                <w:sz w:val="18"/>
                <w:szCs w:val="18"/>
              </w:rPr>
              <w:t>在增持期间（自公司股票复牌之日即</w:t>
            </w:r>
            <w:r>
              <w:rPr>
                <w:rFonts w:ascii="宋体" w:hAnsi="宋体" w:cs="宋体" w:eastAsia="宋体" w:hint="default"/>
                <w:spacing w:val="-45"/>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pacing w:val="-5"/>
                <w:sz w:val="18"/>
                <w:szCs w:val="18"/>
              </w:rPr>
              <w:t>日起六个月内）</w:t>
            </w:r>
            <w:r>
              <w:rPr>
                <w:rFonts w:ascii="宋体" w:hAnsi="宋体" w:cs="宋体" w:eastAsia="宋体" w:hint="default"/>
                <w:spacing w:val="-33"/>
                <w:sz w:val="18"/>
                <w:szCs w:val="18"/>
              </w:rPr>
              <w:t> </w:t>
            </w:r>
            <w:r>
              <w:rPr>
                <w:rFonts w:ascii="宋体" w:hAnsi="宋体" w:cs="宋体" w:eastAsia="宋体" w:hint="default"/>
                <w:sz w:val="18"/>
                <w:szCs w:val="18"/>
              </w:rPr>
              <w:t>及增持计划完成后六个月内不减持公司股份。</w:t>
            </w:r>
          </w:p>
        </w:tc>
        <w:tc>
          <w:tcPr>
            <w:tcW w:w="881"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351" w:lineRule="exact"/>
              <w:ind w:left="12" w:right="-28"/>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41.25pt;height:17.6pt;mso-position-horizontal-relative:char;mso-position-vertical-relative:line" coordorigin="0,0" coordsize="825,352">
                  <v:group style="position:absolute;left:0;top:0;width:825;height:352" coordorigin="0,0" coordsize="825,352">
                    <v:shape style="position:absolute;left:0;top:0;width:825;height:352" coordorigin="0,0" coordsize="825,352" path="m0,352l824,352,824,0,0,0,0,352xe" filled="true" fillcolor="#ffffff" stroked="false">
                      <v:path arrowok="t"/>
                      <v:fill type="solid"/>
                    </v:shape>
                  </v:group>
                </v:group>
              </w:pict>
            </w:r>
            <w:r>
              <w:rPr>
                <w:rFonts w:ascii="Times New Roman" w:hAnsi="Times New Roman" w:cs="Times New Roman" w:eastAsia="Times New Roman" w:hint="default"/>
                <w:position w:val="-6"/>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7"/>
                <w:szCs w:val="17"/>
              </w:rPr>
            </w:pPr>
          </w:p>
        </w:tc>
        <w:tc>
          <w:tcPr>
            <w:tcW w:w="1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both"/>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319" w:lineRule="auto" w:before="75"/>
              <w:ind w:left="24" w:right="21"/>
              <w:jc w:val="both"/>
              <w:rPr>
                <w:rFonts w:ascii="宋体" w:hAnsi="宋体" w:cs="宋体" w:eastAsia="宋体" w:hint="default"/>
                <w:sz w:val="18"/>
                <w:szCs w:val="18"/>
              </w:rPr>
            </w:pPr>
            <w:r>
              <w:rPr>
                <w:rFonts w:ascii="宋体" w:hAnsi="宋体" w:cs="宋体" w:eastAsia="宋体" w:hint="default"/>
                <w:sz w:val="18"/>
                <w:szCs w:val="18"/>
              </w:rPr>
              <w:t>17</w:t>
            </w:r>
            <w:r>
              <w:rPr>
                <w:rFonts w:ascii="宋体" w:hAnsi="宋体" w:cs="宋体" w:eastAsia="宋体" w:hint="default"/>
                <w:spacing w:val="-54"/>
                <w:sz w:val="18"/>
                <w:szCs w:val="18"/>
              </w:rPr>
              <w:t> </w:t>
            </w:r>
            <w:r>
              <w:rPr>
                <w:rFonts w:ascii="宋体" w:hAnsi="宋体" w:cs="宋体" w:eastAsia="宋体" w:hint="default"/>
                <w:sz w:val="18"/>
                <w:szCs w:val="18"/>
              </w:rPr>
              <w:t>日起六个月内 及增持计划完成 后六个月内</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9"/>
              <w:jc w:val="righ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219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8"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如承诺超期未履行完 </w:t>
            </w:r>
            <w:r>
              <w:rPr>
                <w:rFonts w:ascii="宋体" w:hAnsi="宋体" w:cs="宋体" w:eastAsia="宋体" w:hint="default"/>
                <w:spacing w:val="-2"/>
                <w:sz w:val="18"/>
                <w:szCs w:val="18"/>
              </w:rPr>
              <w:t>毕的，应当详细说明未</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完成履行的具体原因 及下一步的工作计划</w:t>
            </w:r>
          </w:p>
        </w:tc>
        <w:tc>
          <w:tcPr>
            <w:tcW w:w="1219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20" w:right="0"/>
        <w:jc w:val="left"/>
        <w:rPr>
          <w:b w:val="0"/>
          <w:bCs w:val="0"/>
        </w:rPr>
      </w:pPr>
      <w:bookmarkStart w:name="2、公司资产或项目存在盈利预测，且报告期仍处在盈利预测期间，公司就资产或项目达到" w:id="65"/>
      <w:bookmarkEnd w:id="65"/>
      <w:r>
        <w:rPr>
          <w:b w:val="0"/>
          <w:bCs w:val="0"/>
        </w:rPr>
      </w:r>
      <w:r>
        <w:rPr>
          <w:rFonts w:ascii="宋体" w:hAnsi="宋体" w:cs="宋体" w:eastAsia="宋体" w:hint="default"/>
        </w:rPr>
        <w:t>2</w:t>
      </w:r>
      <w:r>
        <w:rPr/>
        <w:t>、公司资产或项目存在盈利预测，且报告期仍处在盈利预测期间，公司就资产或项目达到原盈利预测及其原因做出说明</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120" w:right="11598"/>
        <w:jc w:val="left"/>
      </w:pPr>
      <w:r>
        <w:rPr/>
        <w:t>□ 适用 √ 不适用</w:t>
      </w:r>
    </w:p>
    <w:p>
      <w:pPr>
        <w:spacing w:after="0" w:line="240" w:lineRule="auto"/>
        <w:jc w:val="left"/>
        <w:sectPr>
          <w:pgSz w:w="16840" w:h="11910" w:orient="landscape"/>
          <w:pgMar w:header="857" w:footer="1187" w:top="1040" w:bottom="1380" w:left="132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Heading2"/>
        <w:spacing w:line="240" w:lineRule="auto" w:before="26"/>
        <w:ind w:right="0"/>
        <w:jc w:val="left"/>
        <w:rPr>
          <w:b w:val="0"/>
          <w:bCs w:val="0"/>
        </w:rPr>
      </w:pPr>
      <w:bookmarkStart w:name="三、控股股东及其关联方对上市公司的非经营性占用资金情况" w:id="66"/>
      <w:bookmarkEnd w:id="66"/>
      <w:r>
        <w:rPr>
          <w:b w:val="0"/>
          <w:bCs w:val="0"/>
        </w:rPr>
      </w: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493" w:right="4633" w:hanging="360"/>
        <w:jc w:val="left"/>
      </w:pPr>
      <w:r>
        <w:rPr/>
        <w:t>□ 适用 √ 不适用 公司报告期不存在控股股东及其关联方对上市公司的非经营性占用资金。</w:t>
      </w:r>
    </w:p>
    <w:p>
      <w:pPr>
        <w:spacing w:line="240" w:lineRule="auto" w:before="3"/>
        <w:rPr>
          <w:rFonts w:ascii="宋体" w:hAnsi="宋体" w:cs="宋体" w:eastAsia="宋体" w:hint="default"/>
          <w:sz w:val="18"/>
          <w:szCs w:val="18"/>
        </w:rPr>
      </w:pPr>
    </w:p>
    <w:p>
      <w:pPr>
        <w:pStyle w:val="Heading2"/>
        <w:spacing w:line="240" w:lineRule="auto"/>
        <w:ind w:right="0"/>
        <w:jc w:val="left"/>
        <w:rPr>
          <w:b w:val="0"/>
          <w:bCs w:val="0"/>
        </w:rPr>
      </w:pPr>
      <w:bookmarkStart w:name="四、董事会对最近一期“非标准审计报告”相关情况的说明" w:id="67"/>
      <w:bookmarkEnd w:id="67"/>
      <w:r>
        <w:rPr>
          <w:b w:val="0"/>
          <w:bCs w:val="0"/>
        </w:rPr>
      </w:r>
      <w:r>
        <w:rPr/>
        <w:t>四、董事会对最近一期“非标准审计报告”相关情况的说明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1392"/>
        <w:jc w:val="left"/>
        <w:rPr>
          <w:b w:val="0"/>
          <w:bCs w:val="0"/>
        </w:rPr>
      </w:pPr>
      <w:bookmarkStart w:name="五、董事会、监事会、独立董事（如有）对会计师事务所本报告期“非标准审计报告”的说" w:id="68"/>
      <w:bookmarkEnd w:id="68"/>
      <w:r>
        <w:rPr>
          <w:b w:val="0"/>
          <w:bCs w:val="0"/>
        </w:rPr>
      </w:r>
      <w:r>
        <w:rPr>
          <w:w w:val="95"/>
        </w:rPr>
        <w:t>五、董事会、监事会、独立董事（如有）对会计师事务所本报告期“非标准审计报告”的说  </w:t>
      </w:r>
      <w:r>
        <w:rPr>
          <w:spacing w:val="111"/>
          <w:w w:val="95"/>
        </w:rPr>
        <w:t> </w:t>
      </w:r>
      <w:r>
        <w:rPr>
          <w:spacing w:val="111"/>
          <w:w w:val="95"/>
        </w:rPr>
      </w:r>
      <w:r>
        <w:rPr/>
        <w:t>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left="1134" w:right="0"/>
        <w:jc w:val="left"/>
        <w:rPr>
          <w:b w:val="0"/>
          <w:bCs w:val="0"/>
        </w:rPr>
      </w:pPr>
      <w:bookmarkStart w:name="六、董事会关于报告期会计政策、会计估计变更或重大会计差错更正的说明" w:id="69"/>
      <w:bookmarkEnd w:id="69"/>
      <w:r>
        <w:rPr>
          <w:b w:val="0"/>
          <w:bCs w:val="0"/>
        </w:rPr>
      </w:r>
      <w:r>
        <w:rPr/>
        <w:t>六、董事会关于报告期会计政策、会计估计变更或重大会计差错更正的说明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left="1134" w:right="0"/>
        <w:jc w:val="left"/>
        <w:rPr>
          <w:b w:val="0"/>
          <w:bCs w:val="0"/>
        </w:rPr>
      </w:pPr>
      <w:bookmarkStart w:name="七、与上年度财务报告相比，合并报表范围发生变化的情况说明" w:id="70"/>
      <w:bookmarkEnd w:id="70"/>
      <w:r>
        <w:rPr>
          <w:b w:val="0"/>
          <w:bCs w:val="0"/>
        </w:rPr>
      </w:r>
      <w:r>
        <w:rPr/>
        <w:t>七、与上年度财务报告相比，合并报表范围发生变化的情况说明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1493" w:right="2743" w:hanging="360"/>
        <w:jc w:val="left"/>
      </w:pPr>
      <w:r>
        <w:rPr/>
        <w:t>√ 适用 □ 不适用 报告期内，新设控股子公司聚联网络纳入公司合并范围内，公司持股比例和表决权比例均为</w:t>
      </w:r>
      <w:r>
        <w:rPr>
          <w:rFonts w:ascii="宋体" w:hAnsi="宋体" w:cs="宋体" w:eastAsia="宋体" w:hint="default"/>
        </w:rPr>
        <w:t>70%</w:t>
      </w:r>
      <w:r>
        <w:rPr/>
        <w:t>。</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bookmarkStart w:name="八、聘任、解聘会计师事务所情况" w:id="71"/>
      <w:bookmarkEnd w:id="71"/>
      <w:r>
        <w:rPr>
          <w:b w:val="0"/>
          <w:bCs w:val="0"/>
        </w:rPr>
      </w:r>
      <w:r>
        <w:rPr/>
        <w:t>八、聘任、解聘会计师事务所情况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现聘任的会计师事务所</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中审众环会计师事务所（特殊普通合伙）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sz w:val="18"/>
              </w:rPr>
              <w:t>60</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陈刚、聂慧蓉</w:t>
            </w:r>
          </w:p>
        </w:tc>
      </w:tr>
      <w:tr>
        <w:trPr>
          <w:trHeight w:val="403" w:hRule="exact"/>
        </w:trPr>
        <w:tc>
          <w:tcPr>
            <w:tcW w:w="3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9"/>
        <w:rPr>
          <w:rFonts w:ascii="宋体" w:hAnsi="宋体" w:cs="宋体" w:eastAsia="宋体" w:hint="default"/>
          <w:sz w:val="6"/>
          <w:szCs w:val="6"/>
        </w:rPr>
      </w:pPr>
    </w:p>
    <w:p>
      <w:pPr>
        <w:pStyle w:val="BodyText"/>
        <w:spacing w:line="240" w:lineRule="auto" w:before="44"/>
        <w:ind w:left="1134" w:right="0"/>
        <w:jc w:val="left"/>
      </w:pPr>
      <w:r>
        <w:rPr/>
        <w:t>是否改聘会计师事务所</w:t>
      </w:r>
    </w:p>
    <w:p>
      <w:pPr>
        <w:pStyle w:val="BodyText"/>
        <w:spacing w:line="439" w:lineRule="auto" w:before="116"/>
        <w:ind w:right="6253"/>
        <w:jc w:val="left"/>
      </w:pPr>
      <w:r>
        <w:rPr/>
        <w:t>□ 是 √ 否 聘请内部控制审计会计师事务所、财务顾问或保荐人情况</w:t>
      </w:r>
    </w:p>
    <w:p>
      <w:pPr>
        <w:pStyle w:val="BodyText"/>
        <w:spacing w:line="203" w:lineRule="exact"/>
        <w:ind w:left="1134" w:right="0"/>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left="1134" w:right="0"/>
        <w:jc w:val="left"/>
        <w:rPr>
          <w:b w:val="0"/>
          <w:bCs w:val="0"/>
        </w:rPr>
      </w:pPr>
      <w:bookmarkStart w:name="九、年度报告披露后面临暂停上市和终止上市情况" w:id="72"/>
      <w:bookmarkEnd w:id="72"/>
      <w:r>
        <w:rPr>
          <w:b w:val="0"/>
          <w:bCs w:val="0"/>
        </w:rPr>
      </w:r>
      <w:r>
        <w:rPr/>
        <w:t>九、年度报告披露后面临暂停上市和终止上市情况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after="0" w:line="240" w:lineRule="auto"/>
        <w:jc w:val="left"/>
        <w:sectPr>
          <w:headerReference w:type="default" r:id="rId27"/>
          <w:footerReference w:type="default" r:id="rId28"/>
          <w:pgSz w:w="11910" w:h="16840"/>
          <w:pgMar w:header="877" w:footer="1187" w:top="1100" w:bottom="1380" w:left="0" w:right="0"/>
          <w:pgNumType w:start="34"/>
        </w:sectPr>
      </w:pPr>
    </w:p>
    <w:p>
      <w:pPr>
        <w:spacing w:line="240" w:lineRule="auto" w:before="8"/>
        <w:rPr>
          <w:rFonts w:ascii="宋体" w:hAnsi="宋体" w:cs="宋体" w:eastAsia="宋体" w:hint="default"/>
          <w:sz w:val="19"/>
          <w:szCs w:val="19"/>
        </w:rPr>
      </w:pPr>
    </w:p>
    <w:p>
      <w:pPr>
        <w:pStyle w:val="Heading2"/>
        <w:spacing w:line="240" w:lineRule="auto" w:before="26"/>
        <w:ind w:right="0"/>
        <w:jc w:val="left"/>
        <w:rPr>
          <w:b w:val="0"/>
          <w:bCs w:val="0"/>
        </w:rPr>
      </w:pPr>
      <w:bookmarkStart w:name="十、破产重整相关事项" w:id="73"/>
      <w:bookmarkEnd w:id="73"/>
      <w:r>
        <w:rPr>
          <w:b w:val="0"/>
          <w:bCs w:val="0"/>
        </w:rPr>
      </w:r>
      <w:r>
        <w:rPr/>
        <w:t>十、破产重整相关事项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493" w:right="7333" w:hanging="360"/>
        <w:jc w:val="left"/>
      </w:pPr>
      <w:r>
        <w:rPr/>
        <w:t>□ 适用 √ 不适用 公司报告期未发生破产重整相关事项。</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bookmarkStart w:name="十一、重大诉讼、仲裁事项" w:id="74"/>
      <w:bookmarkEnd w:id="74"/>
      <w:r>
        <w:rPr>
          <w:b w:val="0"/>
          <w:bCs w:val="0"/>
        </w:rPr>
      </w:r>
      <w:r>
        <w:rPr/>
        <w:t>十一、重大诉讼、仲裁事项</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1493" w:right="3374" w:hanging="360"/>
        <w:jc w:val="left"/>
      </w:pPr>
      <w:r>
        <w:rPr/>
        <w:t>□ 适用 √ 不适用 本报告期公司无重大诉讼、仲裁事项。公司其他诉讼、仲裁的涉案总金额为</w:t>
      </w:r>
      <w:r>
        <w:rPr>
          <w:spacing w:val="-46"/>
        </w:rPr>
        <w:t> </w:t>
      </w:r>
      <w:r>
        <w:rPr>
          <w:rFonts w:ascii="宋体" w:hAnsi="宋体" w:cs="宋体" w:eastAsia="宋体" w:hint="default"/>
        </w:rPr>
        <w:t>85.92</w:t>
      </w:r>
      <w:r>
        <w:rPr>
          <w:rFonts w:ascii="宋体" w:hAnsi="宋体" w:cs="宋体" w:eastAsia="宋体" w:hint="default"/>
          <w:spacing w:val="-45"/>
        </w:rPr>
        <w:t> </w:t>
      </w:r>
      <w:r>
        <w:rPr/>
        <w:t>万元。</w:t>
      </w:r>
    </w:p>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bookmarkStart w:name="十二、处罚及整改情况" w:id="75"/>
      <w:bookmarkEnd w:id="75"/>
      <w:r>
        <w:rPr>
          <w:b w:val="0"/>
          <w:bCs w:val="0"/>
        </w:rPr>
      </w:r>
      <w:r>
        <w:rPr/>
        <w:t>十二、处罚及整改情况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493" w:right="7513" w:hanging="360"/>
        <w:jc w:val="left"/>
      </w:pPr>
      <w:r>
        <w:rPr/>
        <w:t>□ 适用 √ 不适用 公司报告期不存在处罚及整改情况。</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bookmarkStart w:name="十三、公司及其控股股东、实际控制人的诚信状况" w:id="76"/>
      <w:bookmarkEnd w:id="76"/>
      <w:r>
        <w:rPr>
          <w:b w:val="0"/>
          <w:bCs w:val="0"/>
        </w:rPr>
      </w:r>
      <w:r>
        <w:rPr/>
        <w:t>十三、公司及其控股股东、实际控制人的诚信状况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1493" w:right="1118" w:hanging="360"/>
        <w:jc w:val="left"/>
      </w:pPr>
      <w:r>
        <w:rPr/>
        <w:t>√ 适用 □ 不适用 </w:t>
      </w:r>
      <w:r>
        <w:rPr>
          <w:spacing w:val="-2"/>
        </w:rPr>
        <w:t>报告期内公司及公司控股股东、实际控制人诚信状况良好，不存在未履行法院生效判决、所负数额较大的债务到期未清</w:t>
      </w:r>
    </w:p>
    <w:p>
      <w:pPr>
        <w:pStyle w:val="BodyText"/>
        <w:spacing w:line="224" w:lineRule="exact"/>
        <w:ind w:right="0"/>
        <w:jc w:val="left"/>
      </w:pPr>
      <w:r>
        <w:rPr/>
        <w:t>偿等情况。</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十四、公司股权激励计划、员工持股计划或其他员工激励措施的实施情况" w:id="77"/>
      <w:bookmarkEnd w:id="77"/>
      <w:r>
        <w:rPr>
          <w:b w:val="0"/>
          <w:bCs w:val="0"/>
        </w:rPr>
      </w:r>
      <w:r>
        <w:rPr/>
        <w:t>十四、公司股权激励计划、员工持股计划或其他员工激励措施的实施情况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494" w:right="1118" w:hanging="360"/>
        <w:jc w:val="left"/>
      </w:pPr>
      <w:r>
        <w:rPr/>
        <w:t>√ 适用 □ 不适用 </w:t>
      </w:r>
      <w:r>
        <w:rPr>
          <w:spacing w:val="-2"/>
        </w:rPr>
        <w:t>报告期内，公司制定了子公司员工股权激励框架方案（详见公司于</w:t>
      </w:r>
      <w:r>
        <w:rPr>
          <w:rFonts w:ascii="宋体" w:hAnsi="宋体" w:cs="宋体" w:eastAsia="宋体" w:hint="default"/>
          <w:spacing w:val="-2"/>
        </w:rPr>
        <w:t>2015</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5</w:t>
      </w:r>
      <w:r>
        <w:rPr>
          <w:spacing w:val="-2"/>
        </w:rPr>
        <w:t>日在中国证监会指定信息披露网站披露的</w:t>
      </w:r>
    </w:p>
    <w:p>
      <w:pPr>
        <w:pStyle w:val="BodyText"/>
        <w:spacing w:line="224" w:lineRule="exact"/>
        <w:ind w:left="1134" w:right="0"/>
        <w:jc w:val="left"/>
      </w:pPr>
      <w:r>
        <w:rPr/>
        <w:t>《关于子公司员工股权激励框架方案的公告》），公司子公司陆续实施员工股权激励计划。子公司天喻通讯的被激励员工以</w:t>
      </w:r>
    </w:p>
    <w:p>
      <w:pPr>
        <w:pStyle w:val="BodyText"/>
        <w:spacing w:line="316" w:lineRule="auto" w:before="76"/>
        <w:ind w:right="1130"/>
        <w:jc w:val="both"/>
      </w:pPr>
      <w:r>
        <w:rPr>
          <w:spacing w:val="-2"/>
        </w:rPr>
        <w:t>现金</w:t>
      </w:r>
      <w:r>
        <w:rPr>
          <w:rFonts w:ascii="宋体" w:hAnsi="宋体" w:cs="宋体" w:eastAsia="宋体" w:hint="default"/>
          <w:spacing w:val="-2"/>
        </w:rPr>
        <w:t>1,200</w:t>
      </w:r>
      <w:r>
        <w:rPr>
          <w:spacing w:val="-2"/>
        </w:rPr>
        <w:t>万元向天喻通讯增资，持有天喻通讯</w:t>
      </w:r>
      <w:r>
        <w:rPr>
          <w:rFonts w:ascii="宋体" w:hAnsi="宋体" w:cs="宋体" w:eastAsia="宋体" w:hint="default"/>
          <w:spacing w:val="-2"/>
        </w:rPr>
        <w:t>20%</w:t>
      </w:r>
      <w:r>
        <w:rPr>
          <w:spacing w:val="-2"/>
        </w:rPr>
        <w:t>股权（详见公司分别于</w:t>
      </w:r>
      <w:r>
        <w:rPr>
          <w:rFonts w:ascii="宋体" w:hAnsi="宋体" w:cs="宋体" w:eastAsia="宋体" w:hint="default"/>
          <w:spacing w:val="-2"/>
        </w:rPr>
        <w:t>2015</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9</w:t>
      </w:r>
      <w:r>
        <w:rPr>
          <w:spacing w:val="-2"/>
        </w:rPr>
        <w:t>日、</w:t>
      </w:r>
      <w:r>
        <w:rPr>
          <w:rFonts w:ascii="宋体" w:hAnsi="宋体" w:cs="宋体" w:eastAsia="宋体" w:hint="default"/>
          <w:spacing w:val="-2"/>
        </w:rPr>
        <w:t>5</w:t>
      </w:r>
      <w:r>
        <w:rPr>
          <w:spacing w:val="-2"/>
        </w:rPr>
        <w:t>月</w:t>
      </w:r>
      <w:r>
        <w:rPr>
          <w:rFonts w:ascii="宋体" w:hAnsi="宋体" w:cs="宋体" w:eastAsia="宋体" w:hint="default"/>
          <w:spacing w:val="-2"/>
        </w:rPr>
        <w:t>5</w:t>
      </w:r>
      <w:r>
        <w:rPr>
          <w:spacing w:val="-2"/>
        </w:rPr>
        <w:t>日、</w:t>
      </w:r>
      <w:r>
        <w:rPr>
          <w:rFonts w:ascii="宋体" w:hAnsi="宋体" w:cs="宋体" w:eastAsia="宋体" w:hint="default"/>
          <w:spacing w:val="-2"/>
        </w:rPr>
        <w:t>9</w:t>
      </w:r>
      <w:r>
        <w:rPr>
          <w:spacing w:val="-2"/>
        </w:rPr>
        <w:t>月</w:t>
      </w:r>
      <w:r>
        <w:rPr>
          <w:rFonts w:ascii="宋体" w:hAnsi="宋体" w:cs="宋体" w:eastAsia="宋体" w:hint="default"/>
          <w:spacing w:val="-2"/>
        </w:rPr>
        <w:t>8</w:t>
      </w:r>
      <w:r>
        <w:rPr>
          <w:spacing w:val="-2"/>
        </w:rPr>
        <w:t>日在中国证监会指定</w:t>
      </w:r>
      <w:r>
        <w:rPr>
          <w:spacing w:val="-49"/>
        </w:rPr>
        <w:t> </w:t>
      </w:r>
      <w:r>
        <w:rPr>
          <w:spacing w:val="-2"/>
        </w:rPr>
        <w:t>信息披露网站披露的《第六届董事会第九次会议决议公告》、《</w:t>
      </w:r>
      <w:r>
        <w:rPr>
          <w:rFonts w:ascii="宋体" w:hAnsi="宋体" w:cs="宋体" w:eastAsia="宋体" w:hint="default"/>
          <w:spacing w:val="-2"/>
        </w:rPr>
        <w:t>2014</w:t>
      </w:r>
      <w:r>
        <w:rPr>
          <w:spacing w:val="-2"/>
        </w:rPr>
        <w:t>年年度股东大会决议公告》、《关于子公司武汉天喻通</w:t>
      </w:r>
      <w:r>
        <w:rPr>
          <w:spacing w:val="-63"/>
        </w:rPr>
        <w:t> </w:t>
      </w:r>
      <w:r>
        <w:rPr>
          <w:spacing w:val="-63"/>
        </w:rPr>
      </w:r>
      <w:r>
        <w:rPr/>
        <w:t>讯技术有限公司员工股权激励计划的实施进展公告》）。子公司湖北百旺的被激励员工以现金</w:t>
      </w:r>
      <w:r>
        <w:rPr>
          <w:rFonts w:ascii="宋体" w:hAnsi="宋体" w:cs="宋体" w:eastAsia="宋体" w:hint="default"/>
        </w:rPr>
        <w:t>244</w:t>
      </w:r>
      <w:r>
        <w:rPr/>
        <w:t>万元向湖北百旺增资，持 有湖北百旺</w:t>
      </w:r>
      <w:r>
        <w:rPr>
          <w:rFonts w:ascii="宋体" w:hAnsi="宋体" w:cs="宋体" w:eastAsia="宋体" w:hint="default"/>
        </w:rPr>
        <w:t>20%</w:t>
      </w:r>
      <w:r>
        <w:rPr/>
        <w:t>股权（详见公司于</w:t>
      </w:r>
      <w:r>
        <w:rPr>
          <w:rFonts w:ascii="宋体" w:hAnsi="宋体" w:cs="宋体" w:eastAsia="宋体" w:hint="default"/>
        </w:rPr>
        <w:t>2016</w:t>
      </w:r>
      <w:r>
        <w:rPr/>
        <w:t>年</w:t>
      </w:r>
      <w:r>
        <w:rPr>
          <w:rFonts w:ascii="宋体" w:hAnsi="宋体" w:cs="宋体" w:eastAsia="宋体" w:hint="default"/>
        </w:rPr>
        <w:t>1</w:t>
      </w:r>
      <w:r>
        <w:rPr/>
        <w:t>月</w:t>
      </w:r>
      <w:r>
        <w:rPr>
          <w:rFonts w:ascii="宋体" w:hAnsi="宋体" w:cs="宋体" w:eastAsia="宋体" w:hint="default"/>
        </w:rPr>
        <w:t>8</w:t>
      </w:r>
      <w:r>
        <w:rPr/>
        <w:t>日在中国证监会指定信息披露网站披露的《关于子公司湖北百旺金赋科技有限 公司完成工商变更登记的公告》）。</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十五、重大关联交易" w:id="78"/>
      <w:bookmarkEnd w:id="78"/>
      <w:r>
        <w:rPr>
          <w:b w:val="0"/>
          <w:bCs w:val="0"/>
        </w:rPr>
      </w:r>
      <w:r>
        <w:rPr/>
        <w:t>十五、重大关联交易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与日常经营相关的关联交易" w:id="79"/>
      <w:bookmarkEnd w:id="79"/>
      <w:r>
        <w:rPr>
          <w:b w:val="0"/>
          <w:bCs w:val="0"/>
        </w:rPr>
      </w:r>
      <w:r>
        <w:rPr>
          <w:rFonts w:ascii="宋体" w:hAnsi="宋体" w:cs="宋体" w:eastAsia="宋体" w:hint="default"/>
        </w:rPr>
        <w:t>1</w:t>
      </w:r>
      <w:r>
        <w:rPr/>
        <w:t>、与日常经营相关的关联交易</w:t>
      </w:r>
      <w:r>
        <w:rPr>
          <w:b w:val="0"/>
          <w:bCs w:val="0"/>
        </w:rPr>
      </w:r>
    </w:p>
    <w:p>
      <w:pPr>
        <w:spacing w:line="240" w:lineRule="auto" w:before="11"/>
        <w:rPr>
          <w:rFonts w:ascii="宋体" w:hAnsi="宋体" w:cs="宋体" w:eastAsia="宋体" w:hint="default"/>
          <w:b/>
          <w:bCs/>
          <w:sz w:val="27"/>
          <w:szCs w:val="27"/>
        </w:rPr>
      </w:pPr>
    </w:p>
    <w:p>
      <w:pPr>
        <w:pStyle w:val="BodyText"/>
        <w:spacing w:line="360" w:lineRule="auto"/>
        <w:ind w:left="1493" w:right="6613" w:hanging="360"/>
        <w:jc w:val="left"/>
      </w:pPr>
      <w:r>
        <w:rPr/>
        <w:t>□ 适用 √ 不适用 公司报告期未发生与日常经营相关的关联交易。</w:t>
      </w:r>
    </w:p>
    <w:p>
      <w:pPr>
        <w:spacing w:line="240" w:lineRule="auto" w:before="11"/>
        <w:rPr>
          <w:rFonts w:ascii="宋体" w:hAnsi="宋体" w:cs="宋体" w:eastAsia="宋体" w:hint="default"/>
          <w:sz w:val="19"/>
          <w:szCs w:val="19"/>
        </w:rPr>
      </w:pPr>
    </w:p>
    <w:p>
      <w:pPr>
        <w:pStyle w:val="Heading3"/>
        <w:spacing w:line="240" w:lineRule="auto"/>
        <w:ind w:left="1134" w:right="0"/>
        <w:jc w:val="left"/>
        <w:rPr>
          <w:b w:val="0"/>
          <w:bCs w:val="0"/>
        </w:rPr>
      </w:pPr>
      <w:bookmarkStart w:name="2、资产或股权收购、出售发生的关联交易" w:id="80"/>
      <w:bookmarkEnd w:id="80"/>
      <w:r>
        <w:rPr>
          <w:b w:val="0"/>
          <w:bCs w:val="0"/>
        </w:rPr>
      </w:r>
      <w:r>
        <w:rPr>
          <w:rFonts w:ascii="宋体" w:hAnsi="宋体" w:cs="宋体" w:eastAsia="宋体" w:hint="default"/>
        </w:rPr>
        <w:t>2</w:t>
      </w:r>
      <w:r>
        <w:rPr/>
        <w:t>、资产或股权收购、出售发生的关联交易</w:t>
      </w:r>
      <w:r>
        <w:rPr>
          <w:b w:val="0"/>
          <w:bCs w:val="0"/>
        </w:rPr>
      </w:r>
    </w:p>
    <w:p>
      <w:pPr>
        <w:spacing w:line="240" w:lineRule="auto" w:before="12"/>
        <w:rPr>
          <w:rFonts w:ascii="宋体" w:hAnsi="宋体" w:cs="宋体" w:eastAsia="宋体" w:hint="default"/>
          <w:b/>
          <w:bCs/>
          <w:sz w:val="27"/>
          <w:szCs w:val="27"/>
        </w:rPr>
      </w:pPr>
    </w:p>
    <w:p>
      <w:pPr>
        <w:pStyle w:val="BodyText"/>
        <w:spacing w:line="357" w:lineRule="auto"/>
        <w:ind w:left="1493" w:right="6073" w:hanging="360"/>
        <w:jc w:val="left"/>
      </w:pPr>
      <w:r>
        <w:rPr/>
        <w:t>□ 适用 √ 不适用 公司报告期未发生资产或股权收购、出售的关联交易。</w:t>
      </w:r>
    </w:p>
    <w:p>
      <w:pPr>
        <w:spacing w:after="0" w:line="357" w:lineRule="auto"/>
        <w:jc w:val="left"/>
        <w:sectPr>
          <w:pgSz w:w="11910" w:h="16840"/>
          <w:pgMar w:header="877" w:footer="1187" w:top="1100" w:bottom="1380" w:left="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3、共同对外投资的关联交易" w:id="81"/>
      <w:bookmarkEnd w:id="81"/>
      <w:r>
        <w:rPr>
          <w:b w:val="0"/>
          <w:bCs w:val="0"/>
        </w:rPr>
      </w:r>
      <w:r>
        <w:rPr>
          <w:rFonts w:ascii="宋体" w:hAnsi="宋体" w:cs="宋体" w:eastAsia="宋体" w:hint="default"/>
        </w:rPr>
        <w:t>3</w:t>
      </w:r>
      <w:r>
        <w:rPr/>
        <w:t>、共同对外投资的关联交易</w:t>
      </w:r>
      <w:r>
        <w:rPr>
          <w:b w:val="0"/>
          <w:bCs w:val="0"/>
        </w:rPr>
      </w:r>
    </w:p>
    <w:p>
      <w:pPr>
        <w:spacing w:line="240" w:lineRule="auto" w:before="12"/>
        <w:rPr>
          <w:rFonts w:ascii="宋体" w:hAnsi="宋体" w:cs="宋体" w:eastAsia="宋体" w:hint="default"/>
          <w:b/>
          <w:bCs/>
          <w:sz w:val="27"/>
          <w:szCs w:val="27"/>
        </w:rPr>
      </w:pPr>
    </w:p>
    <w:p>
      <w:pPr>
        <w:pStyle w:val="BodyText"/>
        <w:spacing w:line="357" w:lineRule="auto"/>
        <w:ind w:left="1493" w:right="6793" w:hanging="360"/>
        <w:jc w:val="left"/>
      </w:pPr>
      <w:r>
        <w:rPr/>
        <w:t>□ 适用 √ 不适用 公司报告期未发生共同对外投资的关联交易。</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4、关联债权债务往来" w:id="82"/>
      <w:bookmarkEnd w:id="82"/>
      <w:r>
        <w:rPr>
          <w:b w:val="0"/>
          <w:bCs w:val="0"/>
        </w:rPr>
      </w:r>
      <w:r>
        <w:rPr>
          <w:rFonts w:ascii="宋体" w:hAnsi="宋体" w:cs="宋体" w:eastAsia="宋体" w:hint="default"/>
        </w:rPr>
        <w:t>4</w:t>
      </w:r>
      <w:r>
        <w:rPr/>
        <w:t>、关联债权债务往来</w:t>
      </w:r>
      <w:r>
        <w:rPr>
          <w:b w:val="0"/>
          <w:bCs w:val="0"/>
        </w:rPr>
      </w:r>
    </w:p>
    <w:p>
      <w:pPr>
        <w:spacing w:line="240" w:lineRule="auto" w:before="11"/>
        <w:rPr>
          <w:rFonts w:ascii="宋体" w:hAnsi="宋体" w:cs="宋体" w:eastAsia="宋体" w:hint="default"/>
          <w:b/>
          <w:bCs/>
          <w:sz w:val="27"/>
          <w:szCs w:val="27"/>
        </w:rPr>
      </w:pPr>
    </w:p>
    <w:p>
      <w:pPr>
        <w:pStyle w:val="BodyText"/>
        <w:spacing w:line="360" w:lineRule="auto"/>
        <w:ind w:left="1493" w:right="7333" w:hanging="360"/>
        <w:jc w:val="left"/>
      </w:pPr>
      <w:r>
        <w:rPr/>
        <w:t>□ 适用 √ 不适用 公司报告期不存在关联债权债务往来。</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5、其他重大关联交易" w:id="83"/>
      <w:bookmarkEnd w:id="83"/>
      <w:r>
        <w:rPr>
          <w:b w:val="0"/>
          <w:bCs w:val="0"/>
        </w:rPr>
      </w:r>
      <w:r>
        <w:rPr>
          <w:rFonts w:ascii="宋体" w:hAnsi="宋体" w:cs="宋体" w:eastAsia="宋体" w:hint="default"/>
        </w:rPr>
        <w:t>5</w:t>
      </w:r>
      <w:r>
        <w:rPr/>
        <w:t>、其他重大关联交易</w:t>
      </w:r>
      <w:r>
        <w:rPr>
          <w:b w:val="0"/>
          <w:bCs w:val="0"/>
        </w:rPr>
      </w:r>
    </w:p>
    <w:p>
      <w:pPr>
        <w:spacing w:line="240" w:lineRule="auto" w:before="12"/>
        <w:rPr>
          <w:rFonts w:ascii="宋体" w:hAnsi="宋体" w:cs="宋体" w:eastAsia="宋体" w:hint="default"/>
          <w:b/>
          <w:bCs/>
          <w:sz w:val="27"/>
          <w:szCs w:val="27"/>
        </w:rPr>
      </w:pPr>
    </w:p>
    <w:p>
      <w:pPr>
        <w:pStyle w:val="BodyText"/>
        <w:spacing w:line="357" w:lineRule="auto"/>
        <w:ind w:left="1493" w:right="7693" w:hanging="360"/>
        <w:jc w:val="left"/>
      </w:pPr>
      <w:r>
        <w:rPr/>
        <w:t>□ 适用 √ 不适用 公司报告期无其他重大关联交易。</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bookmarkStart w:name="十六、重大合同及其履行情况" w:id="84"/>
      <w:bookmarkEnd w:id="84"/>
      <w:r>
        <w:rPr>
          <w:b w:val="0"/>
          <w:bCs w:val="0"/>
        </w:rPr>
      </w:r>
      <w:r>
        <w:rPr/>
        <w:t>十六、重大合同及其履行情况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托管、承包、租赁事项情况" w:id="85"/>
      <w:bookmarkEnd w:id="85"/>
      <w:r>
        <w:rPr>
          <w:b w:val="0"/>
          <w:bCs w:val="0"/>
        </w:rPr>
      </w:r>
      <w:r>
        <w:rPr>
          <w:rFonts w:ascii="宋体" w:hAnsi="宋体" w:cs="宋体" w:eastAsia="宋体" w:hint="default"/>
        </w:rPr>
        <w:t>1</w:t>
      </w:r>
      <w:r>
        <w:rPr/>
        <w:t>、托管、承包、租赁事项情况</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bookmarkStart w:name="（1）托管情况" w:id="86"/>
      <w:bookmarkEnd w:id="86"/>
      <w:r>
        <w:rPr>
          <w:b w:val="0"/>
          <w:bCs w:val="0"/>
        </w:rPr>
      </w:r>
      <w:r>
        <w:rPr/>
        <w:t>（</w:t>
      </w:r>
      <w:r>
        <w:rPr>
          <w:rFonts w:ascii="宋体" w:hAnsi="宋体" w:cs="宋体" w:eastAsia="宋体" w:hint="default"/>
        </w:rPr>
        <w:t>1</w:t>
      </w:r>
      <w:r>
        <w:rPr/>
        <w:t>）托管情况</w:t>
      </w:r>
      <w:r>
        <w:rPr>
          <w:b w:val="0"/>
          <w:bCs w:val="0"/>
        </w:rPr>
      </w:r>
    </w:p>
    <w:p>
      <w:pPr>
        <w:spacing w:line="240" w:lineRule="auto" w:before="11"/>
        <w:rPr>
          <w:rFonts w:ascii="宋体" w:hAnsi="宋体" w:cs="宋体" w:eastAsia="宋体" w:hint="default"/>
          <w:b/>
          <w:bCs/>
          <w:sz w:val="27"/>
          <w:szCs w:val="27"/>
        </w:rPr>
      </w:pPr>
    </w:p>
    <w:p>
      <w:pPr>
        <w:pStyle w:val="BodyText"/>
        <w:spacing w:line="360" w:lineRule="auto"/>
        <w:ind w:left="1493" w:right="8053" w:hanging="360"/>
        <w:jc w:val="left"/>
      </w:pPr>
      <w:r>
        <w:rPr/>
        <w:t>□ 适用 √ 不适用 公司报告期不存在托管情况。</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2）承包情况" w:id="87"/>
      <w:bookmarkEnd w:id="87"/>
      <w:r>
        <w:rPr>
          <w:b w:val="0"/>
          <w:bCs w:val="0"/>
        </w:rPr>
      </w:r>
      <w:r>
        <w:rPr/>
        <w:t>（</w:t>
      </w:r>
      <w:r>
        <w:rPr>
          <w:rFonts w:ascii="宋体" w:hAnsi="宋体" w:cs="宋体" w:eastAsia="宋体" w:hint="default"/>
        </w:rPr>
        <w:t>2</w:t>
      </w:r>
      <w:r>
        <w:rPr/>
        <w:t>）承包情况</w:t>
      </w:r>
      <w:r>
        <w:rPr>
          <w:b w:val="0"/>
          <w:bCs w:val="0"/>
        </w:rPr>
      </w:r>
    </w:p>
    <w:p>
      <w:pPr>
        <w:spacing w:line="240" w:lineRule="auto" w:before="12"/>
        <w:rPr>
          <w:rFonts w:ascii="宋体" w:hAnsi="宋体" w:cs="宋体" w:eastAsia="宋体" w:hint="default"/>
          <w:b/>
          <w:bCs/>
          <w:sz w:val="27"/>
          <w:szCs w:val="27"/>
        </w:rPr>
      </w:pPr>
    </w:p>
    <w:p>
      <w:pPr>
        <w:pStyle w:val="BodyText"/>
        <w:spacing w:line="357" w:lineRule="auto"/>
        <w:ind w:left="1493" w:right="8053" w:hanging="360"/>
        <w:jc w:val="left"/>
      </w:pPr>
      <w:r>
        <w:rPr/>
        <w:t>□ 适用 √ 不适用 公司报告期不存在承包情况。</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3）租赁情况" w:id="88"/>
      <w:bookmarkEnd w:id="88"/>
      <w:r>
        <w:rPr>
          <w:b w:val="0"/>
          <w:bCs w:val="0"/>
        </w:rPr>
      </w:r>
      <w:r>
        <w:rPr/>
        <w:t>（</w:t>
      </w:r>
      <w:r>
        <w:rPr>
          <w:rFonts w:ascii="宋体" w:hAnsi="宋体" w:cs="宋体" w:eastAsia="宋体" w:hint="default"/>
        </w:rPr>
        <w:t>3</w:t>
      </w:r>
      <w:r>
        <w:rPr/>
        <w:t>）租赁情况</w:t>
      </w:r>
      <w:r>
        <w:rPr>
          <w:b w:val="0"/>
          <w:bCs w:val="0"/>
        </w:rPr>
      </w:r>
    </w:p>
    <w:p>
      <w:pPr>
        <w:spacing w:line="240" w:lineRule="auto" w:before="11"/>
        <w:rPr>
          <w:rFonts w:ascii="宋体" w:hAnsi="宋体" w:cs="宋体" w:eastAsia="宋体" w:hint="default"/>
          <w:b/>
          <w:bCs/>
          <w:sz w:val="27"/>
          <w:szCs w:val="27"/>
        </w:rPr>
      </w:pPr>
    </w:p>
    <w:p>
      <w:pPr>
        <w:pStyle w:val="BodyText"/>
        <w:spacing w:line="439" w:lineRule="auto"/>
        <w:ind w:left="1134" w:right="9222"/>
        <w:jc w:val="left"/>
      </w:pPr>
      <w:r>
        <w:rPr/>
        <w:t>√ 适用 □ 不适用 租赁情况说明</w:t>
      </w:r>
    </w:p>
    <w:p>
      <w:pPr>
        <w:pStyle w:val="BodyText"/>
        <w:spacing w:line="202" w:lineRule="exact"/>
        <w:ind w:left="1493" w:right="0"/>
        <w:jc w:val="left"/>
      </w:pPr>
      <w:r>
        <w:rPr/>
        <w:t>报告期内公司发生的租赁费用为</w:t>
      </w:r>
      <w:r>
        <w:rPr>
          <w:rFonts w:ascii="宋体" w:hAnsi="宋体" w:cs="宋体" w:eastAsia="宋体" w:hint="default"/>
        </w:rPr>
        <w:t>15,901,520.36</w:t>
      </w:r>
      <w:r>
        <w:rPr/>
        <w:t>元，主要为厂房和办公场地租赁。</w:t>
      </w:r>
    </w:p>
    <w:p>
      <w:pPr>
        <w:spacing w:line="240" w:lineRule="auto" w:before="1"/>
        <w:rPr>
          <w:rFonts w:ascii="宋体" w:hAnsi="宋体" w:cs="宋体" w:eastAsia="宋体" w:hint="default"/>
          <w:sz w:val="15"/>
          <w:szCs w:val="15"/>
        </w:rPr>
      </w:pPr>
    </w:p>
    <w:p>
      <w:pPr>
        <w:pStyle w:val="BodyText"/>
        <w:spacing w:line="240" w:lineRule="auto"/>
        <w:ind w:right="0"/>
        <w:jc w:val="left"/>
      </w:pPr>
      <w:r>
        <w:rPr/>
        <w:t>为公司带来的损益达到公司报告期利润总额</w:t>
      </w:r>
      <w:r>
        <w:rPr>
          <w:spacing w:val="-46"/>
        </w:rPr>
        <w:t> </w:t>
      </w:r>
      <w:r>
        <w:rPr>
          <w:rFonts w:ascii="宋体" w:hAnsi="宋体" w:cs="宋体" w:eastAsia="宋体" w:hint="default"/>
        </w:rPr>
        <w:t>10%</w:t>
      </w:r>
      <w:r>
        <w:rPr/>
        <w:t>以上的项目</w:t>
      </w:r>
    </w:p>
    <w:p>
      <w:pPr>
        <w:pStyle w:val="BodyText"/>
        <w:spacing w:line="240" w:lineRule="auto" w:before="116"/>
        <w:ind w:right="0"/>
        <w:jc w:val="left"/>
      </w:pPr>
      <w:r>
        <w:rPr/>
        <w:t>□ 适用 √ 不适用</w:t>
      </w:r>
    </w:p>
    <w:p>
      <w:pPr>
        <w:pStyle w:val="BodyText"/>
        <w:spacing w:line="240" w:lineRule="auto" w:before="116"/>
        <w:ind w:left="1493" w:right="0"/>
        <w:jc w:val="left"/>
      </w:pPr>
      <w:r>
        <w:rPr/>
        <w:t>公司报告期不存在为公司带来的损益达到公司报告期利润总额</w:t>
      </w:r>
      <w:r>
        <w:rPr>
          <w:spacing w:val="-45"/>
        </w:rPr>
        <w:t> </w:t>
      </w:r>
      <w:r>
        <w:rPr>
          <w:rFonts w:ascii="宋体" w:hAnsi="宋体" w:cs="宋体" w:eastAsia="宋体" w:hint="default"/>
        </w:rPr>
        <w:t>10%</w:t>
      </w:r>
      <w:r>
        <w:rPr/>
        <w:t>以上的租赁项目。</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重大担保" w:id="89"/>
      <w:bookmarkEnd w:id="89"/>
      <w:r>
        <w:rPr>
          <w:b w:val="0"/>
          <w:bCs w:val="0"/>
        </w:rPr>
      </w:r>
      <w:r>
        <w:rPr>
          <w:rFonts w:ascii="宋体" w:hAnsi="宋体" w:cs="宋体" w:eastAsia="宋体" w:hint="default"/>
        </w:rPr>
        <w:t>2</w:t>
      </w:r>
      <w:r>
        <w:rPr/>
        <w:t>、重大担保</w:t>
      </w:r>
      <w:r>
        <w:rPr>
          <w:b w:val="0"/>
          <w:bCs w:val="0"/>
        </w:rPr>
      </w:r>
    </w:p>
    <w:p>
      <w:pPr>
        <w:spacing w:line="240" w:lineRule="auto" w:before="11"/>
        <w:rPr>
          <w:rFonts w:ascii="宋体" w:hAnsi="宋体" w:cs="宋体" w:eastAsia="宋体" w:hint="default"/>
          <w:b/>
          <w:bCs/>
          <w:sz w:val="27"/>
          <w:szCs w:val="27"/>
        </w:rPr>
      </w:pPr>
    </w:p>
    <w:p>
      <w:pPr>
        <w:pStyle w:val="BodyText"/>
        <w:spacing w:line="360" w:lineRule="auto"/>
        <w:ind w:left="1493" w:right="8053" w:hanging="360"/>
        <w:jc w:val="left"/>
      </w:pPr>
      <w:r>
        <w:rPr/>
        <w:t>□ 适用 √ 不适用 公司报告期不存在担保情况。</w:t>
      </w:r>
    </w:p>
    <w:p>
      <w:pPr>
        <w:spacing w:after="0" w:line="360" w:lineRule="auto"/>
        <w:jc w:val="left"/>
        <w:sectPr>
          <w:pgSz w:w="11910" w:h="16840"/>
          <w:pgMar w:header="877" w:footer="1187" w:top="1100" w:bottom="1380" w:left="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3、委托他人进行现金资产管理情况" w:id="90"/>
      <w:bookmarkEnd w:id="90"/>
      <w:r>
        <w:rPr>
          <w:b w:val="0"/>
          <w:bCs w:val="0"/>
        </w:rPr>
      </w:r>
      <w:r>
        <w:rPr>
          <w:rFonts w:ascii="宋体" w:hAnsi="宋体" w:cs="宋体" w:eastAsia="宋体" w:hint="default"/>
        </w:rPr>
        <w:t>3</w:t>
      </w:r>
      <w:r>
        <w:rPr/>
        <w:t>、委托他人进行现金资产管理情况</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bookmarkStart w:name="（1）委托理财情况" w:id="91"/>
      <w:bookmarkEnd w:id="91"/>
      <w:r>
        <w:rPr>
          <w:b w:val="0"/>
          <w:bCs w:val="0"/>
        </w:rPr>
      </w:r>
      <w:r>
        <w:rPr/>
        <w:t>（</w:t>
      </w:r>
      <w:r>
        <w:rPr>
          <w:rFonts w:ascii="宋体" w:hAnsi="宋体" w:cs="宋体" w:eastAsia="宋体" w:hint="default"/>
        </w:rPr>
        <w:t>1</w:t>
      </w:r>
      <w:r>
        <w:rPr/>
        <w:t>）委托理财情况</w:t>
      </w:r>
      <w:r>
        <w:rPr>
          <w:b w:val="0"/>
          <w:bCs w:val="0"/>
        </w:rPr>
      </w:r>
    </w:p>
    <w:p>
      <w:pPr>
        <w:spacing w:line="240" w:lineRule="auto" w:before="11"/>
        <w:rPr>
          <w:rFonts w:ascii="宋体" w:hAnsi="宋体" w:cs="宋体" w:eastAsia="宋体" w:hint="default"/>
          <w:b/>
          <w:bCs/>
          <w:sz w:val="27"/>
          <w:szCs w:val="27"/>
        </w:rPr>
      </w:pPr>
    </w:p>
    <w:p>
      <w:pPr>
        <w:pStyle w:val="BodyText"/>
        <w:spacing w:line="357" w:lineRule="auto"/>
        <w:ind w:left="1493" w:right="8053" w:hanging="360"/>
        <w:jc w:val="left"/>
      </w:pPr>
      <w:r>
        <w:rPr/>
        <w:t>□ 适用 √ 不适用 公司报告期不存在委托理财。</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2）委托贷款情况" w:id="92"/>
      <w:bookmarkEnd w:id="92"/>
      <w:r>
        <w:rPr>
          <w:b w:val="0"/>
          <w:bCs w:val="0"/>
        </w:rPr>
      </w:r>
      <w:r>
        <w:rPr/>
        <w:t>（</w:t>
      </w:r>
      <w:r>
        <w:rPr>
          <w:rFonts w:ascii="宋体" w:hAnsi="宋体" w:cs="宋体" w:eastAsia="宋体" w:hint="default"/>
        </w:rPr>
        <w:t>2</w:t>
      </w:r>
      <w:r>
        <w:rPr/>
        <w:t>）委托贷款情况</w:t>
      </w:r>
      <w:r>
        <w:rPr>
          <w:b w:val="0"/>
          <w:bCs w:val="0"/>
        </w:rPr>
      </w:r>
    </w:p>
    <w:p>
      <w:pPr>
        <w:spacing w:line="240" w:lineRule="auto" w:before="12"/>
        <w:rPr>
          <w:rFonts w:ascii="宋体" w:hAnsi="宋体" w:cs="宋体" w:eastAsia="宋体" w:hint="default"/>
          <w:b/>
          <w:bCs/>
          <w:sz w:val="27"/>
          <w:szCs w:val="27"/>
        </w:rPr>
      </w:pPr>
    </w:p>
    <w:p>
      <w:pPr>
        <w:pStyle w:val="BodyText"/>
        <w:spacing w:line="357" w:lineRule="auto"/>
        <w:ind w:left="1493" w:right="8053" w:hanging="360"/>
        <w:jc w:val="left"/>
      </w:pPr>
      <w:r>
        <w:rPr/>
        <w:t>□ 适用 √ 不适用 公司报告期不存在委托贷款。</w:t>
      </w:r>
    </w:p>
    <w:p>
      <w:pPr>
        <w:spacing w:line="240" w:lineRule="auto" w:before="13"/>
        <w:rPr>
          <w:rFonts w:ascii="宋体" w:hAnsi="宋体" w:cs="宋体" w:eastAsia="宋体" w:hint="default"/>
          <w:sz w:val="19"/>
          <w:szCs w:val="19"/>
        </w:rPr>
      </w:pPr>
    </w:p>
    <w:p>
      <w:pPr>
        <w:pStyle w:val="Heading3"/>
        <w:spacing w:line="240" w:lineRule="auto"/>
        <w:ind w:right="0"/>
        <w:jc w:val="left"/>
        <w:rPr>
          <w:b w:val="0"/>
          <w:bCs w:val="0"/>
        </w:rPr>
      </w:pPr>
      <w:bookmarkStart w:name="4、其他重大合同" w:id="93"/>
      <w:bookmarkEnd w:id="93"/>
      <w:r>
        <w:rPr>
          <w:b w:val="0"/>
          <w:bCs w:val="0"/>
        </w:rPr>
      </w:r>
      <w:r>
        <w:rPr>
          <w:rFonts w:ascii="宋体" w:hAnsi="宋体" w:cs="宋体" w:eastAsia="宋体" w:hint="default"/>
        </w:rPr>
        <w:t>4</w:t>
      </w:r>
      <w:r>
        <w:rPr/>
        <w:t>、其他重大合同</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0"/>
        <w:jc w:val="left"/>
      </w:pPr>
      <w:r>
        <w:rPr/>
        <w:t>√ 适用 □ 不适用</w:t>
      </w:r>
    </w:p>
    <w:p>
      <w:pPr>
        <w:pStyle w:val="BodyText"/>
        <w:spacing w:line="240" w:lineRule="auto" w:before="115"/>
        <w:ind w:left="1493" w:right="0"/>
        <w:jc w:val="left"/>
      </w:pPr>
      <w:r>
        <w:rPr/>
        <w:t>公司于</w:t>
      </w:r>
      <w:r>
        <w:rPr>
          <w:spacing w:val="-46"/>
        </w:rPr>
        <w:t> </w:t>
      </w:r>
      <w:r>
        <w:rPr>
          <w:rFonts w:ascii="宋体" w:hAnsi="宋体" w:cs="宋体" w:eastAsia="宋体" w:hint="default"/>
        </w:rPr>
        <w:t>2015</w:t>
      </w:r>
      <w:r>
        <w:rPr>
          <w:rFonts w:ascii="宋体" w:hAnsi="宋体" w:cs="宋体" w:eastAsia="宋体" w:hint="default"/>
          <w:spacing w:val="-46"/>
        </w:rPr>
        <w:t> </w:t>
      </w:r>
      <w:r>
        <w:rPr/>
        <w:t>年</w:t>
      </w:r>
      <w:r>
        <w:rPr>
          <w:spacing w:val="-45"/>
        </w:rPr>
        <w:t> </w:t>
      </w:r>
      <w:r>
        <w:rPr>
          <w:rFonts w:ascii="宋体" w:hAnsi="宋体" w:cs="宋体" w:eastAsia="宋体" w:hint="default"/>
        </w:rPr>
        <w:t>1</w:t>
      </w:r>
      <w:r>
        <w:rPr>
          <w:rFonts w:ascii="宋体" w:hAnsi="宋体" w:cs="宋体" w:eastAsia="宋体" w:hint="default"/>
          <w:spacing w:val="-46"/>
        </w:rPr>
        <w:t> </w:t>
      </w:r>
      <w:r>
        <w:rPr/>
        <w:t>月</w:t>
      </w:r>
      <w:r>
        <w:rPr>
          <w:spacing w:val="-46"/>
        </w:rPr>
        <w:t> </w:t>
      </w:r>
      <w:r>
        <w:rPr>
          <w:rFonts w:ascii="宋体" w:hAnsi="宋体" w:cs="宋体" w:eastAsia="宋体" w:hint="default"/>
        </w:rPr>
        <w:t>4</w:t>
      </w:r>
      <w:r>
        <w:rPr>
          <w:rFonts w:ascii="宋体" w:hAnsi="宋体" w:cs="宋体" w:eastAsia="宋体" w:hint="default"/>
          <w:spacing w:val="-46"/>
        </w:rPr>
        <w:t> </w:t>
      </w:r>
      <w:r>
        <w:rPr/>
        <w:t>日与人</w:t>
      </w:r>
      <w:r>
        <w:rPr>
          <w:spacing w:val="1"/>
        </w:rPr>
        <w:t>教</w:t>
      </w:r>
      <w:r>
        <w:rPr/>
        <w:t>数字出版有限公司签订</w:t>
      </w:r>
      <w:r>
        <w:rPr>
          <w:spacing w:val="-88"/>
        </w:rPr>
        <w:t>了</w:t>
      </w:r>
      <w:r>
        <w:rPr/>
        <w:t>《人教数字教</w:t>
      </w:r>
      <w:r>
        <w:rPr>
          <w:spacing w:val="-88"/>
        </w:rPr>
        <w:t>材</w:t>
      </w:r>
      <w:r>
        <w:rPr/>
        <w:t>（教师版</w:t>
      </w:r>
      <w:r>
        <w:rPr>
          <w:spacing w:val="-88"/>
        </w:rPr>
        <w:t>）</w:t>
      </w:r>
      <w:r>
        <w:rPr/>
        <w:t>应用软件客户端软件系统开发协议</w:t>
      </w:r>
      <w:r>
        <w:rPr>
          <w:spacing w:val="-89"/>
        </w:rPr>
        <w:t>》</w:t>
      </w:r>
      <w:r>
        <w:rPr/>
        <w:t>，</w:t>
      </w:r>
    </w:p>
    <w:p>
      <w:pPr>
        <w:pStyle w:val="BodyText"/>
        <w:spacing w:line="319" w:lineRule="auto" w:before="76"/>
        <w:ind w:right="1130"/>
        <w:jc w:val="both"/>
      </w:pPr>
      <w:r>
        <w:rPr/>
        <w:t>公司成为“人教数字教材（教师版）应用软件客户端软件系统开发项目”开发商（详见公司于</w:t>
      </w:r>
      <w:r>
        <w:rPr>
          <w:spacing w:val="-45"/>
        </w:rPr>
        <w:t> </w:t>
      </w:r>
      <w:r>
        <w:rPr>
          <w:rFonts w:ascii="宋体" w:hAnsi="宋体" w:cs="宋体" w:eastAsia="宋体" w:hint="default"/>
        </w:rPr>
        <w:t>2015</w:t>
      </w:r>
      <w:r>
        <w:rPr>
          <w:rFonts w:ascii="宋体" w:hAnsi="宋体" w:cs="宋体" w:eastAsia="宋体" w:hint="default"/>
          <w:spacing w:val="-46"/>
        </w:rPr>
        <w:t> </w:t>
      </w:r>
      <w:r>
        <w:rPr/>
        <w:t>年</w:t>
      </w:r>
      <w:r>
        <w:rPr>
          <w:spacing w:val="-46"/>
        </w:rPr>
        <w:t> </w:t>
      </w:r>
      <w:r>
        <w:rPr>
          <w:rFonts w:ascii="宋体" w:hAnsi="宋体" w:cs="宋体" w:eastAsia="宋体" w:hint="default"/>
        </w:rPr>
        <w:t>1</w:t>
      </w:r>
      <w:r>
        <w:rPr>
          <w:rFonts w:ascii="宋体" w:hAnsi="宋体" w:cs="宋体" w:eastAsia="宋体" w:hint="default"/>
          <w:spacing w:val="-45"/>
        </w:rPr>
        <w:t> </w:t>
      </w:r>
      <w:r>
        <w:rPr/>
        <w:t>月</w:t>
      </w:r>
      <w:r>
        <w:rPr>
          <w:spacing w:val="-46"/>
        </w:rPr>
        <w:t> </w:t>
      </w:r>
      <w:r>
        <w:rPr>
          <w:rFonts w:ascii="宋体" w:hAnsi="宋体" w:cs="宋体" w:eastAsia="宋体" w:hint="default"/>
        </w:rPr>
        <w:t>5</w:t>
      </w:r>
      <w:r>
        <w:rPr>
          <w:rFonts w:ascii="宋体" w:hAnsi="宋体" w:cs="宋体" w:eastAsia="宋体" w:hint="default"/>
          <w:spacing w:val="-46"/>
        </w:rPr>
        <w:t> </w:t>
      </w:r>
      <w:r>
        <w:rPr/>
        <w:t>日披露于中国 </w:t>
      </w:r>
      <w:r>
        <w:rPr>
          <w:spacing w:val="-5"/>
        </w:rPr>
        <w:t>证监会指定信息披露网站的《关于签署</w:t>
      </w:r>
      <w:r>
        <w:rPr>
          <w:rFonts w:ascii="宋体" w:hAnsi="宋体" w:cs="宋体" w:eastAsia="宋体" w:hint="default"/>
          <w:spacing w:val="-5"/>
        </w:rPr>
        <w:t>&lt;</w:t>
      </w:r>
      <w:r>
        <w:rPr>
          <w:spacing w:val="-5"/>
        </w:rPr>
        <w:t>人教数字教材（教师版）应用软件客户端软件系统开发协议</w:t>
      </w:r>
      <w:r>
        <w:rPr>
          <w:rFonts w:ascii="宋体" w:hAnsi="宋体" w:cs="宋体" w:eastAsia="宋体" w:hint="default"/>
          <w:spacing w:val="-5"/>
        </w:rPr>
        <w:t>&gt;</w:t>
      </w:r>
      <w:r>
        <w:rPr>
          <w:spacing w:val="-5"/>
        </w:rPr>
        <w:t>的公告》）。截至报告期</w:t>
      </w:r>
      <w:r>
        <w:rPr>
          <w:spacing w:val="-74"/>
        </w:rPr>
        <w:t> </w:t>
      </w:r>
      <w:r>
        <w:rPr>
          <w:spacing w:val="-74"/>
        </w:rPr>
      </w:r>
      <w:r>
        <w:rPr>
          <w:spacing w:val="-2"/>
        </w:rPr>
        <w:t>末，公司完成“人教数字教材（教师版）”初中七年级语文、数学、英语的备授课系统、学科工具、后台管理系统的开发，</w:t>
      </w:r>
      <w:r>
        <w:rPr>
          <w:spacing w:val="-72"/>
        </w:rPr>
        <w:t> </w:t>
      </w:r>
      <w:r>
        <w:rPr>
          <w:spacing w:val="-72"/>
        </w:rPr>
      </w:r>
      <w:r>
        <w:rPr/>
        <w:t>并在国家教育资源公共服务平台及武汉、宁夏、宜昌等区域教育资源公共服务平台试用。</w:t>
      </w:r>
    </w:p>
    <w:p>
      <w:pPr>
        <w:pStyle w:val="BodyText"/>
        <w:spacing w:line="240" w:lineRule="auto" w:before="56"/>
        <w:ind w:left="1493" w:right="0"/>
        <w:jc w:val="left"/>
      </w:pPr>
      <w:r>
        <w:rPr/>
        <w:t>公司于</w:t>
      </w:r>
      <w:r>
        <w:rPr>
          <w:spacing w:val="-46"/>
        </w:rPr>
        <w:t> </w:t>
      </w:r>
      <w:r>
        <w:rPr>
          <w:rFonts w:ascii="宋体" w:hAnsi="宋体" w:cs="宋体" w:eastAsia="宋体" w:hint="default"/>
        </w:rPr>
        <w:t>2015</w:t>
      </w:r>
      <w:r>
        <w:rPr>
          <w:rFonts w:ascii="宋体" w:hAnsi="宋体" w:cs="宋体" w:eastAsia="宋体" w:hint="default"/>
          <w:spacing w:val="-46"/>
        </w:rPr>
        <w:t> </w:t>
      </w:r>
      <w:r>
        <w:rPr/>
        <w:t>年</w:t>
      </w:r>
      <w:r>
        <w:rPr>
          <w:spacing w:val="-45"/>
        </w:rPr>
        <w:t> </w:t>
      </w:r>
      <w:r>
        <w:rPr>
          <w:rFonts w:ascii="宋体" w:hAnsi="宋体" w:cs="宋体" w:eastAsia="宋体" w:hint="default"/>
        </w:rPr>
        <w:t>1</w:t>
      </w:r>
      <w:r>
        <w:rPr>
          <w:rFonts w:ascii="宋体" w:hAnsi="宋体" w:cs="宋体" w:eastAsia="宋体" w:hint="default"/>
          <w:spacing w:val="-46"/>
        </w:rPr>
        <w:t> </w:t>
      </w:r>
      <w:r>
        <w:rPr/>
        <w:t>月</w:t>
      </w:r>
      <w:r>
        <w:rPr>
          <w:spacing w:val="-46"/>
        </w:rPr>
        <w:t> </w:t>
      </w:r>
      <w:r>
        <w:rPr>
          <w:rFonts w:ascii="宋体" w:hAnsi="宋体" w:cs="宋体" w:eastAsia="宋体" w:hint="default"/>
        </w:rPr>
        <w:t>21</w:t>
      </w:r>
      <w:r>
        <w:rPr>
          <w:rFonts w:ascii="宋体" w:hAnsi="宋体" w:cs="宋体" w:eastAsia="宋体" w:hint="default"/>
          <w:spacing w:val="-46"/>
        </w:rPr>
        <w:t> </w:t>
      </w:r>
      <w:r>
        <w:rPr/>
        <w:t>日与</w:t>
      </w:r>
      <w:r>
        <w:rPr>
          <w:spacing w:val="1"/>
        </w:rPr>
        <w:t>武</w:t>
      </w:r>
      <w:r>
        <w:rPr/>
        <w:t>汉市教育局签订了《武汉教育资源公共服务平台战略合作协议</w:t>
      </w:r>
      <w:r>
        <w:rPr>
          <w:spacing w:val="-90"/>
        </w:rPr>
        <w:t>》</w:t>
      </w:r>
      <w:r>
        <w:rPr/>
        <w:t>，武汉教育资源公共服务</w:t>
      </w:r>
    </w:p>
    <w:p>
      <w:pPr>
        <w:pStyle w:val="BodyText"/>
        <w:spacing w:line="240" w:lineRule="auto" w:before="76"/>
        <w:ind w:right="0"/>
        <w:jc w:val="left"/>
      </w:pPr>
      <w:r>
        <w:rPr/>
        <w:t>平台项目是公司首个教育云平台运营项目（详见公司于</w:t>
      </w:r>
      <w:r>
        <w:rPr>
          <w:spacing w:val="-59"/>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59"/>
        </w:rPr>
        <w:t> </w:t>
      </w:r>
      <w:r>
        <w:rPr/>
        <w:t>月</w:t>
      </w:r>
      <w:r>
        <w:rPr>
          <w:spacing w:val="-60"/>
        </w:rPr>
        <w:t> </w:t>
      </w:r>
      <w:r>
        <w:rPr>
          <w:rFonts w:ascii="宋体" w:hAnsi="宋体" w:cs="宋体" w:eastAsia="宋体" w:hint="default"/>
        </w:rPr>
        <w:t>21</w:t>
      </w:r>
      <w:r>
        <w:rPr>
          <w:rFonts w:ascii="宋体" w:hAnsi="宋体" w:cs="宋体" w:eastAsia="宋体" w:hint="default"/>
          <w:spacing w:val="-60"/>
        </w:rPr>
        <w:t> </w:t>
      </w:r>
      <w:r>
        <w:rPr/>
        <w:t>日披露于中国证监会指定信息披露网站的《关于签署</w:t>
      </w:r>
    </w:p>
    <w:p>
      <w:pPr>
        <w:pStyle w:val="BodyText"/>
        <w:spacing w:line="357" w:lineRule="auto" w:before="78"/>
        <w:ind w:left="1493" w:right="1027" w:hanging="360"/>
        <w:jc w:val="left"/>
      </w:pPr>
      <w:r>
        <w:rPr>
          <w:rFonts w:ascii="宋体" w:hAnsi="宋体" w:cs="宋体" w:eastAsia="宋体" w:hint="default"/>
        </w:rPr>
        <w:t>&lt;</w:t>
      </w:r>
      <w:r>
        <w:rPr/>
        <w:t>武汉教育资源公共服务平台战略合作协议</w:t>
      </w:r>
      <w:r>
        <w:rPr>
          <w:rFonts w:ascii="宋体" w:hAnsi="宋体" w:cs="宋体" w:eastAsia="宋体" w:hint="default"/>
        </w:rPr>
        <w:t>&gt;</w:t>
      </w:r>
      <w:r>
        <w:rPr/>
        <w:t>的公告</w:t>
      </w:r>
      <w:r>
        <w:rPr>
          <w:spacing w:val="-90"/>
        </w:rPr>
        <w:t>》）</w:t>
      </w:r>
      <w:r>
        <w:rPr/>
        <w:t>。武汉教育资源公共服务平台已正式上线，公司已全面</w:t>
      </w:r>
      <w:r>
        <w:rPr>
          <w:spacing w:val="1"/>
        </w:rPr>
        <w:t>开展平台运营</w:t>
      </w:r>
      <w:r>
        <w:rPr/>
        <w:t>。</w:t>
      </w:r>
      <w:r>
        <w:rPr/>
        <w:t> 因公司与</w:t>
      </w:r>
      <w:r>
        <w:rPr>
          <w:spacing w:val="-46"/>
        </w:rPr>
        <w:t> </w:t>
      </w:r>
      <w:r>
        <w:rPr>
          <w:rFonts w:ascii="宋体" w:hAnsi="宋体" w:cs="宋体" w:eastAsia="宋体" w:hint="default"/>
        </w:rPr>
        <w:t>Qualcomm Incorporated</w:t>
      </w:r>
      <w:r>
        <w:rPr/>
        <w:t>（美国高通公司，以下简称“高通</w:t>
      </w:r>
      <w:r>
        <w:rPr>
          <w:spacing w:val="-90"/>
        </w:rPr>
        <w:t>”</w:t>
      </w:r>
      <w:r>
        <w:rPr/>
        <w:t>）就移动终端安全服务业务洽谈重要业务合作，</w:t>
      </w:r>
    </w:p>
    <w:p>
      <w:pPr>
        <w:pStyle w:val="BodyText"/>
        <w:spacing w:line="224" w:lineRule="exact"/>
        <w:ind w:right="0"/>
        <w:jc w:val="left"/>
      </w:pPr>
      <w:r>
        <w:rPr/>
        <w:t>公司股票于</w:t>
      </w:r>
      <w:r>
        <w:rPr>
          <w:spacing w:val="-46"/>
        </w:rPr>
        <w:t> </w:t>
      </w:r>
      <w:r>
        <w:rPr>
          <w:rFonts w:ascii="宋体" w:hAnsi="宋体" w:cs="宋体" w:eastAsia="宋体" w:hint="default"/>
        </w:rPr>
        <w:t>2015</w:t>
      </w:r>
      <w:r>
        <w:rPr>
          <w:rFonts w:ascii="宋体" w:hAnsi="宋体" w:cs="宋体" w:eastAsia="宋体" w:hint="default"/>
          <w:spacing w:val="-46"/>
        </w:rPr>
        <w:t> </w:t>
      </w:r>
      <w:r>
        <w:rPr/>
        <w:t>年</w:t>
      </w:r>
      <w:r>
        <w:rPr>
          <w:spacing w:val="-46"/>
        </w:rPr>
        <w:t> </w:t>
      </w:r>
      <w:r>
        <w:rPr>
          <w:rFonts w:ascii="宋体" w:hAnsi="宋体" w:cs="宋体" w:eastAsia="宋体" w:hint="default"/>
        </w:rPr>
        <w:t>7</w:t>
      </w:r>
      <w:r>
        <w:rPr>
          <w:rFonts w:ascii="宋体" w:hAnsi="宋体" w:cs="宋体" w:eastAsia="宋体" w:hint="default"/>
          <w:spacing w:val="-45"/>
        </w:rPr>
        <w:t> </w:t>
      </w:r>
      <w:r>
        <w:rPr/>
        <w:t>月</w:t>
      </w:r>
      <w:r>
        <w:rPr>
          <w:spacing w:val="-46"/>
        </w:rPr>
        <w:t> </w:t>
      </w:r>
      <w:r>
        <w:rPr>
          <w:rFonts w:ascii="宋体" w:hAnsi="宋体" w:cs="宋体" w:eastAsia="宋体" w:hint="default"/>
        </w:rPr>
        <w:t>7</w:t>
      </w:r>
      <w:r>
        <w:rPr>
          <w:rFonts w:ascii="宋体" w:hAnsi="宋体" w:cs="宋体" w:eastAsia="宋体" w:hint="default"/>
          <w:spacing w:val="-46"/>
        </w:rPr>
        <w:t> </w:t>
      </w:r>
      <w:r>
        <w:rPr/>
        <w:t>日上午开市起停牌；双方达成合作意向后，公司股票于</w:t>
      </w:r>
      <w:r>
        <w:rPr>
          <w:spacing w:val="-46"/>
        </w:rPr>
        <w:t> </w:t>
      </w:r>
      <w:r>
        <w:rPr>
          <w:rFonts w:ascii="宋体" w:hAnsi="宋体" w:cs="宋体" w:eastAsia="宋体" w:hint="default"/>
        </w:rPr>
        <w:t>2015</w:t>
      </w:r>
      <w:r>
        <w:rPr>
          <w:rFonts w:ascii="宋体" w:hAnsi="宋体" w:cs="宋体" w:eastAsia="宋体" w:hint="default"/>
          <w:spacing w:val="-45"/>
        </w:rPr>
        <w:t> </w:t>
      </w:r>
      <w:r>
        <w:rPr/>
        <w:t>年</w:t>
      </w:r>
      <w:r>
        <w:rPr>
          <w:spacing w:val="-46"/>
        </w:rPr>
        <w:t> </w:t>
      </w:r>
      <w:r>
        <w:rPr>
          <w:rFonts w:ascii="宋体" w:hAnsi="宋体" w:cs="宋体" w:eastAsia="宋体" w:hint="default"/>
        </w:rPr>
        <w:t>7</w:t>
      </w:r>
      <w:r>
        <w:rPr>
          <w:rFonts w:ascii="宋体" w:hAnsi="宋体" w:cs="宋体" w:eastAsia="宋体" w:hint="default"/>
          <w:spacing w:val="-46"/>
        </w:rPr>
        <w:t> </w:t>
      </w:r>
      <w:r>
        <w:rPr/>
        <w:t>月</w:t>
      </w:r>
      <w:r>
        <w:rPr>
          <w:spacing w:val="-46"/>
        </w:rPr>
        <w:t> </w:t>
      </w:r>
      <w:r>
        <w:rPr>
          <w:rFonts w:ascii="宋体" w:hAnsi="宋体" w:cs="宋体" w:eastAsia="宋体" w:hint="default"/>
        </w:rPr>
        <w:t>17</w:t>
      </w:r>
      <w:r>
        <w:rPr>
          <w:rFonts w:ascii="宋体" w:hAnsi="宋体" w:cs="宋体" w:eastAsia="宋体" w:hint="default"/>
          <w:spacing w:val="-46"/>
        </w:rPr>
        <w:t> </w:t>
      </w:r>
      <w:r>
        <w:rPr/>
        <w:t>日上午开市起复牌（详见</w:t>
      </w:r>
    </w:p>
    <w:p>
      <w:pPr>
        <w:pStyle w:val="BodyText"/>
        <w:spacing w:line="240" w:lineRule="auto" w:before="76"/>
        <w:ind w:right="0"/>
        <w:jc w:val="left"/>
      </w:pPr>
      <w:r>
        <w:rPr/>
        <w:t>公司分别于</w:t>
      </w:r>
      <w:r>
        <w:rPr>
          <w:spacing w:val="-48"/>
        </w:rPr>
        <w:t> </w:t>
      </w:r>
      <w:r>
        <w:rPr>
          <w:rFonts w:ascii="宋体" w:hAnsi="宋体" w:cs="宋体" w:eastAsia="宋体" w:hint="default"/>
        </w:rPr>
        <w:t>2015</w:t>
      </w:r>
      <w:r>
        <w:rPr>
          <w:rFonts w:ascii="宋体" w:hAnsi="宋体" w:cs="宋体" w:eastAsia="宋体" w:hint="default"/>
          <w:spacing w:val="-48"/>
        </w:rPr>
        <w:t> </w:t>
      </w:r>
      <w:r>
        <w:rPr/>
        <w:t>年</w:t>
      </w:r>
      <w:r>
        <w:rPr>
          <w:spacing w:val="-48"/>
        </w:rPr>
        <w:t> </w:t>
      </w:r>
      <w:r>
        <w:rPr>
          <w:rFonts w:ascii="宋体" w:hAnsi="宋体" w:cs="宋体" w:eastAsia="宋体" w:hint="default"/>
        </w:rPr>
        <w:t>7</w:t>
      </w:r>
      <w:r>
        <w:rPr>
          <w:rFonts w:ascii="宋体" w:hAnsi="宋体" w:cs="宋体" w:eastAsia="宋体" w:hint="default"/>
          <w:spacing w:val="-48"/>
        </w:rPr>
        <w:t> </w:t>
      </w:r>
      <w:r>
        <w:rPr/>
        <w:t>月</w:t>
      </w:r>
      <w:r>
        <w:rPr>
          <w:spacing w:val="-48"/>
        </w:rPr>
        <w:t> </w:t>
      </w:r>
      <w:r>
        <w:rPr>
          <w:rFonts w:ascii="宋体" w:hAnsi="宋体" w:cs="宋体" w:eastAsia="宋体" w:hint="default"/>
        </w:rPr>
        <w:t>7</w:t>
      </w:r>
      <w:r>
        <w:rPr>
          <w:rFonts w:ascii="宋体" w:hAnsi="宋体" w:cs="宋体" w:eastAsia="宋体" w:hint="default"/>
          <w:spacing w:val="-48"/>
        </w:rPr>
        <w:t> </w:t>
      </w:r>
      <w:r>
        <w:rPr/>
        <w:t>日</w:t>
      </w:r>
      <w:r>
        <w:rPr>
          <w:spacing w:val="-89"/>
        </w:rPr>
        <w:t>、</w:t>
      </w:r>
      <w:r>
        <w:rPr>
          <w:rFonts w:ascii="宋体" w:hAnsi="宋体" w:cs="宋体" w:eastAsia="宋体" w:hint="default"/>
        </w:rPr>
        <w:t>7</w:t>
      </w:r>
      <w:r>
        <w:rPr>
          <w:rFonts w:ascii="宋体" w:hAnsi="宋体" w:cs="宋体" w:eastAsia="宋体" w:hint="default"/>
          <w:spacing w:val="-48"/>
        </w:rPr>
        <w:t> </w:t>
      </w:r>
      <w:r>
        <w:rPr/>
        <w:t>月</w:t>
      </w:r>
      <w:r>
        <w:rPr>
          <w:spacing w:val="-48"/>
        </w:rPr>
        <w:t> </w:t>
      </w:r>
      <w:r>
        <w:rPr>
          <w:rFonts w:ascii="宋体" w:hAnsi="宋体" w:cs="宋体" w:eastAsia="宋体" w:hint="default"/>
        </w:rPr>
        <w:t>9</w:t>
      </w:r>
      <w:r>
        <w:rPr>
          <w:rFonts w:ascii="宋体" w:hAnsi="宋体" w:cs="宋体" w:eastAsia="宋体" w:hint="default"/>
          <w:spacing w:val="-48"/>
        </w:rPr>
        <w:t> </w:t>
      </w:r>
      <w:r>
        <w:rPr/>
        <w:t>日和</w:t>
      </w:r>
      <w:r>
        <w:rPr>
          <w:spacing w:val="-48"/>
        </w:rPr>
        <w:t> </w:t>
      </w:r>
      <w:r>
        <w:rPr>
          <w:rFonts w:ascii="宋体" w:hAnsi="宋体" w:cs="宋体" w:eastAsia="宋体" w:hint="default"/>
        </w:rPr>
        <w:t>7</w:t>
      </w:r>
      <w:r>
        <w:rPr>
          <w:rFonts w:ascii="宋体" w:hAnsi="宋体" w:cs="宋体" w:eastAsia="宋体" w:hint="default"/>
          <w:spacing w:val="-47"/>
        </w:rPr>
        <w:t> </w:t>
      </w:r>
      <w:r>
        <w:rPr/>
        <w:t>月</w:t>
      </w:r>
      <w:r>
        <w:rPr>
          <w:spacing w:val="-48"/>
        </w:rPr>
        <w:t> </w:t>
      </w:r>
      <w:r>
        <w:rPr>
          <w:rFonts w:ascii="宋体" w:hAnsi="宋体" w:cs="宋体" w:eastAsia="宋体" w:hint="default"/>
        </w:rPr>
        <w:t>17</w:t>
      </w:r>
      <w:r>
        <w:rPr>
          <w:rFonts w:ascii="宋体" w:hAnsi="宋体" w:cs="宋体" w:eastAsia="宋体" w:hint="default"/>
          <w:spacing w:val="-48"/>
        </w:rPr>
        <w:t> </w:t>
      </w:r>
      <w:r>
        <w:rPr/>
        <w:t>日披露于中国证监会指定信息披露网站</w:t>
      </w:r>
      <w:r>
        <w:rPr>
          <w:spacing w:val="-90"/>
        </w:rPr>
        <w:t>的</w:t>
      </w:r>
      <w:r>
        <w:rPr/>
        <w:t>《关于筹划重大事项的停牌公告</w:t>
      </w:r>
      <w:r>
        <w:rPr>
          <w:spacing w:val="-90"/>
        </w:rPr>
        <w:t>》</w:t>
      </w:r>
      <w:r>
        <w:rPr/>
        <w:t>、</w:t>
      </w:r>
    </w:p>
    <w:p>
      <w:pPr>
        <w:pStyle w:val="BodyText"/>
        <w:spacing w:line="319" w:lineRule="auto" w:before="76"/>
        <w:ind w:left="1134" w:right="1131"/>
        <w:jc w:val="both"/>
      </w:pPr>
      <w:r>
        <w:rPr>
          <w:spacing w:val="-5"/>
        </w:rPr>
        <w:t>《关于筹划重大事项的停牌进展公告》和《关于公司股票复牌的公告》）。公司于</w:t>
      </w:r>
      <w:r>
        <w:rPr>
          <w:spacing w:val="-45"/>
        </w:rPr>
        <w:t> </w:t>
      </w:r>
      <w:r>
        <w:rPr>
          <w:rFonts w:ascii="宋体" w:hAnsi="宋体" w:cs="宋体" w:eastAsia="宋体" w:hint="default"/>
        </w:rPr>
        <w:t>2015</w:t>
      </w:r>
      <w:r>
        <w:rPr>
          <w:rFonts w:ascii="宋体" w:hAnsi="宋体" w:cs="宋体" w:eastAsia="宋体" w:hint="default"/>
          <w:spacing w:val="-46"/>
        </w:rPr>
        <w:t> </w:t>
      </w:r>
      <w:r>
        <w:rPr/>
        <w:t>年</w:t>
      </w:r>
      <w:r>
        <w:rPr>
          <w:spacing w:val="-46"/>
        </w:rPr>
        <w:t> </w:t>
      </w:r>
      <w:r>
        <w:rPr>
          <w:rFonts w:ascii="宋体" w:hAnsi="宋体" w:cs="宋体" w:eastAsia="宋体" w:hint="default"/>
        </w:rPr>
        <w:t>10</w:t>
      </w:r>
      <w:r>
        <w:rPr>
          <w:rFonts w:ascii="宋体" w:hAnsi="宋体" w:cs="宋体" w:eastAsia="宋体" w:hint="default"/>
          <w:spacing w:val="-44"/>
        </w:rPr>
        <w:t> </w:t>
      </w:r>
      <w:r>
        <w:rPr/>
        <w:t>月</w:t>
      </w:r>
      <w:r>
        <w:rPr>
          <w:spacing w:val="-46"/>
        </w:rPr>
        <w:t> </w:t>
      </w:r>
      <w:r>
        <w:rPr>
          <w:rFonts w:ascii="宋体" w:hAnsi="宋体" w:cs="宋体" w:eastAsia="宋体" w:hint="default"/>
        </w:rPr>
        <w:t>20</w:t>
      </w:r>
      <w:r>
        <w:rPr>
          <w:rFonts w:ascii="宋体" w:hAnsi="宋体" w:cs="宋体" w:eastAsia="宋体" w:hint="default"/>
          <w:spacing w:val="-46"/>
        </w:rPr>
        <w:t> </w:t>
      </w:r>
      <w:r>
        <w:rPr/>
        <w:t>日收到公司控股子公司果 核科技与高通全资子公司</w:t>
      </w:r>
      <w:r>
        <w:rPr>
          <w:spacing w:val="-46"/>
        </w:rPr>
        <w:t> </w:t>
      </w:r>
      <w:r>
        <w:rPr>
          <w:rFonts w:ascii="宋体" w:hAnsi="宋体" w:cs="宋体" w:eastAsia="宋体" w:hint="default"/>
        </w:rPr>
        <w:t>Qualcomm</w:t>
      </w:r>
      <w:r>
        <w:rPr>
          <w:rFonts w:ascii="宋体" w:hAnsi="宋体" w:cs="宋体" w:eastAsia="宋体" w:hint="default"/>
          <w:spacing w:val="-18"/>
        </w:rPr>
        <w:t> </w:t>
      </w:r>
      <w:r>
        <w:rPr>
          <w:rFonts w:ascii="宋体" w:hAnsi="宋体" w:cs="宋体" w:eastAsia="宋体" w:hint="default"/>
        </w:rPr>
        <w:t>Technologies,</w:t>
      </w:r>
      <w:r>
        <w:rPr>
          <w:rFonts w:ascii="宋体" w:hAnsi="宋体" w:cs="宋体" w:eastAsia="宋体" w:hint="default"/>
          <w:spacing w:val="-18"/>
        </w:rPr>
        <w:t> </w:t>
      </w:r>
      <w:r>
        <w:rPr>
          <w:rFonts w:ascii="宋体" w:hAnsi="宋体" w:cs="宋体" w:eastAsia="宋体" w:hint="default"/>
        </w:rPr>
        <w:t>Inc.</w:t>
      </w:r>
      <w:r>
        <w:rPr/>
        <w:t>（高通技术公司）就共同推广公司移动终端安全解决方案签订的业 务合作协议</w:t>
      </w:r>
      <w:r>
        <w:rPr>
          <w:rFonts w:ascii="宋体" w:hAnsi="宋体" w:cs="宋体" w:eastAsia="宋体" w:hint="default"/>
        </w:rPr>
        <w:t>(</w:t>
      </w:r>
      <w:r>
        <w:rPr/>
        <w:t>详见公司于</w:t>
      </w:r>
      <w:r>
        <w:rPr>
          <w:spacing w:val="-42"/>
        </w:rPr>
        <w:t> </w:t>
      </w:r>
      <w:r>
        <w:rPr>
          <w:rFonts w:ascii="宋体" w:hAnsi="宋体" w:cs="宋体" w:eastAsia="宋体" w:hint="default"/>
        </w:rPr>
        <w:t>2015</w:t>
      </w:r>
      <w:r>
        <w:rPr>
          <w:rFonts w:ascii="宋体" w:hAnsi="宋体" w:cs="宋体" w:eastAsia="宋体" w:hint="default"/>
          <w:spacing w:val="-41"/>
        </w:rPr>
        <w:t> </w:t>
      </w:r>
      <w:r>
        <w:rPr/>
        <w:t>年</w:t>
      </w:r>
      <w:r>
        <w:rPr>
          <w:spacing w:val="-42"/>
        </w:rPr>
        <w:t> </w:t>
      </w:r>
      <w:r>
        <w:rPr>
          <w:rFonts w:ascii="宋体" w:hAnsi="宋体" w:cs="宋体" w:eastAsia="宋体" w:hint="default"/>
        </w:rPr>
        <w:t>10</w:t>
      </w:r>
      <w:r>
        <w:rPr>
          <w:rFonts w:ascii="宋体" w:hAnsi="宋体" w:cs="宋体" w:eastAsia="宋体" w:hint="default"/>
          <w:spacing w:val="-42"/>
        </w:rPr>
        <w:t> </w:t>
      </w:r>
      <w:r>
        <w:rPr/>
        <w:t>月</w:t>
      </w:r>
      <w:r>
        <w:rPr>
          <w:spacing w:val="-42"/>
        </w:rPr>
        <w:t> </w:t>
      </w:r>
      <w:r>
        <w:rPr>
          <w:rFonts w:ascii="宋体" w:hAnsi="宋体" w:cs="宋体" w:eastAsia="宋体" w:hint="default"/>
        </w:rPr>
        <w:t>20</w:t>
      </w:r>
      <w:r>
        <w:rPr>
          <w:rFonts w:ascii="宋体" w:hAnsi="宋体" w:cs="宋体" w:eastAsia="宋体" w:hint="default"/>
          <w:spacing w:val="-42"/>
        </w:rPr>
        <w:t> </w:t>
      </w:r>
      <w:r>
        <w:rPr>
          <w:spacing w:val="-3"/>
        </w:rPr>
        <w:t>日披露于中国证监会指定信息披露网站的《关于控股子公司武汉果核科技有限公司</w:t>
      </w:r>
      <w:r>
        <w:rPr/>
        <w:t> 与高通技术公司签订业务合作协议的公告》</w:t>
      </w:r>
      <w:r>
        <w:rPr>
          <w:rFonts w:ascii="宋体" w:hAnsi="宋体" w:cs="宋体" w:eastAsia="宋体" w:hint="default"/>
        </w:rPr>
        <w:t>)</w:t>
      </w:r>
      <w:r>
        <w:rPr/>
        <w:t>。果核科技正在积极推进移动终端安全解决方案的产业链合作。</w:t>
      </w:r>
    </w:p>
    <w:p>
      <w:pPr>
        <w:pStyle w:val="BodyText"/>
        <w:spacing w:line="319" w:lineRule="auto" w:before="55"/>
        <w:ind w:right="1132" w:firstLine="360"/>
        <w:jc w:val="both"/>
      </w:pPr>
      <w:r>
        <w:rPr/>
        <w:t>公司与中央电化教育馆于</w:t>
      </w:r>
      <w:r>
        <w:rPr>
          <w:spacing w:val="-45"/>
        </w:rPr>
        <w:t> </w:t>
      </w:r>
      <w:r>
        <w:rPr>
          <w:rFonts w:ascii="宋体" w:hAnsi="宋体" w:cs="宋体" w:eastAsia="宋体" w:hint="default"/>
        </w:rPr>
        <w:t>2012</w:t>
      </w:r>
      <w:r>
        <w:rPr>
          <w:rFonts w:ascii="宋体" w:hAnsi="宋体" w:cs="宋体" w:eastAsia="宋体" w:hint="default"/>
          <w:spacing w:val="-45"/>
        </w:rPr>
        <w:t> </w:t>
      </w:r>
      <w:r>
        <w:rPr/>
        <w:t>年</w:t>
      </w:r>
      <w:r>
        <w:rPr>
          <w:spacing w:val="-45"/>
        </w:rPr>
        <w:t> </w:t>
      </w:r>
      <w:r>
        <w:rPr>
          <w:rFonts w:ascii="宋体" w:hAnsi="宋体" w:cs="宋体" w:eastAsia="宋体" w:hint="default"/>
        </w:rPr>
        <w:t>4</w:t>
      </w:r>
      <w:r>
        <w:rPr>
          <w:rFonts w:ascii="宋体" w:hAnsi="宋体" w:cs="宋体" w:eastAsia="宋体" w:hint="default"/>
          <w:spacing w:val="-45"/>
        </w:rPr>
        <w:t> </w:t>
      </w:r>
      <w:r>
        <w:rPr>
          <w:spacing w:val="-5"/>
        </w:rPr>
        <w:t>月签订了《合作协议》（框架协议），双方建立战略合作关系，共同推进国家教育资</w:t>
      </w:r>
      <w:r>
        <w:rPr/>
        <w:t> </w:t>
      </w:r>
      <w:r>
        <w:rPr>
          <w:spacing w:val="-2"/>
        </w:rPr>
        <w:t>源公共服务平台的建设并构建运营服务体系。中央电化教育馆负责承担平台建设、运维和运营服务，公司为该项目唯一合作</w:t>
      </w:r>
      <w:r>
        <w:rPr>
          <w:spacing w:val="-66"/>
        </w:rPr>
        <w:t> </w:t>
      </w:r>
      <w:r>
        <w:rPr>
          <w:spacing w:val="-66"/>
        </w:rPr>
      </w:r>
      <w:r>
        <w:rPr/>
        <w:t>伙伴，负责承接平台开发、技术支持及运维工作。自</w:t>
      </w:r>
      <w:r>
        <w:rPr>
          <w:spacing w:val="-45"/>
        </w:rPr>
        <w:t> </w:t>
      </w:r>
      <w:r>
        <w:rPr>
          <w:rFonts w:ascii="宋体" w:hAnsi="宋体" w:cs="宋体" w:eastAsia="宋体" w:hint="default"/>
        </w:rPr>
        <w:t>2013</w:t>
      </w:r>
      <w:r>
        <w:rPr>
          <w:rFonts w:ascii="宋体" w:hAnsi="宋体" w:cs="宋体" w:eastAsia="宋体" w:hint="default"/>
          <w:spacing w:val="-46"/>
        </w:rPr>
        <w:t> </w:t>
      </w:r>
      <w:r>
        <w:rPr/>
        <w:t>年起，公司与中央电化教育馆每年签订国家教育资源公共服务平 台开发</w:t>
      </w:r>
      <w:r>
        <w:rPr>
          <w:rFonts w:ascii="宋体" w:hAnsi="宋体" w:cs="宋体" w:eastAsia="宋体" w:hint="default"/>
        </w:rPr>
        <w:t>/</w:t>
      </w:r>
      <w:r>
        <w:rPr/>
        <w:t>运维</w:t>
      </w:r>
      <w:r>
        <w:rPr>
          <w:rFonts w:ascii="宋体" w:hAnsi="宋体" w:cs="宋体" w:eastAsia="宋体" w:hint="default"/>
        </w:rPr>
        <w:t>/</w:t>
      </w:r>
      <w:r>
        <w:rPr/>
        <w:t>升级合同，</w:t>
      </w:r>
      <w:r>
        <w:rPr>
          <w:rFonts w:ascii="宋体" w:hAnsi="宋体" w:cs="宋体" w:eastAsia="宋体" w:hint="default"/>
        </w:rPr>
        <w:t>2015</w:t>
      </w:r>
      <w:r>
        <w:rPr>
          <w:rFonts w:ascii="宋体" w:hAnsi="宋体" w:cs="宋体" w:eastAsia="宋体" w:hint="default"/>
          <w:spacing w:val="-46"/>
        </w:rPr>
        <w:t> </w:t>
      </w:r>
      <w:r>
        <w:rPr/>
        <w:t>年合同金额为</w:t>
      </w:r>
      <w:r>
        <w:rPr>
          <w:spacing w:val="-46"/>
        </w:rPr>
        <w:t> </w:t>
      </w:r>
      <w:r>
        <w:rPr>
          <w:rFonts w:ascii="宋体" w:hAnsi="宋体" w:cs="宋体" w:eastAsia="宋体" w:hint="default"/>
        </w:rPr>
        <w:t>1,030</w:t>
      </w:r>
      <w:r>
        <w:rPr>
          <w:rFonts w:ascii="宋体" w:hAnsi="宋体" w:cs="宋体" w:eastAsia="宋体" w:hint="default"/>
          <w:spacing w:val="-46"/>
        </w:rPr>
        <w:t> </w:t>
      </w:r>
      <w:r>
        <w:rPr/>
        <w:t>万元。</w:t>
      </w:r>
    </w:p>
    <w:p>
      <w:pPr>
        <w:spacing w:line="240" w:lineRule="auto" w:before="7"/>
        <w:rPr>
          <w:rFonts w:ascii="宋体" w:hAnsi="宋体" w:cs="宋体" w:eastAsia="宋体" w:hint="default"/>
          <w:sz w:val="20"/>
          <w:szCs w:val="20"/>
        </w:rPr>
      </w:pPr>
    </w:p>
    <w:p>
      <w:pPr>
        <w:pStyle w:val="Heading2"/>
        <w:spacing w:line="240" w:lineRule="auto"/>
        <w:ind w:right="0"/>
        <w:jc w:val="left"/>
        <w:rPr>
          <w:b w:val="0"/>
          <w:bCs w:val="0"/>
        </w:rPr>
      </w:pPr>
      <w:bookmarkStart w:name="十七、其他重大事项的说明" w:id="94"/>
      <w:bookmarkEnd w:id="94"/>
      <w:r>
        <w:rPr>
          <w:b w:val="0"/>
          <w:bCs w:val="0"/>
        </w:rPr>
      </w:r>
      <w:r>
        <w:rPr/>
        <w:t>十七、其他重大事项的说明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1493" w:right="2833" w:hanging="360"/>
        <w:jc w:val="left"/>
      </w:pPr>
      <w:r>
        <w:rPr/>
        <w:t>√ 适用 □ 不适用 公司于</w:t>
      </w:r>
      <w:r>
        <w:rPr>
          <w:rFonts w:ascii="宋体" w:hAnsi="宋体" w:cs="宋体" w:eastAsia="宋体" w:hint="default"/>
        </w:rPr>
        <w:t>2015</w:t>
      </w:r>
      <w:r>
        <w:rPr/>
        <w:t>年</w:t>
      </w:r>
      <w:r>
        <w:rPr>
          <w:rFonts w:ascii="宋体" w:hAnsi="宋体" w:cs="宋体" w:eastAsia="宋体" w:hint="default"/>
        </w:rPr>
        <w:t>5</w:t>
      </w:r>
      <w:r>
        <w:rPr/>
        <w:t>月</w:t>
      </w:r>
      <w:r>
        <w:rPr>
          <w:rFonts w:ascii="宋体" w:hAnsi="宋体" w:cs="宋体" w:eastAsia="宋体" w:hint="default"/>
        </w:rPr>
        <w:t>7</w:t>
      </w:r>
      <w:r>
        <w:rPr/>
        <w:t>日在中国证监会指定信息披露网站披露了《关于收到政府补助资金的公告》。</w:t>
      </w:r>
    </w:p>
    <w:p>
      <w:pPr>
        <w:pStyle w:val="BodyText"/>
        <w:spacing w:line="319" w:lineRule="auto" w:before="25"/>
        <w:ind w:left="1134" w:right="1131" w:firstLine="360"/>
        <w:jc w:val="both"/>
      </w:pPr>
      <w:r>
        <w:rPr/>
        <w:t>根据中国证监会于</w:t>
      </w:r>
      <w:r>
        <w:rPr>
          <w:rFonts w:ascii="宋体" w:hAnsi="宋体" w:cs="宋体" w:eastAsia="宋体" w:hint="default"/>
        </w:rPr>
        <w:t>2015</w:t>
      </w:r>
      <w:r>
        <w:rPr/>
        <w:t>年</w:t>
      </w:r>
      <w:r>
        <w:rPr>
          <w:rFonts w:ascii="宋体" w:hAnsi="宋体" w:cs="宋体" w:eastAsia="宋体" w:hint="default"/>
        </w:rPr>
        <w:t>7</w:t>
      </w:r>
      <w:r>
        <w:rPr/>
        <w:t>月</w:t>
      </w:r>
      <w:r>
        <w:rPr>
          <w:rFonts w:ascii="宋体" w:hAnsi="宋体" w:cs="宋体" w:eastAsia="宋体" w:hint="default"/>
        </w:rPr>
        <w:t>8</w:t>
      </w:r>
      <w:r>
        <w:rPr/>
        <w:t>日发布的相关文件精神，近</w:t>
      </w:r>
      <w:r>
        <w:rPr>
          <w:rFonts w:ascii="宋体" w:hAnsi="宋体" w:cs="宋体" w:eastAsia="宋体" w:hint="default"/>
        </w:rPr>
        <w:t>6</w:t>
      </w:r>
      <w:r>
        <w:rPr/>
        <w:t>个月内减持过公司股票的公司高级管理人员（含其亲属）计 </w:t>
      </w:r>
      <w:r>
        <w:rPr>
          <w:spacing w:val="-2"/>
        </w:rPr>
        <w:t>划增持公司股票（详见公司于</w:t>
      </w:r>
      <w:r>
        <w:rPr>
          <w:rFonts w:ascii="宋体" w:hAnsi="宋体" w:cs="宋体" w:eastAsia="宋体" w:hint="default"/>
          <w:spacing w:val="-2"/>
        </w:rPr>
        <w:t>2015</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9</w:t>
      </w:r>
      <w:r>
        <w:rPr>
          <w:spacing w:val="-2"/>
        </w:rPr>
        <w:t>日在中国证监会指定信息披露网站披露的《关于公司部分高级管理人员计划增持公</w:t>
      </w:r>
      <w:r>
        <w:rPr>
          <w:spacing w:val="-58"/>
        </w:rPr>
        <w:t> </w:t>
      </w:r>
      <w:r>
        <w:rPr>
          <w:spacing w:val="-58"/>
        </w:rPr>
      </w:r>
      <w:r>
        <w:rPr/>
        <w:t>司股票的公告》）。上述人员已按计划增持公司股票。</w:t>
      </w:r>
    </w:p>
    <w:p>
      <w:pPr>
        <w:pStyle w:val="BodyText"/>
        <w:spacing w:line="240" w:lineRule="auto" w:before="55"/>
        <w:ind w:left="1494" w:right="0"/>
        <w:jc w:val="left"/>
        <w:rPr>
          <w:rFonts w:ascii="宋体" w:hAnsi="宋体" w:cs="宋体" w:eastAsia="宋体" w:hint="default"/>
        </w:rPr>
      </w:pPr>
      <w:r>
        <w:rPr/>
        <w:t>根据中国证监</w:t>
      </w:r>
      <w:r>
        <w:rPr>
          <w:spacing w:val="-53"/>
        </w:rPr>
        <w:t>会</w:t>
      </w:r>
      <w:r>
        <w:rPr/>
        <w:t>《关于上市公司大股东及董事</w:t>
      </w:r>
      <w:r>
        <w:rPr>
          <w:spacing w:val="-53"/>
        </w:rPr>
        <w:t>、</w:t>
      </w:r>
      <w:r>
        <w:rPr/>
        <w:t>监事</w:t>
      </w:r>
      <w:r>
        <w:rPr>
          <w:spacing w:val="-53"/>
        </w:rPr>
        <w:t>、</w:t>
      </w:r>
      <w:r>
        <w:rPr/>
        <w:t>高</w:t>
      </w:r>
      <w:r>
        <w:rPr>
          <w:spacing w:val="1"/>
        </w:rPr>
        <w:t>级</w:t>
      </w:r>
      <w:r>
        <w:rPr/>
        <w:t>管理人员增持本公司股票相关事项的通知</w:t>
      </w:r>
      <w:r>
        <w:rPr>
          <w:spacing w:val="-106"/>
        </w:rPr>
        <w:t>》</w:t>
      </w:r>
      <w:r>
        <w:rPr/>
        <w:t>（证监</w:t>
      </w:r>
      <w:r>
        <w:rPr>
          <w:spacing w:val="1"/>
        </w:rPr>
        <w:t>发</w:t>
      </w:r>
      <w:r>
        <w:rPr>
          <w:rFonts w:ascii="宋体" w:hAnsi="宋体" w:cs="宋体" w:eastAsia="宋体" w:hint="default"/>
        </w:rPr>
        <w:t>[2015]51</w:t>
      </w:r>
    </w:p>
    <w:p>
      <w:pPr>
        <w:spacing w:after="0" w:line="240" w:lineRule="auto"/>
        <w:jc w:val="left"/>
        <w:rPr>
          <w:rFonts w:ascii="宋体" w:hAnsi="宋体" w:cs="宋体" w:eastAsia="宋体" w:hint="default"/>
        </w:rPr>
        <w:sectPr>
          <w:pgSz w:w="11910" w:h="16840"/>
          <w:pgMar w:header="877" w:footer="1187" w:top="1100" w:bottom="1380" w:left="0" w:right="0"/>
        </w:sectPr>
      </w:pPr>
    </w:p>
    <w:p>
      <w:pPr>
        <w:spacing w:line="240" w:lineRule="auto" w:before="12"/>
        <w:rPr>
          <w:rFonts w:ascii="宋体" w:hAnsi="宋体" w:cs="宋体" w:eastAsia="宋体" w:hint="default"/>
          <w:sz w:val="21"/>
          <w:szCs w:val="21"/>
        </w:rPr>
      </w:pPr>
    </w:p>
    <w:p>
      <w:pPr>
        <w:pStyle w:val="BodyText"/>
        <w:spacing w:line="319" w:lineRule="auto" w:before="44"/>
        <w:ind w:right="1130"/>
        <w:jc w:val="both"/>
      </w:pPr>
      <w:r>
        <w:rPr>
          <w:spacing w:val="-2"/>
        </w:rPr>
        <w:t>号）文件精神，公司控股股东华工创投计划自</w:t>
      </w:r>
      <w:r>
        <w:rPr>
          <w:rFonts w:ascii="宋体" w:hAnsi="宋体" w:cs="宋体" w:eastAsia="宋体" w:hint="default"/>
          <w:spacing w:val="-2"/>
        </w:rPr>
        <w:t>2015</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17</w:t>
      </w:r>
      <w:r>
        <w:rPr>
          <w:spacing w:val="-2"/>
        </w:rPr>
        <w:t>日（公司股票复牌之日）起</w:t>
      </w:r>
      <w:r>
        <w:rPr>
          <w:rFonts w:ascii="宋体" w:hAnsi="宋体" w:cs="宋体" w:eastAsia="宋体" w:hint="default"/>
          <w:spacing w:val="-2"/>
        </w:rPr>
        <w:t>6</w:t>
      </w:r>
      <w:r>
        <w:rPr>
          <w:spacing w:val="-2"/>
        </w:rPr>
        <w:t>个月内，通过深圳证券交易所交易系</w:t>
      </w:r>
      <w:r>
        <w:rPr>
          <w:spacing w:val="-59"/>
        </w:rPr>
        <w:t> </w:t>
      </w:r>
      <w:r>
        <w:rPr>
          <w:spacing w:val="-59"/>
        </w:rPr>
      </w:r>
      <w:r>
        <w:rPr>
          <w:spacing w:val="-2"/>
        </w:rPr>
        <w:t>统增持公司股票，累计增持金额不低于</w:t>
      </w:r>
      <w:r>
        <w:rPr>
          <w:rFonts w:ascii="宋体" w:hAnsi="宋体" w:cs="宋体" w:eastAsia="宋体" w:hint="default"/>
          <w:spacing w:val="-2"/>
        </w:rPr>
        <w:t>2,000</w:t>
      </w:r>
      <w:r>
        <w:rPr>
          <w:spacing w:val="-2"/>
        </w:rPr>
        <w:t>万元，并承诺在增持期间及增持计划完成后</w:t>
      </w:r>
      <w:r>
        <w:rPr>
          <w:rFonts w:ascii="宋体" w:hAnsi="宋体" w:cs="宋体" w:eastAsia="宋体" w:hint="default"/>
          <w:spacing w:val="-2"/>
        </w:rPr>
        <w:t>6</w:t>
      </w:r>
      <w:r>
        <w:rPr>
          <w:spacing w:val="-2"/>
        </w:rPr>
        <w:t>个月内不减持公司股份（详见公司</w:t>
      </w:r>
      <w:r>
        <w:rPr>
          <w:spacing w:val="-60"/>
        </w:rPr>
        <w:t> </w:t>
      </w:r>
      <w:r>
        <w:rPr>
          <w:spacing w:val="-60"/>
        </w:rPr>
      </w:r>
      <w:r>
        <w:rPr>
          <w:spacing w:val="-5"/>
        </w:rPr>
        <w:t>于</w:t>
      </w:r>
      <w:r>
        <w:rPr>
          <w:rFonts w:ascii="宋体" w:hAnsi="宋体" w:cs="宋体" w:eastAsia="宋体" w:hint="default"/>
          <w:spacing w:val="-5"/>
        </w:rPr>
        <w:t>2015</w:t>
      </w:r>
      <w:r>
        <w:rPr>
          <w:spacing w:val="-5"/>
        </w:rPr>
        <w:t>年</w:t>
      </w:r>
      <w:r>
        <w:rPr>
          <w:rFonts w:ascii="宋体" w:hAnsi="宋体" w:cs="宋体" w:eastAsia="宋体" w:hint="default"/>
          <w:spacing w:val="-5"/>
        </w:rPr>
        <w:t>7</w:t>
      </w:r>
      <w:r>
        <w:rPr>
          <w:spacing w:val="-5"/>
        </w:rPr>
        <w:t>月</w:t>
      </w:r>
      <w:r>
        <w:rPr>
          <w:rFonts w:ascii="宋体" w:hAnsi="宋体" w:cs="宋体" w:eastAsia="宋体" w:hint="default"/>
          <w:spacing w:val="-5"/>
        </w:rPr>
        <w:t>9</w:t>
      </w:r>
      <w:r>
        <w:rPr>
          <w:spacing w:val="-5"/>
        </w:rPr>
        <w:t>日在中国证监会指定信息披露网站上披露的《关于公司控股股东增持公司股票计划的公告》）。华工创投于</w:t>
      </w:r>
      <w:r>
        <w:rPr>
          <w:rFonts w:ascii="宋体" w:hAnsi="宋体" w:cs="宋体" w:eastAsia="宋体" w:hint="default"/>
          <w:spacing w:val="-5"/>
        </w:rPr>
        <w:t>2015</w:t>
      </w:r>
      <w:r>
        <w:rPr>
          <w:rFonts w:ascii="宋体" w:hAnsi="宋体" w:cs="宋体" w:eastAsia="宋体" w:hint="default"/>
          <w:spacing w:val="-56"/>
        </w:rPr>
        <w:t> </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31</w:t>
      </w:r>
      <w:r>
        <w:rPr>
          <w:spacing w:val="-2"/>
        </w:rPr>
        <w:t>日通过深圳证券交易所交易系统增持公司股份</w:t>
      </w:r>
      <w:r>
        <w:rPr>
          <w:rFonts w:ascii="宋体" w:hAnsi="宋体" w:cs="宋体" w:eastAsia="宋体" w:hint="default"/>
          <w:spacing w:val="-2"/>
        </w:rPr>
        <w:t>107.27</w:t>
      </w:r>
      <w:r>
        <w:rPr>
          <w:spacing w:val="-2"/>
        </w:rPr>
        <w:t>万股，增持金额为</w:t>
      </w:r>
      <w:r>
        <w:rPr>
          <w:rFonts w:ascii="宋体" w:hAnsi="宋体" w:cs="宋体" w:eastAsia="宋体" w:hint="default"/>
          <w:spacing w:val="-2"/>
        </w:rPr>
        <w:t>2,003.40</w:t>
      </w:r>
      <w:r>
        <w:rPr>
          <w:spacing w:val="-2"/>
        </w:rPr>
        <w:t>万元（详见公司分别于</w:t>
      </w:r>
      <w:r>
        <w:rPr>
          <w:rFonts w:ascii="宋体" w:hAnsi="宋体" w:cs="宋体" w:eastAsia="宋体" w:hint="default"/>
          <w:spacing w:val="-2"/>
        </w:rPr>
        <w:t>2015</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31</w:t>
      </w:r>
      <w:r>
        <w:rPr>
          <w:rFonts w:ascii="宋体" w:hAnsi="宋体" w:cs="宋体" w:eastAsia="宋体" w:hint="default"/>
          <w:spacing w:val="-40"/>
        </w:rPr>
        <w:t> </w:t>
      </w:r>
      <w:r>
        <w:rPr/>
        <w:t>日和</w:t>
      </w:r>
      <w:r>
        <w:rPr>
          <w:rFonts w:ascii="宋体" w:hAnsi="宋体" w:cs="宋体" w:eastAsia="宋体" w:hint="default"/>
        </w:rPr>
        <w:t>2016</w:t>
      </w:r>
      <w:r>
        <w:rPr/>
        <w:t>年</w:t>
      </w:r>
      <w:r>
        <w:rPr>
          <w:rFonts w:ascii="宋体" w:hAnsi="宋体" w:cs="宋体" w:eastAsia="宋体" w:hint="default"/>
        </w:rPr>
        <w:t>1</w:t>
      </w:r>
      <w:r>
        <w:rPr/>
        <w:t>月</w:t>
      </w:r>
      <w:r>
        <w:rPr>
          <w:rFonts w:ascii="宋体" w:hAnsi="宋体" w:cs="宋体" w:eastAsia="宋体" w:hint="default"/>
        </w:rPr>
        <w:t>18</w:t>
      </w:r>
      <w:r>
        <w:rPr/>
        <w:t>日在中国证监会指定信息披露网站上披露的《关于公司控股股东增持公司股份的公告》、《关于控股股东 增持公司股份计划期限届满的公告》及《关于公司控股股东及其一致行动人持股情况的说明》）。</w:t>
      </w:r>
    </w:p>
    <w:p>
      <w:pPr>
        <w:pStyle w:val="BodyText"/>
        <w:spacing w:line="319" w:lineRule="auto" w:before="55"/>
        <w:ind w:right="1141" w:firstLine="360"/>
        <w:jc w:val="both"/>
      </w:pPr>
      <w:r>
        <w:rPr/>
        <w:t>经</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9</w:t>
      </w:r>
      <w:r>
        <w:rPr/>
        <w:t>日召开的公司</w:t>
      </w:r>
      <w:r>
        <w:rPr>
          <w:rFonts w:ascii="宋体" w:hAnsi="宋体" w:cs="宋体" w:eastAsia="宋体" w:hint="default"/>
        </w:rPr>
        <w:t>2015</w:t>
      </w:r>
      <w:r>
        <w:rPr/>
        <w:t>年第一次临时股东大会审议通过，公司因业务需要对公司章程有关经营范围的条款进 行修改，增加“防伪票证的开发、生产、销售；集成电路卡及集成电路卡读写机的开发、生产、销售”。</w:t>
      </w:r>
    </w:p>
    <w:p>
      <w:pPr>
        <w:pStyle w:val="BodyText"/>
        <w:spacing w:line="319" w:lineRule="auto" w:before="56"/>
        <w:ind w:right="1131" w:firstLine="360"/>
        <w:jc w:val="both"/>
      </w:pPr>
      <w:r>
        <w:rPr>
          <w:spacing w:val="-2"/>
        </w:rPr>
        <w:t>鉴于公司存放于平安银行股份有限公司武汉分行、兴业银行股份有限公司武汉中南支行的募集资金专户资金已全部使用</w:t>
      </w:r>
      <w:r>
        <w:rPr/>
        <w:t> </w:t>
      </w:r>
      <w:r>
        <w:rPr>
          <w:spacing w:val="-2"/>
        </w:rPr>
        <w:t>完毕，公司于</w:t>
      </w: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月注销了上述专户。公司首次公开发行股票的募集资金专户全部注销完毕（详见公司于</w:t>
      </w: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30</w:t>
      </w:r>
      <w:r>
        <w:rPr>
          <w:rFonts w:ascii="宋体" w:hAnsi="宋体" w:cs="宋体" w:eastAsia="宋体" w:hint="default"/>
          <w:spacing w:val="-52"/>
        </w:rPr>
        <w:t> </w:t>
      </w:r>
      <w:r>
        <w:rPr/>
        <w:t>日在中国证监会指定信息披露网站上披露的《关于注销募集资金专户的公告》）。</w:t>
      </w:r>
    </w:p>
    <w:p>
      <w:pPr>
        <w:spacing w:line="240" w:lineRule="auto" w:before="6"/>
        <w:rPr>
          <w:rFonts w:ascii="宋体" w:hAnsi="宋体" w:cs="宋体" w:eastAsia="宋体" w:hint="default"/>
          <w:sz w:val="20"/>
          <w:szCs w:val="20"/>
        </w:rPr>
      </w:pPr>
    </w:p>
    <w:p>
      <w:pPr>
        <w:pStyle w:val="Heading2"/>
        <w:spacing w:line="240" w:lineRule="auto"/>
        <w:ind w:right="0"/>
        <w:jc w:val="both"/>
        <w:rPr>
          <w:b w:val="0"/>
          <w:bCs w:val="0"/>
        </w:rPr>
      </w:pPr>
      <w:bookmarkStart w:name="十八、公司子公司重大事项" w:id="95"/>
      <w:bookmarkEnd w:id="95"/>
      <w:r>
        <w:rPr>
          <w:b w:val="0"/>
          <w:bCs w:val="0"/>
        </w:rPr>
      </w:r>
      <w:r>
        <w:rPr/>
        <w:t>十八、公司子公司重大事项</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493" w:right="1118" w:hanging="360"/>
        <w:jc w:val="left"/>
      </w:pPr>
      <w:r>
        <w:rPr/>
        <w:t>√ 适用 □ 不适用 </w:t>
      </w:r>
      <w:r>
        <w:rPr>
          <w:spacing w:val="-5"/>
        </w:rPr>
        <w:t>公司以自有资金</w:t>
      </w:r>
      <w:r>
        <w:rPr>
          <w:rFonts w:ascii="宋体" w:hAnsi="宋体" w:cs="宋体" w:eastAsia="宋体" w:hint="default"/>
          <w:spacing w:val="-5"/>
        </w:rPr>
        <w:t>700</w:t>
      </w:r>
      <w:r>
        <w:rPr>
          <w:spacing w:val="-5"/>
        </w:rPr>
        <w:t>万元投资设立聚联网络（其余股东为聚联网络公司员工）。聚联网络于</w:t>
      </w:r>
      <w:r>
        <w:rPr>
          <w:rFonts w:ascii="宋体" w:hAnsi="宋体" w:cs="宋体" w:eastAsia="宋体" w:hint="default"/>
          <w:spacing w:val="-5"/>
        </w:rPr>
        <w:t>2015</w:t>
      </w:r>
      <w:r>
        <w:rPr>
          <w:spacing w:val="-5"/>
        </w:rPr>
        <w:t>年</w:t>
      </w:r>
      <w:r>
        <w:rPr>
          <w:rFonts w:ascii="宋体" w:hAnsi="宋体" w:cs="宋体" w:eastAsia="宋体" w:hint="default"/>
          <w:spacing w:val="-5"/>
        </w:rPr>
        <w:t>5</w:t>
      </w:r>
      <w:r>
        <w:rPr>
          <w:spacing w:val="-5"/>
        </w:rPr>
        <w:t>月完成工商注册登记，</w:t>
      </w:r>
    </w:p>
    <w:p>
      <w:pPr>
        <w:pStyle w:val="BodyText"/>
        <w:spacing w:line="224" w:lineRule="exact"/>
        <w:ind w:right="0"/>
        <w:jc w:val="both"/>
      </w:pPr>
      <w:r>
        <w:rPr/>
        <w:t>注册资本为</w:t>
      </w:r>
      <w:r>
        <w:rPr>
          <w:rFonts w:ascii="宋体" w:hAnsi="宋体" w:cs="宋体" w:eastAsia="宋体" w:hint="default"/>
        </w:rPr>
        <w:t>1,000</w:t>
      </w:r>
      <w:r>
        <w:rPr/>
        <w:t>万元，公司出资比例为</w:t>
      </w:r>
      <w:r>
        <w:rPr>
          <w:rFonts w:ascii="宋体" w:hAnsi="宋体" w:cs="宋体" w:eastAsia="宋体" w:hint="default"/>
        </w:rPr>
        <w:t>70%</w:t>
      </w:r>
      <w:r>
        <w:rPr/>
        <w:t>。聚联网络面向银行、银行的个人和企业客户、商户提供基于移动互联网的产品</w:t>
      </w:r>
    </w:p>
    <w:p>
      <w:pPr>
        <w:pStyle w:val="BodyText"/>
        <w:spacing w:line="240" w:lineRule="auto" w:before="77"/>
        <w:ind w:right="0"/>
        <w:jc w:val="both"/>
      </w:pPr>
      <w:r>
        <w:rPr/>
        <w:t>和服务。</w:t>
      </w:r>
    </w:p>
    <w:p>
      <w:pPr>
        <w:pStyle w:val="BodyText"/>
        <w:spacing w:line="319" w:lineRule="auto" w:before="115"/>
        <w:ind w:right="1131" w:firstLine="360"/>
        <w:jc w:val="both"/>
      </w:pPr>
      <w:r>
        <w:rPr/>
        <w:t>公司子公司天喻通讯员工股权激励事项详见“第五节</w:t>
      </w:r>
      <w:r>
        <w:rPr>
          <w:spacing w:val="4"/>
        </w:rPr>
        <w:t> </w:t>
      </w:r>
      <w:r>
        <w:rPr>
          <w:spacing w:val="-3"/>
        </w:rPr>
        <w:t>重要事项</w:t>
      </w:r>
      <w:r>
        <w:rPr>
          <w:rFonts w:ascii="宋体" w:hAnsi="宋体" w:cs="宋体" w:eastAsia="宋体" w:hint="default"/>
          <w:spacing w:val="-3"/>
        </w:rPr>
        <w:t>/</w:t>
      </w:r>
      <w:r>
        <w:rPr>
          <w:spacing w:val="-3"/>
        </w:rPr>
        <w:t>十四、公司股权激励计划、员工持股计划或其他员工激</w:t>
      </w:r>
      <w:r>
        <w:rPr/>
        <w:t> 励措施的实施情况”。</w:t>
      </w:r>
    </w:p>
    <w:p>
      <w:pPr>
        <w:pStyle w:val="BodyText"/>
        <w:spacing w:line="319" w:lineRule="auto" w:before="56"/>
        <w:ind w:right="1130" w:firstLine="360"/>
        <w:jc w:val="both"/>
      </w:pPr>
      <w:r>
        <w:rPr>
          <w:spacing w:val="-2"/>
        </w:rPr>
        <w:t>公司以自有资金</w:t>
      </w:r>
      <w:r>
        <w:rPr>
          <w:rFonts w:ascii="宋体" w:hAnsi="宋体" w:cs="宋体" w:eastAsia="宋体" w:hint="default"/>
          <w:spacing w:val="-2"/>
        </w:rPr>
        <w:t>490</w:t>
      </w:r>
      <w:r>
        <w:rPr>
          <w:spacing w:val="-2"/>
        </w:rPr>
        <w:t>万元与福建教育杂志社共同投资设立福建中教，从事福建省教育云平台的运营。福建中教于</w:t>
      </w:r>
      <w:r>
        <w:rPr>
          <w:rFonts w:ascii="宋体" w:hAnsi="宋体" w:cs="宋体" w:eastAsia="宋体" w:hint="default"/>
          <w:spacing w:val="-2"/>
        </w:rPr>
        <w:t>2015</w:t>
      </w:r>
      <w:r>
        <w:rPr>
          <w:spacing w:val="-2"/>
        </w:rPr>
        <w:t>年</w:t>
      </w:r>
      <w:r>
        <w:rPr>
          <w:rFonts w:ascii="宋体" w:hAnsi="宋体" w:cs="宋体" w:eastAsia="宋体" w:hint="default"/>
          <w:spacing w:val="-2"/>
        </w:rPr>
        <w:t>9</w:t>
      </w:r>
      <w:r>
        <w:rPr>
          <w:rFonts w:ascii="宋体" w:hAnsi="宋体" w:cs="宋体" w:eastAsia="宋体" w:hint="default"/>
        </w:rPr>
        <w:t> </w:t>
      </w:r>
      <w:r>
        <w:rPr/>
        <w:t>月完成工商注册登记，注册资本为</w:t>
      </w:r>
      <w:r>
        <w:rPr>
          <w:rFonts w:ascii="宋体" w:hAnsi="宋体" w:cs="宋体" w:eastAsia="宋体" w:hint="default"/>
        </w:rPr>
        <w:t>1,000</w:t>
      </w:r>
      <w:r>
        <w:rPr/>
        <w:t>万元，公司出资比例为</w:t>
      </w:r>
      <w:r>
        <w:rPr>
          <w:rFonts w:ascii="宋体" w:hAnsi="宋体" w:cs="宋体" w:eastAsia="宋体" w:hint="default"/>
        </w:rPr>
        <w:t>49%</w:t>
      </w:r>
      <w:r>
        <w:rPr/>
        <w:t>。</w:t>
      </w:r>
    </w:p>
    <w:p>
      <w:pPr>
        <w:pStyle w:val="BodyText"/>
        <w:spacing w:line="319" w:lineRule="auto" w:before="56"/>
        <w:ind w:right="1131" w:firstLine="360"/>
        <w:jc w:val="both"/>
      </w:pPr>
      <w:r>
        <w:rPr/>
        <w:t>公司以自有资金</w:t>
      </w:r>
      <w:r>
        <w:rPr>
          <w:rFonts w:ascii="宋体" w:hAnsi="宋体" w:cs="宋体" w:eastAsia="宋体" w:hint="default"/>
        </w:rPr>
        <w:t>366</w:t>
      </w:r>
      <w:r>
        <w:rPr/>
        <w:t>万元认购子公司湖北百旺新增注册资本</w:t>
      </w:r>
      <w:r>
        <w:rPr>
          <w:rFonts w:ascii="宋体" w:hAnsi="宋体" w:cs="宋体" w:eastAsia="宋体" w:hint="default"/>
        </w:rPr>
        <w:t>300</w:t>
      </w:r>
      <w:r>
        <w:rPr/>
        <w:t>万元，湖北百旺员工（股权激励对象）以自有资金</w:t>
      </w:r>
      <w:r>
        <w:rPr>
          <w:rFonts w:ascii="宋体" w:hAnsi="宋体" w:cs="宋体" w:eastAsia="宋体" w:hint="default"/>
        </w:rPr>
        <w:t>244</w:t>
      </w:r>
      <w:r>
        <w:rPr/>
        <w:t>万 </w:t>
      </w:r>
      <w:r>
        <w:rPr>
          <w:spacing w:val="-2"/>
        </w:rPr>
        <w:t>元认购湖北百旺新增注册资本</w:t>
      </w:r>
      <w:r>
        <w:rPr>
          <w:rFonts w:ascii="宋体" w:hAnsi="宋体" w:cs="宋体" w:eastAsia="宋体" w:hint="default"/>
          <w:spacing w:val="-2"/>
        </w:rPr>
        <w:t>200</w:t>
      </w:r>
      <w:r>
        <w:rPr>
          <w:spacing w:val="-2"/>
        </w:rPr>
        <w:t>万元。湖北百旺注册资本由</w:t>
      </w:r>
      <w:r>
        <w:rPr>
          <w:rFonts w:ascii="宋体" w:hAnsi="宋体" w:cs="宋体" w:eastAsia="宋体" w:hint="default"/>
          <w:spacing w:val="-2"/>
        </w:rPr>
        <w:t>500</w:t>
      </w:r>
      <w:r>
        <w:rPr>
          <w:spacing w:val="-2"/>
        </w:rPr>
        <w:t>万元增加至</w:t>
      </w:r>
      <w:r>
        <w:rPr>
          <w:rFonts w:ascii="宋体" w:hAnsi="宋体" w:cs="宋体" w:eastAsia="宋体" w:hint="default"/>
          <w:spacing w:val="-2"/>
        </w:rPr>
        <w:t>1,000</w:t>
      </w:r>
      <w:r>
        <w:rPr>
          <w:spacing w:val="-2"/>
        </w:rPr>
        <w:t>万元，公司出资比例为</w:t>
      </w:r>
      <w:r>
        <w:rPr>
          <w:rFonts w:ascii="宋体" w:hAnsi="宋体" w:cs="宋体" w:eastAsia="宋体" w:hint="default"/>
          <w:spacing w:val="-2"/>
        </w:rPr>
        <w:t>80%</w:t>
      </w:r>
      <w:r>
        <w:rPr>
          <w:spacing w:val="-2"/>
        </w:rPr>
        <w:t>，激励对象出资</w:t>
      </w:r>
      <w:r>
        <w:rPr>
          <w:spacing w:val="-52"/>
        </w:rPr>
        <w:t> </w:t>
      </w:r>
      <w:r>
        <w:rPr>
          <w:spacing w:val="-52"/>
        </w:rPr>
      </w:r>
      <w:r>
        <w:rPr/>
        <w:t>比例合计为</w:t>
      </w:r>
      <w:r>
        <w:rPr>
          <w:rFonts w:ascii="宋体" w:hAnsi="宋体" w:cs="宋体" w:eastAsia="宋体" w:hint="default"/>
        </w:rPr>
        <w:t>20%</w:t>
      </w:r>
      <w:r>
        <w:rPr/>
        <w:t>。湖北百旺于</w:t>
      </w:r>
      <w:r>
        <w:rPr>
          <w:rFonts w:ascii="宋体" w:hAnsi="宋体" w:cs="宋体" w:eastAsia="宋体" w:hint="default"/>
        </w:rPr>
        <w:t>2015</w:t>
      </w:r>
      <w:r>
        <w:rPr/>
        <w:t>年</w:t>
      </w:r>
      <w:r>
        <w:rPr>
          <w:rFonts w:ascii="宋体" w:hAnsi="宋体" w:cs="宋体" w:eastAsia="宋体" w:hint="default"/>
        </w:rPr>
        <w:t>12</w:t>
      </w:r>
      <w:r>
        <w:rPr/>
        <w:t>月完成了本次增资的工商变更登记（详见公司于</w:t>
      </w:r>
      <w:r>
        <w:rPr>
          <w:rFonts w:ascii="宋体" w:hAnsi="宋体" w:cs="宋体" w:eastAsia="宋体" w:hint="default"/>
        </w:rPr>
        <w:t>2016</w:t>
      </w:r>
      <w:r>
        <w:rPr/>
        <w:t>年</w:t>
      </w:r>
      <w:r>
        <w:rPr>
          <w:rFonts w:ascii="宋体" w:hAnsi="宋体" w:cs="宋体" w:eastAsia="宋体" w:hint="default"/>
        </w:rPr>
        <w:t>1</w:t>
      </w:r>
      <w:r>
        <w:rPr/>
        <w:t>月</w:t>
      </w:r>
      <w:r>
        <w:rPr>
          <w:rFonts w:ascii="宋体" w:hAnsi="宋体" w:cs="宋体" w:eastAsia="宋体" w:hint="default"/>
        </w:rPr>
        <w:t>8</w:t>
      </w:r>
      <w:r>
        <w:rPr/>
        <w:t>日在中国证监会指定信息 披露网站披露的《关于子公司湖北百旺金赋科技有限公司完成工商变更登记的公告》）。</w:t>
      </w:r>
    </w:p>
    <w:p>
      <w:pPr>
        <w:pStyle w:val="BodyText"/>
        <w:spacing w:line="319" w:lineRule="auto" w:before="55"/>
        <w:ind w:right="0" w:firstLine="360"/>
        <w:jc w:val="left"/>
      </w:pPr>
      <w:r>
        <w:rPr/>
        <w:t>公司子公司天喻通讯主要业务转变且聚焦为以国家教育信息化为背景的在线教育业务，天喻通讯将其公司名称变更为 </w:t>
      </w:r>
      <w:r>
        <w:rPr>
          <w:spacing w:val="-2"/>
        </w:rPr>
        <w:t>“武汉天喻教育科技有限公司”，同时对其经营范围进行了变更，</w:t>
      </w:r>
      <w:r>
        <w:rPr>
          <w:rFonts w:ascii="宋体" w:hAnsi="宋体" w:cs="宋体" w:eastAsia="宋体" w:hint="default"/>
          <w:spacing w:val="-2"/>
        </w:rPr>
        <w:t>2016</w:t>
      </w:r>
      <w:r>
        <w:rPr>
          <w:spacing w:val="-2"/>
        </w:rPr>
        <w:t>年</w:t>
      </w:r>
      <w:r>
        <w:rPr>
          <w:rFonts w:ascii="宋体" w:hAnsi="宋体" w:cs="宋体" w:eastAsia="宋体" w:hint="default"/>
          <w:spacing w:val="-2"/>
        </w:rPr>
        <w:t>1</w:t>
      </w:r>
      <w:r>
        <w:rPr>
          <w:spacing w:val="-2"/>
        </w:rPr>
        <w:t>月完成了相关工商变更登记（详见公司于</w:t>
      </w:r>
      <w:r>
        <w:rPr>
          <w:rFonts w:ascii="宋体" w:hAnsi="宋体" w:cs="宋体" w:eastAsia="宋体" w:hint="default"/>
          <w:spacing w:val="-2"/>
        </w:rPr>
        <w:t>2016</w:t>
      </w:r>
      <w:r>
        <w:rPr>
          <w:spacing w:val="-2"/>
        </w:rPr>
        <w:t>年</w:t>
      </w:r>
      <w:r>
        <w:rPr>
          <w:rFonts w:ascii="宋体" w:hAnsi="宋体" w:cs="宋体" w:eastAsia="宋体" w:hint="default"/>
          <w:spacing w:val="-2"/>
        </w:rPr>
        <w:t>1</w:t>
      </w:r>
      <w:r>
        <w:rPr>
          <w:rFonts w:ascii="宋体" w:hAnsi="宋体" w:cs="宋体" w:eastAsia="宋体" w:hint="default"/>
          <w:spacing w:val="-56"/>
        </w:rPr>
        <w:t> </w:t>
      </w:r>
      <w:r>
        <w:rPr/>
        <w:t>月</w:t>
      </w:r>
      <w:r>
        <w:rPr>
          <w:rFonts w:ascii="宋体" w:hAnsi="宋体" w:cs="宋体" w:eastAsia="宋体" w:hint="default"/>
        </w:rPr>
        <w:t>26</w:t>
      </w:r>
      <w:r>
        <w:rPr/>
        <w:t>日在中国证监会指定信息披露网站披露的《关于子公司变更公司名称和经营范围的公告》）。</w:t>
      </w:r>
    </w:p>
    <w:p>
      <w:pPr>
        <w:spacing w:line="240" w:lineRule="auto" w:before="7"/>
        <w:rPr>
          <w:rFonts w:ascii="宋体" w:hAnsi="宋体" w:cs="宋体" w:eastAsia="宋体" w:hint="default"/>
          <w:sz w:val="20"/>
          <w:szCs w:val="20"/>
        </w:rPr>
      </w:pPr>
    </w:p>
    <w:p>
      <w:pPr>
        <w:pStyle w:val="Heading2"/>
        <w:spacing w:line="240" w:lineRule="auto"/>
        <w:ind w:right="0"/>
        <w:jc w:val="both"/>
        <w:rPr>
          <w:b w:val="0"/>
          <w:bCs w:val="0"/>
        </w:rPr>
      </w:pPr>
      <w:bookmarkStart w:name="十九、社会责任情况" w:id="96"/>
      <w:bookmarkEnd w:id="96"/>
      <w:r>
        <w:rPr>
          <w:b w:val="0"/>
          <w:bCs w:val="0"/>
        </w:rPr>
      </w:r>
      <w:r>
        <w:rPr/>
        <w:t>十九、社会责任情况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1493" w:right="1118" w:hanging="360"/>
        <w:jc w:val="left"/>
      </w:pPr>
      <w:r>
        <w:rPr/>
        <w:t>√ 适用 □ 不适用 </w:t>
      </w:r>
      <w:r>
        <w:rPr>
          <w:spacing w:val="-6"/>
        </w:rPr>
        <w:t>公司积极践行社会责任，依法开展各项经营活动；不断健全公司制度体系，完善法人治理结构；认真履行信息披露职责，</w:t>
      </w:r>
    </w:p>
    <w:p>
      <w:pPr>
        <w:pStyle w:val="BodyText"/>
        <w:spacing w:line="224" w:lineRule="exact"/>
        <w:ind w:right="0"/>
        <w:jc w:val="both"/>
      </w:pPr>
      <w:r>
        <w:rPr/>
        <w:t>积极落实现金分红政策，切实保护投资者权益；秉承“以客户为中心”的理念，做好产品开发、技术创新和客户服务，努力</w:t>
      </w:r>
    </w:p>
    <w:p>
      <w:pPr>
        <w:pStyle w:val="BodyText"/>
        <w:spacing w:line="316" w:lineRule="auto" w:before="76"/>
        <w:ind w:right="1129"/>
        <w:jc w:val="both"/>
      </w:pPr>
      <w:r>
        <w:rPr>
          <w:spacing w:val="-2"/>
        </w:rPr>
        <w:t>提升客户满意度；注重保护员工劳动权益，对员工进行持续培训，采取多项措施改善员工工作环境；积极开展节能工作，倡</w:t>
      </w:r>
      <w:r>
        <w:rPr>
          <w:spacing w:val="-66"/>
        </w:rPr>
        <w:t> </w:t>
      </w:r>
      <w:r>
        <w:rPr>
          <w:spacing w:val="-66"/>
        </w:rPr>
      </w:r>
      <w:r>
        <w:rPr>
          <w:spacing w:val="-2"/>
        </w:rPr>
        <w:t>导文明、节约、绿色、低碳的生产和办公方式；积极参与社会公益事业，组织员工参与湖北省春辉助学基金会的工作，并在</w:t>
      </w:r>
      <w:r>
        <w:rPr>
          <w:spacing w:val="-68"/>
        </w:rPr>
        <w:t> </w:t>
      </w:r>
      <w:r>
        <w:rPr>
          <w:spacing w:val="-68"/>
        </w:rPr>
      </w:r>
      <w:r>
        <w:rPr/>
        <w:t>武汉市开展了爱心助学活动。</w:t>
      </w:r>
    </w:p>
    <w:p>
      <w:pPr>
        <w:pStyle w:val="BodyText"/>
        <w:spacing w:line="240" w:lineRule="auto" w:before="140"/>
        <w:ind w:right="0"/>
        <w:jc w:val="both"/>
      </w:pPr>
      <w:r>
        <w:rPr/>
        <w:t>上市公司及其子公司是否属于国家环境保护部门规定的重污染行业</w:t>
      </w:r>
    </w:p>
    <w:p>
      <w:pPr>
        <w:pStyle w:val="BodyText"/>
        <w:spacing w:line="240" w:lineRule="auto" w:before="116"/>
        <w:ind w:right="0"/>
        <w:jc w:val="both"/>
      </w:pPr>
      <w:r>
        <w:rPr/>
        <w:t>□ 是 √ 否</w:t>
      </w:r>
    </w:p>
    <w:p>
      <w:pPr>
        <w:spacing w:after="0" w:line="240" w:lineRule="auto"/>
        <w:jc w:val="both"/>
        <w:sectPr>
          <w:pgSz w:w="11910" w:h="16840"/>
          <w:pgMar w:header="877" w:footer="1187" w:top="1100" w:bottom="1380" w:left="0" w:right="0"/>
        </w:sectPr>
      </w:pPr>
    </w:p>
    <w:p>
      <w:pPr>
        <w:spacing w:line="240" w:lineRule="auto" w:before="8"/>
        <w:rPr>
          <w:rFonts w:ascii="宋体" w:hAnsi="宋体" w:cs="宋体" w:eastAsia="宋体" w:hint="default"/>
          <w:sz w:val="19"/>
          <w:szCs w:val="19"/>
        </w:rPr>
      </w:pPr>
    </w:p>
    <w:p>
      <w:pPr>
        <w:pStyle w:val="Heading2"/>
        <w:spacing w:line="240" w:lineRule="auto" w:before="26"/>
        <w:ind w:right="0"/>
        <w:jc w:val="left"/>
        <w:rPr>
          <w:b w:val="0"/>
          <w:bCs w:val="0"/>
        </w:rPr>
      </w:pPr>
      <w:bookmarkStart w:name="二十、公司债券相关情况" w:id="97"/>
      <w:bookmarkEnd w:id="97"/>
      <w:r>
        <w:rPr>
          <w:b w:val="0"/>
          <w:bCs w:val="0"/>
        </w:rPr>
      </w:r>
      <w:r>
        <w:rPr/>
        <w:t>二十、公司债券相关情况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公司是否存在公开发行并在证券交易所上市，且在年度报告批准报出日未到期或到期未能全额兑付的公司债券</w:t>
      </w:r>
    </w:p>
    <w:p>
      <w:pPr>
        <w:pStyle w:val="BodyText"/>
        <w:spacing w:line="240" w:lineRule="auto" w:before="116"/>
        <w:ind w:right="0"/>
        <w:jc w:val="left"/>
      </w:pPr>
      <w:r>
        <w:rPr/>
        <w:t>□ 是 √ 否</w:t>
      </w:r>
    </w:p>
    <w:p>
      <w:pPr>
        <w:spacing w:after="0" w:line="240" w:lineRule="auto"/>
        <w:jc w:val="left"/>
        <w:sectPr>
          <w:pgSz w:w="11910" w:h="16840"/>
          <w:pgMar w:header="877" w:footer="1187" w:top="1100" w:bottom="138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945" w:right="0"/>
        <w:jc w:val="left"/>
        <w:rPr>
          <w:b w:val="0"/>
          <w:bCs w:val="0"/>
        </w:rPr>
      </w:pPr>
      <w:bookmarkStart w:name="第六节 股份变动及股东情况" w:id="98"/>
      <w:bookmarkEnd w:id="98"/>
      <w:r>
        <w:rPr>
          <w:b w:val="0"/>
          <w:bCs w:val="0"/>
        </w:rPr>
      </w:r>
      <w:bookmarkStart w:name="_bookmark5" w:id="99"/>
      <w:bookmarkEnd w:id="99"/>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0"/>
      <w:bookmarkEnd w:id="100"/>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股份变动情况" w:id="101"/>
      <w:bookmarkEnd w:id="101"/>
      <w:r>
        <w:rPr>
          <w:b w:val="0"/>
          <w:bCs w:val="0"/>
        </w:rPr>
      </w:r>
      <w:r>
        <w:rPr>
          <w:rFonts w:ascii="宋体" w:hAnsi="宋体" w:cs="宋体" w:eastAsia="宋体" w:hint="default"/>
        </w:rPr>
        <w:t>1</w:t>
      </w:r>
      <w:r>
        <w:rPr/>
        <w:t>、股份变动情况</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310"/>
        <w:jc w:val="right"/>
      </w:pPr>
      <w:r>
        <w:rPr/>
        <w:t>单位：股</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844"/>
        <w:gridCol w:w="1276"/>
        <w:gridCol w:w="710"/>
        <w:gridCol w:w="568"/>
        <w:gridCol w:w="566"/>
        <w:gridCol w:w="708"/>
        <w:gridCol w:w="851"/>
        <w:gridCol w:w="851"/>
        <w:gridCol w:w="1405"/>
        <w:gridCol w:w="796"/>
      </w:tblGrid>
      <w:tr>
        <w:trPr>
          <w:trHeight w:val="402" w:hRule="exact"/>
        </w:trPr>
        <w:tc>
          <w:tcPr>
            <w:tcW w:w="18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3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54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76"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22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45"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4" w:hRule="exact"/>
        </w:trPr>
        <w:tc>
          <w:tcPr>
            <w:tcW w:w="1844" w:type="dxa"/>
            <w:vMerge/>
            <w:tcBorders>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98" w:right="97"/>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67" w:right="78"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5,286,616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1.23%</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86,570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86,570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5,373,186</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1.25%</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其他内资持股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5,286,616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1.23%</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86,570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86,570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5,373,186</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1.25%</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5,286,616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1.23%</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86,570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86,570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5,373,186</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1.25%</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424,769,384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98.77%</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-86,570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-86,570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424,682,814</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98.75%</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424,769,384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98.77%</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-86,570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-86,570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424,682,814</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98.75%</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430,056,000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430,056,000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w:t>
            </w:r>
          </w:p>
        </w:tc>
      </w:tr>
    </w:tbl>
    <w:p>
      <w:pPr>
        <w:spacing w:line="240" w:lineRule="auto" w:before="9"/>
        <w:rPr>
          <w:rFonts w:ascii="宋体" w:hAnsi="宋体" w:cs="宋体" w:eastAsia="宋体" w:hint="default"/>
          <w:sz w:val="6"/>
          <w:szCs w:val="6"/>
        </w:rPr>
      </w:pPr>
    </w:p>
    <w:p>
      <w:pPr>
        <w:pStyle w:val="BodyText"/>
        <w:spacing w:line="240" w:lineRule="auto" w:before="44"/>
        <w:ind w:left="1134" w:right="0"/>
        <w:jc w:val="left"/>
      </w:pPr>
      <w:r>
        <w:rPr/>
        <w:t>股份变动的原因</w:t>
      </w:r>
    </w:p>
    <w:p>
      <w:pPr>
        <w:pStyle w:val="BodyText"/>
        <w:spacing w:line="240" w:lineRule="auto" w:before="116"/>
        <w:ind w:right="0"/>
        <w:jc w:val="left"/>
      </w:pPr>
      <w:r>
        <w:rPr/>
        <w:t>√ 适用 □ 不适用</w:t>
      </w:r>
    </w:p>
    <w:p>
      <w:pPr>
        <w:pStyle w:val="BodyText"/>
        <w:spacing w:line="319" w:lineRule="auto" w:before="116"/>
        <w:ind w:right="1123" w:firstLine="360"/>
        <w:jc w:val="left"/>
      </w:pPr>
      <w:r>
        <w:rPr/>
        <w:t>（</w:t>
      </w:r>
      <w:r>
        <w:rPr>
          <w:rFonts w:ascii="宋体" w:hAnsi="宋体" w:cs="宋体" w:eastAsia="宋体" w:hint="default"/>
        </w:rPr>
        <w:t>1</w:t>
      </w:r>
      <w:r>
        <w:rPr/>
        <w:t>）</w:t>
      </w:r>
      <w:r>
        <w:rPr>
          <w:rFonts w:ascii="宋体" w:hAnsi="宋体" w:cs="宋体" w:eastAsia="宋体" w:hint="default"/>
        </w:rPr>
        <w:t>2015</w:t>
      </w:r>
      <w:r>
        <w:rPr/>
        <w:t>年</w:t>
      </w:r>
      <w:r>
        <w:rPr>
          <w:rFonts w:ascii="宋体" w:hAnsi="宋体" w:cs="宋体" w:eastAsia="宋体" w:hint="default"/>
        </w:rPr>
        <w:t>2</w:t>
      </w:r>
      <w:r>
        <w:rPr/>
        <w:t>月</w:t>
      </w:r>
      <w:r>
        <w:rPr>
          <w:rFonts w:ascii="宋体" w:hAnsi="宋体" w:cs="宋体" w:eastAsia="宋体" w:hint="default"/>
        </w:rPr>
        <w:t>17</w:t>
      </w:r>
      <w:r>
        <w:rPr/>
        <w:t>日公司原高级管理人员王宜明持有的</w:t>
      </w:r>
      <w:r>
        <w:rPr>
          <w:rFonts w:ascii="宋体" w:hAnsi="宋体" w:cs="宋体" w:eastAsia="宋体" w:hint="default"/>
        </w:rPr>
        <w:t>121,600</w:t>
      </w:r>
      <w:r>
        <w:rPr/>
        <w:t>股有限售条件股份因离任限售期满转为无限售条件流通 股；</w:t>
      </w:r>
    </w:p>
    <w:p>
      <w:pPr>
        <w:pStyle w:val="BodyText"/>
        <w:spacing w:line="319" w:lineRule="auto" w:before="55"/>
        <w:ind w:right="0" w:firstLine="360"/>
        <w:jc w:val="left"/>
      </w:pPr>
      <w:r>
        <w:rPr>
          <w:spacing w:val="-2"/>
        </w:rPr>
        <w:t>（</w:t>
      </w:r>
      <w:r>
        <w:rPr>
          <w:rFonts w:ascii="宋体" w:hAnsi="宋体" w:cs="宋体" w:eastAsia="宋体" w:hint="default"/>
          <w:spacing w:val="-2"/>
        </w:rPr>
        <w:t>2</w:t>
      </w:r>
      <w:r>
        <w:rPr>
          <w:spacing w:val="-2"/>
        </w:rPr>
        <w:t>）</w:t>
      </w: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21</w:t>
      </w:r>
      <w:r>
        <w:rPr>
          <w:spacing w:val="-2"/>
        </w:rPr>
        <w:t>日公司原高级管理人员刘春不再担任公司总经理职务，其持有的</w:t>
      </w:r>
      <w:r>
        <w:rPr>
          <w:rFonts w:ascii="宋体" w:hAnsi="宋体" w:cs="宋体" w:eastAsia="宋体" w:hint="default"/>
          <w:spacing w:val="-2"/>
        </w:rPr>
        <w:t>208,170</w:t>
      </w:r>
      <w:r>
        <w:rPr>
          <w:spacing w:val="-2"/>
        </w:rPr>
        <w:t>股无限售条件流通股在离职</w:t>
      </w:r>
      <w:r>
        <w:rPr/>
        <w:t> 后半年内不得转让，转为有限售条件股份。</w:t>
      </w:r>
    </w:p>
    <w:p>
      <w:pPr>
        <w:pStyle w:val="BodyText"/>
        <w:spacing w:line="240" w:lineRule="auto" w:before="136"/>
        <w:ind w:right="0"/>
        <w:jc w:val="left"/>
      </w:pPr>
      <w:r>
        <w:rPr/>
        <w:t>股份变动的批准情况</w:t>
      </w:r>
    </w:p>
    <w:p>
      <w:pPr>
        <w:pStyle w:val="BodyText"/>
        <w:spacing w:line="439" w:lineRule="auto" w:before="117"/>
        <w:ind w:left="1134" w:right="9132"/>
        <w:jc w:val="left"/>
      </w:pPr>
      <w:r>
        <w:rPr/>
        <w:t>□ 适用 √ 不适用 股份变动的过户情况</w:t>
      </w:r>
    </w:p>
    <w:p>
      <w:pPr>
        <w:pStyle w:val="BodyText"/>
        <w:spacing w:line="203" w:lineRule="exact"/>
        <w:ind w:left="1134" w:right="0"/>
        <w:jc w:val="left"/>
      </w:pPr>
      <w:r>
        <w:rPr/>
        <w:t>□ 适用 √ 不适用</w:t>
      </w:r>
    </w:p>
    <w:p>
      <w:pPr>
        <w:spacing w:line="240" w:lineRule="auto" w:before="12"/>
        <w:rPr>
          <w:rFonts w:ascii="宋体" w:hAnsi="宋体" w:cs="宋体" w:eastAsia="宋体" w:hint="default"/>
          <w:sz w:val="14"/>
          <w:szCs w:val="14"/>
        </w:rPr>
      </w:pPr>
    </w:p>
    <w:p>
      <w:pPr>
        <w:pStyle w:val="BodyText"/>
        <w:spacing w:line="240" w:lineRule="auto"/>
        <w:ind w:left="1134" w:right="0"/>
        <w:jc w:val="left"/>
      </w:pPr>
      <w:r>
        <w:rPr/>
        <w:t>股份变动对最近一年和最近一期基本每股收益和稀释每股收益、归属于公司普通股股东的每股净资产等财务指标的影响</w:t>
      </w:r>
    </w:p>
    <w:p>
      <w:pPr>
        <w:pStyle w:val="BodyText"/>
        <w:spacing w:line="439" w:lineRule="auto" w:before="117"/>
        <w:ind w:left="1134" w:right="6792"/>
        <w:jc w:val="left"/>
      </w:pPr>
      <w:r>
        <w:rPr/>
        <w:t>□ 适用 √ 不适用 公司认为必要或证券监管机构要求披露的其他内容</w:t>
      </w:r>
    </w:p>
    <w:p>
      <w:pPr>
        <w:pStyle w:val="BodyText"/>
        <w:spacing w:line="203" w:lineRule="exact"/>
        <w:ind w:left="1134"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left="1134" w:right="0"/>
        <w:jc w:val="left"/>
        <w:rPr>
          <w:b w:val="0"/>
          <w:bCs w:val="0"/>
        </w:rPr>
      </w:pPr>
      <w:bookmarkStart w:name="2、限售股份变动情况" w:id="102"/>
      <w:bookmarkEnd w:id="102"/>
      <w:r>
        <w:rPr>
          <w:b w:val="0"/>
          <w:bCs w:val="0"/>
        </w:rPr>
      </w:r>
      <w:r>
        <w:rPr>
          <w:rFonts w:ascii="宋体" w:hAnsi="宋体" w:cs="宋体" w:eastAsia="宋体" w:hint="default"/>
        </w:rPr>
        <w:t>2</w:t>
      </w:r>
      <w:r>
        <w:rPr/>
        <w:t>、限售股份变动情况</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1134" w:right="0"/>
        <w:jc w:val="left"/>
      </w:pPr>
      <w:r>
        <w:rPr/>
        <w:t>√ 适用 □ 不适用</w:t>
      </w:r>
    </w:p>
    <w:p>
      <w:pPr>
        <w:pStyle w:val="BodyText"/>
        <w:spacing w:line="240" w:lineRule="auto" w:before="117"/>
        <w:ind w:left="0" w:right="1310"/>
        <w:jc w:val="right"/>
      </w:pPr>
      <w:r>
        <w:rPr/>
        <w:t>单位：股</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134"/>
        <w:gridCol w:w="1276"/>
        <w:gridCol w:w="1560"/>
        <w:gridCol w:w="1555"/>
        <w:gridCol w:w="1279"/>
        <w:gridCol w:w="1276"/>
        <w:gridCol w:w="1489"/>
      </w:tblGrid>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5" w:right="0"/>
              <w:jc w:val="left"/>
              <w:rPr>
                <w:rFonts w:ascii="宋体" w:hAnsi="宋体" w:cs="宋体" w:eastAsia="宋体" w:hint="default"/>
                <w:sz w:val="18"/>
                <w:szCs w:val="18"/>
              </w:rPr>
            </w:pPr>
            <w:r>
              <w:rPr>
                <w:rFonts w:ascii="宋体" w:hAnsi="宋体" w:cs="宋体" w:eastAsia="宋体" w:hint="default"/>
                <w:sz w:val="18"/>
                <w:szCs w:val="18"/>
              </w:rPr>
              <w:t>本期解除限售股数</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2" w:right="0"/>
              <w:jc w:val="left"/>
              <w:rPr>
                <w:rFonts w:ascii="宋体" w:hAnsi="宋体" w:cs="宋体" w:eastAsia="宋体" w:hint="default"/>
                <w:sz w:val="18"/>
                <w:szCs w:val="18"/>
              </w:rPr>
            </w:pPr>
            <w:r>
              <w:rPr>
                <w:rFonts w:ascii="宋体" w:hAnsi="宋体" w:cs="宋体" w:eastAsia="宋体" w:hint="default"/>
                <w:sz w:val="18"/>
                <w:szCs w:val="18"/>
              </w:rPr>
              <w:t>本期增加限售股数</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0"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bl>
    <w:p>
      <w:pPr>
        <w:spacing w:after="0" w:line="240" w:lineRule="auto"/>
        <w:jc w:val="left"/>
        <w:rPr>
          <w:rFonts w:ascii="宋体" w:hAnsi="宋体" w:cs="宋体" w:eastAsia="宋体" w:hint="default"/>
          <w:sz w:val="18"/>
          <w:szCs w:val="18"/>
        </w:rPr>
        <w:sectPr>
          <w:pgSz w:w="11910" w:h="16840"/>
          <w:pgMar w:header="877" w:footer="1187" w:top="1100" w:bottom="138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134"/>
        <w:gridCol w:w="1276"/>
        <w:gridCol w:w="1560"/>
        <w:gridCol w:w="1555"/>
        <w:gridCol w:w="1279"/>
        <w:gridCol w:w="1276"/>
        <w:gridCol w:w="1489"/>
      </w:tblGrid>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张新访</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4,064,782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4,064,782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高管限售</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刘春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624,510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208,170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832,680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离任高管限售</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江绥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475,724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475,724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高管限售</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王宜明</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121,600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121,600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离任高管限售</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5,286,616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121,600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208,170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5,373,186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二、证券发行与上市情况" w:id="103"/>
      <w:bookmarkEnd w:id="103"/>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证券发行（不含优先股）情况" w:id="104"/>
      <w:bookmarkEnd w:id="104"/>
      <w:r>
        <w:rPr>
          <w:b w:val="0"/>
          <w:bCs w:val="0"/>
        </w:rPr>
      </w:r>
      <w:r>
        <w:rPr>
          <w:rFonts w:ascii="宋体" w:hAnsi="宋体" w:cs="宋体" w:eastAsia="宋体" w:hint="default"/>
        </w:rPr>
        <w:t>1</w:t>
      </w:r>
      <w:r>
        <w:rPr/>
        <w:t>、报告期内证券发行（不含优先股）情况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left="1134" w:right="0"/>
        <w:jc w:val="left"/>
        <w:rPr>
          <w:b w:val="0"/>
          <w:bCs w:val="0"/>
        </w:rPr>
      </w:pPr>
      <w:bookmarkStart w:name="2、公司股份总数及股东结构的变动、公司资产和负债结构的变动情况说明" w:id="105"/>
      <w:bookmarkEnd w:id="105"/>
      <w:r>
        <w:rPr>
          <w:b w:val="0"/>
          <w:bCs w:val="0"/>
        </w:rPr>
      </w:r>
      <w:r>
        <w:rPr>
          <w:rFonts w:ascii="宋体" w:hAnsi="宋体" w:cs="宋体" w:eastAsia="宋体" w:hint="default"/>
        </w:rPr>
        <w:t>2</w:t>
      </w:r>
      <w:r>
        <w:rPr/>
        <w:t>、公司股份总数及股东结构的变动、公司资产和负债结构的变动情况说明</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1134"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left="1134" w:right="0"/>
        <w:jc w:val="left"/>
        <w:rPr>
          <w:b w:val="0"/>
          <w:bCs w:val="0"/>
        </w:rPr>
      </w:pPr>
      <w:bookmarkStart w:name="3、现存的内部职工股情况" w:id="106"/>
      <w:bookmarkEnd w:id="106"/>
      <w:r>
        <w:rPr>
          <w:b w:val="0"/>
          <w:bCs w:val="0"/>
        </w:rPr>
      </w:r>
      <w:r>
        <w:rPr>
          <w:rFonts w:ascii="宋体" w:hAnsi="宋体" w:cs="宋体" w:eastAsia="宋体" w:hint="default"/>
        </w:rPr>
        <w:t>3</w:t>
      </w:r>
      <w:r>
        <w:rPr/>
        <w:t>、现存的内部职工股情况</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1134"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left="1134" w:right="0"/>
        <w:jc w:val="left"/>
        <w:rPr>
          <w:b w:val="0"/>
          <w:bCs w:val="0"/>
        </w:rPr>
      </w:pPr>
      <w:bookmarkStart w:name="三、股东和实际控制人情况" w:id="107"/>
      <w:bookmarkEnd w:id="107"/>
      <w:r>
        <w:rPr>
          <w:b w:val="0"/>
          <w:bCs w:val="0"/>
        </w:rPr>
      </w:r>
      <w:r>
        <w:rPr/>
        <w:t>三、股东和实际控制人情况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公司股东数量及持股情况" w:id="108"/>
      <w:bookmarkEnd w:id="108"/>
      <w:r>
        <w:rPr>
          <w:b w:val="0"/>
          <w:bCs w:val="0"/>
        </w:rPr>
      </w:r>
      <w:r>
        <w:rPr>
          <w:rFonts w:ascii="宋体" w:hAnsi="宋体" w:cs="宋体" w:eastAsia="宋体" w:hint="default"/>
        </w:rPr>
        <w:t>1</w:t>
      </w:r>
      <w:r>
        <w:rPr/>
        <w:t>、公司股东数量及持股情况</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310"/>
        <w:jc w:val="right"/>
      </w:pPr>
      <w:r>
        <w:rPr/>
        <w:t>单位：股</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35"/>
        <w:gridCol w:w="650"/>
        <w:gridCol w:w="283"/>
        <w:gridCol w:w="714"/>
        <w:gridCol w:w="704"/>
        <w:gridCol w:w="142"/>
        <w:gridCol w:w="959"/>
        <w:gridCol w:w="175"/>
        <w:gridCol w:w="992"/>
        <w:gridCol w:w="162"/>
        <w:gridCol w:w="829"/>
        <w:gridCol w:w="234"/>
        <w:gridCol w:w="900"/>
        <w:gridCol w:w="428"/>
        <w:gridCol w:w="424"/>
        <w:gridCol w:w="641"/>
      </w:tblGrid>
      <w:tr>
        <w:trPr>
          <w:trHeight w:val="1338" w:hRule="exact"/>
        </w:trPr>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40"/>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9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27,732</w:t>
            </w:r>
            <w:r>
              <w:rPr>
                <w:rFonts w:ascii="宋体" w:hAnsi="宋体" w:cs="宋体" w:eastAsia="宋体" w:hint="default"/>
                <w:spacing w:val="-46"/>
                <w:sz w:val="18"/>
                <w:szCs w:val="18"/>
              </w:rPr>
              <w:t> </w:t>
            </w:r>
            <w:r>
              <w:rPr>
                <w:rFonts w:ascii="宋体" w:hAnsi="宋体" w:cs="宋体" w:eastAsia="宋体" w:hint="default"/>
                <w:sz w:val="18"/>
                <w:szCs w:val="18"/>
              </w:rPr>
              <w:t>户</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25"/>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03" w:right="0"/>
              <w:jc w:val="left"/>
              <w:rPr>
                <w:rFonts w:ascii="宋体" w:hAnsi="宋体" w:cs="宋体" w:eastAsia="宋体" w:hint="default"/>
                <w:sz w:val="18"/>
                <w:szCs w:val="18"/>
              </w:rPr>
            </w:pPr>
            <w:r>
              <w:rPr>
                <w:rFonts w:ascii="宋体" w:hAnsi="宋体" w:cs="宋体" w:eastAsia="宋体" w:hint="default"/>
                <w:sz w:val="18"/>
                <w:szCs w:val="18"/>
              </w:rPr>
              <w:t>29,308</w:t>
            </w:r>
            <w:r>
              <w:rPr>
                <w:rFonts w:ascii="宋体" w:hAnsi="宋体" w:cs="宋体" w:eastAsia="宋体" w:hint="default"/>
                <w:spacing w:val="-46"/>
                <w:sz w:val="18"/>
                <w:szCs w:val="18"/>
              </w:rPr>
              <w:t> </w:t>
            </w:r>
            <w:r>
              <w:rPr>
                <w:rFonts w:ascii="宋体" w:hAnsi="宋体" w:cs="宋体" w:eastAsia="宋体" w:hint="default"/>
                <w:sz w:val="18"/>
                <w:szCs w:val="18"/>
              </w:rPr>
              <w:t>户</w:t>
            </w:r>
          </w:p>
        </w:tc>
        <w:tc>
          <w:tcPr>
            <w:tcW w:w="13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35"/>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w:t>
            </w:r>
          </w:p>
        </w:tc>
        <w:tc>
          <w:tcPr>
            <w:tcW w:w="10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32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5"/>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tc>
        <w:tc>
          <w:tcPr>
            <w:tcW w:w="10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r>
      <w:tr>
        <w:trPr>
          <w:trHeight w:val="402" w:hRule="exact"/>
        </w:trPr>
        <w:tc>
          <w:tcPr>
            <w:tcW w:w="9574" w:type="dxa"/>
            <w:gridSpan w:val="1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094"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名股东持股情况</w:t>
            </w:r>
          </w:p>
        </w:tc>
      </w:tr>
      <w:tr>
        <w:trPr>
          <w:trHeight w:val="402" w:hRule="exact"/>
        </w:trPr>
        <w:tc>
          <w:tcPr>
            <w:tcW w:w="1985"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26"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997"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3"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46"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7"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134" w:type="dxa"/>
            <w:gridSpan w:val="2"/>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91" w:right="110"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0" w:right="41"/>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991" w:type="dxa"/>
            <w:gridSpan w:val="2"/>
            <w:vMerge w:val="restart"/>
            <w:tcBorders>
              <w:top w:val="single" w:sz="4" w:space="0" w:color="000000"/>
              <w:left w:val="single" w:sz="4" w:space="0" w:color="000000"/>
              <w:right w:val="single" w:sz="4" w:space="0" w:color="000000"/>
            </w:tcBorders>
          </w:tcPr>
          <w:p>
            <w:pPr>
              <w:pStyle w:val="TableParagraph"/>
              <w:spacing w:line="319" w:lineRule="auto" w:before="51"/>
              <w:ind w:left="40" w:right="38"/>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1134" w:type="dxa"/>
            <w:gridSpan w:val="2"/>
            <w:vMerge w:val="restart"/>
            <w:tcBorders>
              <w:top w:val="single" w:sz="4" w:space="0" w:color="000000"/>
              <w:left w:val="single" w:sz="4" w:space="0" w:color="000000"/>
              <w:right w:val="single" w:sz="4" w:space="0" w:color="000000"/>
            </w:tcBorders>
          </w:tcPr>
          <w:p>
            <w:pPr>
              <w:pStyle w:val="TableParagraph"/>
              <w:spacing w:line="319" w:lineRule="auto" w:before="51"/>
              <w:ind w:left="113" w:right="109"/>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4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1"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1985" w:type="dxa"/>
            <w:gridSpan w:val="2"/>
            <w:vMerge/>
            <w:tcBorders>
              <w:left w:val="single" w:sz="4" w:space="0" w:color="000000"/>
              <w:bottom w:val="single" w:sz="4" w:space="0" w:color="000000"/>
              <w:right w:val="single" w:sz="4" w:space="0" w:color="000000"/>
            </w:tcBorders>
          </w:tcPr>
          <w:p>
            <w:pPr/>
          </w:p>
        </w:tc>
        <w:tc>
          <w:tcPr>
            <w:tcW w:w="997" w:type="dxa"/>
            <w:gridSpan w:val="2"/>
            <w:vMerge/>
            <w:tcBorders>
              <w:left w:val="single" w:sz="4" w:space="0" w:color="000000"/>
              <w:bottom w:val="single" w:sz="4" w:space="0" w:color="000000"/>
              <w:right w:val="single" w:sz="4" w:space="0" w:color="000000"/>
            </w:tcBorders>
          </w:tcPr>
          <w:p>
            <w:pPr/>
          </w:p>
        </w:tc>
        <w:tc>
          <w:tcPr>
            <w:tcW w:w="846" w:type="dxa"/>
            <w:gridSpan w:val="2"/>
            <w:vMerge/>
            <w:tcBorders>
              <w:left w:val="single" w:sz="4" w:space="0" w:color="000000"/>
              <w:bottom w:val="single" w:sz="4" w:space="0" w:color="000000"/>
              <w:right w:val="single" w:sz="4" w:space="0" w:color="000000"/>
            </w:tcBorders>
          </w:tcPr>
          <w:p>
            <w:pPr/>
          </w:p>
        </w:tc>
        <w:tc>
          <w:tcPr>
            <w:tcW w:w="1134" w:type="dxa"/>
            <w:gridSpan w:val="2"/>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91" w:type="dxa"/>
            <w:gridSpan w:val="2"/>
            <w:vMerge/>
            <w:tcBorders>
              <w:left w:val="single" w:sz="4" w:space="0" w:color="000000"/>
              <w:bottom w:val="single" w:sz="4" w:space="0" w:color="000000"/>
              <w:right w:val="single" w:sz="4" w:space="0" w:color="000000"/>
            </w:tcBorders>
          </w:tcPr>
          <w:p>
            <w:pPr/>
          </w:p>
        </w:tc>
        <w:tc>
          <w:tcPr>
            <w:tcW w:w="1134" w:type="dxa"/>
            <w:gridSpan w:val="2"/>
            <w:vMerge/>
            <w:tcBorders>
              <w:left w:val="single" w:sz="4" w:space="0" w:color="000000"/>
              <w:bottom w:val="single" w:sz="4" w:space="0" w:color="000000"/>
              <w:right w:val="single" w:sz="4" w:space="0" w:color="000000"/>
            </w:tcBorders>
          </w:tcPr>
          <w:p>
            <w:pP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武汉华工创业投资有限 责任公司</w:t>
            </w:r>
          </w:p>
        </w:tc>
        <w:tc>
          <w:tcPr>
            <w:tcW w:w="997"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2"/>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8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sz w:val="18"/>
              </w:rPr>
              <w:t>26.14%</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sz w:val="18"/>
              </w:rPr>
              <w:t>112,401,129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1,072,721</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sz w:val="18"/>
              </w:rPr>
              <w:t>112,401,129</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武汉光谷风险投资基金 有限公司</w:t>
            </w:r>
          </w:p>
        </w:tc>
        <w:tc>
          <w:tcPr>
            <w:tcW w:w="9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sz w:val="18"/>
              </w:rPr>
              <w:t>16.81%</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sz w:val="18"/>
              </w:rPr>
              <w:t>72,287,710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sz w:val="18"/>
              </w:rPr>
              <w:t>72,287,710</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武汉华中科技大产业集 团有限公司</w:t>
            </w:r>
          </w:p>
        </w:tc>
        <w:tc>
          <w:tcPr>
            <w:tcW w:w="9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2" w:right="0"/>
              <w:jc w:val="left"/>
              <w:rPr>
                <w:rFonts w:ascii="宋体" w:hAnsi="宋体" w:cs="宋体" w:eastAsia="宋体" w:hint="default"/>
                <w:sz w:val="18"/>
                <w:szCs w:val="18"/>
              </w:rPr>
            </w:pPr>
            <w:r>
              <w:rPr>
                <w:rFonts w:ascii="宋体"/>
                <w:sz w:val="18"/>
              </w:rPr>
              <w:t>5.68%</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sz w:val="18"/>
              </w:rPr>
              <w:t>24,431,582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sz w:val="18"/>
              </w:rPr>
              <w:t>24,431,582</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张新访</w:t>
            </w:r>
          </w:p>
        </w:tc>
        <w:tc>
          <w:tcPr>
            <w:tcW w:w="9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2" w:right="0"/>
              <w:jc w:val="left"/>
              <w:rPr>
                <w:rFonts w:ascii="宋体" w:hAnsi="宋体" w:cs="宋体" w:eastAsia="宋体" w:hint="default"/>
                <w:sz w:val="18"/>
                <w:szCs w:val="18"/>
              </w:rPr>
            </w:pPr>
            <w:r>
              <w:rPr>
                <w:rFonts w:ascii="宋体"/>
                <w:sz w:val="18"/>
              </w:rPr>
              <w:t>1.26%</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0" w:right="0"/>
              <w:jc w:val="left"/>
              <w:rPr>
                <w:rFonts w:ascii="宋体" w:hAnsi="宋体" w:cs="宋体" w:eastAsia="宋体" w:hint="default"/>
                <w:sz w:val="18"/>
                <w:szCs w:val="18"/>
              </w:rPr>
            </w:pPr>
            <w:r>
              <w:rPr>
                <w:rFonts w:ascii="宋体"/>
                <w:sz w:val="18"/>
              </w:rPr>
              <w:t>5,419,710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8" w:right="0"/>
              <w:jc w:val="left"/>
              <w:rPr>
                <w:rFonts w:ascii="宋体" w:hAnsi="宋体" w:cs="宋体" w:eastAsia="宋体" w:hint="default"/>
                <w:sz w:val="18"/>
                <w:szCs w:val="18"/>
              </w:rPr>
            </w:pPr>
            <w:r>
              <w:rPr>
                <w:rFonts w:ascii="宋体"/>
                <w:sz w:val="18"/>
              </w:rPr>
              <w:t>4,064,782</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2" w:right="0"/>
              <w:jc w:val="left"/>
              <w:rPr>
                <w:rFonts w:ascii="宋体" w:hAnsi="宋体" w:cs="宋体" w:eastAsia="宋体" w:hint="default"/>
                <w:sz w:val="18"/>
                <w:szCs w:val="18"/>
              </w:rPr>
            </w:pPr>
            <w:r>
              <w:rPr>
                <w:rFonts w:ascii="宋体"/>
                <w:sz w:val="18"/>
              </w:rPr>
              <w:t>1,354,928</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中国工商银行股份有限</w:t>
            </w:r>
          </w:p>
        </w:tc>
        <w:tc>
          <w:tcPr>
            <w:tcW w:w="9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2" w:right="0"/>
              <w:jc w:val="left"/>
              <w:rPr>
                <w:rFonts w:ascii="宋体" w:hAnsi="宋体" w:cs="宋体" w:eastAsia="宋体" w:hint="default"/>
                <w:sz w:val="18"/>
                <w:szCs w:val="18"/>
              </w:rPr>
            </w:pPr>
            <w:r>
              <w:rPr>
                <w:rFonts w:ascii="宋体"/>
                <w:sz w:val="18"/>
              </w:rPr>
              <w:t>0.80%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0" w:right="0"/>
              <w:jc w:val="left"/>
              <w:rPr>
                <w:rFonts w:ascii="宋体" w:hAnsi="宋体" w:cs="宋体" w:eastAsia="宋体" w:hint="default"/>
                <w:sz w:val="18"/>
                <w:szCs w:val="18"/>
              </w:rPr>
            </w:pPr>
            <w:r>
              <w:rPr>
                <w:rFonts w:ascii="宋体"/>
                <w:sz w:val="18"/>
              </w:rPr>
              <w:t>3,448,482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3,448,482</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2" w:right="0"/>
              <w:jc w:val="left"/>
              <w:rPr>
                <w:rFonts w:ascii="宋体" w:hAnsi="宋体" w:cs="宋体" w:eastAsia="宋体" w:hint="default"/>
                <w:sz w:val="18"/>
                <w:szCs w:val="18"/>
              </w:rPr>
            </w:pPr>
            <w:r>
              <w:rPr>
                <w:rFonts w:ascii="宋体"/>
                <w:sz w:val="18"/>
              </w:rPr>
              <w:t>3,448,482</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87" w:top="1100" w:bottom="138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985"/>
        <w:gridCol w:w="997"/>
        <w:gridCol w:w="846"/>
        <w:gridCol w:w="1134"/>
        <w:gridCol w:w="992"/>
        <w:gridCol w:w="955"/>
        <w:gridCol w:w="1170"/>
        <w:gridCol w:w="144"/>
        <w:gridCol w:w="708"/>
        <w:gridCol w:w="641"/>
      </w:tblGrid>
      <w:tr>
        <w:trPr>
          <w:trHeight w:val="67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50"/>
              <w:jc w:val="left"/>
              <w:rPr>
                <w:rFonts w:ascii="宋体" w:hAnsi="宋体" w:cs="宋体" w:eastAsia="宋体" w:hint="default"/>
                <w:sz w:val="18"/>
                <w:szCs w:val="18"/>
              </w:rPr>
            </w:pPr>
            <w:r>
              <w:rPr>
                <w:rFonts w:ascii="宋体" w:hAnsi="宋体" w:cs="宋体" w:eastAsia="宋体" w:hint="default"/>
                <w:sz w:val="18"/>
                <w:szCs w:val="18"/>
              </w:rPr>
              <w:t>公司－诺安新经济股票 型证券投资基金</w:t>
            </w:r>
          </w:p>
        </w:tc>
        <w:tc>
          <w:tcPr>
            <w:tcW w:w="997"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王敏</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0.52%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2,250,689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-21,240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
              <w:jc w:val="right"/>
              <w:rPr>
                <w:rFonts w:ascii="宋体" w:hAnsi="宋体" w:cs="宋体" w:eastAsia="宋体" w:hint="default"/>
                <w:sz w:val="18"/>
                <w:szCs w:val="18"/>
              </w:rPr>
            </w:pPr>
            <w:r>
              <w:rPr>
                <w:rFonts w:ascii="宋体"/>
                <w:sz w:val="18"/>
              </w:rPr>
              <w:t>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2,250,689</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0"/>
              <w:jc w:val="both"/>
              <w:rPr>
                <w:rFonts w:ascii="宋体" w:hAnsi="宋体" w:cs="宋体" w:eastAsia="宋体" w:hint="default"/>
                <w:sz w:val="18"/>
                <w:szCs w:val="18"/>
              </w:rPr>
            </w:pPr>
            <w:r>
              <w:rPr>
                <w:rFonts w:ascii="宋体" w:hAnsi="宋体" w:cs="宋体" w:eastAsia="宋体" w:hint="default"/>
                <w:sz w:val="18"/>
                <w:szCs w:val="18"/>
              </w:rPr>
              <w:t>中国建设银行股份有限 公司－华宝兴业事件驱 动混合型证券投资基金</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z w:val="18"/>
              </w:rPr>
              <w:t>0.47%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1,999,978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1,999,978</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4"/>
              <w:jc w:val="right"/>
              <w:rPr>
                <w:rFonts w:ascii="宋体" w:hAnsi="宋体" w:cs="宋体" w:eastAsia="宋体" w:hint="default"/>
                <w:sz w:val="18"/>
                <w:szCs w:val="18"/>
              </w:rPr>
            </w:pPr>
            <w:r>
              <w:rPr>
                <w:rFonts w:ascii="宋体"/>
                <w:sz w:val="18"/>
              </w:rPr>
              <w:t>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1,999,978</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向文</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0.45%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1,936,800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6,800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
              <w:jc w:val="right"/>
              <w:rPr>
                <w:rFonts w:ascii="宋体" w:hAnsi="宋体" w:cs="宋体" w:eastAsia="宋体" w:hint="default"/>
                <w:sz w:val="18"/>
                <w:szCs w:val="18"/>
              </w:rPr>
            </w:pPr>
            <w:r>
              <w:rPr>
                <w:rFonts w:ascii="宋体"/>
                <w:sz w:val="18"/>
              </w:rPr>
              <w:t>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1,936,800</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丰和价值证券投资基金</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0.35%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1,521,972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1,521,972</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
              <w:jc w:val="right"/>
              <w:rPr>
                <w:rFonts w:ascii="宋体" w:hAnsi="宋体" w:cs="宋体" w:eastAsia="宋体" w:hint="default"/>
                <w:sz w:val="18"/>
                <w:szCs w:val="18"/>
              </w:rPr>
            </w:pPr>
            <w:r>
              <w:rPr>
                <w:rFonts w:ascii="宋体"/>
                <w:sz w:val="18"/>
              </w:rPr>
              <w:t>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1,521,972</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0"/>
              <w:jc w:val="both"/>
              <w:rPr>
                <w:rFonts w:ascii="宋体" w:hAnsi="宋体" w:cs="宋体" w:eastAsia="宋体" w:hint="default"/>
                <w:sz w:val="18"/>
                <w:szCs w:val="18"/>
              </w:rPr>
            </w:pPr>
            <w:r>
              <w:rPr>
                <w:rFonts w:ascii="宋体" w:hAnsi="宋体" w:cs="宋体" w:eastAsia="宋体" w:hint="default"/>
                <w:sz w:val="18"/>
                <w:szCs w:val="18"/>
              </w:rPr>
              <w:t>中国建设银行股份有限 公司－富国创业板指数 分级证券投资基金</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z w:val="18"/>
              </w:rPr>
              <w:t>0.35%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1,513,078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406,831</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4"/>
              <w:jc w:val="right"/>
              <w:rPr>
                <w:rFonts w:ascii="宋体" w:hAnsi="宋体" w:cs="宋体" w:eastAsia="宋体" w:hint="default"/>
                <w:sz w:val="18"/>
                <w:szCs w:val="18"/>
              </w:rPr>
            </w:pPr>
            <w:r>
              <w:rPr>
                <w:rFonts w:ascii="宋体"/>
                <w:sz w:val="18"/>
              </w:rPr>
              <w:t>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1,513,078</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战略投资者或一般法人因配售新股成 为前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名股东的情况</w:t>
            </w:r>
          </w:p>
        </w:tc>
        <w:tc>
          <w:tcPr>
            <w:tcW w:w="659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29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659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华工创投和产业集团受同一实际控制人华中科技大学控制。</w:t>
            </w:r>
          </w:p>
        </w:tc>
      </w:tr>
      <w:tr>
        <w:trPr>
          <w:trHeight w:val="402" w:hRule="exact"/>
        </w:trPr>
        <w:tc>
          <w:tcPr>
            <w:tcW w:w="957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名无限售条件股东持股情况</w:t>
            </w:r>
          </w:p>
        </w:tc>
      </w:tr>
      <w:tr>
        <w:trPr>
          <w:trHeight w:val="402" w:hRule="exact"/>
        </w:trPr>
        <w:tc>
          <w:tcPr>
            <w:tcW w:w="2982" w:type="dxa"/>
            <w:gridSpan w:val="2"/>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28" w:type="dxa"/>
            <w:gridSpan w:val="4"/>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6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2"/>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2982" w:type="dxa"/>
            <w:gridSpan w:val="2"/>
            <w:vMerge/>
            <w:tcBorders>
              <w:left w:val="single" w:sz="4" w:space="0" w:color="000000"/>
              <w:bottom w:val="single" w:sz="4" w:space="0" w:color="000000"/>
              <w:right w:val="single" w:sz="4" w:space="0" w:color="000000"/>
            </w:tcBorders>
          </w:tcPr>
          <w:p>
            <w:pPr/>
          </w:p>
        </w:tc>
        <w:tc>
          <w:tcPr>
            <w:tcW w:w="3928" w:type="dxa"/>
            <w:gridSpan w:val="4"/>
            <w:vMerge/>
            <w:tcBorders>
              <w:left w:val="single" w:sz="4" w:space="0" w:color="000000"/>
              <w:bottom w:val="single" w:sz="4" w:space="0" w:color="000000"/>
              <w:right w:val="single" w:sz="4" w:space="0" w:color="000000"/>
            </w:tcBorders>
          </w:tcPr>
          <w:p>
            <w:pPr/>
          </w:p>
        </w:tc>
        <w:tc>
          <w:tcPr>
            <w:tcW w:w="13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3"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29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武汉华工创业投资有限责任公司</w:t>
            </w:r>
          </w:p>
        </w:tc>
        <w:tc>
          <w:tcPr>
            <w:tcW w:w="392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6"/>
              <w:jc w:val="right"/>
              <w:rPr>
                <w:rFonts w:ascii="宋体" w:hAnsi="宋体" w:cs="宋体" w:eastAsia="宋体" w:hint="default"/>
                <w:sz w:val="18"/>
                <w:szCs w:val="18"/>
              </w:rPr>
            </w:pPr>
            <w:r>
              <w:rPr>
                <w:rFonts w:ascii="宋体"/>
                <w:sz w:val="18"/>
              </w:rPr>
              <w:t>112,401,129</w:t>
            </w:r>
          </w:p>
        </w:tc>
        <w:tc>
          <w:tcPr>
            <w:tcW w:w="13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5" w:right="0"/>
              <w:jc w:val="left"/>
              <w:rPr>
                <w:rFonts w:ascii="宋体" w:hAnsi="宋体" w:cs="宋体" w:eastAsia="宋体" w:hint="default"/>
                <w:sz w:val="18"/>
                <w:szCs w:val="18"/>
              </w:rPr>
            </w:pPr>
            <w:r>
              <w:rPr>
                <w:rFonts w:ascii="宋体"/>
                <w:sz w:val="18"/>
              </w:rPr>
              <w:t>112,401,129</w:t>
            </w:r>
          </w:p>
        </w:tc>
      </w:tr>
      <w:tr>
        <w:trPr>
          <w:trHeight w:val="402" w:hRule="exact"/>
        </w:trPr>
        <w:tc>
          <w:tcPr>
            <w:tcW w:w="29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武汉光谷风险投资基金有限公司</w:t>
            </w:r>
          </w:p>
        </w:tc>
        <w:tc>
          <w:tcPr>
            <w:tcW w:w="392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6"/>
              <w:jc w:val="right"/>
              <w:rPr>
                <w:rFonts w:ascii="宋体" w:hAnsi="宋体" w:cs="宋体" w:eastAsia="宋体" w:hint="default"/>
                <w:sz w:val="18"/>
                <w:szCs w:val="18"/>
              </w:rPr>
            </w:pPr>
            <w:r>
              <w:rPr>
                <w:rFonts w:ascii="宋体"/>
                <w:sz w:val="18"/>
              </w:rPr>
              <w:t>72,287,710</w:t>
            </w:r>
          </w:p>
        </w:tc>
        <w:tc>
          <w:tcPr>
            <w:tcW w:w="13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5" w:right="0"/>
              <w:jc w:val="left"/>
              <w:rPr>
                <w:rFonts w:ascii="宋体" w:hAnsi="宋体" w:cs="宋体" w:eastAsia="宋体" w:hint="default"/>
                <w:sz w:val="18"/>
                <w:szCs w:val="18"/>
              </w:rPr>
            </w:pPr>
            <w:r>
              <w:rPr>
                <w:rFonts w:ascii="宋体"/>
                <w:sz w:val="18"/>
              </w:rPr>
              <w:t>72,287,710</w:t>
            </w:r>
          </w:p>
        </w:tc>
      </w:tr>
      <w:tr>
        <w:trPr>
          <w:trHeight w:val="402" w:hRule="exact"/>
        </w:trPr>
        <w:tc>
          <w:tcPr>
            <w:tcW w:w="29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武汉华中科技大产业集团有限公司</w:t>
            </w:r>
          </w:p>
        </w:tc>
        <w:tc>
          <w:tcPr>
            <w:tcW w:w="392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6"/>
              <w:jc w:val="right"/>
              <w:rPr>
                <w:rFonts w:ascii="宋体" w:hAnsi="宋体" w:cs="宋体" w:eastAsia="宋体" w:hint="default"/>
                <w:sz w:val="18"/>
                <w:szCs w:val="18"/>
              </w:rPr>
            </w:pPr>
            <w:r>
              <w:rPr>
                <w:rFonts w:ascii="宋体"/>
                <w:sz w:val="18"/>
              </w:rPr>
              <w:t>24,431,582</w:t>
            </w:r>
          </w:p>
        </w:tc>
        <w:tc>
          <w:tcPr>
            <w:tcW w:w="13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5" w:right="0"/>
              <w:jc w:val="left"/>
              <w:rPr>
                <w:rFonts w:ascii="宋体" w:hAnsi="宋体" w:cs="宋体" w:eastAsia="宋体" w:hint="default"/>
                <w:sz w:val="18"/>
                <w:szCs w:val="18"/>
              </w:rPr>
            </w:pPr>
            <w:r>
              <w:rPr>
                <w:rFonts w:ascii="宋体"/>
                <w:sz w:val="18"/>
              </w:rPr>
              <w:t>24,431,582</w:t>
            </w:r>
          </w:p>
        </w:tc>
      </w:tr>
      <w:tr>
        <w:trPr>
          <w:trHeight w:val="714" w:hRule="exact"/>
        </w:trPr>
        <w:tc>
          <w:tcPr>
            <w:tcW w:w="29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中国工商银行股份有限公司－诺安新 经济股票型证券投资基金</w:t>
            </w:r>
          </w:p>
        </w:tc>
        <w:tc>
          <w:tcPr>
            <w:tcW w:w="392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6"/>
              <w:jc w:val="right"/>
              <w:rPr>
                <w:rFonts w:ascii="宋体" w:hAnsi="宋体" w:cs="宋体" w:eastAsia="宋体" w:hint="default"/>
                <w:sz w:val="18"/>
                <w:szCs w:val="18"/>
              </w:rPr>
            </w:pPr>
            <w:r>
              <w:rPr>
                <w:rFonts w:ascii="宋体"/>
                <w:sz w:val="18"/>
              </w:rPr>
              <w:t>3,448,482</w:t>
            </w:r>
          </w:p>
        </w:tc>
        <w:tc>
          <w:tcPr>
            <w:tcW w:w="13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5" w:right="0"/>
              <w:jc w:val="left"/>
              <w:rPr>
                <w:rFonts w:ascii="宋体" w:hAnsi="宋体" w:cs="宋体" w:eastAsia="宋体" w:hint="default"/>
                <w:sz w:val="18"/>
                <w:szCs w:val="18"/>
              </w:rPr>
            </w:pPr>
            <w:r>
              <w:rPr>
                <w:rFonts w:ascii="宋体"/>
                <w:sz w:val="18"/>
              </w:rPr>
              <w:t>3,448,482</w:t>
            </w:r>
          </w:p>
        </w:tc>
      </w:tr>
      <w:tr>
        <w:trPr>
          <w:trHeight w:val="402" w:hRule="exact"/>
        </w:trPr>
        <w:tc>
          <w:tcPr>
            <w:tcW w:w="29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王敏</w:t>
            </w:r>
          </w:p>
        </w:tc>
        <w:tc>
          <w:tcPr>
            <w:tcW w:w="392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6"/>
              <w:jc w:val="right"/>
              <w:rPr>
                <w:rFonts w:ascii="宋体" w:hAnsi="宋体" w:cs="宋体" w:eastAsia="宋体" w:hint="default"/>
                <w:sz w:val="18"/>
                <w:szCs w:val="18"/>
              </w:rPr>
            </w:pPr>
            <w:r>
              <w:rPr>
                <w:rFonts w:ascii="宋体"/>
                <w:sz w:val="18"/>
              </w:rPr>
              <w:t>2,250,689</w:t>
            </w:r>
          </w:p>
        </w:tc>
        <w:tc>
          <w:tcPr>
            <w:tcW w:w="13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5" w:right="0"/>
              <w:jc w:val="left"/>
              <w:rPr>
                <w:rFonts w:ascii="宋体" w:hAnsi="宋体" w:cs="宋体" w:eastAsia="宋体" w:hint="default"/>
                <w:sz w:val="18"/>
                <w:szCs w:val="18"/>
              </w:rPr>
            </w:pPr>
            <w:r>
              <w:rPr>
                <w:rFonts w:ascii="宋体"/>
                <w:sz w:val="18"/>
              </w:rPr>
              <w:t>2,250,689</w:t>
            </w:r>
          </w:p>
        </w:tc>
      </w:tr>
      <w:tr>
        <w:trPr>
          <w:trHeight w:val="714" w:hRule="exact"/>
        </w:trPr>
        <w:tc>
          <w:tcPr>
            <w:tcW w:w="29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中国建设银行股份有限公司－华宝兴 业事件驱动混合型证券投资基金</w:t>
            </w:r>
          </w:p>
        </w:tc>
        <w:tc>
          <w:tcPr>
            <w:tcW w:w="392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6"/>
              <w:jc w:val="right"/>
              <w:rPr>
                <w:rFonts w:ascii="宋体" w:hAnsi="宋体" w:cs="宋体" w:eastAsia="宋体" w:hint="default"/>
                <w:sz w:val="18"/>
                <w:szCs w:val="18"/>
              </w:rPr>
            </w:pPr>
            <w:r>
              <w:rPr>
                <w:rFonts w:ascii="宋体"/>
                <w:sz w:val="18"/>
              </w:rPr>
              <w:t>1,999,978</w:t>
            </w:r>
          </w:p>
        </w:tc>
        <w:tc>
          <w:tcPr>
            <w:tcW w:w="13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5" w:right="0"/>
              <w:jc w:val="left"/>
              <w:rPr>
                <w:rFonts w:ascii="宋体" w:hAnsi="宋体" w:cs="宋体" w:eastAsia="宋体" w:hint="default"/>
                <w:sz w:val="18"/>
                <w:szCs w:val="18"/>
              </w:rPr>
            </w:pPr>
            <w:r>
              <w:rPr>
                <w:rFonts w:ascii="宋体"/>
                <w:sz w:val="18"/>
              </w:rPr>
              <w:t>1,999,978</w:t>
            </w:r>
          </w:p>
        </w:tc>
      </w:tr>
      <w:tr>
        <w:trPr>
          <w:trHeight w:val="402" w:hRule="exact"/>
        </w:trPr>
        <w:tc>
          <w:tcPr>
            <w:tcW w:w="29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向文</w:t>
            </w:r>
          </w:p>
        </w:tc>
        <w:tc>
          <w:tcPr>
            <w:tcW w:w="392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6"/>
              <w:jc w:val="right"/>
              <w:rPr>
                <w:rFonts w:ascii="宋体" w:hAnsi="宋体" w:cs="宋体" w:eastAsia="宋体" w:hint="default"/>
                <w:sz w:val="18"/>
                <w:szCs w:val="18"/>
              </w:rPr>
            </w:pPr>
            <w:r>
              <w:rPr>
                <w:rFonts w:ascii="宋体"/>
                <w:sz w:val="18"/>
              </w:rPr>
              <w:t>1,936,800</w:t>
            </w:r>
          </w:p>
        </w:tc>
        <w:tc>
          <w:tcPr>
            <w:tcW w:w="13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5" w:right="0"/>
              <w:jc w:val="left"/>
              <w:rPr>
                <w:rFonts w:ascii="宋体" w:hAnsi="宋体" w:cs="宋体" w:eastAsia="宋体" w:hint="default"/>
                <w:sz w:val="18"/>
                <w:szCs w:val="18"/>
              </w:rPr>
            </w:pPr>
            <w:r>
              <w:rPr>
                <w:rFonts w:ascii="宋体"/>
                <w:sz w:val="18"/>
              </w:rPr>
              <w:t>1,936,800</w:t>
            </w:r>
          </w:p>
        </w:tc>
      </w:tr>
      <w:tr>
        <w:trPr>
          <w:trHeight w:val="402" w:hRule="exact"/>
        </w:trPr>
        <w:tc>
          <w:tcPr>
            <w:tcW w:w="29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丰和价值证券投资基金</w:t>
            </w:r>
          </w:p>
        </w:tc>
        <w:tc>
          <w:tcPr>
            <w:tcW w:w="392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6"/>
              <w:jc w:val="right"/>
              <w:rPr>
                <w:rFonts w:ascii="宋体" w:hAnsi="宋体" w:cs="宋体" w:eastAsia="宋体" w:hint="default"/>
                <w:sz w:val="18"/>
                <w:szCs w:val="18"/>
              </w:rPr>
            </w:pPr>
            <w:r>
              <w:rPr>
                <w:rFonts w:ascii="宋体"/>
                <w:sz w:val="18"/>
              </w:rPr>
              <w:t>1,521,972</w:t>
            </w:r>
          </w:p>
        </w:tc>
        <w:tc>
          <w:tcPr>
            <w:tcW w:w="13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5" w:right="0"/>
              <w:jc w:val="left"/>
              <w:rPr>
                <w:rFonts w:ascii="宋体" w:hAnsi="宋体" w:cs="宋体" w:eastAsia="宋体" w:hint="default"/>
                <w:sz w:val="18"/>
                <w:szCs w:val="18"/>
              </w:rPr>
            </w:pPr>
            <w:r>
              <w:rPr>
                <w:rFonts w:ascii="宋体"/>
                <w:sz w:val="18"/>
              </w:rPr>
              <w:t>1,521,972</w:t>
            </w:r>
          </w:p>
        </w:tc>
      </w:tr>
      <w:tr>
        <w:trPr>
          <w:trHeight w:val="714" w:hRule="exact"/>
        </w:trPr>
        <w:tc>
          <w:tcPr>
            <w:tcW w:w="29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中国建设银行股份有限公司－富国创 业板指数分级证券投资基金</w:t>
            </w:r>
          </w:p>
        </w:tc>
        <w:tc>
          <w:tcPr>
            <w:tcW w:w="392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6"/>
              <w:jc w:val="right"/>
              <w:rPr>
                <w:rFonts w:ascii="宋体" w:hAnsi="宋体" w:cs="宋体" w:eastAsia="宋体" w:hint="default"/>
                <w:sz w:val="18"/>
                <w:szCs w:val="18"/>
              </w:rPr>
            </w:pPr>
            <w:r>
              <w:rPr>
                <w:rFonts w:ascii="宋体"/>
                <w:sz w:val="18"/>
              </w:rPr>
              <w:t>1,513,078</w:t>
            </w:r>
          </w:p>
        </w:tc>
        <w:tc>
          <w:tcPr>
            <w:tcW w:w="13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5" w:right="0"/>
              <w:jc w:val="left"/>
              <w:rPr>
                <w:rFonts w:ascii="宋体" w:hAnsi="宋体" w:cs="宋体" w:eastAsia="宋体" w:hint="default"/>
                <w:sz w:val="18"/>
                <w:szCs w:val="18"/>
              </w:rPr>
            </w:pPr>
            <w:r>
              <w:rPr>
                <w:rFonts w:ascii="宋体"/>
                <w:sz w:val="18"/>
              </w:rPr>
              <w:t>1,513,078</w:t>
            </w:r>
          </w:p>
        </w:tc>
      </w:tr>
      <w:tr>
        <w:trPr>
          <w:trHeight w:val="402" w:hRule="exact"/>
        </w:trPr>
        <w:tc>
          <w:tcPr>
            <w:tcW w:w="29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张新访</w:t>
            </w:r>
          </w:p>
        </w:tc>
        <w:tc>
          <w:tcPr>
            <w:tcW w:w="392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6"/>
              <w:jc w:val="right"/>
              <w:rPr>
                <w:rFonts w:ascii="宋体" w:hAnsi="宋体" w:cs="宋体" w:eastAsia="宋体" w:hint="default"/>
                <w:sz w:val="18"/>
                <w:szCs w:val="18"/>
              </w:rPr>
            </w:pPr>
            <w:r>
              <w:rPr>
                <w:rFonts w:ascii="宋体"/>
                <w:sz w:val="18"/>
              </w:rPr>
              <w:t>1,354,928</w:t>
            </w:r>
          </w:p>
        </w:tc>
        <w:tc>
          <w:tcPr>
            <w:tcW w:w="13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5" w:right="0"/>
              <w:jc w:val="left"/>
              <w:rPr>
                <w:rFonts w:ascii="宋体" w:hAnsi="宋体" w:cs="宋体" w:eastAsia="宋体" w:hint="default"/>
                <w:sz w:val="18"/>
                <w:szCs w:val="18"/>
              </w:rPr>
            </w:pPr>
            <w:r>
              <w:rPr>
                <w:rFonts w:ascii="宋体"/>
                <w:sz w:val="18"/>
              </w:rPr>
              <w:t>1,354,928</w:t>
            </w:r>
          </w:p>
        </w:tc>
      </w:tr>
      <w:tr>
        <w:trPr>
          <w:trHeight w:val="1026" w:hRule="exact"/>
        </w:trPr>
        <w:tc>
          <w:tcPr>
            <w:tcW w:w="29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0"/>
                <w:sz w:val="18"/>
                <w:szCs w:val="18"/>
              </w:rPr>
              <w:t> </w:t>
            </w:r>
            <w:r>
              <w:rPr>
                <w:rFonts w:ascii="宋体" w:hAnsi="宋体" w:cs="宋体" w:eastAsia="宋体" w:hint="default"/>
                <w:sz w:val="18"/>
                <w:szCs w:val="18"/>
              </w:rPr>
              <w:t>10</w:t>
            </w:r>
            <w:r>
              <w:rPr>
                <w:rFonts w:ascii="宋体" w:hAnsi="宋体" w:cs="宋体" w:eastAsia="宋体" w:hint="default"/>
                <w:spacing w:val="-40"/>
                <w:sz w:val="18"/>
                <w:szCs w:val="18"/>
              </w:rPr>
              <w:t> </w:t>
            </w:r>
            <w:r>
              <w:rPr>
                <w:rFonts w:ascii="宋体" w:hAnsi="宋体" w:cs="宋体" w:eastAsia="宋体" w:hint="default"/>
                <w:spacing w:val="-4"/>
                <w:sz w:val="18"/>
                <w:szCs w:val="18"/>
              </w:rPr>
              <w:t>名无限售流通股股东之间，以及</w:t>
            </w:r>
          </w:p>
          <w:p>
            <w:pPr>
              <w:pStyle w:val="TableParagraph"/>
              <w:spacing w:line="319" w:lineRule="auto" w:before="75"/>
              <w:ind w:left="22" w:right="69"/>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 股东之间关联关系或一致行动的说明</w:t>
            </w:r>
          </w:p>
        </w:tc>
        <w:tc>
          <w:tcPr>
            <w:tcW w:w="659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华工创投和产业集团受同一实际控制人华中科技大学控制。</w:t>
            </w:r>
          </w:p>
        </w:tc>
      </w:tr>
      <w:tr>
        <w:trPr>
          <w:trHeight w:val="714" w:hRule="exact"/>
        </w:trPr>
        <w:tc>
          <w:tcPr>
            <w:tcW w:w="29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tc>
        <w:tc>
          <w:tcPr>
            <w:tcW w:w="6591" w:type="dxa"/>
            <w:gridSpan w:val="8"/>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36"/>
              <w:jc w:val="left"/>
              <w:rPr>
                <w:rFonts w:ascii="宋体" w:hAnsi="宋体" w:cs="宋体" w:eastAsia="宋体" w:hint="default"/>
                <w:sz w:val="18"/>
                <w:szCs w:val="18"/>
              </w:rPr>
            </w:pPr>
            <w:r>
              <w:rPr>
                <w:rFonts w:ascii="宋体" w:hAnsi="宋体" w:cs="宋体" w:eastAsia="宋体" w:hint="default"/>
                <w:sz w:val="18"/>
                <w:szCs w:val="18"/>
              </w:rPr>
              <w:t>公司股东王敏通过财通证券股份有限公司客户信用交易担保证券账户持有公司 </w:t>
            </w:r>
            <w:r>
              <w:rPr>
                <w:rFonts w:ascii="宋体" w:hAnsi="宋体" w:cs="宋体" w:eastAsia="宋体" w:hint="default"/>
                <w:sz w:val="18"/>
                <w:szCs w:val="18"/>
              </w:rPr>
              <w:t>2,250,689</w:t>
            </w:r>
            <w:r>
              <w:rPr>
                <w:rFonts w:ascii="宋体" w:hAnsi="宋体" w:cs="宋体" w:eastAsia="宋体" w:hint="default"/>
                <w:spacing w:val="-46"/>
                <w:sz w:val="18"/>
                <w:szCs w:val="18"/>
              </w:rPr>
              <w:t> </w:t>
            </w:r>
            <w:r>
              <w:rPr>
                <w:rFonts w:ascii="宋体" w:hAnsi="宋体" w:cs="宋体" w:eastAsia="宋体" w:hint="default"/>
                <w:sz w:val="18"/>
                <w:szCs w:val="18"/>
              </w:rPr>
              <w:t>股股份。</w:t>
            </w:r>
          </w:p>
        </w:tc>
      </w:tr>
    </w:tbl>
    <w:p>
      <w:pPr>
        <w:spacing w:line="240" w:lineRule="auto" w:before="9"/>
        <w:rPr>
          <w:rFonts w:ascii="宋体" w:hAnsi="宋体" w:cs="宋体" w:eastAsia="宋体" w:hint="default"/>
          <w:sz w:val="6"/>
          <w:szCs w:val="6"/>
        </w:rPr>
      </w:pPr>
    </w:p>
    <w:p>
      <w:pPr>
        <w:pStyle w:val="BodyText"/>
        <w:spacing w:line="240" w:lineRule="auto" w:before="44"/>
        <w:ind w:left="1134" w:right="0"/>
        <w:jc w:val="left"/>
      </w:pPr>
      <w:r>
        <w:rPr/>
        <w:t>公司前</w:t>
      </w:r>
      <w:r>
        <w:rPr>
          <w:spacing w:val="-46"/>
        </w:rPr>
        <w:t> </w:t>
      </w:r>
      <w:r>
        <w:rPr>
          <w:rFonts w:ascii="宋体" w:hAnsi="宋体" w:cs="宋体" w:eastAsia="宋体" w:hint="default"/>
        </w:rPr>
        <w:t>10</w:t>
      </w:r>
      <w:r>
        <w:rPr>
          <w:rFonts w:ascii="宋体" w:hAnsi="宋体" w:cs="宋体" w:eastAsia="宋体" w:hint="default"/>
          <w:spacing w:val="-46"/>
        </w:rPr>
        <w:t> </w:t>
      </w:r>
      <w:r>
        <w:rPr/>
        <w:t>名普通股股东、前</w:t>
      </w:r>
      <w:r>
        <w:rPr>
          <w:spacing w:val="-46"/>
        </w:rPr>
        <w:t> </w:t>
      </w:r>
      <w:r>
        <w:rPr>
          <w:rFonts w:ascii="宋体" w:hAnsi="宋体" w:cs="宋体" w:eastAsia="宋体" w:hint="default"/>
        </w:rPr>
        <w:t>10</w:t>
      </w:r>
      <w:r>
        <w:rPr>
          <w:rFonts w:ascii="宋体" w:hAnsi="宋体" w:cs="宋体" w:eastAsia="宋体" w:hint="default"/>
          <w:spacing w:val="-46"/>
        </w:rPr>
        <w:t> </w:t>
      </w:r>
      <w:r>
        <w:rPr/>
        <w:t>名无限售条件普通股股东在报告期内是否进行约定购回交易</w:t>
      </w:r>
    </w:p>
    <w:p>
      <w:pPr>
        <w:pStyle w:val="BodyText"/>
        <w:spacing w:line="240" w:lineRule="auto" w:before="116"/>
        <w:ind w:right="0"/>
        <w:jc w:val="left"/>
      </w:pPr>
      <w:r>
        <w:rPr/>
        <w:t>□ 是 √ 否</w:t>
      </w:r>
    </w:p>
    <w:p>
      <w:pPr>
        <w:spacing w:after="0" w:line="240" w:lineRule="auto"/>
        <w:jc w:val="left"/>
        <w:sectPr>
          <w:pgSz w:w="11910" w:h="16840"/>
          <w:pgMar w:header="877" w:footer="1187" w:top="1100" w:bottom="1380" w:left="0" w:right="0"/>
        </w:sectPr>
      </w:pPr>
    </w:p>
    <w:p>
      <w:pPr>
        <w:spacing w:line="240" w:lineRule="auto" w:before="13"/>
        <w:rPr>
          <w:rFonts w:ascii="宋体" w:hAnsi="宋体" w:cs="宋体" w:eastAsia="宋体" w:hint="default"/>
          <w:sz w:val="21"/>
          <w:szCs w:val="21"/>
        </w:rPr>
      </w:pPr>
    </w:p>
    <w:p>
      <w:pPr>
        <w:pStyle w:val="BodyText"/>
        <w:spacing w:line="240" w:lineRule="auto" w:before="44"/>
        <w:ind w:left="1493" w:right="0"/>
        <w:jc w:val="left"/>
      </w:pPr>
      <w:r>
        <w:rPr/>
        <w:t>公司前</w:t>
      </w:r>
      <w:r>
        <w:rPr>
          <w:spacing w:val="-46"/>
        </w:rPr>
        <w:t> </w:t>
      </w:r>
      <w:r>
        <w:rPr>
          <w:rFonts w:ascii="宋体" w:hAnsi="宋体" w:cs="宋体" w:eastAsia="宋体" w:hint="default"/>
        </w:rPr>
        <w:t>10</w:t>
      </w:r>
      <w:r>
        <w:rPr>
          <w:rFonts w:ascii="宋体" w:hAnsi="宋体" w:cs="宋体" w:eastAsia="宋体" w:hint="default"/>
          <w:spacing w:val="-46"/>
        </w:rPr>
        <w:t> </w:t>
      </w:r>
      <w:r>
        <w:rPr/>
        <w:t>名普通股股东、前</w:t>
      </w:r>
      <w:r>
        <w:rPr>
          <w:spacing w:val="-46"/>
        </w:rPr>
        <w:t> </w:t>
      </w:r>
      <w:r>
        <w:rPr>
          <w:rFonts w:ascii="宋体" w:hAnsi="宋体" w:cs="宋体" w:eastAsia="宋体" w:hint="default"/>
        </w:rPr>
        <w:t>10</w:t>
      </w:r>
      <w:r>
        <w:rPr>
          <w:rFonts w:ascii="宋体" w:hAnsi="宋体" w:cs="宋体" w:eastAsia="宋体" w:hint="default"/>
          <w:spacing w:val="-46"/>
        </w:rPr>
        <w:t> </w:t>
      </w:r>
      <w:r>
        <w:rPr/>
        <w:t>名无限售条件普通股股东在报告期内未进行约定购回交易。</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公司控股股东情况" w:id="109"/>
      <w:bookmarkEnd w:id="109"/>
      <w:r>
        <w:rPr>
          <w:b w:val="0"/>
          <w:bCs w:val="0"/>
        </w:rPr>
      </w:r>
      <w:r>
        <w:rPr>
          <w:rFonts w:ascii="宋体" w:hAnsi="宋体" w:cs="宋体" w:eastAsia="宋体" w:hint="default"/>
        </w:rPr>
        <w:t>2</w:t>
      </w:r>
      <w:r>
        <w:rPr/>
        <w:t>、公司控股股东情况</w:t>
      </w:r>
      <w:r>
        <w:rPr>
          <w:b w:val="0"/>
          <w:bCs w:val="0"/>
        </w:rPr>
      </w:r>
    </w:p>
    <w:p>
      <w:pPr>
        <w:spacing w:line="240" w:lineRule="auto" w:before="12"/>
        <w:rPr>
          <w:rFonts w:ascii="宋体" w:hAnsi="宋体" w:cs="宋体" w:eastAsia="宋体" w:hint="default"/>
          <w:b/>
          <w:bCs/>
          <w:sz w:val="27"/>
          <w:szCs w:val="27"/>
        </w:rPr>
      </w:pPr>
    </w:p>
    <w:p>
      <w:pPr>
        <w:pStyle w:val="BodyText"/>
        <w:spacing w:line="357" w:lineRule="auto"/>
        <w:ind w:right="8413"/>
        <w:jc w:val="left"/>
      </w:pPr>
      <w:r>
        <w:rPr/>
        <w:t>控股股东性质：中央国有控股 控股股东类型：法人</w:t>
      </w:r>
    </w:p>
    <w:tbl>
      <w:tblPr>
        <w:tblW w:w="0" w:type="auto"/>
        <w:jc w:val="left"/>
        <w:tblInd w:w="1129" w:type="dxa"/>
        <w:tblLayout w:type="fixed"/>
        <w:tblCellMar>
          <w:top w:w="0" w:type="dxa"/>
          <w:left w:w="0" w:type="dxa"/>
          <w:bottom w:w="0" w:type="dxa"/>
          <w:right w:w="0" w:type="dxa"/>
        </w:tblCellMar>
        <w:tblLook w:val="01E0"/>
      </w:tblPr>
      <w:tblGrid>
        <w:gridCol w:w="2694"/>
        <w:gridCol w:w="1186"/>
        <w:gridCol w:w="1650"/>
        <w:gridCol w:w="1840"/>
        <w:gridCol w:w="2198"/>
      </w:tblGrid>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控股股东名称</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36" w:right="93" w:hanging="45"/>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宋体" w:hAnsi="宋体" w:cs="宋体" w:eastAsia="宋体" w:hint="default"/>
                <w:sz w:val="18"/>
                <w:szCs w:val="18"/>
              </w:rPr>
              <w:t>/ </w:t>
            </w:r>
            <w:r>
              <w:rPr>
                <w:rFonts w:ascii="宋体" w:hAnsi="宋体" w:cs="宋体" w:eastAsia="宋体" w:hint="default"/>
                <w:sz w:val="18"/>
                <w:szCs w:val="18"/>
              </w:rPr>
              <w:t>单位负责人</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026"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武汉华工创业投资有限责任公司</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6" w:right="0"/>
              <w:jc w:val="left"/>
              <w:rPr>
                <w:rFonts w:ascii="宋体" w:hAnsi="宋体" w:cs="宋体" w:eastAsia="宋体" w:hint="default"/>
                <w:sz w:val="18"/>
                <w:szCs w:val="18"/>
              </w:rPr>
            </w:pPr>
            <w:r>
              <w:rPr>
                <w:rFonts w:ascii="宋体" w:hAnsi="宋体" w:cs="宋体" w:eastAsia="宋体" w:hint="default"/>
                <w:sz w:val="18"/>
                <w:szCs w:val="18"/>
              </w:rPr>
              <w:t>李士训</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sz w:val="18"/>
              </w:rPr>
              <w:t>72467093-1</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对高新技术产品和企业的 </w:t>
            </w:r>
            <w:r>
              <w:rPr>
                <w:rFonts w:ascii="宋体" w:hAnsi="宋体" w:cs="宋体" w:eastAsia="宋体" w:hint="default"/>
                <w:spacing w:val="-2"/>
                <w:sz w:val="18"/>
                <w:szCs w:val="18"/>
              </w:rPr>
              <w:t>投资；投资咨询服务，企业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管理咨询服务。</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控股股东报告期内控股和参股的 其他境内外上市公司的股权情况</w:t>
            </w:r>
          </w:p>
        </w:tc>
        <w:tc>
          <w:tcPr>
            <w:tcW w:w="6874" w:type="dxa"/>
            <w:gridSpan w:val="4"/>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1"/>
                <w:sz w:val="18"/>
                <w:szCs w:val="18"/>
              </w:rPr>
              <w:t>截至报告期末，华工创投参股的其他上市公司有湖北富邦科技股份有限公司，华工创投</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持有湖北富邦科技股份有限公司股份</w:t>
            </w:r>
            <w:r>
              <w:rPr>
                <w:rFonts w:ascii="宋体" w:hAnsi="宋体" w:cs="宋体" w:eastAsia="宋体" w:hint="default"/>
                <w:spacing w:val="-46"/>
                <w:sz w:val="18"/>
                <w:szCs w:val="18"/>
              </w:rPr>
              <w:t> </w:t>
            </w:r>
            <w:r>
              <w:rPr>
                <w:rFonts w:ascii="宋体" w:hAnsi="宋体" w:cs="宋体" w:eastAsia="宋体" w:hint="default"/>
                <w:sz w:val="18"/>
                <w:szCs w:val="18"/>
              </w:rPr>
              <w:t>778,642</w:t>
            </w:r>
            <w:r>
              <w:rPr>
                <w:rFonts w:ascii="宋体" w:hAnsi="宋体" w:cs="宋体" w:eastAsia="宋体" w:hint="default"/>
                <w:spacing w:val="-46"/>
                <w:sz w:val="18"/>
                <w:szCs w:val="18"/>
              </w:rPr>
              <w:t> </w:t>
            </w:r>
            <w:r>
              <w:rPr>
                <w:rFonts w:ascii="宋体" w:hAnsi="宋体" w:cs="宋体" w:eastAsia="宋体" w:hint="default"/>
                <w:sz w:val="18"/>
                <w:szCs w:val="18"/>
              </w:rPr>
              <w:t>股（持股比例为</w:t>
            </w:r>
            <w:r>
              <w:rPr>
                <w:rFonts w:ascii="宋体" w:hAnsi="宋体" w:cs="宋体" w:eastAsia="宋体" w:hint="default"/>
                <w:spacing w:val="-46"/>
                <w:sz w:val="18"/>
                <w:szCs w:val="18"/>
              </w:rPr>
              <w:t> </w:t>
            </w:r>
            <w:r>
              <w:rPr>
                <w:rFonts w:ascii="宋体" w:hAnsi="宋体" w:cs="宋体" w:eastAsia="宋体" w:hint="default"/>
                <w:spacing w:val="-26"/>
                <w:sz w:val="18"/>
                <w:szCs w:val="18"/>
              </w:rPr>
              <w:t>0.64%</w:t>
            </w:r>
            <w:r>
              <w:rPr>
                <w:rFonts w:ascii="宋体" w:hAnsi="宋体" w:cs="宋体" w:eastAsia="宋体" w:hint="default"/>
                <w:spacing w:val="-26"/>
                <w:sz w:val="18"/>
                <w:szCs w:val="18"/>
              </w:rPr>
              <w:t>）。</w:t>
            </w:r>
            <w:r>
              <w:rPr>
                <w:rFonts w:ascii="宋体" w:hAnsi="宋体" w:cs="宋体" w:eastAsia="宋体" w:hint="default"/>
                <w:sz w:val="18"/>
                <w:szCs w:val="18"/>
              </w:rPr>
            </w:r>
          </w:p>
        </w:tc>
      </w:tr>
    </w:tbl>
    <w:p>
      <w:pPr>
        <w:spacing w:line="240" w:lineRule="auto" w:before="13"/>
        <w:rPr>
          <w:rFonts w:ascii="宋体" w:hAnsi="宋体" w:cs="宋体" w:eastAsia="宋体" w:hint="default"/>
          <w:sz w:val="7"/>
          <w:szCs w:val="7"/>
        </w:rPr>
      </w:pPr>
    </w:p>
    <w:p>
      <w:pPr>
        <w:pStyle w:val="BodyText"/>
        <w:spacing w:line="240" w:lineRule="auto" w:before="44"/>
        <w:ind w:left="1134" w:right="0"/>
        <w:jc w:val="left"/>
      </w:pPr>
      <w:r>
        <w:rPr/>
        <w:t>控股股东报告期内变更</w:t>
      </w:r>
    </w:p>
    <w:p>
      <w:pPr>
        <w:pStyle w:val="BodyText"/>
        <w:spacing w:line="360" w:lineRule="auto" w:before="116"/>
        <w:ind w:left="1493" w:right="7693" w:hanging="360"/>
        <w:jc w:val="left"/>
      </w:pPr>
      <w:r>
        <w:rPr/>
        <w:t>□ 适用 √ 不适用 公司报告期控股股东未发生变更。</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3、公司实际控制人情况" w:id="110"/>
      <w:bookmarkEnd w:id="110"/>
      <w:r>
        <w:rPr>
          <w:b w:val="0"/>
          <w:bCs w:val="0"/>
        </w:rPr>
      </w:r>
      <w:r>
        <w:rPr>
          <w:rFonts w:ascii="宋体" w:hAnsi="宋体" w:cs="宋体" w:eastAsia="宋体" w:hint="default"/>
        </w:rPr>
        <w:t>3</w:t>
      </w:r>
      <w:r>
        <w:rPr/>
        <w:t>、公司实际控制人情况</w:t>
      </w:r>
      <w:r>
        <w:rPr>
          <w:b w:val="0"/>
          <w:bCs w:val="0"/>
        </w:rPr>
      </w:r>
    </w:p>
    <w:p>
      <w:pPr>
        <w:spacing w:line="240" w:lineRule="auto" w:before="12"/>
        <w:rPr>
          <w:rFonts w:ascii="宋体" w:hAnsi="宋体" w:cs="宋体" w:eastAsia="宋体" w:hint="default"/>
          <w:b/>
          <w:bCs/>
          <w:sz w:val="27"/>
          <w:szCs w:val="27"/>
        </w:rPr>
      </w:pPr>
    </w:p>
    <w:p>
      <w:pPr>
        <w:pStyle w:val="BodyText"/>
        <w:spacing w:line="357" w:lineRule="auto"/>
        <w:ind w:right="8593"/>
        <w:jc w:val="left"/>
      </w:pPr>
      <w:r>
        <w:rPr/>
        <w:t>实际控制人性质：高等学校 实际控制人类型：法人</w:t>
      </w:r>
    </w:p>
    <w:tbl>
      <w:tblPr>
        <w:tblW w:w="0" w:type="auto"/>
        <w:jc w:val="left"/>
        <w:tblInd w:w="1129" w:type="dxa"/>
        <w:tblLayout w:type="fixed"/>
        <w:tblCellMar>
          <w:top w:w="0" w:type="dxa"/>
          <w:left w:w="0" w:type="dxa"/>
          <w:bottom w:w="0" w:type="dxa"/>
          <w:right w:w="0" w:type="dxa"/>
        </w:tblCellMar>
        <w:tblLook w:val="01E0"/>
      </w:tblPr>
      <w:tblGrid>
        <w:gridCol w:w="2129"/>
        <w:gridCol w:w="1995"/>
        <w:gridCol w:w="1688"/>
        <w:gridCol w:w="1764"/>
        <w:gridCol w:w="1993"/>
      </w:tblGrid>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实际控制人名称</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法定代表人</w:t>
            </w:r>
            <w:r>
              <w:rPr>
                <w:rFonts w:ascii="宋体" w:hAnsi="宋体" w:cs="宋体" w:eastAsia="宋体" w:hint="default"/>
                <w:sz w:val="18"/>
                <w:szCs w:val="18"/>
              </w:rPr>
              <w:t>/</w:t>
            </w:r>
            <w:r>
              <w:rPr>
                <w:rFonts w:ascii="宋体" w:hAnsi="宋体" w:cs="宋体" w:eastAsia="宋体" w:hint="default"/>
                <w:sz w:val="18"/>
                <w:szCs w:val="18"/>
              </w:rPr>
              <w:t>单位负责人</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华中科技大学</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丁烈云</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44162684-2</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教学科研</w:t>
            </w:r>
          </w:p>
        </w:tc>
      </w:tr>
      <w:tr>
        <w:trPr>
          <w:trHeight w:val="165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14"/>
              <w:jc w:val="both"/>
              <w:rPr>
                <w:rFonts w:ascii="宋体" w:hAnsi="宋体" w:cs="宋体" w:eastAsia="宋体" w:hint="default"/>
                <w:sz w:val="18"/>
                <w:szCs w:val="18"/>
              </w:rPr>
            </w:pPr>
            <w:r>
              <w:rPr>
                <w:rFonts w:ascii="宋体" w:hAnsi="宋体" w:cs="宋体" w:eastAsia="宋体" w:hint="default"/>
                <w:sz w:val="18"/>
                <w:szCs w:val="18"/>
              </w:rPr>
              <w:t>实际控制人报告期内控制 的其他境内外上市公司的 股权情况</w:t>
            </w:r>
          </w:p>
        </w:tc>
        <w:tc>
          <w:tcPr>
            <w:tcW w:w="7441" w:type="dxa"/>
            <w:gridSpan w:val="4"/>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both"/>
              <w:rPr>
                <w:rFonts w:ascii="宋体" w:hAnsi="宋体" w:cs="宋体" w:eastAsia="宋体" w:hint="default"/>
                <w:sz w:val="18"/>
                <w:szCs w:val="18"/>
              </w:rPr>
            </w:pPr>
            <w:r>
              <w:rPr>
                <w:rFonts w:ascii="宋体" w:hAnsi="宋体" w:cs="宋体" w:eastAsia="宋体" w:hint="default"/>
                <w:sz w:val="18"/>
                <w:szCs w:val="18"/>
              </w:rPr>
              <w:t>截至报告期末，华中科技大学控制的其他上市公司有华工科技产业股份有限公司和武汉华中数 控股份有限公司。华中科技大学分别通过产业集团和武汉华科机电工程技术有限公司持有华工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科技产业股份有限公司股份</w:t>
            </w:r>
            <w:r>
              <w:rPr>
                <w:rFonts w:ascii="宋体" w:hAnsi="宋体" w:cs="宋体" w:eastAsia="宋体" w:hint="default"/>
                <w:spacing w:val="-46"/>
                <w:sz w:val="18"/>
                <w:szCs w:val="18"/>
              </w:rPr>
              <w:t> </w:t>
            </w:r>
            <w:r>
              <w:rPr>
                <w:rFonts w:ascii="宋体" w:hAnsi="宋体" w:cs="宋体" w:eastAsia="宋体" w:hint="default"/>
                <w:sz w:val="18"/>
                <w:szCs w:val="18"/>
              </w:rPr>
              <w:t>288,342,668 </w:t>
            </w:r>
            <w:r>
              <w:rPr>
                <w:rFonts w:ascii="宋体" w:hAnsi="宋体" w:cs="宋体" w:eastAsia="宋体" w:hint="default"/>
                <w:sz w:val="18"/>
                <w:szCs w:val="18"/>
              </w:rPr>
              <w:t>股和</w:t>
            </w:r>
            <w:r>
              <w:rPr>
                <w:rFonts w:ascii="宋体" w:hAnsi="宋体" w:cs="宋体" w:eastAsia="宋体" w:hint="default"/>
                <w:spacing w:val="-46"/>
                <w:sz w:val="18"/>
                <w:szCs w:val="18"/>
              </w:rPr>
              <w:t> </w:t>
            </w:r>
            <w:r>
              <w:rPr>
                <w:rFonts w:ascii="宋体" w:hAnsi="宋体" w:cs="宋体" w:eastAsia="宋体" w:hint="default"/>
                <w:sz w:val="18"/>
                <w:szCs w:val="18"/>
              </w:rPr>
              <w:t>3,164,468 </w:t>
            </w:r>
            <w:r>
              <w:rPr>
                <w:rFonts w:ascii="宋体" w:hAnsi="宋体" w:cs="宋体" w:eastAsia="宋体" w:hint="default"/>
                <w:sz w:val="18"/>
                <w:szCs w:val="18"/>
              </w:rPr>
              <w:t>股，合计</w:t>
            </w:r>
            <w:r>
              <w:rPr>
                <w:rFonts w:ascii="宋体" w:hAnsi="宋体" w:cs="宋体" w:eastAsia="宋体" w:hint="default"/>
                <w:spacing w:val="-46"/>
                <w:sz w:val="18"/>
                <w:szCs w:val="18"/>
              </w:rPr>
              <w:t> </w:t>
            </w:r>
            <w:r>
              <w:rPr>
                <w:rFonts w:ascii="宋体" w:hAnsi="宋体" w:cs="宋体" w:eastAsia="宋体" w:hint="default"/>
                <w:sz w:val="18"/>
                <w:szCs w:val="18"/>
              </w:rPr>
              <w:t>291,507,136 </w:t>
            </w:r>
            <w:r>
              <w:rPr>
                <w:rFonts w:ascii="宋体" w:hAnsi="宋体" w:cs="宋体" w:eastAsia="宋体" w:hint="default"/>
                <w:sz w:val="18"/>
                <w:szCs w:val="18"/>
              </w:rPr>
              <w:t>股（持股比 例为</w:t>
            </w:r>
            <w:r>
              <w:rPr>
                <w:rFonts w:ascii="宋体" w:hAnsi="宋体" w:cs="宋体" w:eastAsia="宋体" w:hint="default"/>
                <w:spacing w:val="-36"/>
                <w:sz w:val="18"/>
                <w:szCs w:val="18"/>
              </w:rPr>
              <w:t> </w:t>
            </w:r>
            <w:r>
              <w:rPr>
                <w:rFonts w:ascii="宋体" w:hAnsi="宋体" w:cs="宋体" w:eastAsia="宋体" w:hint="default"/>
                <w:spacing w:val="-3"/>
                <w:sz w:val="18"/>
                <w:szCs w:val="18"/>
              </w:rPr>
              <w:t>32.71%</w:t>
            </w:r>
            <w:r>
              <w:rPr>
                <w:rFonts w:ascii="宋体" w:hAnsi="宋体" w:cs="宋体" w:eastAsia="宋体" w:hint="default"/>
                <w:spacing w:val="-3"/>
                <w:sz w:val="18"/>
                <w:szCs w:val="18"/>
              </w:rPr>
              <w:t>）。华中科技大学通过产业集团投持有武汉华中数控股份有限公司股份</w:t>
            </w:r>
            <w:r>
              <w:rPr>
                <w:rFonts w:ascii="宋体" w:hAnsi="宋体" w:cs="宋体" w:eastAsia="宋体" w:hint="default"/>
                <w:spacing w:val="-34"/>
                <w:sz w:val="18"/>
                <w:szCs w:val="18"/>
              </w:rPr>
              <w:t> </w:t>
            </w:r>
            <w:r>
              <w:rPr>
                <w:rFonts w:ascii="宋体" w:hAnsi="宋体" w:cs="宋体" w:eastAsia="宋体" w:hint="default"/>
                <w:sz w:val="18"/>
                <w:szCs w:val="18"/>
              </w:rPr>
              <w:t>32,924,765</w:t>
            </w:r>
            <w:r>
              <w:rPr>
                <w:rFonts w:ascii="宋体" w:hAnsi="宋体" w:cs="宋体" w:eastAsia="宋体" w:hint="default"/>
                <w:spacing w:val="-87"/>
                <w:sz w:val="18"/>
                <w:szCs w:val="18"/>
              </w:rPr>
              <w:t> </w:t>
            </w:r>
            <w:r>
              <w:rPr>
                <w:rFonts w:ascii="宋体" w:hAnsi="宋体" w:cs="宋体" w:eastAsia="宋体" w:hint="default"/>
                <w:sz w:val="18"/>
                <w:szCs w:val="18"/>
              </w:rPr>
              <w:t>股（持股比例为</w:t>
            </w:r>
            <w:r>
              <w:rPr>
                <w:rFonts w:ascii="宋体" w:hAnsi="宋体" w:cs="宋体" w:eastAsia="宋体" w:hint="default"/>
                <w:spacing w:val="-42"/>
                <w:sz w:val="18"/>
                <w:szCs w:val="18"/>
              </w:rPr>
              <w:t> </w:t>
            </w:r>
            <w:r>
              <w:rPr>
                <w:rFonts w:ascii="宋体" w:hAnsi="宋体" w:cs="宋体" w:eastAsia="宋体" w:hint="default"/>
                <w:spacing w:val="-23"/>
                <w:sz w:val="18"/>
                <w:szCs w:val="18"/>
              </w:rPr>
              <w:t>20.36%</w:t>
            </w:r>
            <w:r>
              <w:rPr>
                <w:rFonts w:ascii="宋体" w:hAnsi="宋体" w:cs="宋体" w:eastAsia="宋体" w:hint="default"/>
                <w:spacing w:val="-23"/>
                <w:sz w:val="18"/>
                <w:szCs w:val="18"/>
              </w:rPr>
              <w:t>）。</w:t>
            </w:r>
            <w:r>
              <w:rPr>
                <w:rFonts w:ascii="宋体" w:hAnsi="宋体" w:cs="宋体" w:eastAsia="宋体" w:hint="default"/>
                <w:sz w:val="18"/>
                <w:szCs w:val="18"/>
              </w:rPr>
            </w:r>
          </w:p>
        </w:tc>
      </w:tr>
    </w:tbl>
    <w:p>
      <w:pPr>
        <w:spacing w:line="240" w:lineRule="auto" w:before="12"/>
        <w:rPr>
          <w:rFonts w:ascii="宋体" w:hAnsi="宋体" w:cs="宋体" w:eastAsia="宋体" w:hint="default"/>
          <w:sz w:val="7"/>
          <w:szCs w:val="7"/>
        </w:rPr>
      </w:pPr>
    </w:p>
    <w:p>
      <w:pPr>
        <w:pStyle w:val="BodyText"/>
        <w:spacing w:line="240" w:lineRule="auto" w:before="44"/>
        <w:ind w:left="1134" w:right="0"/>
        <w:jc w:val="left"/>
      </w:pPr>
      <w:r>
        <w:rPr/>
        <w:t>实际控制人报告期内变更</w:t>
      </w:r>
    </w:p>
    <w:p>
      <w:pPr>
        <w:pStyle w:val="BodyText"/>
        <w:spacing w:line="357" w:lineRule="auto" w:before="116"/>
        <w:ind w:left="1493" w:right="7513" w:hanging="360"/>
        <w:jc w:val="left"/>
      </w:pPr>
      <w:r>
        <w:rPr/>
        <w:t>□ 适用 √ 不适用 公司报告期实际控制人未发生变更。</w:t>
      </w:r>
    </w:p>
    <w:p>
      <w:pPr>
        <w:spacing w:after="0" w:line="357" w:lineRule="auto"/>
        <w:jc w:val="left"/>
        <w:sectPr>
          <w:pgSz w:w="11910" w:h="16840"/>
          <w:pgMar w:header="877" w:footer="1187" w:top="1100" w:bottom="1380" w:left="0" w:right="0"/>
        </w:sectPr>
      </w:pPr>
    </w:p>
    <w:p>
      <w:pPr>
        <w:spacing w:line="240" w:lineRule="auto" w:before="13"/>
        <w:rPr>
          <w:rFonts w:ascii="宋体" w:hAnsi="宋体" w:cs="宋体" w:eastAsia="宋体" w:hint="default"/>
          <w:sz w:val="21"/>
          <w:szCs w:val="21"/>
        </w:rPr>
      </w:pPr>
    </w:p>
    <w:p>
      <w:pPr>
        <w:pStyle w:val="BodyText"/>
        <w:spacing w:line="240" w:lineRule="auto" w:before="44"/>
        <w:ind w:right="0"/>
        <w:jc w:val="left"/>
      </w:pPr>
      <w:r>
        <w:rPr/>
        <w:t>公司与实际控制人之间的产权及控制关系的方框图</w:t>
      </w:r>
    </w:p>
    <w:p>
      <w:pPr>
        <w:spacing w:line="240" w:lineRule="auto" w:before="3"/>
        <w:rPr>
          <w:rFonts w:ascii="宋体" w:hAnsi="宋体" w:cs="宋体" w:eastAsia="宋体" w:hint="default"/>
          <w:sz w:val="23"/>
          <w:szCs w:val="23"/>
        </w:rPr>
      </w:pPr>
    </w:p>
    <w:p>
      <w:pPr>
        <w:spacing w:line="4290" w:lineRule="exact"/>
        <w:ind w:left="2983" w:right="0" w:firstLine="0"/>
        <w:rPr>
          <w:rFonts w:ascii="宋体" w:hAnsi="宋体" w:cs="宋体" w:eastAsia="宋体" w:hint="default"/>
          <w:sz w:val="20"/>
          <w:szCs w:val="20"/>
        </w:rPr>
      </w:pPr>
      <w:r>
        <w:rPr>
          <w:rFonts w:ascii="宋体" w:hAnsi="宋体" w:cs="宋体" w:eastAsia="宋体" w:hint="default"/>
          <w:position w:val="-85"/>
          <w:sz w:val="20"/>
          <w:szCs w:val="20"/>
        </w:rPr>
        <w:drawing>
          <wp:inline distT="0" distB="0" distL="0" distR="0">
            <wp:extent cx="3771900" cy="2724150"/>
            <wp:effectExtent l="0" t="0" r="0" b="0"/>
            <wp:docPr id="3" name="image4.png" descr=""/>
            <wp:cNvGraphicFramePr>
              <a:graphicFrameLocks noChangeAspect="1"/>
            </wp:cNvGraphicFramePr>
            <a:graphic>
              <a:graphicData uri="http://schemas.openxmlformats.org/drawingml/2006/picture">
                <pic:pic>
                  <pic:nvPicPr>
                    <pic:cNvPr id="4" name="image4.png"/>
                    <pic:cNvPicPr/>
                  </pic:nvPicPr>
                  <pic:blipFill>
                    <a:blip r:embed="rId29" cstate="print"/>
                    <a:stretch>
                      <a:fillRect/>
                    </a:stretch>
                  </pic:blipFill>
                  <pic:spPr>
                    <a:xfrm>
                      <a:off x="0" y="0"/>
                      <a:ext cx="3771900" cy="2724150"/>
                    </a:xfrm>
                    <a:prstGeom prst="rect">
                      <a:avLst/>
                    </a:prstGeom>
                  </pic:spPr>
                </pic:pic>
              </a:graphicData>
            </a:graphic>
          </wp:inline>
        </w:drawing>
      </w:r>
      <w:r>
        <w:rPr>
          <w:rFonts w:ascii="宋体" w:hAnsi="宋体" w:cs="宋体" w:eastAsia="宋体" w:hint="default"/>
          <w:position w:val="-85"/>
          <w:sz w:val="20"/>
          <w:szCs w:val="20"/>
        </w:rPr>
      </w:r>
    </w:p>
    <w:p>
      <w:pPr>
        <w:spacing w:line="240" w:lineRule="auto" w:before="2"/>
        <w:rPr>
          <w:rFonts w:ascii="宋体" w:hAnsi="宋体" w:cs="宋体" w:eastAsia="宋体" w:hint="default"/>
          <w:sz w:val="19"/>
          <w:szCs w:val="19"/>
        </w:rPr>
      </w:pPr>
    </w:p>
    <w:p>
      <w:pPr>
        <w:pStyle w:val="BodyText"/>
        <w:spacing w:line="240" w:lineRule="auto"/>
        <w:ind w:right="0"/>
        <w:jc w:val="left"/>
      </w:pPr>
      <w:r>
        <w:rPr/>
        <w:t>实际控制人通过信托或其他资产管理方式控制公司</w:t>
      </w:r>
    </w:p>
    <w:p>
      <w:pPr>
        <w:pStyle w:val="BodyText"/>
        <w:spacing w:line="240" w:lineRule="auto" w:before="117"/>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left="1134" w:right="0"/>
        <w:jc w:val="left"/>
        <w:rPr>
          <w:b w:val="0"/>
          <w:bCs w:val="0"/>
        </w:rPr>
      </w:pPr>
      <w:bookmarkStart w:name="4、其他持股在10%以上的法人股东" w:id="111"/>
      <w:bookmarkEnd w:id="111"/>
      <w:r>
        <w:rPr>
          <w:b w:val="0"/>
          <w:bCs w:val="0"/>
        </w:rPr>
      </w:r>
      <w:r>
        <w:rPr>
          <w:rFonts w:ascii="宋体" w:hAnsi="宋体" w:cs="宋体" w:eastAsia="宋体" w:hint="default"/>
        </w:rPr>
        <w:t>4</w:t>
      </w:r>
      <w:r>
        <w:rPr/>
        <w:t>、其他持股在</w:t>
      </w:r>
      <w:r>
        <w:rPr>
          <w:spacing w:val="-56"/>
        </w:rPr>
        <w:t> </w:t>
      </w:r>
      <w:r>
        <w:rPr>
          <w:rFonts w:ascii="宋体" w:hAnsi="宋体" w:cs="宋体" w:eastAsia="宋体" w:hint="default"/>
        </w:rPr>
        <w:t>10%</w:t>
      </w:r>
      <w:r>
        <w:rPr/>
        <w:t>以上的法人股东</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579"/>
        <w:gridCol w:w="1108"/>
        <w:gridCol w:w="1701"/>
        <w:gridCol w:w="1277"/>
        <w:gridCol w:w="2904"/>
      </w:tblGrid>
      <w:tr>
        <w:trPr>
          <w:trHeight w:val="714" w:hRule="exact"/>
        </w:trPr>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法人股东名称</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98" w:right="53" w:hanging="4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宋体" w:hAnsi="宋体" w:cs="宋体" w:eastAsia="宋体" w:hint="default"/>
                <w:sz w:val="18"/>
                <w:szCs w:val="18"/>
              </w:rPr>
              <w:t>/ </w:t>
            </w:r>
            <w:r>
              <w:rPr>
                <w:rFonts w:ascii="宋体" w:hAnsi="宋体" w:cs="宋体" w:eastAsia="宋体" w:hint="default"/>
                <w:sz w:val="18"/>
                <w:szCs w:val="18"/>
              </w:rPr>
              <w:t>单位负责人</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7" w:right="0"/>
              <w:jc w:val="left"/>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1650" w:hRule="exact"/>
        </w:trPr>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武汉光谷创业投资基金有限公司</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78" w:right="0"/>
              <w:jc w:val="left"/>
              <w:rPr>
                <w:rFonts w:ascii="宋体" w:hAnsi="宋体" w:cs="宋体" w:eastAsia="宋体" w:hint="default"/>
                <w:sz w:val="18"/>
                <w:szCs w:val="18"/>
              </w:rPr>
            </w:pPr>
            <w:r>
              <w:rPr>
                <w:rFonts w:ascii="宋体" w:hAnsi="宋体" w:cs="宋体" w:eastAsia="宋体" w:hint="default"/>
                <w:sz w:val="18"/>
                <w:szCs w:val="18"/>
              </w:rPr>
              <w:t>汪志忠</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100,000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both"/>
              <w:rPr>
                <w:rFonts w:ascii="宋体" w:hAnsi="宋体" w:cs="宋体" w:eastAsia="宋体" w:hint="default"/>
                <w:sz w:val="18"/>
                <w:szCs w:val="18"/>
              </w:rPr>
            </w:pPr>
            <w:r>
              <w:rPr>
                <w:rFonts w:ascii="宋体" w:hAnsi="宋体" w:cs="宋体" w:eastAsia="宋体" w:hint="default"/>
                <w:spacing w:val="-2"/>
                <w:sz w:val="18"/>
                <w:szCs w:val="18"/>
              </w:rPr>
              <w:t>创业投资业务；代理其他创业投资企</w:t>
            </w:r>
            <w:r>
              <w:rPr>
                <w:rFonts w:ascii="宋体" w:hAnsi="宋体" w:cs="宋体" w:eastAsia="宋体" w:hint="default"/>
                <w:sz w:val="18"/>
                <w:szCs w:val="18"/>
              </w:rPr>
              <w:t> </w:t>
            </w:r>
            <w:r>
              <w:rPr>
                <w:rFonts w:ascii="宋体" w:hAnsi="宋体" w:cs="宋体" w:eastAsia="宋体" w:hint="default"/>
                <w:spacing w:val="-2"/>
                <w:sz w:val="18"/>
                <w:szCs w:val="18"/>
              </w:rPr>
              <w:t>业等机构或个人的创业投资业务；创</w:t>
            </w:r>
            <w:r>
              <w:rPr>
                <w:rFonts w:ascii="宋体" w:hAnsi="宋体" w:cs="宋体" w:eastAsia="宋体" w:hint="default"/>
                <w:sz w:val="18"/>
                <w:szCs w:val="18"/>
              </w:rPr>
              <w:t> </w:t>
            </w:r>
            <w:r>
              <w:rPr>
                <w:rFonts w:ascii="宋体" w:hAnsi="宋体" w:cs="宋体" w:eastAsia="宋体" w:hint="default"/>
                <w:spacing w:val="-2"/>
                <w:sz w:val="18"/>
                <w:szCs w:val="18"/>
              </w:rPr>
              <w:t>业投资咨询业务；为创业企业提供创</w:t>
            </w:r>
            <w:r>
              <w:rPr>
                <w:rFonts w:ascii="宋体" w:hAnsi="宋体" w:cs="宋体" w:eastAsia="宋体" w:hint="default"/>
                <w:sz w:val="18"/>
                <w:szCs w:val="18"/>
              </w:rPr>
              <w:t> </w:t>
            </w:r>
            <w:r>
              <w:rPr>
                <w:rFonts w:ascii="宋体" w:hAnsi="宋体" w:cs="宋体" w:eastAsia="宋体" w:hint="default"/>
                <w:spacing w:val="-2"/>
                <w:sz w:val="18"/>
                <w:szCs w:val="18"/>
              </w:rPr>
              <w:t>业管理服务业务；参与设立创业投资</w:t>
            </w:r>
            <w:r>
              <w:rPr>
                <w:rFonts w:ascii="宋体" w:hAnsi="宋体" w:cs="宋体" w:eastAsia="宋体" w:hint="default"/>
                <w:sz w:val="18"/>
                <w:szCs w:val="18"/>
              </w:rPr>
              <w:t> 企业与创业投资管理顾问机构。</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5、控股股东、实际控制人、重组方及其他承诺主体股份限制减持情况" w:id="112"/>
      <w:bookmarkEnd w:id="112"/>
      <w:r>
        <w:rPr>
          <w:b w:val="0"/>
          <w:bCs w:val="0"/>
        </w:rPr>
      </w:r>
      <w:r>
        <w:rPr>
          <w:rFonts w:ascii="宋体" w:hAnsi="宋体" w:cs="宋体" w:eastAsia="宋体" w:hint="default"/>
        </w:rPr>
        <w:t>5</w:t>
      </w:r>
      <w:r>
        <w:rPr/>
        <w:t>、控股股东、实际控制人、重组方及其他承诺主体股份限制减持情况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1134" w:right="0"/>
        <w:jc w:val="left"/>
      </w:pPr>
      <w:r>
        <w:rPr/>
        <w:t>□ 适用 √ 不适用</w:t>
      </w:r>
    </w:p>
    <w:p>
      <w:pPr>
        <w:spacing w:after="0" w:line="240" w:lineRule="auto"/>
        <w:jc w:val="left"/>
        <w:sectPr>
          <w:pgSz w:w="11910" w:h="16840"/>
          <w:pgMar w:header="877" w:footer="1187" w:top="1100" w:bottom="138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1130"/>
        <w:jc w:val="center"/>
        <w:rPr>
          <w:b w:val="0"/>
          <w:bCs w:val="0"/>
        </w:rPr>
      </w:pPr>
      <w:bookmarkStart w:name="第七节 优先股相关情况" w:id="113"/>
      <w:bookmarkEnd w:id="113"/>
      <w:r>
        <w:rPr>
          <w:b w:val="0"/>
          <w:bCs w:val="0"/>
        </w:rPr>
      </w:r>
      <w:bookmarkStart w:name="_bookmark6" w:id="114"/>
      <w:bookmarkEnd w:id="114"/>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57" w:lineRule="auto" w:before="44"/>
        <w:ind w:left="1493" w:right="8233" w:hanging="360"/>
        <w:jc w:val="left"/>
      </w:pPr>
      <w:r>
        <w:rPr/>
        <w:t>□ 适用 √ 不适用 报告期公司不存在优先股。</w:t>
      </w:r>
    </w:p>
    <w:p>
      <w:pPr>
        <w:spacing w:after="0" w:line="357" w:lineRule="auto"/>
        <w:jc w:val="left"/>
        <w:sectPr>
          <w:pgSz w:w="11910" w:h="16840"/>
          <w:pgMar w:header="877" w:footer="1187" w:top="1100" w:bottom="1380" w:left="0" w:right="0"/>
        </w:sectPr>
      </w:pPr>
    </w:p>
    <w:p>
      <w:pPr>
        <w:spacing w:line="240" w:lineRule="auto" w:before="9"/>
        <w:rPr>
          <w:rFonts w:ascii="宋体" w:hAnsi="宋体" w:cs="宋体" w:eastAsia="宋体" w:hint="default"/>
          <w:sz w:val="3"/>
          <w:szCs w:val="3"/>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pStyle w:val="Heading1"/>
        <w:spacing w:line="240" w:lineRule="auto" w:before="164"/>
        <w:ind w:left="3778" w:right="0"/>
        <w:jc w:val="left"/>
        <w:rPr>
          <w:b w:val="0"/>
          <w:bCs w:val="0"/>
        </w:rPr>
      </w:pPr>
      <w:bookmarkStart w:name="第八节 董事、监事、高级管理人员和员工情况" w:id="115"/>
      <w:bookmarkEnd w:id="115"/>
      <w:r>
        <w:rPr>
          <w:b w:val="0"/>
          <w:bCs w:val="0"/>
        </w:rPr>
      </w:r>
      <w:bookmarkStart w:name="_bookmark7" w:id="116"/>
      <w:bookmarkEnd w:id="116"/>
      <w:r>
        <w:rPr>
          <w:b w:val="0"/>
          <w:bCs w:val="0"/>
        </w:rPr>
      </w:r>
      <w:r>
        <w:rPr/>
        <w:t>第八节</w:t>
      </w:r>
      <w:r>
        <w:rPr>
          <w:spacing w:val="-16"/>
        </w:rPr>
        <w:t> </w:t>
      </w:r>
      <w:r>
        <w:rPr/>
        <w:t>董事、监事、高级管理人员和员工情况</w:t>
      </w:r>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left="140" w:right="0"/>
        <w:jc w:val="left"/>
        <w:rPr>
          <w:b w:val="0"/>
          <w:bCs w:val="0"/>
        </w:rPr>
      </w:pPr>
      <w:bookmarkStart w:name="一、董事、监事和高级管理人员持股变动" w:id="117"/>
      <w:bookmarkEnd w:id="117"/>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35" w:type="dxa"/>
        <w:tblLayout w:type="fixed"/>
        <w:tblCellMar>
          <w:top w:w="0" w:type="dxa"/>
          <w:left w:w="0" w:type="dxa"/>
          <w:bottom w:w="0" w:type="dxa"/>
          <w:right w:w="0" w:type="dxa"/>
        </w:tblCellMar>
        <w:tblLook w:val="01E0"/>
      </w:tblPr>
      <w:tblGrid>
        <w:gridCol w:w="798"/>
        <w:gridCol w:w="1187"/>
        <w:gridCol w:w="851"/>
        <w:gridCol w:w="566"/>
        <w:gridCol w:w="568"/>
        <w:gridCol w:w="1700"/>
        <w:gridCol w:w="1702"/>
        <w:gridCol w:w="1134"/>
        <w:gridCol w:w="1700"/>
        <w:gridCol w:w="1560"/>
        <w:gridCol w:w="1210"/>
        <w:gridCol w:w="1134"/>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本期增持股份数量</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本期减持股份数量</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其他增减变动</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张新访</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董事长</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50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2002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5,419,710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5,419,710</w:t>
            </w:r>
          </w:p>
        </w:tc>
      </w:tr>
      <w:tr>
        <w:trPr>
          <w:trHeight w:val="402" w:hRule="exact"/>
        </w:trPr>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吴俊军</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
              <w:jc w:val="center"/>
              <w:rPr>
                <w:rFonts w:ascii="宋体" w:hAnsi="宋体" w:cs="宋体" w:eastAsia="宋体" w:hint="default"/>
                <w:sz w:val="18"/>
                <w:szCs w:val="18"/>
              </w:rPr>
            </w:pPr>
            <w:r>
              <w:rPr>
                <w:rFonts w:ascii="宋体"/>
                <w:sz w:val="18"/>
              </w:rPr>
              <w:t>43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70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21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402" w:hRule="exact"/>
        </w:trPr>
        <w:tc>
          <w:tcPr>
            <w:tcW w:w="798" w:type="dxa"/>
            <w:vMerge/>
            <w:tcBorders>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总经理</w:t>
            </w:r>
          </w:p>
        </w:tc>
        <w:tc>
          <w:tcPr>
            <w:tcW w:w="851"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4" w:type="dxa"/>
            <w:vMerge/>
            <w:tcBorders>
              <w:left w:val="single" w:sz="4" w:space="0" w:color="000000"/>
              <w:bottom w:val="single" w:sz="4" w:space="0" w:color="000000"/>
              <w:right w:val="single" w:sz="4" w:space="0" w:color="000000"/>
            </w:tcBorders>
          </w:tcPr>
          <w:p>
            <w:pPr/>
          </w:p>
        </w:tc>
        <w:tc>
          <w:tcPr>
            <w:tcW w:w="1700"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210"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武力</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37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李科</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32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田祖海</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50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余明桂</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41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胡华夏</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50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童俊</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53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朱松青</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44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彭海朝</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sz w:val="18"/>
              </w:rPr>
              <w:t>51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李士训</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52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岳蓉</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41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王彬</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职工代表监事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49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3,240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3,240</w:t>
            </w:r>
          </w:p>
        </w:tc>
      </w:tr>
      <w:tr>
        <w:trPr>
          <w:trHeight w:val="402" w:hRule="exact"/>
        </w:trPr>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江绥</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
              <w:jc w:val="center"/>
              <w:rPr>
                <w:rFonts w:ascii="宋体" w:hAnsi="宋体" w:cs="宋体" w:eastAsia="宋体" w:hint="default"/>
                <w:sz w:val="18"/>
                <w:szCs w:val="18"/>
              </w:rPr>
            </w:pPr>
            <w:r>
              <w:rPr>
                <w:rFonts w:ascii="宋体"/>
                <w:sz w:val="18"/>
              </w:rPr>
              <w:t>54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70" w:right="0"/>
              <w:jc w:val="left"/>
              <w:rPr>
                <w:rFonts w:ascii="宋体" w:hAnsi="宋体" w:cs="宋体" w:eastAsia="宋体" w:hint="default"/>
                <w:sz w:val="18"/>
                <w:szCs w:val="18"/>
              </w:rPr>
            </w:pPr>
            <w:r>
              <w:rPr>
                <w:rFonts w:ascii="宋体"/>
                <w:sz w:val="18"/>
              </w:rPr>
              <w:t>634,298</w:t>
            </w:r>
          </w:p>
        </w:tc>
        <w:tc>
          <w:tcPr>
            <w:tcW w:w="170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21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71" w:right="0"/>
              <w:jc w:val="left"/>
              <w:rPr>
                <w:rFonts w:ascii="宋体" w:hAnsi="宋体" w:cs="宋体" w:eastAsia="宋体" w:hint="default"/>
                <w:sz w:val="18"/>
                <w:szCs w:val="18"/>
              </w:rPr>
            </w:pPr>
            <w:r>
              <w:rPr>
                <w:rFonts w:ascii="宋体"/>
                <w:sz w:val="18"/>
              </w:rPr>
              <w:t>634,298</w:t>
            </w:r>
          </w:p>
        </w:tc>
      </w:tr>
      <w:tr>
        <w:trPr>
          <w:trHeight w:val="403" w:hRule="exact"/>
        </w:trPr>
        <w:tc>
          <w:tcPr>
            <w:tcW w:w="798" w:type="dxa"/>
            <w:vMerge/>
            <w:tcBorders>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851"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4" w:type="dxa"/>
            <w:vMerge/>
            <w:tcBorders>
              <w:left w:val="single" w:sz="4" w:space="0" w:color="000000"/>
              <w:bottom w:val="single" w:sz="4" w:space="0" w:color="000000"/>
              <w:right w:val="single" w:sz="4" w:space="0" w:color="000000"/>
            </w:tcBorders>
          </w:tcPr>
          <w:p>
            <w:pPr/>
          </w:p>
        </w:tc>
        <w:tc>
          <w:tcPr>
            <w:tcW w:w="1700"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210"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r>
    </w:tbl>
    <w:p>
      <w:pPr>
        <w:spacing w:after="0"/>
        <w:sectPr>
          <w:headerReference w:type="default" r:id="rId30"/>
          <w:footerReference w:type="default" r:id="rId31"/>
          <w:pgSz w:w="16840" w:h="11910" w:orient="landscape"/>
          <w:pgMar w:header="857" w:footer="1187" w:top="1040" w:bottom="1380" w:left="1300" w:right="0"/>
          <w:pgNumType w:start="46"/>
        </w:sectPr>
      </w:pPr>
    </w:p>
    <w:p>
      <w:pPr>
        <w:spacing w:line="240" w:lineRule="auto" w:before="9"/>
        <w:rPr>
          <w:rFonts w:ascii="宋体" w:hAnsi="宋体" w:cs="宋体" w:eastAsia="宋体" w:hint="default"/>
          <w:b/>
          <w:bCs/>
          <w:sz w:val="3"/>
          <w:szCs w:val="3"/>
        </w:rPr>
      </w:pPr>
    </w:p>
    <w:tbl>
      <w:tblPr>
        <w:tblW w:w="0" w:type="auto"/>
        <w:jc w:val="left"/>
        <w:tblInd w:w="115" w:type="dxa"/>
        <w:tblLayout w:type="fixed"/>
        <w:tblCellMar>
          <w:top w:w="0" w:type="dxa"/>
          <w:left w:w="0" w:type="dxa"/>
          <w:bottom w:w="0" w:type="dxa"/>
          <w:right w:w="0" w:type="dxa"/>
        </w:tblCellMar>
        <w:tblLook w:val="01E0"/>
      </w:tblPr>
      <w:tblGrid>
        <w:gridCol w:w="798"/>
        <w:gridCol w:w="1187"/>
        <w:gridCol w:w="851"/>
        <w:gridCol w:w="566"/>
        <w:gridCol w:w="568"/>
        <w:gridCol w:w="1700"/>
        <w:gridCol w:w="1702"/>
        <w:gridCol w:w="1134"/>
        <w:gridCol w:w="1700"/>
        <w:gridCol w:w="1560"/>
        <w:gridCol w:w="1210"/>
        <w:gridCol w:w="1134"/>
      </w:tblGrid>
      <w:tr>
        <w:trPr>
          <w:trHeight w:val="768" w:hRule="exact"/>
        </w:trPr>
        <w:tc>
          <w:tcPr>
            <w:tcW w:w="79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孙静</w:t>
            </w:r>
          </w:p>
        </w:tc>
        <w:tc>
          <w:tcPr>
            <w:tcW w:w="1187" w:type="dxa"/>
            <w:tcBorders>
              <w:top w:val="single" w:sz="15" w:space="0" w:color="000000"/>
              <w:left w:val="single" w:sz="4" w:space="0" w:color="000000"/>
              <w:bottom w:val="single" w:sz="4" w:space="0" w:color="000000"/>
              <w:right w:val="single" w:sz="4" w:space="0" w:color="000000"/>
            </w:tcBorders>
          </w:tcPr>
          <w:p>
            <w:pPr>
              <w:pStyle w:val="TableParagraph"/>
              <w:spacing w:line="360" w:lineRule="auto" w:before="51"/>
              <w:ind w:left="137" w:right="137"/>
              <w:jc w:val="left"/>
              <w:rPr>
                <w:rFonts w:ascii="宋体" w:hAnsi="宋体" w:cs="宋体" w:eastAsia="宋体" w:hint="default"/>
                <w:sz w:val="18"/>
                <w:szCs w:val="18"/>
              </w:rPr>
            </w:pPr>
            <w:r>
              <w:rPr>
                <w:rFonts w:ascii="宋体" w:hAnsi="宋体" w:cs="宋体" w:eastAsia="宋体" w:hint="default"/>
                <w:sz w:val="18"/>
                <w:szCs w:val="18"/>
              </w:rPr>
              <w:t>副总经理、 财务负责人</w:t>
            </w:r>
          </w:p>
        </w:tc>
        <w:tc>
          <w:tcPr>
            <w:tcW w:w="85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188" w:right="0"/>
              <w:jc w:val="left"/>
              <w:rPr>
                <w:rFonts w:ascii="宋体" w:hAnsi="宋体" w:cs="宋体" w:eastAsia="宋体" w:hint="default"/>
                <w:sz w:val="18"/>
                <w:szCs w:val="18"/>
              </w:rPr>
            </w:pPr>
            <w:r>
              <w:rPr>
                <w:rFonts w:ascii="宋体"/>
                <w:sz w:val="18"/>
              </w:rPr>
              <w:t>50</w:t>
            </w:r>
          </w:p>
        </w:tc>
        <w:tc>
          <w:tcPr>
            <w:tcW w:w="170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0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70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56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21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13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刘春</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总经理</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88" w:right="0"/>
              <w:jc w:val="left"/>
              <w:rPr>
                <w:rFonts w:ascii="宋体" w:hAnsi="宋体" w:cs="宋体" w:eastAsia="宋体" w:hint="default"/>
                <w:sz w:val="18"/>
                <w:szCs w:val="18"/>
              </w:rPr>
            </w:pPr>
            <w:r>
              <w:rPr>
                <w:rFonts w:ascii="宋体"/>
                <w:sz w:val="18"/>
              </w:rPr>
              <w:t>48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832,680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832,680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刘拥纲</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88" w:right="0"/>
              <w:jc w:val="left"/>
              <w:rPr>
                <w:rFonts w:ascii="宋体" w:hAnsi="宋体" w:cs="宋体" w:eastAsia="宋体" w:hint="default"/>
                <w:sz w:val="18"/>
                <w:szCs w:val="18"/>
              </w:rPr>
            </w:pPr>
            <w:r>
              <w:rPr>
                <w:rFonts w:ascii="宋体"/>
                <w:sz w:val="18"/>
              </w:rPr>
              <w:t>40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周军龙</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88" w:right="0"/>
              <w:jc w:val="left"/>
              <w:rPr>
                <w:rFonts w:ascii="宋体" w:hAnsi="宋体" w:cs="宋体" w:eastAsia="宋体" w:hint="default"/>
                <w:sz w:val="18"/>
                <w:szCs w:val="18"/>
              </w:rPr>
            </w:pPr>
            <w:r>
              <w:rPr>
                <w:rFonts w:ascii="宋体"/>
                <w:sz w:val="18"/>
              </w:rPr>
              <w:t>41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r>
      <w:tr>
        <w:trPr>
          <w:trHeight w:val="403"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88" w:right="0"/>
              <w:jc w:val="left"/>
              <w:rPr>
                <w:rFonts w:ascii="宋体" w:hAnsi="宋体" w:cs="宋体" w:eastAsia="宋体" w:hint="default"/>
                <w:sz w:val="18"/>
                <w:szCs w:val="18"/>
              </w:rPr>
            </w:pPr>
            <w:r>
              <w:rPr>
                <w:rFonts w:ascii="宋体"/>
                <w:sz w:val="18"/>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6,889,928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6,889,928</w:t>
            </w:r>
          </w:p>
        </w:tc>
      </w:tr>
    </w:tbl>
    <w:p>
      <w:pPr>
        <w:spacing w:line="240" w:lineRule="auto" w:before="2"/>
        <w:rPr>
          <w:rFonts w:ascii="宋体" w:hAnsi="宋体" w:cs="宋体" w:eastAsia="宋体" w:hint="default"/>
          <w:b/>
          <w:bCs/>
          <w:sz w:val="18"/>
          <w:szCs w:val="18"/>
        </w:rPr>
      </w:pPr>
    </w:p>
    <w:p>
      <w:pPr>
        <w:pStyle w:val="Heading2"/>
        <w:spacing w:line="240" w:lineRule="auto" w:before="26"/>
        <w:ind w:left="120" w:right="0"/>
        <w:jc w:val="left"/>
        <w:rPr>
          <w:b w:val="0"/>
          <w:bCs w:val="0"/>
        </w:rPr>
      </w:pPr>
      <w:bookmarkStart w:name="二、公司董事、监事、高级管理人员变动情况" w:id="118"/>
      <w:bookmarkEnd w:id="118"/>
      <w:r>
        <w:rPr>
          <w:b w:val="0"/>
          <w:bCs w:val="0"/>
        </w:rPr>
      </w:r>
      <w:r>
        <w:rPr/>
        <w:t>二、公司董事、监事、高级管理人员变动情况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5" w:type="dxa"/>
        <w:tblLayout w:type="fixed"/>
        <w:tblCellMar>
          <w:top w:w="0" w:type="dxa"/>
          <w:left w:w="0" w:type="dxa"/>
          <w:bottom w:w="0" w:type="dxa"/>
          <w:right w:w="0" w:type="dxa"/>
        </w:tblCellMar>
        <w:tblLook w:val="01E0"/>
      </w:tblPr>
      <w:tblGrid>
        <w:gridCol w:w="1134"/>
        <w:gridCol w:w="1276"/>
        <w:gridCol w:w="852"/>
        <w:gridCol w:w="1984"/>
        <w:gridCol w:w="8865"/>
      </w:tblGrid>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担任的职务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8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童俊</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工作原因</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朱松青</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工作原因</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彭海朝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工作原因</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刘春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总经理</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解聘</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为集中精力发展公司布局于参股公司中天慧购的智慧零售</w:t>
            </w:r>
            <w:r>
              <w:rPr>
                <w:rFonts w:ascii="宋体" w:hAnsi="宋体" w:cs="宋体" w:eastAsia="宋体" w:hint="default"/>
                <w:spacing w:val="-46"/>
                <w:sz w:val="18"/>
                <w:szCs w:val="18"/>
              </w:rPr>
              <w:t> </w:t>
            </w:r>
            <w:r>
              <w:rPr>
                <w:rFonts w:ascii="宋体" w:hAnsi="宋体" w:cs="宋体" w:eastAsia="宋体" w:hint="default"/>
                <w:sz w:val="18"/>
                <w:szCs w:val="18"/>
              </w:rPr>
              <w:t>O2O</w:t>
            </w:r>
            <w:r>
              <w:rPr>
                <w:rFonts w:ascii="宋体" w:hAnsi="宋体" w:cs="宋体" w:eastAsia="宋体" w:hint="default"/>
                <w:spacing w:val="-46"/>
                <w:sz w:val="18"/>
                <w:szCs w:val="18"/>
              </w:rPr>
              <w:t> </w:t>
            </w:r>
            <w:r>
              <w:rPr>
                <w:rFonts w:ascii="宋体" w:hAnsi="宋体" w:cs="宋体" w:eastAsia="宋体" w:hint="default"/>
                <w:sz w:val="18"/>
                <w:szCs w:val="18"/>
              </w:rPr>
              <w:t>电子商务运营业务，辞去公司总经理职务</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刘拥纲</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解聘</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为更好地履行子公司天喻通讯总经理职务，集中精力发展天喻通讯的在线教育等业务，辞去公司副总经理职务</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吴俊军</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职务变更，不再担任公司副总经理职务，改任公司总经理职务</w:t>
            </w:r>
          </w:p>
        </w:tc>
      </w:tr>
    </w:tbl>
    <w:p>
      <w:pPr>
        <w:spacing w:after="0" w:line="240" w:lineRule="auto"/>
        <w:jc w:val="left"/>
        <w:rPr>
          <w:rFonts w:ascii="宋体" w:hAnsi="宋体" w:cs="宋体" w:eastAsia="宋体" w:hint="default"/>
          <w:sz w:val="18"/>
          <w:szCs w:val="18"/>
        </w:rPr>
        <w:sectPr>
          <w:pgSz w:w="16840" w:h="11910" w:orient="landscape"/>
          <w:pgMar w:header="857" w:footer="1187" w:top="1040" w:bottom="1380" w:left="1320" w:right="0"/>
        </w:sectPr>
      </w:pPr>
    </w:p>
    <w:p>
      <w:pPr>
        <w:spacing w:line="240" w:lineRule="auto" w:before="9"/>
        <w:rPr>
          <w:rFonts w:ascii="宋体" w:hAnsi="宋体" w:cs="宋体" w:eastAsia="宋体" w:hint="default"/>
          <w:b/>
          <w:bCs/>
          <w:sz w:val="19"/>
          <w:szCs w:val="19"/>
        </w:rPr>
      </w:pPr>
    </w:p>
    <w:p>
      <w:pPr>
        <w:pStyle w:val="Heading2"/>
        <w:spacing w:line="240" w:lineRule="auto" w:before="26"/>
        <w:ind w:right="0"/>
        <w:jc w:val="left"/>
        <w:rPr>
          <w:b w:val="0"/>
          <w:bCs w:val="0"/>
        </w:rPr>
      </w:pPr>
      <w:bookmarkStart w:name="三、任职情况" w:id="119"/>
      <w:bookmarkEnd w:id="119"/>
      <w:r>
        <w:rPr>
          <w:b w:val="0"/>
          <w:bCs w:val="0"/>
        </w:rPr>
      </w:r>
      <w:r>
        <w:rPr/>
        <w:t>三、任职情况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公司现任董事、监事、高级管理人员专业背景、主要工作经历以及目前在公司的主要职" w:id="120"/>
      <w:bookmarkEnd w:id="120"/>
      <w:r>
        <w:rPr>
          <w:b w:val="0"/>
          <w:bCs w:val="0"/>
        </w:rPr>
      </w:r>
      <w:r>
        <w:rPr>
          <w:rFonts w:ascii="宋体" w:hAnsi="宋体" w:cs="宋体" w:eastAsia="宋体" w:hint="default"/>
        </w:rPr>
        <w:t>1</w:t>
      </w:r>
      <w:r>
        <w:rPr/>
        <w:t>、公司现任董事、监事、高级管理人员专业背景、主要工作经历以及目前在公司的主要职责</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宋体" w:hAnsi="宋体" w:cs="宋体" w:eastAsia="宋体" w:hint="default"/>
        </w:rPr>
        <w:t>1</w:t>
      </w:r>
      <w:r>
        <w:rPr/>
        <w:t>）董事</w:t>
      </w:r>
      <w:r>
        <w:rPr>
          <w:b w:val="0"/>
          <w:bCs w:val="0"/>
        </w:rPr>
      </w:r>
    </w:p>
    <w:p>
      <w:pPr>
        <w:spacing w:line="240" w:lineRule="auto" w:before="9"/>
        <w:rPr>
          <w:rFonts w:ascii="宋体" w:hAnsi="宋体" w:cs="宋体" w:eastAsia="宋体" w:hint="default"/>
          <w:b/>
          <w:bCs/>
          <w:sz w:val="27"/>
          <w:szCs w:val="27"/>
        </w:rPr>
      </w:pPr>
    </w:p>
    <w:p>
      <w:pPr>
        <w:pStyle w:val="BodyText"/>
        <w:spacing w:line="319" w:lineRule="auto"/>
        <w:ind w:left="1134" w:right="1032" w:firstLine="360"/>
        <w:jc w:val="left"/>
      </w:pPr>
      <w:r>
        <w:rPr/>
        <w:t>张新访，男，中国国籍，无境外居留权，</w:t>
      </w:r>
      <w:r>
        <w:rPr>
          <w:rFonts w:ascii="宋体" w:hAnsi="宋体" w:cs="宋体" w:eastAsia="宋体" w:hint="default"/>
        </w:rPr>
        <w:t>1965</w:t>
      </w:r>
      <w:r>
        <w:rPr/>
        <w:t>年</w:t>
      </w:r>
      <w:r>
        <w:rPr>
          <w:rFonts w:ascii="宋体" w:hAnsi="宋体" w:cs="宋体" w:eastAsia="宋体" w:hint="default"/>
        </w:rPr>
        <w:t>1</w:t>
      </w:r>
      <w:r>
        <w:rPr/>
        <w:t>月出生，中共党员，博士学位，教授，博士生导师。曾任武汉华中科 技大产业集团有限公司董事长兼总经理，武汉华工创业投资有限责任公司董事、董事长，华工科技产业股份有限公司董事，</w:t>
      </w:r>
      <w:r>
        <w:rPr>
          <w:spacing w:val="-85"/>
        </w:rPr>
        <w:t> </w:t>
      </w:r>
      <w:r>
        <w:rPr>
          <w:spacing w:val="-85"/>
        </w:rPr>
      </w:r>
      <w:r>
        <w:rPr/>
        <w:t>武汉华中数控股份有限公司董事，湖北百旺金赋科技有限公司董事。现任公司董事长，武汉天喻教育科技有限公司董事长，</w:t>
      </w:r>
      <w:r>
        <w:rPr>
          <w:spacing w:val="-84"/>
        </w:rPr>
        <w:t> </w:t>
      </w:r>
      <w:r>
        <w:rPr>
          <w:spacing w:val="-84"/>
        </w:rPr>
      </w:r>
      <w:r>
        <w:rPr>
          <w:spacing w:val="-2"/>
        </w:rPr>
        <w:t>武汉擎动网络科技有限公司董事长，湖北百旺金赋科技有限公司董事长，武汉果核科技有限公司董事、武汉天喻聚联网络有</w:t>
      </w:r>
      <w:r>
        <w:rPr>
          <w:spacing w:val="-66"/>
        </w:rPr>
        <w:t> </w:t>
      </w:r>
      <w:r>
        <w:rPr>
          <w:spacing w:val="-66"/>
        </w:rPr>
      </w:r>
      <w:r>
        <w:rPr/>
        <w:t>限公司董事，武汉华中科技大产业集团有限公司董事。</w:t>
      </w:r>
    </w:p>
    <w:p>
      <w:pPr>
        <w:pStyle w:val="BodyText"/>
        <w:spacing w:line="319" w:lineRule="auto" w:before="55"/>
        <w:ind w:right="1033" w:firstLine="360"/>
        <w:jc w:val="left"/>
      </w:pPr>
      <w:r>
        <w:rPr/>
        <w:t>吴俊军，男，中国国籍，无境外居留权，</w:t>
      </w:r>
      <w:r>
        <w:rPr>
          <w:rFonts w:ascii="宋体" w:hAnsi="宋体" w:cs="宋体" w:eastAsia="宋体" w:hint="default"/>
        </w:rPr>
        <w:t>1972</w:t>
      </w:r>
      <w:r>
        <w:rPr/>
        <w:t>年</w:t>
      </w:r>
      <w:r>
        <w:rPr>
          <w:rFonts w:ascii="宋体" w:hAnsi="宋体" w:cs="宋体" w:eastAsia="宋体" w:hint="default"/>
        </w:rPr>
        <w:t>3</w:t>
      </w:r>
      <w:r>
        <w:rPr/>
        <w:t>月出生，中共党员，原华中理工大学</w:t>
      </w:r>
      <w:r>
        <w:rPr>
          <w:rFonts w:ascii="宋体" w:hAnsi="宋体" w:cs="宋体" w:eastAsia="宋体" w:hint="default"/>
        </w:rPr>
        <w:t>CAD</w:t>
      </w:r>
      <w:r>
        <w:rPr/>
        <w:t>中心智能</w:t>
      </w:r>
      <w:r>
        <w:rPr>
          <w:rFonts w:ascii="宋体" w:hAnsi="宋体" w:cs="宋体" w:eastAsia="宋体" w:hint="default"/>
        </w:rPr>
        <w:t>CAD</w:t>
      </w:r>
      <w:r>
        <w:rPr/>
        <w:t>专业毕业，研究 </w:t>
      </w:r>
      <w:r>
        <w:rPr>
          <w:spacing w:val="-2"/>
        </w:rPr>
        <w:t>生学历，工学博士学位，副教授。曾任公司研发中心总经理、公司总经理助理，湖北百旺金赋科技有限公司董事长、执行董</w:t>
      </w:r>
      <w:r>
        <w:rPr>
          <w:spacing w:val="-68"/>
        </w:rPr>
        <w:t> </w:t>
      </w:r>
      <w:r>
        <w:rPr>
          <w:spacing w:val="-68"/>
        </w:rPr>
      </w:r>
      <w:r>
        <w:rPr>
          <w:spacing w:val="-2"/>
        </w:rPr>
        <w:t>事兼总经理，武汉天喻聚联网络有限公司执行董事，武汉天喻新媒体技术有限公司董事、监事，武汉天喻信通制卡有限公司</w:t>
      </w:r>
      <w:r>
        <w:rPr>
          <w:spacing w:val="-66"/>
        </w:rPr>
        <w:t> </w:t>
      </w:r>
      <w:r>
        <w:rPr>
          <w:spacing w:val="-66"/>
        </w:rPr>
      </w:r>
      <w:r>
        <w:rPr>
          <w:spacing w:val="-2"/>
        </w:rPr>
        <w:t>监事。现任公司董事、总经理，武汉果核科技有限公司董事长，武汉天喻聚联网络有限公司董事长，武汉天喻信通制卡有限</w:t>
      </w:r>
      <w:r>
        <w:rPr>
          <w:spacing w:val="-66"/>
        </w:rPr>
        <w:t> </w:t>
      </w:r>
      <w:r>
        <w:rPr>
          <w:spacing w:val="-66"/>
        </w:rPr>
      </w:r>
      <w:r>
        <w:rPr/>
        <w:t>公司执行董事，湖北百旺金赋科技有限公司副董事长，武汉天喻教育科技有限公司董事，武汉擎动网络科技有限公司董事，</w:t>
      </w:r>
      <w:r>
        <w:rPr>
          <w:spacing w:val="-85"/>
        </w:rPr>
        <w:t> </w:t>
      </w:r>
      <w:r>
        <w:rPr>
          <w:spacing w:val="-85"/>
        </w:rPr>
      </w:r>
      <w:r>
        <w:rPr/>
        <w:t>武汉中天慧购电商服务有限公司董事。</w:t>
      </w:r>
    </w:p>
    <w:p>
      <w:pPr>
        <w:pStyle w:val="BodyText"/>
        <w:spacing w:line="319" w:lineRule="auto" w:before="56"/>
        <w:ind w:left="1134" w:right="1129" w:firstLine="360"/>
        <w:jc w:val="both"/>
      </w:pPr>
      <w:r>
        <w:rPr>
          <w:spacing w:val="-2"/>
        </w:rPr>
        <w:t>武力，男，中国国籍，无境外居留权，</w:t>
      </w:r>
      <w:r>
        <w:rPr>
          <w:rFonts w:ascii="宋体" w:hAnsi="宋体" w:cs="宋体" w:eastAsia="宋体" w:hint="default"/>
          <w:spacing w:val="-2"/>
        </w:rPr>
        <w:t>1978</w:t>
      </w:r>
      <w:r>
        <w:rPr>
          <w:spacing w:val="-2"/>
        </w:rPr>
        <w:t>年</w:t>
      </w:r>
      <w:r>
        <w:rPr>
          <w:rFonts w:ascii="宋体" w:hAnsi="宋体" w:cs="宋体" w:eastAsia="宋体" w:hint="default"/>
          <w:spacing w:val="-2"/>
        </w:rPr>
        <w:t>10</w:t>
      </w:r>
      <w:r>
        <w:rPr>
          <w:spacing w:val="-2"/>
        </w:rPr>
        <w:t>月出生，华中科技大学生物医学工程博士。曾任湖北省科技投资集团有</w:t>
      </w:r>
      <w:r>
        <w:rPr/>
        <w:t> </w:t>
      </w:r>
      <w:r>
        <w:rPr>
          <w:spacing w:val="-2"/>
        </w:rPr>
        <w:t>限公司产业投资部部长、基金管理部部长，武汉光谷风险投资基金有限公司董事会办公室副主任。现任公司董事，武汉光谷</w:t>
      </w:r>
      <w:r>
        <w:rPr>
          <w:spacing w:val="-66"/>
        </w:rPr>
        <w:t> </w:t>
      </w:r>
      <w:r>
        <w:rPr>
          <w:spacing w:val="-66"/>
        </w:rPr>
      </w:r>
      <w:r>
        <w:rPr>
          <w:spacing w:val="-2"/>
        </w:rPr>
        <w:t>创业投资基金有限公司董事，武汉光谷成长创业投资基金有限公司董事长，武汉光谷生物工程股份有限公司董事，武汉光谷</w:t>
      </w:r>
      <w:r>
        <w:rPr>
          <w:spacing w:val="-66"/>
        </w:rPr>
        <w:t> </w:t>
      </w:r>
      <w:r>
        <w:rPr>
          <w:spacing w:val="-66"/>
        </w:rPr>
      </w:r>
      <w:r>
        <w:rPr>
          <w:spacing w:val="-2"/>
        </w:rPr>
        <w:t>高新成长创业投资管理有限公司董事，武汉科融投资管理有限公司董事，武汉光谷人才投资基金有限公司监事，武汉光谷集</w:t>
      </w:r>
      <w:r>
        <w:rPr>
          <w:spacing w:val="-66"/>
        </w:rPr>
        <w:t> </w:t>
      </w:r>
      <w:r>
        <w:rPr>
          <w:spacing w:val="-66"/>
        </w:rPr>
      </w:r>
      <w:r>
        <w:rPr/>
        <w:t>成电路产业基金股份有限公司监事，武汉光谷科技金融发展有限公司投资管理部部长。</w:t>
      </w:r>
    </w:p>
    <w:p>
      <w:pPr>
        <w:pStyle w:val="BodyText"/>
        <w:spacing w:line="319" w:lineRule="auto" w:before="56"/>
        <w:ind w:left="1134" w:right="1129" w:firstLine="360"/>
        <w:jc w:val="both"/>
      </w:pPr>
      <w:r>
        <w:rPr>
          <w:spacing w:val="-2"/>
        </w:rPr>
        <w:t>李科，男，中国国籍，无境外居留权，</w:t>
      </w:r>
      <w:r>
        <w:rPr>
          <w:rFonts w:ascii="宋体" w:hAnsi="宋体" w:cs="宋体" w:eastAsia="宋体" w:hint="default"/>
          <w:spacing w:val="-2"/>
        </w:rPr>
        <w:t>1983</w:t>
      </w:r>
      <w:r>
        <w:rPr>
          <w:spacing w:val="-2"/>
        </w:rPr>
        <w:t>年</w:t>
      </w:r>
      <w:r>
        <w:rPr>
          <w:rFonts w:ascii="宋体" w:hAnsi="宋体" w:cs="宋体" w:eastAsia="宋体" w:hint="default"/>
          <w:spacing w:val="-2"/>
        </w:rPr>
        <w:t>12</w:t>
      </w:r>
      <w:r>
        <w:rPr>
          <w:spacing w:val="-2"/>
        </w:rPr>
        <w:t>月出生，英国索尔福德大学投资银行专业硕士。曾任湖北省科技投资集</w:t>
      </w:r>
      <w:r>
        <w:rPr/>
        <w:t> </w:t>
      </w:r>
      <w:r>
        <w:rPr>
          <w:spacing w:val="-2"/>
        </w:rPr>
        <w:t>团有限公司产业投资部项目经理、基金管理部项目经理。现任公司董事，武汉科技创新朝阳创业投资有限公司董事，武汉光</w:t>
      </w:r>
      <w:r>
        <w:rPr>
          <w:spacing w:val="-66"/>
        </w:rPr>
        <w:t> </w:t>
      </w:r>
      <w:r>
        <w:rPr>
          <w:spacing w:val="-66"/>
        </w:rPr>
      </w:r>
      <w:r>
        <w:rPr>
          <w:spacing w:val="-2"/>
        </w:rPr>
        <w:t>谷成长创业投资基金有限公司监事，湖北高和创业投资企业（有限合伙）联合管理委员会委员，武汉光谷科技金融发展有限</w:t>
      </w:r>
      <w:r>
        <w:rPr>
          <w:spacing w:val="-66"/>
        </w:rPr>
        <w:t> </w:t>
      </w:r>
      <w:r>
        <w:rPr>
          <w:spacing w:val="-66"/>
        </w:rPr>
      </w:r>
      <w:r>
        <w:rPr/>
        <w:t>公司投资管理部项目主管。</w:t>
      </w:r>
    </w:p>
    <w:p>
      <w:pPr>
        <w:pStyle w:val="BodyText"/>
        <w:spacing w:line="319" w:lineRule="auto" w:before="55"/>
        <w:ind w:right="1132" w:firstLine="360"/>
        <w:jc w:val="both"/>
      </w:pPr>
      <w:r>
        <w:rPr>
          <w:spacing w:val="-2"/>
        </w:rPr>
        <w:t>田祖海，男，中国国籍，无境外居留权，</w:t>
      </w:r>
      <w:r>
        <w:rPr>
          <w:rFonts w:ascii="宋体" w:hAnsi="宋体" w:cs="宋体" w:eastAsia="宋体" w:hint="default"/>
          <w:spacing w:val="-2"/>
        </w:rPr>
        <w:t>1965</w:t>
      </w:r>
      <w:r>
        <w:rPr>
          <w:spacing w:val="-2"/>
        </w:rPr>
        <w:t>年</w:t>
      </w:r>
      <w:r>
        <w:rPr>
          <w:rFonts w:ascii="宋体" w:hAnsi="宋体" w:cs="宋体" w:eastAsia="宋体" w:hint="default"/>
          <w:spacing w:val="-2"/>
        </w:rPr>
        <w:t>12</w:t>
      </w:r>
      <w:r>
        <w:rPr>
          <w:spacing w:val="-2"/>
        </w:rPr>
        <w:t>月出生，中共党员，湖北大学历史专业学士，武汉交通科技大学产业</w:t>
      </w:r>
      <w:r>
        <w:rPr/>
        <w:t> </w:t>
      </w:r>
      <w:r>
        <w:rPr>
          <w:spacing w:val="-2"/>
        </w:rPr>
        <w:t>经济专业硕士，中南财经政法大学企业管理专业博士。曾任武汉交通科技大学法商学院讲师，武汉交通科技大学经管学院讲</w:t>
      </w:r>
      <w:r>
        <w:rPr>
          <w:spacing w:val="-66"/>
        </w:rPr>
        <w:t> </w:t>
      </w:r>
      <w:r>
        <w:rPr>
          <w:spacing w:val="-66"/>
        </w:rPr>
      </w:r>
      <w:r>
        <w:rPr/>
        <w:t>师。现任公司独立董事，武汉理工大学经济学院教授。</w:t>
      </w:r>
    </w:p>
    <w:p>
      <w:pPr>
        <w:pStyle w:val="BodyText"/>
        <w:spacing w:line="319" w:lineRule="auto" w:before="56"/>
        <w:ind w:right="1033" w:firstLine="360"/>
        <w:jc w:val="left"/>
      </w:pPr>
      <w:r>
        <w:rPr>
          <w:spacing w:val="-2"/>
        </w:rPr>
        <w:t>余明桂，男，中国国籍，无境外居留权，</w:t>
      </w:r>
      <w:r>
        <w:rPr>
          <w:rFonts w:ascii="宋体" w:hAnsi="宋体" w:cs="宋体" w:eastAsia="宋体" w:hint="default"/>
          <w:spacing w:val="-2"/>
        </w:rPr>
        <w:t>1974</w:t>
      </w:r>
      <w:r>
        <w:rPr>
          <w:spacing w:val="-2"/>
        </w:rPr>
        <w:t>年</w:t>
      </w:r>
      <w:r>
        <w:rPr>
          <w:rFonts w:ascii="宋体" w:hAnsi="宋体" w:cs="宋体" w:eastAsia="宋体" w:hint="default"/>
          <w:spacing w:val="-2"/>
        </w:rPr>
        <w:t>11</w:t>
      </w:r>
      <w:r>
        <w:rPr>
          <w:spacing w:val="-2"/>
        </w:rPr>
        <w:t>月出生，中共党员，中国人民解放军军事经济学院经济学学士，中国</w:t>
      </w:r>
      <w:r>
        <w:rPr/>
        <w:t> 人民解放军军事经济学院经济学硕士，华中科技大学管理学院管理学博士。曾任华中科技大学控制科学与工程学科博士后，</w:t>
      </w:r>
      <w:r>
        <w:rPr>
          <w:spacing w:val="-85"/>
        </w:rPr>
        <w:t> </w:t>
      </w:r>
      <w:r>
        <w:rPr>
          <w:spacing w:val="-85"/>
        </w:rPr>
      </w:r>
      <w:r>
        <w:rPr>
          <w:spacing w:val="-2"/>
        </w:rPr>
        <w:t>武汉大学经济与管理学院副教授，印第安纳大学访问学者。现任公司独立董事，烽火通信科技股份公司独立董事，湖北回天</w:t>
      </w:r>
      <w:r>
        <w:rPr>
          <w:spacing w:val="-66"/>
        </w:rPr>
        <w:t> </w:t>
      </w:r>
      <w:r>
        <w:rPr>
          <w:spacing w:val="-66"/>
        </w:rPr>
      </w:r>
      <w:r>
        <w:rPr/>
        <w:t>新材料股份有限公司独立董事，武汉大学经济与管理学院会计学专业教授、博士生导师。</w:t>
      </w:r>
    </w:p>
    <w:p>
      <w:pPr>
        <w:pStyle w:val="BodyText"/>
        <w:spacing w:line="319" w:lineRule="auto" w:before="55"/>
        <w:ind w:left="1134" w:right="1133" w:firstLine="360"/>
        <w:jc w:val="both"/>
      </w:pPr>
      <w:r>
        <w:rPr/>
        <w:t>胡华夏，男，中国国籍，无境外居留权，</w:t>
      </w:r>
      <w:r>
        <w:rPr>
          <w:rFonts w:ascii="宋体" w:hAnsi="宋体" w:cs="宋体" w:eastAsia="宋体" w:hint="default"/>
        </w:rPr>
        <w:t>1965</w:t>
      </w:r>
      <w:r>
        <w:rPr/>
        <w:t>年</w:t>
      </w:r>
      <w:r>
        <w:rPr>
          <w:rFonts w:ascii="宋体" w:hAnsi="宋体" w:cs="宋体" w:eastAsia="宋体" w:hint="default"/>
        </w:rPr>
        <w:t>6</w:t>
      </w:r>
      <w:r>
        <w:rPr/>
        <w:t>月出生，武汉工学院管理学专业学士，武汉汽车工业大学管理工程专 </w:t>
      </w:r>
      <w:r>
        <w:rPr>
          <w:spacing w:val="-2"/>
        </w:rPr>
        <w:t>业硕士，武汉理工大学管理工程专业博士。曾任中珠控股股份有限公司独立董事。现任武汉理工大学管理学院会计学专业教</w:t>
      </w:r>
      <w:r>
        <w:rPr>
          <w:spacing w:val="-66"/>
        </w:rPr>
        <w:t> </w:t>
      </w:r>
      <w:r>
        <w:rPr>
          <w:spacing w:val="-66"/>
        </w:rPr>
      </w:r>
      <w:r>
        <w:rPr/>
        <w:t>授、会计系主任，烽火通信科技股份有限公司独立董事。</w:t>
      </w:r>
    </w:p>
    <w:p>
      <w:pPr>
        <w:spacing w:line="240" w:lineRule="auto" w:before="3"/>
        <w:rPr>
          <w:rFonts w:ascii="宋体" w:hAnsi="宋体" w:cs="宋体" w:eastAsia="宋体" w:hint="default"/>
          <w:sz w:val="22"/>
          <w:szCs w:val="22"/>
        </w:rPr>
      </w:pPr>
    </w:p>
    <w:p>
      <w:pPr>
        <w:pStyle w:val="Heading3"/>
        <w:spacing w:line="240" w:lineRule="auto"/>
        <w:ind w:left="1134" w:right="0"/>
        <w:jc w:val="left"/>
        <w:rPr>
          <w:b w:val="0"/>
          <w:bCs w:val="0"/>
        </w:rPr>
      </w:pPr>
      <w:r>
        <w:rPr/>
        <w:t>（</w:t>
      </w:r>
      <w:r>
        <w:rPr>
          <w:rFonts w:ascii="宋体" w:hAnsi="宋体" w:cs="宋体" w:eastAsia="宋体" w:hint="default"/>
        </w:rPr>
        <w:t>2</w:t>
      </w:r>
      <w:r>
        <w:rPr/>
        <w:t>）监事</w:t>
      </w:r>
      <w:r>
        <w:rPr>
          <w:b w:val="0"/>
          <w:bCs w:val="0"/>
        </w:rPr>
      </w:r>
    </w:p>
    <w:p>
      <w:pPr>
        <w:spacing w:line="240" w:lineRule="auto" w:before="9"/>
        <w:rPr>
          <w:rFonts w:ascii="宋体" w:hAnsi="宋体" w:cs="宋体" w:eastAsia="宋体" w:hint="default"/>
          <w:b/>
          <w:bCs/>
          <w:sz w:val="27"/>
          <w:szCs w:val="27"/>
        </w:rPr>
      </w:pPr>
    </w:p>
    <w:p>
      <w:pPr>
        <w:pStyle w:val="BodyText"/>
        <w:spacing w:line="319" w:lineRule="auto"/>
        <w:ind w:left="1134" w:right="1032" w:firstLine="360"/>
        <w:jc w:val="left"/>
      </w:pPr>
      <w:r>
        <w:rPr/>
        <w:t>李士训，男，中国国籍，无境外居留权，</w:t>
      </w:r>
      <w:r>
        <w:rPr>
          <w:rFonts w:ascii="宋体" w:hAnsi="宋体" w:cs="宋体" w:eastAsia="宋体" w:hint="default"/>
        </w:rPr>
        <w:t>1963</w:t>
      </w:r>
      <w:r>
        <w:rPr/>
        <w:t>年</w:t>
      </w:r>
      <w:r>
        <w:rPr>
          <w:rFonts w:ascii="宋体" w:hAnsi="宋体" w:cs="宋体" w:eastAsia="宋体" w:hint="default"/>
        </w:rPr>
        <w:t>7</w:t>
      </w:r>
      <w:r>
        <w:rPr/>
        <w:t>月出生，本科学历，学士学位，会计师。曾任武汉华工正源光子技术 </w:t>
      </w:r>
      <w:r>
        <w:rPr>
          <w:spacing w:val="-2"/>
        </w:rPr>
        <w:t>有限公司财务总监、副总经理，武汉城苑监理工程有限公司董事，武汉开目信息技术有限责任公司监事，武汉同济科技集团</w:t>
      </w:r>
      <w:r>
        <w:rPr>
          <w:spacing w:val="-66"/>
        </w:rPr>
        <w:t> </w:t>
      </w:r>
      <w:r>
        <w:rPr>
          <w:spacing w:val="-66"/>
        </w:rPr>
      </w:r>
      <w:r>
        <w:rPr/>
        <w:t>有限公司监事，武汉华工创业投资有限责任公司董事，武汉华大机械工程有限公司董事，北京华工天一科技有限公司监事。</w:t>
      </w:r>
      <w:r>
        <w:rPr>
          <w:spacing w:val="-85"/>
        </w:rPr>
        <w:t> </w:t>
      </w:r>
      <w:r>
        <w:rPr>
          <w:spacing w:val="-85"/>
        </w:rPr>
      </w:r>
      <w:r>
        <w:rPr>
          <w:spacing w:val="-2"/>
        </w:rPr>
        <w:t>现任公司监事会主席，武汉华中科技大产业集团有限公司财务总监，武汉华工创业投资有限责任公司董事长，武汉鸿象信息</w:t>
      </w:r>
      <w:r>
        <w:rPr>
          <w:spacing w:val="-66"/>
        </w:rPr>
        <w:t> </w:t>
      </w:r>
      <w:r>
        <w:rPr>
          <w:spacing w:val="-66"/>
        </w:rPr>
      </w:r>
      <w:r>
        <w:rPr>
          <w:spacing w:val="-2"/>
        </w:rPr>
        <w:t>技术有限公司董事长，武汉华大机械工程有限公司董事长，温州华中科技发展有限公司董事长，武汉城苑监理工程有限公司</w:t>
      </w:r>
    </w:p>
    <w:p>
      <w:pPr>
        <w:spacing w:after="0" w:line="319" w:lineRule="auto"/>
        <w:jc w:val="left"/>
        <w:sectPr>
          <w:headerReference w:type="default" r:id="rId32"/>
          <w:footerReference w:type="default" r:id="rId33"/>
          <w:pgSz w:w="11910" w:h="16840"/>
          <w:pgMar w:header="877" w:footer="1187" w:top="1100" w:bottom="1380" w:left="0" w:right="0"/>
          <w:pgNumType w:start="48"/>
        </w:sectPr>
      </w:pPr>
    </w:p>
    <w:p>
      <w:pPr>
        <w:spacing w:line="240" w:lineRule="auto" w:before="12"/>
        <w:rPr>
          <w:rFonts w:ascii="宋体" w:hAnsi="宋体" w:cs="宋体" w:eastAsia="宋体" w:hint="default"/>
          <w:sz w:val="21"/>
          <w:szCs w:val="21"/>
        </w:rPr>
      </w:pPr>
    </w:p>
    <w:p>
      <w:pPr>
        <w:pStyle w:val="BodyText"/>
        <w:spacing w:line="319" w:lineRule="auto" w:before="44"/>
        <w:ind w:right="1033"/>
        <w:jc w:val="left"/>
      </w:pPr>
      <w:r>
        <w:rPr/>
        <w:t>执行董事，武汉神阳饮品有限公司执行董事，武汉华工建设发展有限公司执行董事，武汉华胜工程建设科技有限公司董事，</w:t>
      </w:r>
      <w:r>
        <w:rPr>
          <w:spacing w:val="-85"/>
        </w:rPr>
        <w:t> </w:t>
      </w:r>
      <w:r>
        <w:rPr>
          <w:spacing w:val="-85"/>
        </w:rPr>
      </w:r>
      <w:r>
        <w:rPr>
          <w:spacing w:val="-2"/>
        </w:rPr>
        <w:t>武汉开目信息技术有限责任公司董事，武汉精典风景园林有限公司董事，武汉鑫昶文化有限公司董事，深圳市华科兆恒科技</w:t>
      </w:r>
      <w:r>
        <w:rPr>
          <w:spacing w:val="-66"/>
        </w:rPr>
        <w:t> </w:t>
      </w:r>
      <w:r>
        <w:rPr>
          <w:spacing w:val="-66"/>
        </w:rPr>
      </w:r>
      <w:r>
        <w:rPr>
          <w:spacing w:val="-2"/>
        </w:rPr>
        <w:t>有限公司董事，华工制造装备数字化国家工程中心有限公司董事，华工科技产业股份有限公司监事长，华中科技大学出版社</w:t>
      </w:r>
      <w:r>
        <w:rPr>
          <w:spacing w:val="-66"/>
        </w:rPr>
        <w:t> </w:t>
      </w:r>
      <w:r>
        <w:rPr>
          <w:spacing w:val="-66"/>
        </w:rPr>
      </w:r>
      <w:r>
        <w:rPr/>
        <w:t>有限责任公司监事长，武汉同济科技集团有限公司监事长，武汉华宏资产经营管理有限公司监事。</w:t>
      </w:r>
    </w:p>
    <w:p>
      <w:pPr>
        <w:pStyle w:val="BodyText"/>
        <w:spacing w:line="319" w:lineRule="auto" w:before="56"/>
        <w:ind w:left="1134" w:right="1131" w:firstLine="360"/>
        <w:jc w:val="both"/>
      </w:pPr>
      <w:r>
        <w:rPr/>
        <w:t>岳蓉，女，中国国籍，无境外居留权，</w:t>
      </w:r>
      <w:r>
        <w:rPr>
          <w:rFonts w:ascii="宋体" w:hAnsi="宋体" w:cs="宋体" w:eastAsia="宋体" w:hint="default"/>
        </w:rPr>
        <w:t>1974</w:t>
      </w:r>
      <w:r>
        <w:rPr/>
        <w:t>年</w:t>
      </w:r>
      <w:r>
        <w:rPr>
          <w:rFonts w:ascii="宋体" w:hAnsi="宋体" w:cs="宋体" w:eastAsia="宋体" w:hint="default"/>
        </w:rPr>
        <w:t>7</w:t>
      </w:r>
      <w:r>
        <w:rPr/>
        <w:t>月出生，经济学博士学位。曾任武汉华工创业投资有限责任公司总经理 </w:t>
      </w:r>
      <w:r>
        <w:rPr>
          <w:spacing w:val="-2"/>
        </w:rPr>
        <w:t>助理，湖北富邦科技股份有限公司董事。现任公司监事，武汉华工创业投资有限责任公司副总经理，武汉华科大生命科技有</w:t>
      </w:r>
      <w:r>
        <w:rPr>
          <w:spacing w:val="-66"/>
        </w:rPr>
        <w:t> </w:t>
      </w:r>
      <w:r>
        <w:rPr>
          <w:spacing w:val="-66"/>
        </w:rPr>
      </w:r>
      <w:r>
        <w:rPr>
          <w:spacing w:val="-2"/>
        </w:rPr>
        <w:t>限公司董事长，武汉固德银赛创业投资管理有限公司董事、总经理，科华银赛创业投资有限公司董事、武汉华创欣网科技有</w:t>
      </w:r>
      <w:r>
        <w:rPr>
          <w:spacing w:val="-66"/>
        </w:rPr>
        <w:t> </w:t>
      </w:r>
      <w:r>
        <w:rPr>
          <w:spacing w:val="-66"/>
        </w:rPr>
      </w:r>
      <w:r>
        <w:rPr/>
        <w:t>限公司董事。</w:t>
      </w:r>
    </w:p>
    <w:p>
      <w:pPr>
        <w:pStyle w:val="BodyText"/>
        <w:spacing w:line="319" w:lineRule="auto" w:before="56"/>
        <w:ind w:right="1132" w:firstLine="360"/>
        <w:jc w:val="both"/>
      </w:pPr>
      <w:r>
        <w:rPr>
          <w:spacing w:val="-4"/>
        </w:rPr>
        <w:t>王彬，女，中国国籍，无境外居留权，</w:t>
      </w:r>
      <w:r>
        <w:rPr>
          <w:rFonts w:ascii="宋体" w:hAnsi="宋体" w:cs="宋体" w:eastAsia="宋体" w:hint="default"/>
          <w:spacing w:val="-4"/>
        </w:rPr>
        <w:t>1966</w:t>
      </w:r>
      <w:r>
        <w:rPr>
          <w:spacing w:val="-4"/>
        </w:rPr>
        <w:t>年</w:t>
      </w:r>
      <w:r>
        <w:rPr>
          <w:rFonts w:ascii="宋体" w:hAnsi="宋体" w:cs="宋体" w:eastAsia="宋体" w:hint="default"/>
          <w:spacing w:val="-4"/>
        </w:rPr>
        <w:t>6</w:t>
      </w:r>
      <w:r>
        <w:rPr>
          <w:spacing w:val="-4"/>
        </w:rPr>
        <w:t>月出生，中共党员，本科学历，高级经济师。曾任公司综合管理部部长、</w:t>
      </w:r>
      <w:r>
        <w:rPr/>
        <w:t> 企业管理部部长、审计部部长。现任公司职工代表监事、总经理助理、采购二部部长。</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t>（</w:t>
      </w:r>
      <w:r>
        <w:rPr>
          <w:rFonts w:ascii="宋体" w:hAnsi="宋体" w:cs="宋体" w:eastAsia="宋体" w:hint="default"/>
        </w:rPr>
        <w:t>3</w:t>
      </w:r>
      <w:r>
        <w:rPr/>
        <w:t>）高级管理人员</w:t>
      </w:r>
      <w:r>
        <w:rPr>
          <w:b w:val="0"/>
          <w:bCs w:val="0"/>
        </w:rPr>
      </w:r>
    </w:p>
    <w:p>
      <w:pPr>
        <w:spacing w:line="240" w:lineRule="auto" w:before="11"/>
        <w:rPr>
          <w:rFonts w:ascii="宋体" w:hAnsi="宋体" w:cs="宋体" w:eastAsia="宋体" w:hint="default"/>
          <w:b/>
          <w:bCs/>
          <w:sz w:val="27"/>
          <w:szCs w:val="27"/>
        </w:rPr>
      </w:pPr>
    </w:p>
    <w:p>
      <w:pPr>
        <w:pStyle w:val="BodyText"/>
        <w:spacing w:line="357" w:lineRule="auto"/>
        <w:ind w:left="1494" w:right="1122"/>
        <w:jc w:val="left"/>
      </w:pPr>
      <w:r>
        <w:rPr/>
        <w:t>吴俊军，见董事简历。 江绥，女，中国国籍，无境外居留权，</w:t>
      </w:r>
      <w:r>
        <w:rPr>
          <w:rFonts w:ascii="宋体" w:hAnsi="宋体" w:cs="宋体" w:eastAsia="宋体" w:hint="default"/>
        </w:rPr>
        <w:t>1961</w:t>
      </w:r>
      <w:r>
        <w:rPr/>
        <w:t>年</w:t>
      </w:r>
      <w:r>
        <w:rPr>
          <w:rFonts w:ascii="宋体" w:hAnsi="宋体" w:cs="宋体" w:eastAsia="宋体" w:hint="default"/>
        </w:rPr>
        <w:t>9</w:t>
      </w:r>
      <w:r>
        <w:rPr/>
        <w:t>月出生，本科学历。曾任武汉天喻新媒体技术有限公司监事会主席，北</w:t>
      </w:r>
    </w:p>
    <w:p>
      <w:pPr>
        <w:pStyle w:val="BodyText"/>
        <w:spacing w:line="224" w:lineRule="exact"/>
        <w:ind w:left="1134" w:right="0"/>
        <w:jc w:val="left"/>
      </w:pPr>
      <w:r>
        <w:rPr/>
        <w:t>京泰合志恒科技有限公司监事会主席，武汉天喻通讯技术有限公司监事会主席，武汉擎动网络科技有限公司监事会主席，湖</w:t>
      </w:r>
    </w:p>
    <w:p>
      <w:pPr>
        <w:pStyle w:val="BodyText"/>
        <w:spacing w:line="319" w:lineRule="auto" w:before="76"/>
        <w:ind w:left="1134" w:right="0"/>
        <w:jc w:val="left"/>
      </w:pPr>
      <w:r>
        <w:rPr>
          <w:spacing w:val="-2"/>
        </w:rPr>
        <w:t>北百旺金赋科技有限公司监事会主席。现任公司副总经理、董事会秘书，武汉天喻教育科技有限公司董事、武汉擎动网络科</w:t>
      </w:r>
      <w:r>
        <w:rPr>
          <w:spacing w:val="-66"/>
        </w:rPr>
        <w:t> </w:t>
      </w:r>
      <w:r>
        <w:rPr>
          <w:spacing w:val="-66"/>
        </w:rPr>
      </w:r>
      <w:r>
        <w:rPr/>
        <w:t>技有限公司董事、湖北百旺金赋科技有限公司董事。</w:t>
      </w:r>
    </w:p>
    <w:p>
      <w:pPr>
        <w:pStyle w:val="BodyText"/>
        <w:spacing w:line="319" w:lineRule="auto" w:before="55"/>
        <w:ind w:right="1132" w:firstLine="360"/>
        <w:jc w:val="both"/>
      </w:pPr>
      <w:r>
        <w:rPr>
          <w:spacing w:val="-2"/>
        </w:rPr>
        <w:t>孙静，女，中国国籍，无境外居留权，</w:t>
      </w:r>
      <w:r>
        <w:rPr>
          <w:rFonts w:ascii="宋体" w:hAnsi="宋体" w:cs="宋体" w:eastAsia="宋体" w:hint="default"/>
          <w:spacing w:val="-2"/>
        </w:rPr>
        <w:t>1965</w:t>
      </w:r>
      <w:r>
        <w:rPr>
          <w:spacing w:val="-2"/>
        </w:rPr>
        <w:t>年</w:t>
      </w:r>
      <w:r>
        <w:rPr>
          <w:rFonts w:ascii="宋体" w:hAnsi="宋体" w:cs="宋体" w:eastAsia="宋体" w:hint="default"/>
          <w:spacing w:val="-2"/>
        </w:rPr>
        <w:t>10</w:t>
      </w:r>
      <w:r>
        <w:rPr>
          <w:spacing w:val="-2"/>
        </w:rPr>
        <w:t>月出生，中南财经大学工业会计系毕业，本科学历。曾任公司财务部部</w:t>
      </w:r>
      <w:r>
        <w:rPr/>
        <w:t> </w:t>
      </w:r>
      <w:r>
        <w:rPr>
          <w:spacing w:val="-2"/>
        </w:rPr>
        <w:t>长、总经理助理，武汉擎动网络科技有限公司财务负责人。现任公司副总经理、财务负责人，武汉天喻教育科技有限公司董</w:t>
      </w:r>
      <w:r>
        <w:rPr>
          <w:spacing w:val="-66"/>
        </w:rPr>
        <w:t> </w:t>
      </w:r>
      <w:r>
        <w:rPr>
          <w:spacing w:val="-66"/>
        </w:rPr>
      </w:r>
      <w:r>
        <w:rPr>
          <w:spacing w:val="-2"/>
        </w:rPr>
        <w:t>事、财务负责人，武汉擎动网络科技有限公司董事，湖北百旺金赋科技有限公司董事、财务负责人，武汉果核科技有限公司</w:t>
      </w:r>
      <w:r>
        <w:rPr>
          <w:spacing w:val="-66"/>
        </w:rPr>
        <w:t> </w:t>
      </w:r>
      <w:r>
        <w:rPr>
          <w:spacing w:val="-66"/>
        </w:rPr>
      </w:r>
      <w:r>
        <w:rPr>
          <w:spacing w:val="-2"/>
        </w:rPr>
        <w:t>财务负责人，武汉天喻聚联网络有限公司财务负责人，武汉天喻信通制卡有限公司财务负责人，武汉中天慧购电商服务有限</w:t>
      </w:r>
      <w:r>
        <w:rPr>
          <w:spacing w:val="-66"/>
        </w:rPr>
        <w:t> </w:t>
      </w:r>
      <w:r>
        <w:rPr>
          <w:spacing w:val="-66"/>
        </w:rPr>
      </w:r>
      <w:r>
        <w:rPr/>
        <w:t>公司财务负责人。</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bookmarkStart w:name="2、在股东单位任职情况" w:id="121"/>
      <w:bookmarkEnd w:id="121"/>
      <w:r>
        <w:rPr>
          <w:b w:val="0"/>
          <w:bCs w:val="0"/>
        </w:rPr>
      </w:r>
      <w:r>
        <w:rPr>
          <w:rFonts w:ascii="宋体" w:hAnsi="宋体" w:cs="宋体" w:eastAsia="宋体" w:hint="default"/>
        </w:rPr>
        <w:t>2</w:t>
      </w:r>
      <w:r>
        <w:rPr/>
        <w:t>、在股东单位任职情况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217"/>
        <w:gridCol w:w="2895"/>
        <w:gridCol w:w="1134"/>
        <w:gridCol w:w="1559"/>
        <w:gridCol w:w="1419"/>
        <w:gridCol w:w="1345"/>
      </w:tblGrid>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股东单位名称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11" w:right="110"/>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27" w:right="36"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张新访</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武汉华中科技大产业集团有限公司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武力</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武汉光谷创业投资基金有限公司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7"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李士训</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武汉华工创业投资有限责任公司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7" w:type="dxa"/>
            <w:vMerge/>
            <w:tcBorders>
              <w:left w:val="single" w:sz="4" w:space="0" w:color="000000"/>
              <w:bottom w:val="single" w:sz="4" w:space="0" w:color="000000"/>
              <w:right w:val="single" w:sz="4" w:space="0" w:color="000000"/>
            </w:tcBorders>
          </w:tcPr>
          <w:p>
            <w:pP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武汉华中科技大产业集团有限公司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岳蓉</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武汉华工创业投资有限责任公司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在其他单位任职情况" w:id="122"/>
      <w:bookmarkEnd w:id="122"/>
      <w:r>
        <w:rPr>
          <w:b w:val="0"/>
          <w:bCs w:val="0"/>
        </w:rPr>
      </w:r>
      <w:r>
        <w:rPr>
          <w:rFonts w:ascii="宋体" w:hAnsi="宋体" w:cs="宋体" w:eastAsia="宋体" w:hint="default"/>
        </w:rPr>
        <w:t>3</w:t>
      </w:r>
      <w:r>
        <w:rPr/>
        <w:t>、在其他单位任职情况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1134"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798"/>
        <w:gridCol w:w="3314"/>
        <w:gridCol w:w="1111"/>
        <w:gridCol w:w="1483"/>
        <w:gridCol w:w="1540"/>
        <w:gridCol w:w="1322"/>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13" w:right="33" w:hanging="180"/>
              <w:jc w:val="left"/>
              <w:rPr>
                <w:rFonts w:ascii="宋体" w:hAnsi="宋体" w:cs="宋体" w:eastAsia="宋体" w:hint="default"/>
                <w:sz w:val="18"/>
                <w:szCs w:val="18"/>
              </w:rPr>
            </w:pPr>
            <w:r>
              <w:rPr>
                <w:rFonts w:ascii="宋体" w:hAnsi="宋体" w:cs="宋体" w:eastAsia="宋体" w:hint="default"/>
                <w:sz w:val="18"/>
                <w:szCs w:val="18"/>
              </w:rPr>
              <w:t>任职人员 姓名</w:t>
            </w: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110"/>
              <w:jc w:val="right"/>
              <w:rPr>
                <w:rFonts w:ascii="宋体" w:hAnsi="宋体" w:cs="宋体" w:eastAsia="宋体" w:hint="default"/>
                <w:sz w:val="18"/>
                <w:szCs w:val="18"/>
              </w:rPr>
            </w:pPr>
            <w:r>
              <w:rPr>
                <w:rFonts w:ascii="宋体" w:hAnsi="宋体" w:cs="宋体" w:eastAsia="宋体" w:hint="default"/>
                <w:sz w:val="18"/>
                <w:szCs w:val="18"/>
              </w:rPr>
              <w:t>其他单位名称</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99" w:right="101"/>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15" w:right="25"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3" w:hRule="exact"/>
        </w:trPr>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123" w:right="0"/>
              <w:jc w:val="left"/>
              <w:rPr>
                <w:rFonts w:ascii="宋体" w:hAnsi="宋体" w:cs="宋体" w:eastAsia="宋体" w:hint="default"/>
                <w:sz w:val="18"/>
                <w:szCs w:val="18"/>
              </w:rPr>
            </w:pPr>
            <w:r>
              <w:rPr>
                <w:rFonts w:ascii="宋体" w:hAnsi="宋体" w:cs="宋体" w:eastAsia="宋体" w:hint="default"/>
                <w:sz w:val="18"/>
                <w:szCs w:val="18"/>
              </w:rPr>
              <w:t>张新访</w:t>
            </w: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119"/>
              <w:jc w:val="right"/>
              <w:rPr>
                <w:rFonts w:ascii="宋体" w:hAnsi="宋体" w:cs="宋体" w:eastAsia="宋体" w:hint="default"/>
                <w:sz w:val="18"/>
                <w:szCs w:val="18"/>
              </w:rPr>
            </w:pPr>
            <w:r>
              <w:rPr>
                <w:rFonts w:ascii="宋体" w:hAnsi="宋体" w:cs="宋体" w:eastAsia="宋体" w:hint="default"/>
                <w:sz w:val="18"/>
                <w:szCs w:val="18"/>
              </w:rPr>
              <w:t>武汉天喻教育科技有限公司</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79"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8"/>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01</w:t>
            </w:r>
            <w:r>
              <w:rPr>
                <w:rFonts w:ascii="宋体" w:hAnsi="宋体" w:cs="宋体" w:eastAsia="宋体" w:hint="default"/>
                <w:spacing w:val="-58"/>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宋体" w:hAnsi="宋体" w:cs="宋体" w:eastAsia="宋体" w:hint="default"/>
                <w:sz w:val="18"/>
                <w:szCs w:val="18"/>
              </w:rPr>
              <w:t>07</w:t>
            </w:r>
            <w:r>
              <w:rPr>
                <w:rFonts w:ascii="宋体" w:hAnsi="宋体" w:cs="宋体" w:eastAsia="宋体" w:hint="default"/>
                <w:spacing w:val="-58"/>
                <w:sz w:val="18"/>
                <w:szCs w:val="18"/>
              </w:rPr>
              <w:t> </w:t>
            </w:r>
            <w:r>
              <w:rPr>
                <w:rFonts w:ascii="宋体" w:hAnsi="宋体" w:cs="宋体" w:eastAsia="宋体" w:hint="default"/>
                <w:sz w:val="18"/>
                <w:szCs w:val="18"/>
              </w:rPr>
              <w:t>日</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77" w:footer="1187" w:top="1100" w:bottom="138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798"/>
        <w:gridCol w:w="3314"/>
        <w:gridCol w:w="1111"/>
        <w:gridCol w:w="1483"/>
        <w:gridCol w:w="1540"/>
        <w:gridCol w:w="1322"/>
      </w:tblGrid>
      <w:tr>
        <w:trPr>
          <w:trHeight w:val="402" w:hRule="exact"/>
        </w:trPr>
        <w:tc>
          <w:tcPr>
            <w:tcW w:w="798" w:type="dxa"/>
            <w:vMerge w:val="restart"/>
            <w:tcBorders>
              <w:top w:val="nil" w:sz="6" w:space="0" w:color="auto"/>
              <w:left w:val="single" w:sz="4" w:space="0" w:color="000000"/>
              <w:right w:val="single" w:sz="4" w:space="0" w:color="000000"/>
            </w:tcBorders>
          </w:tcPr>
          <w:p>
            <w:pP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武汉擎动网络科技有限公司</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8"/>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01</w:t>
            </w:r>
            <w:r>
              <w:rPr>
                <w:rFonts w:ascii="宋体" w:hAnsi="宋体" w:cs="宋体" w:eastAsia="宋体" w:hint="default"/>
                <w:spacing w:val="-58"/>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宋体" w:hAnsi="宋体" w:cs="宋体" w:eastAsia="宋体" w:hint="default"/>
                <w:sz w:val="18"/>
                <w:szCs w:val="18"/>
              </w:rPr>
              <w:t>05</w:t>
            </w:r>
            <w:r>
              <w:rPr>
                <w:rFonts w:ascii="宋体" w:hAnsi="宋体" w:cs="宋体" w:eastAsia="宋体" w:hint="default"/>
                <w:spacing w:val="-58"/>
                <w:sz w:val="18"/>
                <w:szCs w:val="18"/>
              </w:rPr>
              <w:t> </w:t>
            </w:r>
            <w:r>
              <w:rPr>
                <w:rFonts w:ascii="宋体" w:hAnsi="宋体" w:cs="宋体" w:eastAsia="宋体" w:hint="default"/>
                <w:sz w:val="18"/>
                <w:szCs w:val="18"/>
              </w:rPr>
              <w:t>日</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98" w:type="dxa"/>
            <w:vMerge/>
            <w:tcBorders>
              <w:left w:val="single" w:sz="4" w:space="0" w:color="000000"/>
              <w:right w:val="single" w:sz="4" w:space="0" w:color="000000"/>
            </w:tcBorders>
          </w:tcPr>
          <w:p>
            <w:pP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湖北百旺金赋科技有限公司</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8"/>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01</w:t>
            </w:r>
            <w:r>
              <w:rPr>
                <w:rFonts w:ascii="宋体" w:hAnsi="宋体" w:cs="宋体" w:eastAsia="宋体" w:hint="default"/>
                <w:spacing w:val="-58"/>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宋体" w:hAnsi="宋体" w:cs="宋体" w:eastAsia="宋体" w:hint="default"/>
                <w:sz w:val="18"/>
                <w:szCs w:val="18"/>
              </w:rPr>
              <w:t>05</w:t>
            </w:r>
            <w:r>
              <w:rPr>
                <w:rFonts w:ascii="宋体" w:hAnsi="宋体" w:cs="宋体" w:eastAsia="宋体" w:hint="default"/>
                <w:spacing w:val="-58"/>
                <w:sz w:val="18"/>
                <w:szCs w:val="18"/>
              </w:rPr>
              <w:t> </w:t>
            </w:r>
            <w:r>
              <w:rPr>
                <w:rFonts w:ascii="宋体" w:hAnsi="宋体" w:cs="宋体" w:eastAsia="宋体" w:hint="default"/>
                <w:sz w:val="18"/>
                <w:szCs w:val="18"/>
              </w:rPr>
              <w:t>日</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98" w:type="dxa"/>
            <w:vMerge/>
            <w:tcBorders>
              <w:left w:val="single" w:sz="4" w:space="0" w:color="000000"/>
              <w:right w:val="single" w:sz="4" w:space="0" w:color="000000"/>
            </w:tcBorders>
          </w:tcPr>
          <w:p>
            <w:pP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武汉果核科技有限公司</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8"/>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01</w:t>
            </w:r>
            <w:r>
              <w:rPr>
                <w:rFonts w:ascii="宋体" w:hAnsi="宋体" w:cs="宋体" w:eastAsia="宋体" w:hint="default"/>
                <w:spacing w:val="-58"/>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宋体" w:hAnsi="宋体" w:cs="宋体" w:eastAsia="宋体" w:hint="default"/>
                <w:sz w:val="18"/>
                <w:szCs w:val="18"/>
              </w:rPr>
              <w:t>04</w:t>
            </w:r>
            <w:r>
              <w:rPr>
                <w:rFonts w:ascii="宋体" w:hAnsi="宋体" w:cs="宋体" w:eastAsia="宋体" w:hint="default"/>
                <w:spacing w:val="-58"/>
                <w:sz w:val="18"/>
                <w:szCs w:val="18"/>
              </w:rPr>
              <w:t> </w:t>
            </w:r>
            <w:r>
              <w:rPr>
                <w:rFonts w:ascii="宋体" w:hAnsi="宋体" w:cs="宋体" w:eastAsia="宋体" w:hint="default"/>
                <w:sz w:val="18"/>
                <w:szCs w:val="18"/>
              </w:rPr>
              <w:t>日</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98" w:type="dxa"/>
            <w:vMerge/>
            <w:tcBorders>
              <w:left w:val="single" w:sz="4" w:space="0" w:color="000000"/>
              <w:bottom w:val="single" w:sz="4" w:space="0" w:color="000000"/>
              <w:right w:val="single" w:sz="4" w:space="0" w:color="000000"/>
            </w:tcBorders>
          </w:tcPr>
          <w:p>
            <w:pP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武汉天喻聚联网络有限公司</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8"/>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01</w:t>
            </w:r>
            <w:r>
              <w:rPr>
                <w:rFonts w:ascii="宋体" w:hAnsi="宋体" w:cs="宋体" w:eastAsia="宋体" w:hint="default"/>
                <w:spacing w:val="-58"/>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宋体" w:hAnsi="宋体" w:cs="宋体" w:eastAsia="宋体" w:hint="default"/>
                <w:sz w:val="18"/>
                <w:szCs w:val="18"/>
              </w:rPr>
              <w:t>04</w:t>
            </w:r>
            <w:r>
              <w:rPr>
                <w:rFonts w:ascii="宋体" w:hAnsi="宋体" w:cs="宋体" w:eastAsia="宋体" w:hint="default"/>
                <w:spacing w:val="-58"/>
                <w:sz w:val="18"/>
                <w:szCs w:val="18"/>
              </w:rPr>
              <w:t> </w:t>
            </w:r>
            <w:r>
              <w:rPr>
                <w:rFonts w:ascii="宋体" w:hAnsi="宋体" w:cs="宋体" w:eastAsia="宋体" w:hint="default"/>
                <w:sz w:val="18"/>
                <w:szCs w:val="18"/>
              </w:rPr>
              <w:t>日</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吴俊军</w:t>
            </w: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武汉果核科技有限公司</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8"/>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06</w:t>
            </w:r>
            <w:r>
              <w:rPr>
                <w:rFonts w:ascii="宋体" w:hAnsi="宋体" w:cs="宋体" w:eastAsia="宋体" w:hint="default"/>
                <w:spacing w:val="-58"/>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宋体" w:hAnsi="宋体" w:cs="宋体" w:eastAsia="宋体" w:hint="default"/>
                <w:sz w:val="18"/>
                <w:szCs w:val="18"/>
              </w:rPr>
              <w:t>09</w:t>
            </w:r>
            <w:r>
              <w:rPr>
                <w:rFonts w:ascii="宋体" w:hAnsi="宋体" w:cs="宋体" w:eastAsia="宋体" w:hint="default"/>
                <w:spacing w:val="-58"/>
                <w:sz w:val="18"/>
                <w:szCs w:val="18"/>
              </w:rPr>
              <w:t> </w:t>
            </w:r>
            <w:r>
              <w:rPr>
                <w:rFonts w:ascii="宋体" w:hAnsi="宋体" w:cs="宋体" w:eastAsia="宋体" w:hint="default"/>
                <w:sz w:val="18"/>
                <w:szCs w:val="18"/>
              </w:rPr>
              <w:t>日</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98" w:type="dxa"/>
            <w:vMerge/>
            <w:tcBorders>
              <w:left w:val="single" w:sz="4" w:space="0" w:color="000000"/>
              <w:right w:val="single" w:sz="4" w:space="0" w:color="000000"/>
            </w:tcBorders>
          </w:tcPr>
          <w:p>
            <w:pP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武汉天喻聚联网络有限公司</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8"/>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08</w:t>
            </w:r>
            <w:r>
              <w:rPr>
                <w:rFonts w:ascii="宋体" w:hAnsi="宋体" w:cs="宋体" w:eastAsia="宋体" w:hint="default"/>
                <w:spacing w:val="-58"/>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宋体" w:hAnsi="宋体" w:cs="宋体" w:eastAsia="宋体" w:hint="default"/>
                <w:sz w:val="18"/>
                <w:szCs w:val="18"/>
              </w:rPr>
              <w:t>24</w:t>
            </w:r>
            <w:r>
              <w:rPr>
                <w:rFonts w:ascii="宋体" w:hAnsi="宋体" w:cs="宋体" w:eastAsia="宋体" w:hint="default"/>
                <w:spacing w:val="-58"/>
                <w:sz w:val="18"/>
                <w:szCs w:val="18"/>
              </w:rPr>
              <w:t> </w:t>
            </w:r>
            <w:r>
              <w:rPr>
                <w:rFonts w:ascii="宋体" w:hAnsi="宋体" w:cs="宋体" w:eastAsia="宋体" w:hint="default"/>
                <w:sz w:val="18"/>
                <w:szCs w:val="18"/>
              </w:rPr>
              <w:t>日</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98" w:type="dxa"/>
            <w:vMerge/>
            <w:tcBorders>
              <w:left w:val="single" w:sz="4" w:space="0" w:color="000000"/>
              <w:right w:val="single" w:sz="4" w:space="0" w:color="000000"/>
            </w:tcBorders>
          </w:tcPr>
          <w:p>
            <w:pP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武汉天喻信通制卡有限公司</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8"/>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04</w:t>
            </w:r>
            <w:r>
              <w:rPr>
                <w:rFonts w:ascii="宋体" w:hAnsi="宋体" w:cs="宋体" w:eastAsia="宋体" w:hint="default"/>
                <w:spacing w:val="-58"/>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宋体" w:hAnsi="宋体" w:cs="宋体" w:eastAsia="宋体" w:hint="default"/>
                <w:sz w:val="18"/>
                <w:szCs w:val="18"/>
              </w:rPr>
              <w:t>12</w:t>
            </w:r>
            <w:r>
              <w:rPr>
                <w:rFonts w:ascii="宋体" w:hAnsi="宋体" w:cs="宋体" w:eastAsia="宋体" w:hint="default"/>
                <w:spacing w:val="-58"/>
                <w:sz w:val="18"/>
                <w:szCs w:val="18"/>
              </w:rPr>
              <w:t> </w:t>
            </w:r>
            <w:r>
              <w:rPr>
                <w:rFonts w:ascii="宋体" w:hAnsi="宋体" w:cs="宋体" w:eastAsia="宋体" w:hint="default"/>
                <w:sz w:val="18"/>
                <w:szCs w:val="18"/>
              </w:rPr>
              <w:t>日</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98" w:type="dxa"/>
            <w:vMerge/>
            <w:tcBorders>
              <w:left w:val="single" w:sz="4" w:space="0" w:color="000000"/>
              <w:right w:val="single" w:sz="4" w:space="0" w:color="000000"/>
            </w:tcBorders>
          </w:tcPr>
          <w:p>
            <w:pP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湖北百旺金赋科技有限公司</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8"/>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10</w:t>
            </w:r>
            <w:r>
              <w:rPr>
                <w:rFonts w:ascii="宋体" w:hAnsi="宋体" w:cs="宋体" w:eastAsia="宋体" w:hint="default"/>
                <w:spacing w:val="-58"/>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宋体" w:hAnsi="宋体" w:cs="宋体" w:eastAsia="宋体" w:hint="default"/>
                <w:sz w:val="18"/>
                <w:szCs w:val="18"/>
              </w:rPr>
              <w:t>11</w:t>
            </w:r>
            <w:r>
              <w:rPr>
                <w:rFonts w:ascii="宋体" w:hAnsi="宋体" w:cs="宋体" w:eastAsia="宋体" w:hint="default"/>
                <w:spacing w:val="-58"/>
                <w:sz w:val="18"/>
                <w:szCs w:val="18"/>
              </w:rPr>
              <w:t> </w:t>
            </w:r>
            <w:r>
              <w:rPr>
                <w:rFonts w:ascii="宋体" w:hAnsi="宋体" w:cs="宋体" w:eastAsia="宋体" w:hint="default"/>
                <w:sz w:val="18"/>
                <w:szCs w:val="18"/>
              </w:rPr>
              <w:t>日</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98" w:type="dxa"/>
            <w:vMerge/>
            <w:tcBorders>
              <w:left w:val="single" w:sz="4" w:space="0" w:color="000000"/>
              <w:right w:val="single" w:sz="4" w:space="0" w:color="000000"/>
            </w:tcBorders>
          </w:tcPr>
          <w:p>
            <w:pP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武汉天喻教育科技有限公司</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8"/>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02</w:t>
            </w:r>
            <w:r>
              <w:rPr>
                <w:rFonts w:ascii="宋体" w:hAnsi="宋体" w:cs="宋体" w:eastAsia="宋体" w:hint="default"/>
                <w:spacing w:val="-58"/>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宋体" w:hAnsi="宋体" w:cs="宋体" w:eastAsia="宋体" w:hint="default"/>
                <w:sz w:val="18"/>
                <w:szCs w:val="18"/>
              </w:rPr>
              <w:t>13</w:t>
            </w:r>
            <w:r>
              <w:rPr>
                <w:rFonts w:ascii="宋体" w:hAnsi="宋体" w:cs="宋体" w:eastAsia="宋体" w:hint="default"/>
                <w:spacing w:val="-58"/>
                <w:sz w:val="18"/>
                <w:szCs w:val="18"/>
              </w:rPr>
              <w:t> </w:t>
            </w:r>
            <w:r>
              <w:rPr>
                <w:rFonts w:ascii="宋体" w:hAnsi="宋体" w:cs="宋体" w:eastAsia="宋体" w:hint="default"/>
                <w:sz w:val="18"/>
                <w:szCs w:val="18"/>
              </w:rPr>
              <w:t>日</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98" w:type="dxa"/>
            <w:vMerge/>
            <w:tcBorders>
              <w:left w:val="single" w:sz="4" w:space="0" w:color="000000"/>
              <w:right w:val="single" w:sz="4" w:space="0" w:color="000000"/>
            </w:tcBorders>
          </w:tcPr>
          <w:p>
            <w:pP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武汉擎动网络科技有限公司</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8"/>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02</w:t>
            </w:r>
            <w:r>
              <w:rPr>
                <w:rFonts w:ascii="宋体" w:hAnsi="宋体" w:cs="宋体" w:eastAsia="宋体" w:hint="default"/>
                <w:spacing w:val="-58"/>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宋体" w:hAnsi="宋体" w:cs="宋体" w:eastAsia="宋体" w:hint="default"/>
                <w:sz w:val="18"/>
                <w:szCs w:val="18"/>
              </w:rPr>
              <w:t>13</w:t>
            </w:r>
            <w:r>
              <w:rPr>
                <w:rFonts w:ascii="宋体" w:hAnsi="宋体" w:cs="宋体" w:eastAsia="宋体" w:hint="default"/>
                <w:spacing w:val="-58"/>
                <w:sz w:val="18"/>
                <w:szCs w:val="18"/>
              </w:rPr>
              <w:t> </w:t>
            </w:r>
            <w:r>
              <w:rPr>
                <w:rFonts w:ascii="宋体" w:hAnsi="宋体" w:cs="宋体" w:eastAsia="宋体" w:hint="default"/>
                <w:sz w:val="18"/>
                <w:szCs w:val="18"/>
              </w:rPr>
              <w:t>日</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98" w:type="dxa"/>
            <w:vMerge/>
            <w:tcBorders>
              <w:left w:val="single" w:sz="4" w:space="0" w:color="000000"/>
              <w:bottom w:val="single" w:sz="4" w:space="0" w:color="000000"/>
              <w:right w:val="single" w:sz="4" w:space="0" w:color="000000"/>
            </w:tcBorders>
          </w:tcPr>
          <w:p>
            <w:pP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武汉中天慧购电商服务有限公司</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8"/>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09</w:t>
            </w:r>
            <w:r>
              <w:rPr>
                <w:rFonts w:ascii="宋体" w:hAnsi="宋体" w:cs="宋体" w:eastAsia="宋体" w:hint="default"/>
                <w:spacing w:val="-58"/>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宋体" w:hAnsi="宋体" w:cs="宋体" w:eastAsia="宋体" w:hint="default"/>
                <w:sz w:val="18"/>
                <w:szCs w:val="18"/>
              </w:rPr>
              <w:t>24</w:t>
            </w:r>
            <w:r>
              <w:rPr>
                <w:rFonts w:ascii="宋体" w:hAnsi="宋体" w:cs="宋体" w:eastAsia="宋体" w:hint="default"/>
                <w:spacing w:val="-58"/>
                <w:sz w:val="18"/>
                <w:szCs w:val="18"/>
              </w:rPr>
              <w:t> </w:t>
            </w:r>
            <w:r>
              <w:rPr>
                <w:rFonts w:ascii="宋体" w:hAnsi="宋体" w:cs="宋体" w:eastAsia="宋体" w:hint="default"/>
                <w:sz w:val="18"/>
                <w:szCs w:val="18"/>
              </w:rPr>
              <w:t>日</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武力</w:t>
            </w: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武汉光谷科技金融发展有限公司</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69" w:right="101" w:hanging="270"/>
              <w:jc w:val="left"/>
              <w:rPr>
                <w:rFonts w:ascii="宋体" w:hAnsi="宋体" w:cs="宋体" w:eastAsia="宋体" w:hint="default"/>
                <w:sz w:val="18"/>
                <w:szCs w:val="18"/>
              </w:rPr>
            </w:pPr>
            <w:r>
              <w:rPr>
                <w:rFonts w:ascii="宋体" w:hAnsi="宋体" w:cs="宋体" w:eastAsia="宋体" w:hint="default"/>
                <w:sz w:val="18"/>
                <w:szCs w:val="18"/>
              </w:rPr>
              <w:t>投资管理部 部长</w:t>
            </w:r>
          </w:p>
        </w:tc>
        <w:tc>
          <w:tcPr>
            <w:tcW w:w="1483"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98" w:type="dxa"/>
            <w:vMerge/>
            <w:tcBorders>
              <w:left w:val="single" w:sz="4" w:space="0" w:color="000000"/>
              <w:right w:val="single" w:sz="4" w:space="0" w:color="000000"/>
            </w:tcBorders>
          </w:tcPr>
          <w:p>
            <w:pP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武汉光谷成长创业投资基金有限公司</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483"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98" w:type="dxa"/>
            <w:vMerge/>
            <w:tcBorders>
              <w:left w:val="single" w:sz="4" w:space="0" w:color="000000"/>
              <w:right w:val="single" w:sz="4" w:space="0" w:color="000000"/>
            </w:tcBorders>
          </w:tcPr>
          <w:p>
            <w:pP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武汉光谷生物工程股份有限公司</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83"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98" w:type="dxa"/>
            <w:vMerge/>
            <w:tcBorders>
              <w:left w:val="single" w:sz="4" w:space="0" w:color="000000"/>
              <w:right w:val="single" w:sz="4" w:space="0" w:color="000000"/>
            </w:tcBorders>
          </w:tcPr>
          <w:p>
            <w:pP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武汉光谷高新成长创业投资管理有限公司</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83"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98" w:type="dxa"/>
            <w:vMerge/>
            <w:tcBorders>
              <w:left w:val="single" w:sz="4" w:space="0" w:color="000000"/>
              <w:right w:val="single" w:sz="4" w:space="0" w:color="000000"/>
            </w:tcBorders>
          </w:tcPr>
          <w:p>
            <w:pP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武汉科融投资管理有限公司</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83"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98" w:type="dxa"/>
            <w:vMerge/>
            <w:tcBorders>
              <w:left w:val="single" w:sz="4" w:space="0" w:color="000000"/>
              <w:right w:val="single" w:sz="4" w:space="0" w:color="000000"/>
            </w:tcBorders>
          </w:tcPr>
          <w:p>
            <w:pP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武汉光谷人才投资基金有限公司</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483"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98" w:type="dxa"/>
            <w:vMerge/>
            <w:tcBorders>
              <w:left w:val="single" w:sz="4" w:space="0" w:color="000000"/>
              <w:bottom w:val="single" w:sz="4" w:space="0" w:color="000000"/>
              <w:right w:val="single" w:sz="4" w:space="0" w:color="000000"/>
            </w:tcBorders>
          </w:tcPr>
          <w:p>
            <w:pP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武汉光谷集成电路产业基金股份有限公司</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483"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13" w:right="0"/>
              <w:jc w:val="left"/>
              <w:rPr>
                <w:rFonts w:ascii="宋体" w:hAnsi="宋体" w:cs="宋体" w:eastAsia="宋体" w:hint="default"/>
                <w:sz w:val="18"/>
                <w:szCs w:val="18"/>
              </w:rPr>
            </w:pPr>
            <w:r>
              <w:rPr>
                <w:rFonts w:ascii="宋体" w:hAnsi="宋体" w:cs="宋体" w:eastAsia="宋体" w:hint="default"/>
                <w:sz w:val="18"/>
                <w:szCs w:val="18"/>
              </w:rPr>
              <w:t>李科</w:t>
            </w: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武汉光谷科技金融发展有限公司</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89" w:right="101" w:hanging="90"/>
              <w:jc w:val="left"/>
              <w:rPr>
                <w:rFonts w:ascii="宋体" w:hAnsi="宋体" w:cs="宋体" w:eastAsia="宋体" w:hint="default"/>
                <w:sz w:val="18"/>
                <w:szCs w:val="18"/>
              </w:rPr>
            </w:pPr>
            <w:r>
              <w:rPr>
                <w:rFonts w:ascii="宋体" w:hAnsi="宋体" w:cs="宋体" w:eastAsia="宋体" w:hint="default"/>
                <w:sz w:val="18"/>
                <w:szCs w:val="18"/>
              </w:rPr>
              <w:t>投资管理部 项目主管</w:t>
            </w:r>
          </w:p>
        </w:tc>
        <w:tc>
          <w:tcPr>
            <w:tcW w:w="1483"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98" w:type="dxa"/>
            <w:vMerge/>
            <w:tcBorders>
              <w:left w:val="single" w:sz="4" w:space="0" w:color="000000"/>
              <w:right w:val="single" w:sz="4" w:space="0" w:color="000000"/>
            </w:tcBorders>
          </w:tcPr>
          <w:p>
            <w:pP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武汉科技创新朝阳创业投资有限公司</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83"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98" w:type="dxa"/>
            <w:vMerge/>
            <w:tcBorders>
              <w:left w:val="single" w:sz="4" w:space="0" w:color="000000"/>
              <w:right w:val="single" w:sz="4" w:space="0" w:color="000000"/>
            </w:tcBorders>
          </w:tcPr>
          <w:p>
            <w:pP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武汉光谷成长创业投资基金有限公司</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483"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798" w:type="dxa"/>
            <w:vMerge/>
            <w:tcBorders>
              <w:left w:val="single" w:sz="4" w:space="0" w:color="000000"/>
              <w:bottom w:val="single" w:sz="4" w:space="0" w:color="000000"/>
              <w:right w:val="single" w:sz="4" w:space="0" w:color="000000"/>
            </w:tcBorders>
          </w:tcPr>
          <w:p>
            <w:pP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湖北高和创业投资企业（有限合伙）</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89" w:right="101" w:hanging="90"/>
              <w:jc w:val="left"/>
              <w:rPr>
                <w:rFonts w:ascii="宋体" w:hAnsi="宋体" w:cs="宋体" w:eastAsia="宋体" w:hint="default"/>
                <w:sz w:val="18"/>
                <w:szCs w:val="18"/>
              </w:rPr>
            </w:pPr>
            <w:r>
              <w:rPr>
                <w:rFonts w:ascii="宋体" w:hAnsi="宋体" w:cs="宋体" w:eastAsia="宋体" w:hint="default"/>
                <w:sz w:val="18"/>
                <w:szCs w:val="18"/>
              </w:rPr>
              <w:t>联合管理委 员会委员</w:t>
            </w:r>
          </w:p>
        </w:tc>
        <w:tc>
          <w:tcPr>
            <w:tcW w:w="1483"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3"/>
              <w:jc w:val="right"/>
              <w:rPr>
                <w:rFonts w:ascii="宋体" w:hAnsi="宋体" w:cs="宋体" w:eastAsia="宋体" w:hint="default"/>
                <w:sz w:val="18"/>
                <w:szCs w:val="18"/>
              </w:rPr>
            </w:pPr>
            <w:r>
              <w:rPr>
                <w:rFonts w:ascii="宋体" w:hAnsi="宋体" w:cs="宋体" w:eastAsia="宋体" w:hint="default"/>
                <w:sz w:val="18"/>
                <w:szCs w:val="18"/>
              </w:rPr>
              <w:t>田祖海</w:t>
            </w: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武汉理工大学经济学院</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教授</w:t>
            </w:r>
          </w:p>
        </w:tc>
        <w:tc>
          <w:tcPr>
            <w:tcW w:w="1483"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123" w:right="0"/>
              <w:jc w:val="left"/>
              <w:rPr>
                <w:rFonts w:ascii="宋体" w:hAnsi="宋体" w:cs="宋体" w:eastAsia="宋体" w:hint="default"/>
                <w:sz w:val="18"/>
                <w:szCs w:val="18"/>
              </w:rPr>
            </w:pPr>
            <w:r>
              <w:rPr>
                <w:rFonts w:ascii="宋体" w:hAnsi="宋体" w:cs="宋体" w:eastAsia="宋体" w:hint="default"/>
                <w:sz w:val="18"/>
                <w:szCs w:val="18"/>
              </w:rPr>
              <w:t>余明桂</w:t>
            </w: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武汉大学经济与管理学院</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hanging="2"/>
              <w:jc w:val="center"/>
              <w:rPr>
                <w:rFonts w:ascii="宋体" w:hAnsi="宋体" w:cs="宋体" w:eastAsia="宋体" w:hint="default"/>
                <w:sz w:val="18"/>
                <w:szCs w:val="18"/>
              </w:rPr>
            </w:pPr>
            <w:r>
              <w:rPr>
                <w:rFonts w:ascii="宋体" w:hAnsi="宋体" w:cs="宋体" w:eastAsia="宋体" w:hint="default"/>
                <w:sz w:val="18"/>
                <w:szCs w:val="18"/>
              </w:rPr>
              <w:t>会计学专业 </w:t>
            </w:r>
            <w:r>
              <w:rPr>
                <w:rFonts w:ascii="宋体" w:hAnsi="宋体" w:cs="宋体" w:eastAsia="宋体" w:hint="default"/>
                <w:spacing w:val="-5"/>
                <w:sz w:val="18"/>
                <w:szCs w:val="18"/>
              </w:rPr>
              <w:t>教授、博士生</w:t>
            </w:r>
            <w:r>
              <w:rPr>
                <w:rFonts w:ascii="宋体" w:hAnsi="宋体" w:cs="宋体" w:eastAsia="宋体" w:hint="default"/>
                <w:sz w:val="18"/>
                <w:szCs w:val="18"/>
              </w:rPr>
              <w:t> 导师</w:t>
            </w:r>
          </w:p>
        </w:tc>
        <w:tc>
          <w:tcPr>
            <w:tcW w:w="1483"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98" w:type="dxa"/>
            <w:vMerge/>
            <w:tcBorders>
              <w:left w:val="single" w:sz="4" w:space="0" w:color="000000"/>
              <w:right w:val="single" w:sz="4" w:space="0" w:color="000000"/>
            </w:tcBorders>
          </w:tcPr>
          <w:p>
            <w:pP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烽火通信科技股份公司</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8"/>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12</w:t>
            </w:r>
            <w:r>
              <w:rPr>
                <w:rFonts w:ascii="宋体" w:hAnsi="宋体" w:cs="宋体" w:eastAsia="宋体" w:hint="default"/>
                <w:spacing w:val="-58"/>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宋体" w:hAnsi="宋体" w:cs="宋体" w:eastAsia="宋体" w:hint="default"/>
                <w:sz w:val="18"/>
                <w:szCs w:val="18"/>
              </w:rPr>
              <w:t>25</w:t>
            </w:r>
            <w:r>
              <w:rPr>
                <w:rFonts w:ascii="宋体" w:hAnsi="宋体" w:cs="宋体" w:eastAsia="宋体" w:hint="default"/>
                <w:spacing w:val="-58"/>
                <w:sz w:val="18"/>
                <w:szCs w:val="18"/>
              </w:rPr>
              <w:t> </w:t>
            </w:r>
            <w:r>
              <w:rPr>
                <w:rFonts w:ascii="宋体" w:hAnsi="宋体" w:cs="宋体" w:eastAsia="宋体" w:hint="default"/>
                <w:sz w:val="18"/>
                <w:szCs w:val="18"/>
              </w:rPr>
              <w:t>日</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98" w:type="dxa"/>
            <w:vMerge/>
            <w:tcBorders>
              <w:left w:val="single" w:sz="4" w:space="0" w:color="000000"/>
              <w:bottom w:val="single" w:sz="4" w:space="0" w:color="000000"/>
              <w:right w:val="single" w:sz="4" w:space="0" w:color="000000"/>
            </w:tcBorders>
          </w:tcPr>
          <w:p>
            <w:pP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湖北回天新材料股份有限公司</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8"/>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10</w:t>
            </w:r>
            <w:r>
              <w:rPr>
                <w:rFonts w:ascii="宋体" w:hAnsi="宋体" w:cs="宋体" w:eastAsia="宋体" w:hint="default"/>
                <w:spacing w:val="-58"/>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宋体" w:hAnsi="宋体" w:cs="宋体" w:eastAsia="宋体" w:hint="default"/>
                <w:sz w:val="18"/>
                <w:szCs w:val="18"/>
              </w:rPr>
              <w:t>27</w:t>
            </w:r>
            <w:r>
              <w:rPr>
                <w:rFonts w:ascii="宋体" w:hAnsi="宋体" w:cs="宋体" w:eastAsia="宋体" w:hint="default"/>
                <w:spacing w:val="-58"/>
                <w:sz w:val="18"/>
                <w:szCs w:val="18"/>
              </w:rPr>
              <w:t> </w:t>
            </w:r>
            <w:r>
              <w:rPr>
                <w:rFonts w:ascii="宋体" w:hAnsi="宋体" w:cs="宋体" w:eastAsia="宋体" w:hint="default"/>
                <w:sz w:val="18"/>
                <w:szCs w:val="18"/>
              </w:rPr>
              <w:t>日</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123" w:right="0"/>
              <w:jc w:val="left"/>
              <w:rPr>
                <w:rFonts w:ascii="宋体" w:hAnsi="宋体" w:cs="宋体" w:eastAsia="宋体" w:hint="default"/>
                <w:sz w:val="18"/>
                <w:szCs w:val="18"/>
              </w:rPr>
            </w:pPr>
            <w:r>
              <w:rPr>
                <w:rFonts w:ascii="宋体" w:hAnsi="宋体" w:cs="宋体" w:eastAsia="宋体" w:hint="default"/>
                <w:sz w:val="18"/>
                <w:szCs w:val="18"/>
              </w:rPr>
              <w:t>胡华夏</w:t>
            </w: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武汉理工大学管理学院</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hanging="2"/>
              <w:jc w:val="center"/>
              <w:rPr>
                <w:rFonts w:ascii="宋体" w:hAnsi="宋体" w:cs="宋体" w:eastAsia="宋体" w:hint="default"/>
                <w:sz w:val="18"/>
                <w:szCs w:val="18"/>
              </w:rPr>
            </w:pPr>
            <w:r>
              <w:rPr>
                <w:rFonts w:ascii="宋体" w:hAnsi="宋体" w:cs="宋体" w:eastAsia="宋体" w:hint="default"/>
                <w:sz w:val="18"/>
                <w:szCs w:val="18"/>
              </w:rPr>
              <w:t>会计学专业 </w:t>
            </w:r>
            <w:r>
              <w:rPr>
                <w:rFonts w:ascii="宋体" w:hAnsi="宋体" w:cs="宋体" w:eastAsia="宋体" w:hint="default"/>
                <w:spacing w:val="-5"/>
                <w:sz w:val="18"/>
                <w:szCs w:val="18"/>
              </w:rPr>
              <w:t>教授、会计系</w:t>
            </w:r>
            <w:r>
              <w:rPr>
                <w:rFonts w:ascii="宋体" w:hAnsi="宋体" w:cs="宋体" w:eastAsia="宋体" w:hint="default"/>
                <w:sz w:val="18"/>
                <w:szCs w:val="18"/>
              </w:rPr>
              <w:t> 主任</w:t>
            </w:r>
          </w:p>
        </w:tc>
        <w:tc>
          <w:tcPr>
            <w:tcW w:w="1483"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98" w:type="dxa"/>
            <w:vMerge/>
            <w:tcBorders>
              <w:left w:val="single" w:sz="4" w:space="0" w:color="000000"/>
              <w:bottom w:val="single" w:sz="4" w:space="0" w:color="000000"/>
              <w:right w:val="single" w:sz="4" w:space="0" w:color="000000"/>
            </w:tcBorders>
          </w:tcPr>
          <w:p>
            <w:pP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烽火通信科技股份公司</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8"/>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12</w:t>
            </w:r>
            <w:r>
              <w:rPr>
                <w:rFonts w:ascii="宋体" w:hAnsi="宋体" w:cs="宋体" w:eastAsia="宋体" w:hint="default"/>
                <w:spacing w:val="-58"/>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宋体" w:hAnsi="宋体" w:cs="宋体" w:eastAsia="宋体" w:hint="default"/>
                <w:sz w:val="18"/>
                <w:szCs w:val="18"/>
              </w:rPr>
              <w:t>25</w:t>
            </w:r>
            <w:r>
              <w:rPr>
                <w:rFonts w:ascii="宋体" w:hAnsi="宋体" w:cs="宋体" w:eastAsia="宋体" w:hint="default"/>
                <w:spacing w:val="-58"/>
                <w:sz w:val="18"/>
                <w:szCs w:val="18"/>
              </w:rPr>
              <w:t> </w:t>
            </w:r>
            <w:r>
              <w:rPr>
                <w:rFonts w:ascii="宋体" w:hAnsi="宋体" w:cs="宋体" w:eastAsia="宋体" w:hint="default"/>
                <w:sz w:val="18"/>
                <w:szCs w:val="18"/>
              </w:rPr>
              <w:t>日</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23"/>
              <w:jc w:val="right"/>
              <w:rPr>
                <w:rFonts w:ascii="宋体" w:hAnsi="宋体" w:cs="宋体" w:eastAsia="宋体" w:hint="default"/>
                <w:sz w:val="18"/>
                <w:szCs w:val="18"/>
              </w:rPr>
            </w:pPr>
            <w:r>
              <w:rPr>
                <w:rFonts w:ascii="宋体" w:hAnsi="宋体" w:cs="宋体" w:eastAsia="宋体" w:hint="default"/>
                <w:sz w:val="18"/>
                <w:szCs w:val="18"/>
              </w:rPr>
              <w:t>李士训</w:t>
            </w: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武汉鸿象信息技术有限公司</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483"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77" w:footer="1187" w:top="1100" w:bottom="138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798"/>
        <w:gridCol w:w="3314"/>
        <w:gridCol w:w="1111"/>
        <w:gridCol w:w="1483"/>
        <w:gridCol w:w="1540"/>
        <w:gridCol w:w="1322"/>
      </w:tblGrid>
      <w:tr>
        <w:trPr>
          <w:trHeight w:val="402" w:hRule="exact"/>
        </w:trPr>
        <w:tc>
          <w:tcPr>
            <w:tcW w:w="798" w:type="dxa"/>
            <w:vMerge w:val="restart"/>
            <w:tcBorders>
              <w:top w:val="nil" w:sz="6" w:space="0" w:color="auto"/>
              <w:left w:val="single" w:sz="4" w:space="0" w:color="000000"/>
              <w:right w:val="single" w:sz="4" w:space="0" w:color="000000"/>
            </w:tcBorders>
          </w:tcPr>
          <w:p>
            <w:pP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武汉华大机械工程有限公司</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483"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98" w:type="dxa"/>
            <w:vMerge/>
            <w:tcBorders>
              <w:left w:val="single" w:sz="4" w:space="0" w:color="000000"/>
              <w:right w:val="single" w:sz="4" w:space="0" w:color="000000"/>
            </w:tcBorders>
          </w:tcPr>
          <w:p>
            <w:pP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温州华中科技发展有限公司</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483"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98" w:type="dxa"/>
            <w:vMerge/>
            <w:tcBorders>
              <w:left w:val="single" w:sz="4" w:space="0" w:color="000000"/>
              <w:right w:val="single" w:sz="4" w:space="0" w:color="000000"/>
            </w:tcBorders>
          </w:tcPr>
          <w:p>
            <w:pP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武汉城苑监理工程有限公司</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483"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98" w:type="dxa"/>
            <w:vMerge/>
            <w:tcBorders>
              <w:left w:val="single" w:sz="4" w:space="0" w:color="000000"/>
              <w:right w:val="single" w:sz="4" w:space="0" w:color="000000"/>
            </w:tcBorders>
          </w:tcPr>
          <w:p>
            <w:pP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武汉神阳饮品有限公司</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483"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98" w:type="dxa"/>
            <w:vMerge/>
            <w:tcBorders>
              <w:left w:val="single" w:sz="4" w:space="0" w:color="000000"/>
              <w:right w:val="single" w:sz="4" w:space="0" w:color="000000"/>
            </w:tcBorders>
          </w:tcPr>
          <w:p>
            <w:pP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武汉华工建设发展有限公司</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483"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98" w:type="dxa"/>
            <w:vMerge/>
            <w:tcBorders>
              <w:left w:val="single" w:sz="4" w:space="0" w:color="000000"/>
              <w:right w:val="single" w:sz="4" w:space="0" w:color="000000"/>
            </w:tcBorders>
          </w:tcPr>
          <w:p>
            <w:pP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武汉华胜工程建设科技有限公司</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83"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98" w:type="dxa"/>
            <w:vMerge/>
            <w:tcBorders>
              <w:left w:val="single" w:sz="4" w:space="0" w:color="000000"/>
              <w:right w:val="single" w:sz="4" w:space="0" w:color="000000"/>
            </w:tcBorders>
          </w:tcPr>
          <w:p>
            <w:pP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武汉开目信息技术有限责任公司</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83"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98" w:type="dxa"/>
            <w:vMerge/>
            <w:tcBorders>
              <w:left w:val="single" w:sz="4" w:space="0" w:color="000000"/>
              <w:right w:val="single" w:sz="4" w:space="0" w:color="000000"/>
            </w:tcBorders>
          </w:tcPr>
          <w:p>
            <w:pP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武汉精典风景园林有限公司</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83"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98" w:type="dxa"/>
            <w:vMerge/>
            <w:tcBorders>
              <w:left w:val="single" w:sz="4" w:space="0" w:color="000000"/>
              <w:right w:val="single" w:sz="4" w:space="0" w:color="000000"/>
            </w:tcBorders>
          </w:tcPr>
          <w:p>
            <w:pP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武汉鑫昶文化有限公司</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83"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98" w:type="dxa"/>
            <w:vMerge/>
            <w:tcBorders>
              <w:left w:val="single" w:sz="4" w:space="0" w:color="000000"/>
              <w:right w:val="single" w:sz="4" w:space="0" w:color="000000"/>
            </w:tcBorders>
          </w:tcPr>
          <w:p>
            <w:pP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深圳市华科兆恒科技有限公司</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83"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798" w:type="dxa"/>
            <w:vMerge/>
            <w:tcBorders>
              <w:left w:val="single" w:sz="4" w:space="0" w:color="000000"/>
              <w:right w:val="single" w:sz="4" w:space="0" w:color="000000"/>
            </w:tcBorders>
          </w:tcPr>
          <w:p>
            <w:pP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9"/>
              <w:jc w:val="left"/>
              <w:rPr>
                <w:rFonts w:ascii="宋体" w:hAnsi="宋体" w:cs="宋体" w:eastAsia="宋体" w:hint="default"/>
                <w:sz w:val="18"/>
                <w:szCs w:val="18"/>
              </w:rPr>
            </w:pPr>
            <w:r>
              <w:rPr>
                <w:rFonts w:ascii="宋体" w:hAnsi="宋体" w:cs="宋体" w:eastAsia="宋体" w:hint="default"/>
                <w:sz w:val="18"/>
                <w:szCs w:val="18"/>
              </w:rPr>
              <w:t>华工制造装备数字化国家工程中心有限公 司</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83"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98" w:type="dxa"/>
            <w:vMerge/>
            <w:tcBorders>
              <w:left w:val="single" w:sz="4" w:space="0" w:color="000000"/>
              <w:right w:val="single" w:sz="4" w:space="0" w:color="000000"/>
            </w:tcBorders>
          </w:tcPr>
          <w:p>
            <w:pP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华工科技产业股份有限公司</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监事长</w:t>
            </w:r>
          </w:p>
        </w:tc>
        <w:tc>
          <w:tcPr>
            <w:tcW w:w="1483"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98" w:type="dxa"/>
            <w:vMerge/>
            <w:tcBorders>
              <w:left w:val="single" w:sz="4" w:space="0" w:color="000000"/>
              <w:right w:val="single" w:sz="4" w:space="0" w:color="000000"/>
            </w:tcBorders>
          </w:tcPr>
          <w:p>
            <w:pP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华中科技大学出版社有限责任公司</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监事长</w:t>
            </w:r>
          </w:p>
        </w:tc>
        <w:tc>
          <w:tcPr>
            <w:tcW w:w="1483"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98" w:type="dxa"/>
            <w:vMerge/>
            <w:tcBorders>
              <w:left w:val="single" w:sz="4" w:space="0" w:color="000000"/>
              <w:right w:val="single" w:sz="4" w:space="0" w:color="000000"/>
            </w:tcBorders>
          </w:tcPr>
          <w:p>
            <w:pP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武汉同济科技集团有限公司</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监事长</w:t>
            </w:r>
          </w:p>
        </w:tc>
        <w:tc>
          <w:tcPr>
            <w:tcW w:w="1483"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98" w:type="dxa"/>
            <w:vMerge/>
            <w:tcBorders>
              <w:left w:val="single" w:sz="4" w:space="0" w:color="000000"/>
              <w:bottom w:val="single" w:sz="4" w:space="0" w:color="000000"/>
              <w:right w:val="single" w:sz="4" w:space="0" w:color="000000"/>
            </w:tcBorders>
          </w:tcPr>
          <w:p>
            <w:pP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武汉华宏资产经营管理有限公司</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483"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岳蓉</w:t>
            </w: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武汉华科大生命科技有限公司</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483"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98" w:type="dxa"/>
            <w:vMerge/>
            <w:tcBorders>
              <w:left w:val="single" w:sz="4" w:space="0" w:color="000000"/>
              <w:right w:val="single" w:sz="4" w:space="0" w:color="000000"/>
            </w:tcBorders>
          </w:tcPr>
          <w:p>
            <w:pP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武汉固德银赛创业投资管理有限公司</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pacing w:val="-5"/>
                <w:sz w:val="18"/>
                <w:szCs w:val="18"/>
              </w:rPr>
              <w:t>董事、总经理</w:t>
            </w:r>
          </w:p>
        </w:tc>
        <w:tc>
          <w:tcPr>
            <w:tcW w:w="1483"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98" w:type="dxa"/>
            <w:vMerge/>
            <w:tcBorders>
              <w:left w:val="single" w:sz="4" w:space="0" w:color="000000"/>
              <w:right w:val="single" w:sz="4" w:space="0" w:color="000000"/>
            </w:tcBorders>
          </w:tcPr>
          <w:p>
            <w:pP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科华银赛创业投资有限公司</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83"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98" w:type="dxa"/>
            <w:vMerge/>
            <w:tcBorders>
              <w:left w:val="single" w:sz="4" w:space="0" w:color="000000"/>
              <w:bottom w:val="single" w:sz="4" w:space="0" w:color="000000"/>
              <w:right w:val="single" w:sz="4" w:space="0" w:color="000000"/>
            </w:tcBorders>
          </w:tcPr>
          <w:p>
            <w:pP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武汉华创欣网科技有限公司</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83"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江绥</w:t>
            </w: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武汉天喻教育科技有限公司</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8"/>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01</w:t>
            </w:r>
            <w:r>
              <w:rPr>
                <w:rFonts w:ascii="宋体" w:hAnsi="宋体" w:cs="宋体" w:eastAsia="宋体" w:hint="default"/>
                <w:spacing w:val="-58"/>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宋体" w:hAnsi="宋体" w:cs="宋体" w:eastAsia="宋体" w:hint="default"/>
                <w:sz w:val="18"/>
                <w:szCs w:val="18"/>
              </w:rPr>
              <w:t>18</w:t>
            </w:r>
            <w:r>
              <w:rPr>
                <w:rFonts w:ascii="宋体" w:hAnsi="宋体" w:cs="宋体" w:eastAsia="宋体" w:hint="default"/>
                <w:spacing w:val="-58"/>
                <w:sz w:val="18"/>
                <w:szCs w:val="18"/>
              </w:rPr>
              <w:t> </w:t>
            </w:r>
            <w:r>
              <w:rPr>
                <w:rFonts w:ascii="宋体" w:hAnsi="宋体" w:cs="宋体" w:eastAsia="宋体" w:hint="default"/>
                <w:sz w:val="18"/>
                <w:szCs w:val="18"/>
              </w:rPr>
              <w:t>日</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98" w:type="dxa"/>
            <w:vMerge/>
            <w:tcBorders>
              <w:left w:val="single" w:sz="4" w:space="0" w:color="000000"/>
              <w:right w:val="single" w:sz="4" w:space="0" w:color="000000"/>
            </w:tcBorders>
          </w:tcPr>
          <w:p>
            <w:pP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武汉擎动网络科技有限公司</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8"/>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12</w:t>
            </w:r>
            <w:r>
              <w:rPr>
                <w:rFonts w:ascii="宋体" w:hAnsi="宋体" w:cs="宋体" w:eastAsia="宋体" w:hint="default"/>
                <w:spacing w:val="-58"/>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宋体" w:hAnsi="宋体" w:cs="宋体" w:eastAsia="宋体" w:hint="default"/>
                <w:sz w:val="18"/>
                <w:szCs w:val="18"/>
              </w:rPr>
              <w:t>23</w:t>
            </w:r>
            <w:r>
              <w:rPr>
                <w:rFonts w:ascii="宋体" w:hAnsi="宋体" w:cs="宋体" w:eastAsia="宋体" w:hint="default"/>
                <w:spacing w:val="-58"/>
                <w:sz w:val="18"/>
                <w:szCs w:val="18"/>
              </w:rPr>
              <w:t> </w:t>
            </w:r>
            <w:r>
              <w:rPr>
                <w:rFonts w:ascii="宋体" w:hAnsi="宋体" w:cs="宋体" w:eastAsia="宋体" w:hint="default"/>
                <w:sz w:val="18"/>
                <w:szCs w:val="18"/>
              </w:rPr>
              <w:t>日</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98" w:type="dxa"/>
            <w:vMerge/>
            <w:tcBorders>
              <w:left w:val="single" w:sz="4" w:space="0" w:color="000000"/>
              <w:bottom w:val="single" w:sz="4" w:space="0" w:color="000000"/>
              <w:right w:val="single" w:sz="4" w:space="0" w:color="000000"/>
            </w:tcBorders>
          </w:tcPr>
          <w:p>
            <w:pP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湖北百旺金赋科技有限公司</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8"/>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01</w:t>
            </w:r>
            <w:r>
              <w:rPr>
                <w:rFonts w:ascii="宋体" w:hAnsi="宋体" w:cs="宋体" w:eastAsia="宋体" w:hint="default"/>
                <w:spacing w:val="-58"/>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宋体" w:hAnsi="宋体" w:cs="宋体" w:eastAsia="宋体" w:hint="default"/>
                <w:sz w:val="18"/>
                <w:szCs w:val="18"/>
              </w:rPr>
              <w:t>04</w:t>
            </w:r>
            <w:r>
              <w:rPr>
                <w:rFonts w:ascii="宋体" w:hAnsi="宋体" w:cs="宋体" w:eastAsia="宋体" w:hint="default"/>
                <w:spacing w:val="-58"/>
                <w:sz w:val="18"/>
                <w:szCs w:val="18"/>
              </w:rPr>
              <w:t> </w:t>
            </w:r>
            <w:r>
              <w:rPr>
                <w:rFonts w:ascii="宋体" w:hAnsi="宋体" w:cs="宋体" w:eastAsia="宋体" w:hint="default"/>
                <w:sz w:val="18"/>
                <w:szCs w:val="18"/>
              </w:rPr>
              <w:t>日</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孙静</w:t>
            </w: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武汉天喻教育科技有限公司</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69" w:right="23" w:hanging="347"/>
              <w:jc w:val="left"/>
              <w:rPr>
                <w:rFonts w:ascii="宋体" w:hAnsi="宋体" w:cs="宋体" w:eastAsia="宋体" w:hint="default"/>
                <w:sz w:val="18"/>
                <w:szCs w:val="18"/>
              </w:rPr>
            </w:pPr>
            <w:r>
              <w:rPr>
                <w:rFonts w:ascii="宋体" w:hAnsi="宋体" w:cs="宋体" w:eastAsia="宋体" w:hint="default"/>
                <w:spacing w:val="-5"/>
                <w:sz w:val="18"/>
                <w:szCs w:val="18"/>
              </w:rPr>
              <w:t>董事、财务负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责人</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8"/>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02</w:t>
            </w:r>
            <w:r>
              <w:rPr>
                <w:rFonts w:ascii="宋体" w:hAnsi="宋体" w:cs="宋体" w:eastAsia="宋体" w:hint="default"/>
                <w:spacing w:val="-58"/>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宋体" w:hAnsi="宋体" w:cs="宋体" w:eastAsia="宋体" w:hint="default"/>
                <w:sz w:val="18"/>
                <w:szCs w:val="18"/>
              </w:rPr>
              <w:t>13</w:t>
            </w:r>
            <w:r>
              <w:rPr>
                <w:rFonts w:ascii="宋体" w:hAnsi="宋体" w:cs="宋体" w:eastAsia="宋体" w:hint="default"/>
                <w:spacing w:val="-58"/>
                <w:sz w:val="18"/>
                <w:szCs w:val="18"/>
              </w:rPr>
              <w:t> </w:t>
            </w:r>
            <w:r>
              <w:rPr>
                <w:rFonts w:ascii="宋体" w:hAnsi="宋体" w:cs="宋体" w:eastAsia="宋体" w:hint="default"/>
                <w:sz w:val="18"/>
                <w:szCs w:val="18"/>
              </w:rPr>
              <w:t>日</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98" w:type="dxa"/>
            <w:vMerge/>
            <w:tcBorders>
              <w:left w:val="single" w:sz="4" w:space="0" w:color="000000"/>
              <w:right w:val="single" w:sz="4" w:space="0" w:color="000000"/>
            </w:tcBorders>
          </w:tcPr>
          <w:p>
            <w:pP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武汉擎动网络科技有限公司</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8"/>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02</w:t>
            </w:r>
            <w:r>
              <w:rPr>
                <w:rFonts w:ascii="宋体" w:hAnsi="宋体" w:cs="宋体" w:eastAsia="宋体" w:hint="default"/>
                <w:spacing w:val="-58"/>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宋体" w:hAnsi="宋体" w:cs="宋体" w:eastAsia="宋体" w:hint="default"/>
                <w:sz w:val="18"/>
                <w:szCs w:val="18"/>
              </w:rPr>
              <w:t>13</w:t>
            </w:r>
            <w:r>
              <w:rPr>
                <w:rFonts w:ascii="宋体" w:hAnsi="宋体" w:cs="宋体" w:eastAsia="宋体" w:hint="default"/>
                <w:spacing w:val="-58"/>
                <w:sz w:val="18"/>
                <w:szCs w:val="18"/>
              </w:rPr>
              <w:t> </w:t>
            </w:r>
            <w:r>
              <w:rPr>
                <w:rFonts w:ascii="宋体" w:hAnsi="宋体" w:cs="宋体" w:eastAsia="宋体" w:hint="default"/>
                <w:sz w:val="18"/>
                <w:szCs w:val="18"/>
              </w:rPr>
              <w:t>日</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98" w:type="dxa"/>
            <w:vMerge/>
            <w:tcBorders>
              <w:left w:val="single" w:sz="4" w:space="0" w:color="000000"/>
              <w:right w:val="single" w:sz="4" w:space="0" w:color="000000"/>
            </w:tcBorders>
          </w:tcPr>
          <w:p>
            <w:pP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湖北百旺金赋科技有限公司</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8"/>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02</w:t>
            </w:r>
            <w:r>
              <w:rPr>
                <w:rFonts w:ascii="宋体" w:hAnsi="宋体" w:cs="宋体" w:eastAsia="宋体" w:hint="default"/>
                <w:spacing w:val="-58"/>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宋体" w:hAnsi="宋体" w:cs="宋体" w:eastAsia="宋体" w:hint="default"/>
                <w:sz w:val="18"/>
                <w:szCs w:val="18"/>
              </w:rPr>
              <w:t>07</w:t>
            </w:r>
            <w:r>
              <w:rPr>
                <w:rFonts w:ascii="宋体" w:hAnsi="宋体" w:cs="宋体" w:eastAsia="宋体" w:hint="default"/>
                <w:spacing w:val="-58"/>
                <w:sz w:val="18"/>
                <w:szCs w:val="18"/>
              </w:rPr>
              <w:t> </w:t>
            </w:r>
            <w:r>
              <w:rPr>
                <w:rFonts w:ascii="宋体" w:hAnsi="宋体" w:cs="宋体" w:eastAsia="宋体" w:hint="default"/>
                <w:sz w:val="18"/>
                <w:szCs w:val="18"/>
              </w:rPr>
              <w:t>日</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98" w:type="dxa"/>
            <w:vMerge/>
            <w:tcBorders>
              <w:left w:val="single" w:sz="4" w:space="0" w:color="000000"/>
              <w:right w:val="single" w:sz="4" w:space="0" w:color="000000"/>
            </w:tcBorders>
          </w:tcPr>
          <w:p>
            <w:pP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湖北百旺金赋科技有限公司</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财务负责人</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8"/>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12</w:t>
            </w:r>
            <w:r>
              <w:rPr>
                <w:rFonts w:ascii="宋体" w:hAnsi="宋体" w:cs="宋体" w:eastAsia="宋体" w:hint="default"/>
                <w:spacing w:val="-58"/>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宋体" w:hAnsi="宋体" w:cs="宋体" w:eastAsia="宋体" w:hint="default"/>
                <w:sz w:val="18"/>
                <w:szCs w:val="18"/>
              </w:rPr>
              <w:t>26</w:t>
            </w:r>
            <w:r>
              <w:rPr>
                <w:rFonts w:ascii="宋体" w:hAnsi="宋体" w:cs="宋体" w:eastAsia="宋体" w:hint="default"/>
                <w:spacing w:val="-58"/>
                <w:sz w:val="18"/>
                <w:szCs w:val="18"/>
              </w:rPr>
              <w:t> </w:t>
            </w:r>
            <w:r>
              <w:rPr>
                <w:rFonts w:ascii="宋体" w:hAnsi="宋体" w:cs="宋体" w:eastAsia="宋体" w:hint="default"/>
                <w:sz w:val="18"/>
                <w:szCs w:val="18"/>
              </w:rPr>
              <w:t>日</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98" w:type="dxa"/>
            <w:vMerge/>
            <w:tcBorders>
              <w:left w:val="single" w:sz="4" w:space="0" w:color="000000"/>
              <w:right w:val="single" w:sz="4" w:space="0" w:color="000000"/>
            </w:tcBorders>
          </w:tcPr>
          <w:p>
            <w:pP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武汉果核科技有限公司</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财务负责人</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8"/>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06</w:t>
            </w:r>
            <w:r>
              <w:rPr>
                <w:rFonts w:ascii="宋体" w:hAnsi="宋体" w:cs="宋体" w:eastAsia="宋体" w:hint="default"/>
                <w:spacing w:val="-58"/>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宋体" w:hAnsi="宋体" w:cs="宋体" w:eastAsia="宋体" w:hint="default"/>
                <w:sz w:val="18"/>
                <w:szCs w:val="18"/>
              </w:rPr>
              <w:t>09</w:t>
            </w:r>
            <w:r>
              <w:rPr>
                <w:rFonts w:ascii="宋体" w:hAnsi="宋体" w:cs="宋体" w:eastAsia="宋体" w:hint="default"/>
                <w:spacing w:val="-58"/>
                <w:sz w:val="18"/>
                <w:szCs w:val="18"/>
              </w:rPr>
              <w:t> </w:t>
            </w:r>
            <w:r>
              <w:rPr>
                <w:rFonts w:ascii="宋体" w:hAnsi="宋体" w:cs="宋体" w:eastAsia="宋体" w:hint="default"/>
                <w:sz w:val="18"/>
                <w:szCs w:val="18"/>
              </w:rPr>
              <w:t>日</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98" w:type="dxa"/>
            <w:vMerge/>
            <w:tcBorders>
              <w:left w:val="single" w:sz="4" w:space="0" w:color="000000"/>
              <w:right w:val="single" w:sz="4" w:space="0" w:color="000000"/>
            </w:tcBorders>
          </w:tcPr>
          <w:p>
            <w:pP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武汉天喻聚联网络有限公司</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财务负责人</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8"/>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08</w:t>
            </w:r>
            <w:r>
              <w:rPr>
                <w:rFonts w:ascii="宋体" w:hAnsi="宋体" w:cs="宋体" w:eastAsia="宋体" w:hint="default"/>
                <w:spacing w:val="-58"/>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宋体" w:hAnsi="宋体" w:cs="宋体" w:eastAsia="宋体" w:hint="default"/>
                <w:sz w:val="18"/>
                <w:szCs w:val="18"/>
              </w:rPr>
              <w:t>24</w:t>
            </w:r>
            <w:r>
              <w:rPr>
                <w:rFonts w:ascii="宋体" w:hAnsi="宋体" w:cs="宋体" w:eastAsia="宋体" w:hint="default"/>
                <w:spacing w:val="-58"/>
                <w:sz w:val="18"/>
                <w:szCs w:val="18"/>
              </w:rPr>
              <w:t> </w:t>
            </w:r>
            <w:r>
              <w:rPr>
                <w:rFonts w:ascii="宋体" w:hAnsi="宋体" w:cs="宋体" w:eastAsia="宋体" w:hint="default"/>
                <w:sz w:val="18"/>
                <w:szCs w:val="18"/>
              </w:rPr>
              <w:t>日</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98" w:type="dxa"/>
            <w:vMerge/>
            <w:tcBorders>
              <w:left w:val="single" w:sz="4" w:space="0" w:color="000000"/>
              <w:right w:val="single" w:sz="4" w:space="0" w:color="000000"/>
            </w:tcBorders>
          </w:tcPr>
          <w:p>
            <w:pP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武汉天喻信通制卡有限公司</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财务负责人</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8"/>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04</w:t>
            </w:r>
            <w:r>
              <w:rPr>
                <w:rFonts w:ascii="宋体" w:hAnsi="宋体" w:cs="宋体" w:eastAsia="宋体" w:hint="default"/>
                <w:spacing w:val="-58"/>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宋体" w:hAnsi="宋体" w:cs="宋体" w:eastAsia="宋体" w:hint="default"/>
                <w:sz w:val="18"/>
                <w:szCs w:val="18"/>
              </w:rPr>
              <w:t>12</w:t>
            </w:r>
            <w:r>
              <w:rPr>
                <w:rFonts w:ascii="宋体" w:hAnsi="宋体" w:cs="宋体" w:eastAsia="宋体" w:hint="default"/>
                <w:spacing w:val="-58"/>
                <w:sz w:val="18"/>
                <w:szCs w:val="18"/>
              </w:rPr>
              <w:t> </w:t>
            </w:r>
            <w:r>
              <w:rPr>
                <w:rFonts w:ascii="宋体" w:hAnsi="宋体" w:cs="宋体" w:eastAsia="宋体" w:hint="default"/>
                <w:sz w:val="18"/>
                <w:szCs w:val="18"/>
              </w:rPr>
              <w:t>日</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98" w:type="dxa"/>
            <w:vMerge/>
            <w:tcBorders>
              <w:left w:val="single" w:sz="4" w:space="0" w:color="000000"/>
              <w:bottom w:val="single" w:sz="4" w:space="0" w:color="000000"/>
              <w:right w:val="single" w:sz="4" w:space="0" w:color="000000"/>
            </w:tcBorders>
          </w:tcPr>
          <w:p>
            <w:pP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武汉中天慧购电商服务有限公司</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财务负责人</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8"/>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09</w:t>
            </w:r>
            <w:r>
              <w:rPr>
                <w:rFonts w:ascii="宋体" w:hAnsi="宋体" w:cs="宋体" w:eastAsia="宋体" w:hint="default"/>
                <w:spacing w:val="-58"/>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宋体" w:hAnsi="宋体" w:cs="宋体" w:eastAsia="宋体" w:hint="default"/>
                <w:sz w:val="18"/>
                <w:szCs w:val="18"/>
              </w:rPr>
              <w:t>24</w:t>
            </w:r>
            <w:r>
              <w:rPr>
                <w:rFonts w:ascii="宋体" w:hAnsi="宋体" w:cs="宋体" w:eastAsia="宋体" w:hint="default"/>
                <w:spacing w:val="-58"/>
                <w:sz w:val="18"/>
                <w:szCs w:val="18"/>
              </w:rPr>
              <w:t> </w:t>
            </w:r>
            <w:r>
              <w:rPr>
                <w:rFonts w:ascii="宋体" w:hAnsi="宋体" w:cs="宋体" w:eastAsia="宋体" w:hint="default"/>
                <w:sz w:val="18"/>
                <w:szCs w:val="18"/>
              </w:rPr>
              <w:t>日</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7"/>
        <w:rPr>
          <w:rFonts w:ascii="Times New Roman" w:hAnsi="Times New Roman" w:cs="Times New Roman" w:eastAsia="Times New Roman" w:hint="default"/>
          <w:sz w:val="7"/>
          <w:szCs w:val="7"/>
        </w:rPr>
      </w:pPr>
    </w:p>
    <w:p>
      <w:pPr>
        <w:pStyle w:val="BodyText"/>
        <w:spacing w:line="240" w:lineRule="auto" w:before="44"/>
        <w:ind w:left="1134" w:right="0"/>
        <w:jc w:val="left"/>
      </w:pPr>
      <w:r>
        <w:rPr/>
        <w:t>公司现任及报告期内离任董事、监事和高级管理人员近三年证券监管机构处罚的情况</w:t>
      </w:r>
    </w:p>
    <w:p>
      <w:pPr>
        <w:pStyle w:val="BodyText"/>
        <w:spacing w:line="240" w:lineRule="auto" w:before="117"/>
        <w:ind w:right="0"/>
        <w:jc w:val="left"/>
      </w:pPr>
      <w:r>
        <w:rPr/>
        <w:t>□ 适用 √ 不适用</w:t>
      </w:r>
    </w:p>
    <w:p>
      <w:pPr>
        <w:spacing w:after="0" w:line="240" w:lineRule="auto"/>
        <w:jc w:val="left"/>
        <w:sectPr>
          <w:pgSz w:w="11910" w:h="16840"/>
          <w:pgMar w:header="877" w:footer="1187" w:top="1100" w:bottom="1380" w:left="0" w:right="0"/>
        </w:sectPr>
      </w:pPr>
    </w:p>
    <w:p>
      <w:pPr>
        <w:spacing w:line="240" w:lineRule="auto" w:before="8"/>
        <w:rPr>
          <w:rFonts w:ascii="宋体" w:hAnsi="宋体" w:cs="宋体" w:eastAsia="宋体" w:hint="default"/>
          <w:sz w:val="19"/>
          <w:szCs w:val="19"/>
        </w:rPr>
      </w:pPr>
    </w:p>
    <w:p>
      <w:pPr>
        <w:pStyle w:val="Heading2"/>
        <w:spacing w:line="240" w:lineRule="auto" w:before="26"/>
        <w:ind w:right="0"/>
        <w:jc w:val="left"/>
        <w:rPr>
          <w:b w:val="0"/>
          <w:bCs w:val="0"/>
        </w:rPr>
      </w:pPr>
      <w:bookmarkStart w:name="四、董事、监事、高级管理人员报酬情况" w:id="123"/>
      <w:bookmarkEnd w:id="123"/>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董事、监事、高级管理人员报酬的决策程序、确定依据、实际支付情况</w:t>
      </w:r>
    </w:p>
    <w:p>
      <w:pPr>
        <w:spacing w:line="240" w:lineRule="auto" w:before="6"/>
        <w:rPr>
          <w:rFonts w:ascii="宋体" w:hAnsi="宋体" w:cs="宋体" w:eastAsia="宋体" w:hint="default"/>
          <w:sz w:val="10"/>
          <w:szCs w:val="10"/>
        </w:rPr>
      </w:pPr>
    </w:p>
    <w:p>
      <w:pPr>
        <w:pStyle w:val="BodyText"/>
        <w:spacing w:line="240" w:lineRule="auto" w:before="44"/>
        <w:ind w:left="0" w:right="1121"/>
        <w:jc w:val="right"/>
      </w:pPr>
      <w:r>
        <w:rPr/>
        <w:pict>
          <v:shape style="position:absolute;margin-left:56.34pt;margin-top:-1.628254pt;width:479.55pt;height:127.25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29"/>
                    <w:gridCol w:w="5740"/>
                  </w:tblGrid>
                  <w:tr>
                    <w:trPr>
                      <w:trHeight w:val="740"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74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90"/>
                          <w:jc w:val="left"/>
                          <w:rPr>
                            <w:rFonts w:ascii="宋体" w:hAnsi="宋体" w:cs="宋体" w:eastAsia="宋体" w:hint="default"/>
                            <w:sz w:val="18"/>
                            <w:szCs w:val="18"/>
                          </w:rPr>
                        </w:pPr>
                        <w:r>
                          <w:rPr>
                            <w:rFonts w:ascii="宋体" w:hAnsi="宋体" w:cs="宋体" w:eastAsia="宋体" w:hint="default"/>
                            <w:spacing w:val="-4"/>
                            <w:sz w:val="18"/>
                            <w:szCs w:val="18"/>
                          </w:rPr>
                          <w:t>公司第六届董事会第九次会议审议通过《</w:t>
                        </w:r>
                        <w:r>
                          <w:rPr>
                            <w:rFonts w:ascii="宋体" w:hAnsi="宋体" w:cs="宋体" w:eastAsia="宋体" w:hint="default"/>
                            <w:spacing w:val="-4"/>
                            <w:sz w:val="18"/>
                            <w:szCs w:val="18"/>
                          </w:rPr>
                          <w:t>2015</w:t>
                        </w:r>
                        <w:r>
                          <w:rPr>
                            <w:rFonts w:ascii="宋体" w:hAnsi="宋体" w:cs="宋体" w:eastAsia="宋体" w:hint="default"/>
                            <w:spacing w:val="-4"/>
                            <w:sz w:val="18"/>
                            <w:szCs w:val="18"/>
                          </w:rPr>
                          <w:t>年度经营层薪酬考核方案》</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r>
                          <w:rPr>
                            <w:rFonts w:ascii="宋体" w:hAnsi="宋体" w:cs="宋体" w:eastAsia="宋体" w:hint="default"/>
                            <w:sz w:val="18"/>
                            <w:szCs w:val="18"/>
                          </w:rPr>
                          <w:t>2014</w:t>
                        </w:r>
                        <w:r>
                          <w:rPr>
                            <w:rFonts w:ascii="宋体" w:hAnsi="宋体" w:cs="宋体" w:eastAsia="宋体" w:hint="default"/>
                            <w:sz w:val="18"/>
                            <w:szCs w:val="18"/>
                          </w:rPr>
                          <w:t>年年度股东大会审议通过《</w:t>
                        </w:r>
                        <w:r>
                          <w:rPr>
                            <w:rFonts w:ascii="宋体" w:hAnsi="宋体" w:cs="宋体" w:eastAsia="宋体" w:hint="default"/>
                            <w:sz w:val="18"/>
                            <w:szCs w:val="18"/>
                          </w:rPr>
                          <w:t>2015</w:t>
                        </w:r>
                        <w:r>
                          <w:rPr>
                            <w:rFonts w:ascii="宋体" w:hAnsi="宋体" w:cs="宋体" w:eastAsia="宋体" w:hint="default"/>
                            <w:sz w:val="18"/>
                            <w:szCs w:val="18"/>
                          </w:rPr>
                          <w:t>年度董事长薪酬考核方案》。</w:t>
                        </w:r>
                      </w:p>
                    </w:tc>
                  </w:tr>
                  <w:tr>
                    <w:trPr>
                      <w:trHeight w:val="1051"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74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公司董事和高级管理人员的报酬按照年度薪酬考核方案，结合其履职情 </w:t>
                        </w:r>
                        <w:r>
                          <w:rPr>
                            <w:rFonts w:ascii="宋体" w:hAnsi="宋体" w:cs="宋体" w:eastAsia="宋体" w:hint="default"/>
                            <w:spacing w:val="-2"/>
                            <w:sz w:val="18"/>
                            <w:szCs w:val="18"/>
                          </w:rPr>
                          <w:t>况、工作业绩、忠实与勤勉义务的履行情况等考核确定并发放。公司职工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代表监事的报酬根据公司人力资源部相关规定经考核后发放。</w:t>
                        </w:r>
                      </w:p>
                    </w:tc>
                  </w:tr>
                  <w:tr>
                    <w:trPr>
                      <w:trHeight w:val="739"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董事、监事和高级管理人员报酬的实际支付情况</w:t>
                        </w:r>
                      </w:p>
                    </w:tc>
                    <w:tc>
                      <w:tcPr>
                        <w:tcW w:w="574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0"/>
                          <w:jc w:val="left"/>
                          <w:rPr>
                            <w:rFonts w:ascii="宋体" w:hAnsi="宋体" w:cs="宋体" w:eastAsia="宋体" w:hint="default"/>
                            <w:sz w:val="18"/>
                            <w:szCs w:val="18"/>
                          </w:rPr>
                        </w:pPr>
                        <w:r>
                          <w:rPr>
                            <w:rFonts w:ascii="宋体" w:hAnsi="宋体" w:cs="宋体" w:eastAsia="宋体" w:hint="default"/>
                            <w:spacing w:val="-2"/>
                            <w:sz w:val="18"/>
                            <w:szCs w:val="18"/>
                          </w:rPr>
                          <w:t>报告期内，公司实际支付董事、监事、高级管理人员（含报告期内离任董</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事、监事、高级管理人员）报酬合计</w:t>
                        </w:r>
                        <w:r>
                          <w:rPr>
                            <w:rFonts w:ascii="宋体" w:hAnsi="宋体" w:cs="宋体" w:eastAsia="宋体" w:hint="default"/>
                            <w:sz w:val="18"/>
                            <w:szCs w:val="18"/>
                          </w:rPr>
                          <w:t>742.59</w:t>
                        </w:r>
                        <w:r>
                          <w:rPr>
                            <w:rFonts w:ascii="宋体" w:hAnsi="宋体" w:cs="宋体" w:eastAsia="宋体" w:hint="default"/>
                            <w:sz w:val="18"/>
                            <w:szCs w:val="18"/>
                          </w:rPr>
                          <w:t>万元。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BodyText"/>
        <w:spacing w:line="240" w:lineRule="auto" w:before="44"/>
        <w:ind w:left="1134" w:right="0"/>
        <w:jc w:val="left"/>
      </w:pPr>
      <w:r>
        <w:rPr/>
        <w:t>公司报告期内董事、监事和高级管理人员报酬情况</w:t>
      </w:r>
    </w:p>
    <w:p>
      <w:pPr>
        <w:pStyle w:val="BodyText"/>
        <w:spacing w:line="240" w:lineRule="auto" w:before="117"/>
        <w:ind w:left="0" w:right="1310"/>
        <w:jc w:val="right"/>
      </w:pPr>
      <w:r>
        <w:rPr/>
        <w:t>单位：万元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134"/>
        <w:gridCol w:w="1985"/>
        <w:gridCol w:w="984"/>
        <w:gridCol w:w="1367"/>
        <w:gridCol w:w="1194"/>
        <w:gridCol w:w="1541"/>
        <w:gridCol w:w="1367"/>
      </w:tblGrid>
      <w:tr>
        <w:trPr>
          <w:trHeight w:val="71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405" w:right="45" w:hanging="361"/>
              <w:jc w:val="left"/>
              <w:rPr>
                <w:rFonts w:ascii="宋体" w:hAnsi="宋体" w:cs="宋体" w:eastAsia="宋体" w:hint="default"/>
                <w:sz w:val="18"/>
                <w:szCs w:val="18"/>
              </w:rPr>
            </w:pPr>
            <w:r>
              <w:rPr>
                <w:rFonts w:ascii="宋体" w:hAnsi="宋体" w:cs="宋体" w:eastAsia="宋体" w:hint="default"/>
                <w:sz w:val="18"/>
                <w:szCs w:val="18"/>
              </w:rPr>
              <w:t>从公司获得的税前 报酬总额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张新访</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50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158.92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吴俊军</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董事、总经理</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43</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140.44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武力</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37</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54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李科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32</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54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田祖海</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50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余明桂</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41</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胡华夏</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50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54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童俊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53</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54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朱松青</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44</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54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彭海朝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51</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李士训</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52</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54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岳蓉</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41</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54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王彬</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职工代表监事</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49</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江绥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副总经理、董事会秘书</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54</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94.12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孙静</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副总经理、财务负责人</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50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92.52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刘春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总经理</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48</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122.11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刘拥纲</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40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周军龙</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41</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742.59</w:t>
            </w: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6"/>
          <w:szCs w:val="6"/>
        </w:rPr>
      </w:pPr>
    </w:p>
    <w:p>
      <w:pPr>
        <w:pStyle w:val="BodyText"/>
        <w:spacing w:line="240" w:lineRule="auto" w:before="44"/>
        <w:ind w:left="1134" w:right="0"/>
        <w:jc w:val="left"/>
      </w:pPr>
      <w:r>
        <w:rPr/>
        <w:t>公司董事、监事、高级管理人员报告期内被授予的股权激励情况</w:t>
      </w:r>
    </w:p>
    <w:p>
      <w:pPr>
        <w:pStyle w:val="BodyText"/>
        <w:spacing w:line="240" w:lineRule="auto" w:before="117"/>
        <w:ind w:left="1134" w:right="0"/>
        <w:jc w:val="left"/>
      </w:pPr>
      <w:r>
        <w:rPr/>
        <w:t>□ 适用 √ 不适用</w:t>
      </w:r>
    </w:p>
    <w:p>
      <w:pPr>
        <w:spacing w:after="0" w:line="240" w:lineRule="auto"/>
        <w:jc w:val="left"/>
        <w:sectPr>
          <w:pgSz w:w="11910" w:h="16840"/>
          <w:pgMar w:header="877" w:footer="1187" w:top="1100" w:bottom="1380" w:left="0" w:right="0"/>
        </w:sectPr>
      </w:pPr>
    </w:p>
    <w:p>
      <w:pPr>
        <w:spacing w:line="240" w:lineRule="auto" w:before="8"/>
        <w:rPr>
          <w:rFonts w:ascii="宋体" w:hAnsi="宋体" w:cs="宋体" w:eastAsia="宋体" w:hint="default"/>
          <w:sz w:val="19"/>
          <w:szCs w:val="19"/>
        </w:rPr>
      </w:pPr>
    </w:p>
    <w:p>
      <w:pPr>
        <w:pStyle w:val="Heading2"/>
        <w:spacing w:line="240" w:lineRule="auto" w:before="26"/>
        <w:ind w:right="0"/>
        <w:jc w:val="left"/>
        <w:rPr>
          <w:b w:val="0"/>
          <w:bCs w:val="0"/>
        </w:rPr>
      </w:pPr>
      <w:bookmarkStart w:name="五、公司员工情况" w:id="124"/>
      <w:bookmarkEnd w:id="124"/>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pict>
          <v:group style="position:absolute;margin-left:227.059998pt;margin-top:51.373665pt;width:118.9pt;height:20.8pt;mso-position-horizontal-relative:page;mso-position-vertical-relative:paragraph;z-index:-778600" coordorigin="4541,1027" coordsize="2378,416">
            <v:group style="position:absolute;left:4553;top:1039;width:2;height:393" coordorigin="4553,1039" coordsize="2,393">
              <v:shape style="position:absolute;left:4553;top:1039;width:2;height:393" coordorigin="4553,1039" coordsize="0,393" path="m4553,1039l4553,1431e" filled="false" stroked="true" strokeweight="1.140pt" strokecolor="#ffffff">
                <v:path arrowok="t"/>
              </v:shape>
            </v:group>
            <v:group style="position:absolute;left:4564;top:1039;width:2355;height:393" coordorigin="4564,1039" coordsize="2355,393">
              <v:shape style="position:absolute;left:4564;top:1039;width:2355;height:393" coordorigin="4564,1039" coordsize="2355,393" path="m4564,1431l6919,1431,6919,1039,4564,1039,4564,1431xe" filled="true" fillcolor="#ffffff" stroked="false">
                <v:path arrowok="t"/>
                <v:fill type="solid"/>
              </v:shape>
            </v:group>
            <w10:wrap type="none"/>
          </v:group>
        </w:pict>
      </w:r>
      <w:bookmarkStart w:name="1、员工数量、专业构成及教育程度" w:id="125"/>
      <w:bookmarkEnd w:id="125"/>
      <w:r>
        <w:rPr>
          <w:b w:val="0"/>
          <w:bCs w:val="0"/>
        </w:rPr>
      </w:r>
      <w:r>
        <w:rPr>
          <w:rFonts w:ascii="宋体" w:hAnsi="宋体" w:cs="宋体" w:eastAsia="宋体" w:hint="default"/>
        </w:rPr>
        <w:t>1</w:t>
      </w:r>
      <w:r>
        <w:rPr/>
        <w:t>、员工数量、专业构成及教育程度</w:t>
      </w:r>
      <w:r>
        <w:rPr>
          <w:b w:val="0"/>
          <w:bCs w:val="0"/>
        </w:rPr>
      </w:r>
    </w:p>
    <w:p>
      <w:pPr>
        <w:spacing w:line="240" w:lineRule="auto" w:before="12"/>
        <w:rPr>
          <w:rFonts w:ascii="宋体" w:hAnsi="宋体" w:cs="宋体" w:eastAsia="宋体" w:hint="default"/>
          <w:b/>
          <w:bCs/>
          <w:sz w:val="26"/>
          <w:szCs w:val="26"/>
        </w:rPr>
      </w:pPr>
    </w:p>
    <w:tbl>
      <w:tblPr>
        <w:tblW w:w="0" w:type="auto"/>
        <w:jc w:val="left"/>
        <w:tblInd w:w="1129" w:type="dxa"/>
        <w:tblLayout w:type="fixed"/>
        <w:tblCellMar>
          <w:top w:w="0" w:type="dxa"/>
          <w:left w:w="0" w:type="dxa"/>
          <w:bottom w:w="0" w:type="dxa"/>
          <w:right w:w="0" w:type="dxa"/>
        </w:tblCellMar>
        <w:tblLook w:val="01E0"/>
      </w:tblPr>
      <w:tblGrid>
        <w:gridCol w:w="3402"/>
        <w:gridCol w:w="2410"/>
      </w:tblGrid>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报告期末母公司在职员工的数量（人）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1,938</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报告期末主要子公司在职员工的数量（人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tabs>
                <w:tab w:pos="1064" w:val="left" w:leader="none"/>
              </w:tabs>
              <w:spacing w:line="240" w:lineRule="auto" w:before="51"/>
              <w:ind w:left="-140" w:right="0"/>
              <w:jc w:val="left"/>
              <w:rPr>
                <w:rFonts w:ascii="宋体" w:hAnsi="宋体" w:cs="宋体" w:eastAsia="宋体" w:hint="default"/>
                <w:sz w:val="18"/>
                <w:szCs w:val="18"/>
              </w:rPr>
            </w:pPr>
            <w:r>
              <w:rPr>
                <w:rFonts w:ascii="宋体" w:hAnsi="宋体" w:cs="宋体" w:eastAsia="宋体" w:hint="default"/>
                <w:sz w:val="18"/>
                <w:szCs w:val="18"/>
              </w:rPr>
              <w:t>）</w:t>
              <w:tab/>
            </w:r>
            <w:r>
              <w:rPr>
                <w:rFonts w:ascii="宋体" w:hAnsi="宋体" w:cs="宋体" w:eastAsia="宋体" w:hint="default"/>
                <w:sz w:val="18"/>
                <w:szCs w:val="18"/>
              </w:rPr>
              <w:t>911</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报告期末在职员工的数量合计（人）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2,849</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报告期末领取薪酬员工总人数（人）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2,849</w:t>
            </w:r>
          </w:p>
        </w:tc>
      </w:tr>
      <w:tr>
        <w:trPr>
          <w:trHeight w:val="71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 职工人数（人）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0</w:t>
            </w:r>
          </w:p>
        </w:tc>
      </w:tr>
      <w:tr>
        <w:trPr>
          <w:trHeight w:val="402" w:hRule="exact"/>
        </w:trPr>
        <w:tc>
          <w:tcPr>
            <w:tcW w:w="58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0"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1,075</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607</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1,018</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44</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105</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2,849</w:t>
            </w:r>
          </w:p>
        </w:tc>
      </w:tr>
      <w:tr>
        <w:trPr>
          <w:trHeight w:val="402" w:hRule="exact"/>
        </w:trPr>
        <w:tc>
          <w:tcPr>
            <w:tcW w:w="58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5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207</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1,219</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583</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专科以下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840</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2,849</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2、薪酬政策" w:id="126"/>
      <w:bookmarkEnd w:id="126"/>
      <w:r>
        <w:rPr>
          <w:b w:val="0"/>
          <w:bCs w:val="0"/>
        </w:rPr>
      </w:r>
      <w:r>
        <w:rPr>
          <w:rFonts w:ascii="宋体" w:hAnsi="宋体" w:cs="宋体" w:eastAsia="宋体" w:hint="default"/>
        </w:rPr>
        <w:t>2</w:t>
      </w:r>
      <w:r>
        <w:rPr/>
        <w:t>、薪酬政策</w:t>
      </w:r>
      <w:r>
        <w:rPr>
          <w:b w:val="0"/>
          <w:bCs w:val="0"/>
        </w:rPr>
      </w:r>
    </w:p>
    <w:p>
      <w:pPr>
        <w:spacing w:line="240" w:lineRule="auto" w:before="11"/>
        <w:rPr>
          <w:rFonts w:ascii="宋体" w:hAnsi="宋体" w:cs="宋体" w:eastAsia="宋体" w:hint="default"/>
          <w:b/>
          <w:bCs/>
          <w:sz w:val="27"/>
          <w:szCs w:val="27"/>
        </w:rPr>
      </w:pPr>
    </w:p>
    <w:p>
      <w:pPr>
        <w:pStyle w:val="BodyText"/>
        <w:spacing w:line="316" w:lineRule="auto"/>
        <w:ind w:left="1134" w:right="1041" w:firstLine="360"/>
        <w:jc w:val="both"/>
      </w:pPr>
      <w:r>
        <w:rPr/>
        <w:t>公司建立了较完善的薪酬体系，根据有关法律法规并结合公司实际情况制定了员工薪酬、绩效考核、员工福利等制度。 在控股子公司制定了股权激励</w:t>
      </w:r>
      <w:r>
        <w:rPr>
          <w:rFonts w:ascii="宋体" w:hAnsi="宋体" w:cs="宋体" w:eastAsia="宋体" w:hint="default"/>
        </w:rPr>
        <w:t>+</w:t>
      </w:r>
      <w:r>
        <w:rPr/>
        <w:t>业绩奖励相结合的激励制度。</w:t>
      </w:r>
    </w:p>
    <w:p>
      <w:pPr>
        <w:spacing w:line="240" w:lineRule="auto" w:before="7"/>
        <w:rPr>
          <w:rFonts w:ascii="宋体" w:hAnsi="宋体" w:cs="宋体" w:eastAsia="宋体" w:hint="default"/>
          <w:sz w:val="22"/>
          <w:szCs w:val="22"/>
        </w:rPr>
      </w:pPr>
    </w:p>
    <w:p>
      <w:pPr>
        <w:pStyle w:val="Heading3"/>
        <w:spacing w:line="240" w:lineRule="auto"/>
        <w:ind w:left="1134" w:right="0"/>
        <w:jc w:val="left"/>
        <w:rPr>
          <w:b w:val="0"/>
          <w:bCs w:val="0"/>
        </w:rPr>
      </w:pPr>
      <w:bookmarkStart w:name="3、培训计划" w:id="127"/>
      <w:bookmarkEnd w:id="127"/>
      <w:r>
        <w:rPr>
          <w:b w:val="0"/>
          <w:bCs w:val="0"/>
        </w:rPr>
      </w:r>
      <w:r>
        <w:rPr>
          <w:rFonts w:ascii="宋体" w:hAnsi="宋体" w:cs="宋体" w:eastAsia="宋体" w:hint="default"/>
        </w:rPr>
        <w:t>3</w:t>
      </w:r>
      <w:r>
        <w:rPr/>
        <w:t>、培训计划</w:t>
      </w:r>
      <w:r>
        <w:rPr>
          <w:b w:val="0"/>
          <w:bCs w:val="0"/>
        </w:rPr>
      </w:r>
    </w:p>
    <w:p>
      <w:pPr>
        <w:spacing w:line="240" w:lineRule="auto" w:before="9"/>
        <w:rPr>
          <w:rFonts w:ascii="宋体" w:hAnsi="宋体" w:cs="宋体" w:eastAsia="宋体" w:hint="default"/>
          <w:b/>
          <w:bCs/>
          <w:sz w:val="27"/>
          <w:szCs w:val="27"/>
        </w:rPr>
      </w:pPr>
    </w:p>
    <w:p>
      <w:pPr>
        <w:pStyle w:val="BodyText"/>
        <w:spacing w:line="319" w:lineRule="auto"/>
        <w:ind w:left="1134" w:right="1131" w:firstLine="360"/>
        <w:jc w:val="both"/>
      </w:pPr>
      <w:r>
        <w:rPr>
          <w:spacing w:val="-2"/>
        </w:rPr>
        <w:t>公司制定了员工培训管理相关制度，创建了内外部课程库、内训师团队等培训资源体系，并根据人员结构和业务发展制</w:t>
      </w:r>
      <w:r>
        <w:rPr/>
        <w:t> </w:t>
      </w:r>
      <w:r>
        <w:rPr>
          <w:spacing w:val="-2"/>
        </w:rPr>
        <w:t>订年度员工培训计划。公司基于人力资源开发原则，实施新员工入职导入培训、部门专业培训、入职导师传授等员工适岗培</w:t>
      </w:r>
      <w:r>
        <w:rPr>
          <w:spacing w:val="-66"/>
        </w:rPr>
        <w:t> </w:t>
      </w:r>
      <w:r>
        <w:rPr>
          <w:spacing w:val="-66"/>
        </w:rPr>
      </w:r>
      <w:r>
        <w:rPr>
          <w:spacing w:val="-2"/>
        </w:rPr>
        <w:t>训，实施管理人员、技术人员、储备人员和特业人员的发展培训，并辅以外派进修、线下线上教育、读书会、行动学习、案</w:t>
      </w:r>
      <w:r>
        <w:rPr>
          <w:spacing w:val="-67"/>
        </w:rPr>
        <w:t> </w:t>
      </w:r>
      <w:r>
        <w:rPr>
          <w:spacing w:val="-67"/>
        </w:rPr>
      </w:r>
      <w:r>
        <w:rPr/>
        <w:t>例探讨等多种培训形式。</w:t>
      </w:r>
    </w:p>
    <w:p>
      <w:pPr>
        <w:spacing w:after="0" w:line="319" w:lineRule="auto"/>
        <w:jc w:val="both"/>
        <w:sectPr>
          <w:pgSz w:w="11910" w:h="16840"/>
          <w:pgMar w:header="877" w:footer="1187" w:top="1100" w:bottom="1380" w:left="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4、劳务外包情况" w:id="128"/>
      <w:bookmarkEnd w:id="128"/>
      <w:r>
        <w:rPr>
          <w:b w:val="0"/>
          <w:bCs w:val="0"/>
        </w:rPr>
      </w:r>
      <w:r>
        <w:rPr>
          <w:rFonts w:ascii="宋体" w:hAnsi="宋体" w:cs="宋体" w:eastAsia="宋体" w:hint="default"/>
        </w:rPr>
        <w:t>4</w:t>
      </w:r>
      <w:r>
        <w:rPr/>
        <w:t>、劳务外包情况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after="0" w:line="240" w:lineRule="auto"/>
        <w:jc w:val="left"/>
        <w:sectPr>
          <w:pgSz w:w="11910" w:h="16840"/>
          <w:pgMar w:header="877" w:footer="1187" w:top="1100" w:bottom="138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1130"/>
        <w:jc w:val="center"/>
        <w:rPr>
          <w:b w:val="0"/>
          <w:bCs w:val="0"/>
        </w:rPr>
      </w:pPr>
      <w:bookmarkStart w:name="第九节 公司治理" w:id="129"/>
      <w:bookmarkEnd w:id="129"/>
      <w:r>
        <w:rPr>
          <w:b w:val="0"/>
          <w:bCs w:val="0"/>
        </w:rPr>
      </w:r>
      <w:bookmarkStart w:name="_bookmark8" w:id="130"/>
      <w:bookmarkEnd w:id="130"/>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公司治理的基本状况" w:id="131"/>
      <w:bookmarkEnd w:id="131"/>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493" w:right="0"/>
        <w:jc w:val="left"/>
      </w:pPr>
      <w:r>
        <w:rPr>
          <w:spacing w:val="-6"/>
        </w:rPr>
        <w:t>报告期内，公司严格按照《公司法》、《证券法》、《上市公司治理准则》、《深圳证券交易所创业板股票上市规则》、</w:t>
      </w:r>
    </w:p>
    <w:p>
      <w:pPr>
        <w:pStyle w:val="BodyText"/>
        <w:spacing w:line="240" w:lineRule="auto" w:before="76"/>
        <w:ind w:right="0"/>
        <w:jc w:val="both"/>
      </w:pPr>
      <w:r>
        <w:rPr/>
        <w:t>《深圳证券交易所创业板上市公司规范运作指引》和其他相关法律、行政法规、部门规章、规范性文件的要求，及时修订了</w:t>
      </w:r>
    </w:p>
    <w:p>
      <w:pPr>
        <w:pStyle w:val="BodyText"/>
        <w:spacing w:line="319" w:lineRule="auto" w:before="76"/>
        <w:ind w:right="1130"/>
        <w:jc w:val="both"/>
      </w:pPr>
      <w:r>
        <w:rPr>
          <w:spacing w:val="-2"/>
        </w:rPr>
        <w:t>《公司章程》、《股东大会议事规则》、《董事会议事规则》、《独立董事工作制度》、《募集资金使用管理制度》、《中</w:t>
      </w:r>
      <w:r>
        <w:rPr>
          <w:spacing w:val="-71"/>
        </w:rPr>
        <w:t> </w:t>
      </w:r>
      <w:r>
        <w:rPr>
          <w:spacing w:val="-71"/>
        </w:rPr>
      </w:r>
      <w:r>
        <w:rPr>
          <w:spacing w:val="-2"/>
        </w:rPr>
        <w:t>小投资者单独计票管理办法》，建立健全公司内部控制制度，规范公司内部管理，提高公司治理水平。截至报告期末，公司</w:t>
      </w:r>
      <w:r>
        <w:rPr>
          <w:spacing w:val="-68"/>
        </w:rPr>
        <w:t> </w:t>
      </w:r>
      <w:r>
        <w:rPr>
          <w:spacing w:val="-68"/>
        </w:rPr>
      </w:r>
      <w:r>
        <w:rPr>
          <w:spacing w:val="-2"/>
        </w:rPr>
        <w:t>治理的实际状况符合中国证监会发布的有关上市公司治理的部门规章、规范性文件和深圳证券交易所发布的相关自律规则的</w:t>
      </w:r>
      <w:r>
        <w:rPr>
          <w:spacing w:val="-63"/>
        </w:rPr>
        <w:t> </w:t>
      </w:r>
      <w:r>
        <w:rPr>
          <w:spacing w:val="-63"/>
        </w:rPr>
      </w:r>
      <w:r>
        <w:rPr/>
        <w:t>要求。</w:t>
      </w:r>
    </w:p>
    <w:p>
      <w:pPr>
        <w:spacing w:line="240" w:lineRule="auto" w:before="4"/>
        <w:rPr>
          <w:rFonts w:ascii="宋体" w:hAnsi="宋体" w:cs="宋体" w:eastAsia="宋体" w:hint="default"/>
          <w:sz w:val="22"/>
          <w:szCs w:val="22"/>
        </w:rPr>
      </w:pPr>
    </w:p>
    <w:p>
      <w:pPr>
        <w:pStyle w:val="Heading3"/>
        <w:spacing w:line="240" w:lineRule="auto"/>
        <w:ind w:right="0"/>
        <w:jc w:val="both"/>
        <w:rPr>
          <w:b w:val="0"/>
          <w:bCs w:val="0"/>
        </w:rPr>
      </w:pPr>
      <w:r>
        <w:rPr>
          <w:rFonts w:ascii="宋体" w:hAnsi="宋体" w:cs="宋体" w:eastAsia="宋体" w:hint="default"/>
        </w:rPr>
        <w:t>1</w:t>
      </w:r>
      <w:r>
        <w:rPr/>
        <w:t>、股东与股东大会</w:t>
      </w:r>
      <w:r>
        <w:rPr>
          <w:b w:val="0"/>
          <w:bCs w:val="0"/>
        </w:rPr>
      </w:r>
    </w:p>
    <w:p>
      <w:pPr>
        <w:spacing w:line="240" w:lineRule="auto" w:before="8"/>
        <w:rPr>
          <w:rFonts w:ascii="宋体" w:hAnsi="宋体" w:cs="宋体" w:eastAsia="宋体" w:hint="default"/>
          <w:b/>
          <w:bCs/>
          <w:sz w:val="27"/>
          <w:szCs w:val="27"/>
        </w:rPr>
      </w:pPr>
    </w:p>
    <w:p>
      <w:pPr>
        <w:pStyle w:val="BodyText"/>
        <w:spacing w:line="319" w:lineRule="auto"/>
        <w:ind w:right="1132" w:firstLine="360"/>
        <w:jc w:val="both"/>
      </w:pPr>
      <w:r>
        <w:rPr>
          <w:spacing w:val="-2"/>
        </w:rPr>
        <w:t>公司严格按照《公司章程》、公司《股东大会议事规则》、《中小投资者单独计票管理办法》的规定召集、召开股东大</w:t>
      </w:r>
      <w:r>
        <w:rPr/>
        <w:t> </w:t>
      </w:r>
      <w:r>
        <w:rPr>
          <w:spacing w:val="-2"/>
        </w:rPr>
        <w:t>会。公司召开股东大会全面采取现场投票与网络投票结合的方式，审议影响中小投资者利益的重大事项时对中小投资者表决</w:t>
      </w:r>
      <w:r>
        <w:rPr>
          <w:spacing w:val="-64"/>
        </w:rPr>
        <w:t> </w:t>
      </w:r>
      <w:r>
        <w:rPr>
          <w:spacing w:val="-64"/>
        </w:rPr>
      </w:r>
      <w:r>
        <w:rPr/>
        <w:t>单独计票，并及时披露中小投资者的表决结果，确保全体股东特别是中小股东享有平等地位，充分行使股东权力。</w:t>
      </w:r>
    </w:p>
    <w:p>
      <w:pPr>
        <w:spacing w:line="240" w:lineRule="auto" w:before="4"/>
        <w:rPr>
          <w:rFonts w:ascii="宋体" w:hAnsi="宋体" w:cs="宋体" w:eastAsia="宋体" w:hint="default"/>
          <w:sz w:val="22"/>
          <w:szCs w:val="22"/>
        </w:rPr>
      </w:pPr>
    </w:p>
    <w:p>
      <w:pPr>
        <w:pStyle w:val="Heading3"/>
        <w:spacing w:line="240" w:lineRule="auto"/>
        <w:ind w:right="0"/>
        <w:jc w:val="both"/>
        <w:rPr>
          <w:b w:val="0"/>
          <w:bCs w:val="0"/>
        </w:rPr>
      </w:pPr>
      <w:r>
        <w:rPr>
          <w:rFonts w:ascii="宋体" w:hAnsi="宋体" w:cs="宋体" w:eastAsia="宋体" w:hint="default"/>
        </w:rPr>
        <w:t>2</w:t>
      </w:r>
      <w:r>
        <w:rPr/>
        <w:t>、关联交易</w:t>
      </w:r>
      <w:r>
        <w:rPr>
          <w:b w:val="0"/>
          <w:bCs w:val="0"/>
        </w:rPr>
      </w:r>
    </w:p>
    <w:p>
      <w:pPr>
        <w:spacing w:line="240" w:lineRule="auto" w:before="8"/>
        <w:rPr>
          <w:rFonts w:ascii="宋体" w:hAnsi="宋体" w:cs="宋体" w:eastAsia="宋体" w:hint="default"/>
          <w:b/>
          <w:bCs/>
          <w:sz w:val="27"/>
          <w:szCs w:val="27"/>
        </w:rPr>
      </w:pPr>
    </w:p>
    <w:p>
      <w:pPr>
        <w:pStyle w:val="BodyText"/>
        <w:spacing w:line="319" w:lineRule="auto"/>
        <w:ind w:right="1132" w:firstLine="360"/>
        <w:jc w:val="both"/>
      </w:pPr>
      <w:r>
        <w:rPr>
          <w:spacing w:val="-2"/>
        </w:rPr>
        <w:t>公司严格按照有关法律、法规、《公司章程》、公司《关联交易管理制度》、《关联交易管理细则》的规定审核、披露</w:t>
      </w:r>
      <w:r>
        <w:rPr/>
        <w:t> 公司各项关联交易事项，公司关联交易价格公允，不存在损害公司利益、中小股东利益及违规操作的情况。</w:t>
      </w:r>
    </w:p>
    <w:p>
      <w:pPr>
        <w:spacing w:line="240" w:lineRule="auto" w:before="4"/>
        <w:rPr>
          <w:rFonts w:ascii="宋体" w:hAnsi="宋体" w:cs="宋体" w:eastAsia="宋体" w:hint="default"/>
          <w:sz w:val="22"/>
          <w:szCs w:val="22"/>
        </w:rPr>
      </w:pPr>
    </w:p>
    <w:p>
      <w:pPr>
        <w:pStyle w:val="Heading3"/>
        <w:spacing w:line="240" w:lineRule="auto"/>
        <w:ind w:right="0"/>
        <w:jc w:val="both"/>
        <w:rPr>
          <w:b w:val="0"/>
          <w:bCs w:val="0"/>
        </w:rPr>
      </w:pPr>
      <w:r>
        <w:rPr>
          <w:rFonts w:ascii="宋体" w:hAnsi="宋体" w:cs="宋体" w:eastAsia="宋体" w:hint="default"/>
        </w:rPr>
        <w:t>3</w:t>
      </w:r>
      <w:r>
        <w:rPr/>
        <w:t>、董事与董事会</w:t>
      </w:r>
      <w:r>
        <w:rPr>
          <w:b w:val="0"/>
          <w:bCs w:val="0"/>
        </w:rPr>
      </w:r>
    </w:p>
    <w:p>
      <w:pPr>
        <w:spacing w:line="240" w:lineRule="auto" w:before="8"/>
        <w:rPr>
          <w:rFonts w:ascii="宋体" w:hAnsi="宋体" w:cs="宋体" w:eastAsia="宋体" w:hint="default"/>
          <w:b/>
          <w:bCs/>
          <w:sz w:val="27"/>
          <w:szCs w:val="27"/>
        </w:rPr>
      </w:pPr>
    </w:p>
    <w:p>
      <w:pPr>
        <w:pStyle w:val="BodyText"/>
        <w:spacing w:line="319" w:lineRule="auto"/>
        <w:ind w:right="1131" w:firstLine="360"/>
        <w:jc w:val="both"/>
      </w:pPr>
      <w:r>
        <w:rPr>
          <w:spacing w:val="-2"/>
        </w:rPr>
        <w:t>报告期末公司董事会有</w:t>
      </w:r>
      <w:r>
        <w:rPr>
          <w:rFonts w:ascii="宋体" w:hAnsi="宋体" w:cs="宋体" w:eastAsia="宋体" w:hint="default"/>
          <w:spacing w:val="-2"/>
        </w:rPr>
        <w:t>7</w:t>
      </w:r>
      <w:r>
        <w:rPr>
          <w:spacing w:val="-2"/>
        </w:rPr>
        <w:t>名董事，其中</w:t>
      </w:r>
      <w:r>
        <w:rPr>
          <w:rFonts w:ascii="宋体" w:hAnsi="宋体" w:cs="宋体" w:eastAsia="宋体" w:hint="default"/>
          <w:spacing w:val="-2"/>
        </w:rPr>
        <w:t>3</w:t>
      </w:r>
      <w:r>
        <w:rPr>
          <w:spacing w:val="-2"/>
        </w:rPr>
        <w:t>名独立董事，董事的选举程序、董事会的人数及人员构成符合法律、法规和《公</w:t>
      </w:r>
      <w:r>
        <w:rPr/>
        <w:t> </w:t>
      </w:r>
      <w:r>
        <w:rPr>
          <w:spacing w:val="-2"/>
        </w:rPr>
        <w:t>司章程》的要求。公司董事能够依据《深圳证券交易所创业板上市公司规范运作指引》、公司《董事会议事规则》、《独立</w:t>
      </w:r>
      <w:r>
        <w:rPr>
          <w:spacing w:val="-70"/>
        </w:rPr>
        <w:t> </w:t>
      </w:r>
      <w:r>
        <w:rPr>
          <w:spacing w:val="-70"/>
        </w:rPr>
      </w:r>
      <w:r>
        <w:rPr>
          <w:spacing w:val="-2"/>
        </w:rPr>
        <w:t>董事工作制度》等开展工作，出席董事会和股东大会，勤勉尽责地履行职责和义务，同时积极参加相关培训，熟悉相关法律</w:t>
      </w:r>
      <w:r>
        <w:rPr>
          <w:spacing w:val="-65"/>
        </w:rPr>
        <w:t> </w:t>
      </w:r>
      <w:r>
        <w:rPr>
          <w:spacing w:val="-65"/>
        </w:rPr>
      </w:r>
      <w:r>
        <w:rPr/>
        <w:t>法规。公司董事会的召集、召开符合法律、行政法规、部门规章、规范性文件和《公司章程》等制度的有关规定。</w:t>
      </w:r>
    </w:p>
    <w:p>
      <w:pPr>
        <w:spacing w:line="240" w:lineRule="auto" w:before="4"/>
        <w:rPr>
          <w:rFonts w:ascii="宋体" w:hAnsi="宋体" w:cs="宋体" w:eastAsia="宋体" w:hint="default"/>
          <w:sz w:val="22"/>
          <w:szCs w:val="22"/>
        </w:rPr>
      </w:pPr>
    </w:p>
    <w:p>
      <w:pPr>
        <w:pStyle w:val="Heading3"/>
        <w:spacing w:line="240" w:lineRule="auto"/>
        <w:ind w:right="0"/>
        <w:jc w:val="both"/>
        <w:rPr>
          <w:b w:val="0"/>
          <w:bCs w:val="0"/>
        </w:rPr>
      </w:pPr>
      <w:r>
        <w:rPr>
          <w:rFonts w:ascii="宋体" w:hAnsi="宋体" w:cs="宋体" w:eastAsia="宋体" w:hint="default"/>
        </w:rPr>
        <w:t>4</w:t>
      </w:r>
      <w:r>
        <w:rPr/>
        <w:t>、监事与监事会</w:t>
      </w:r>
      <w:r>
        <w:rPr>
          <w:b w:val="0"/>
          <w:bCs w:val="0"/>
        </w:rPr>
      </w:r>
    </w:p>
    <w:p>
      <w:pPr>
        <w:spacing w:line="240" w:lineRule="auto" w:before="8"/>
        <w:rPr>
          <w:rFonts w:ascii="宋体" w:hAnsi="宋体" w:cs="宋体" w:eastAsia="宋体" w:hint="default"/>
          <w:b/>
          <w:bCs/>
          <w:sz w:val="27"/>
          <w:szCs w:val="27"/>
        </w:rPr>
      </w:pPr>
    </w:p>
    <w:p>
      <w:pPr>
        <w:pStyle w:val="BodyText"/>
        <w:spacing w:line="319" w:lineRule="auto"/>
        <w:ind w:right="1033" w:firstLine="360"/>
        <w:jc w:val="left"/>
      </w:pPr>
      <w:r>
        <w:rPr>
          <w:spacing w:val="-2"/>
        </w:rPr>
        <w:t>公司监事会有</w:t>
      </w:r>
      <w:r>
        <w:rPr>
          <w:rFonts w:ascii="宋体" w:hAnsi="宋体" w:cs="宋体" w:eastAsia="宋体" w:hint="default"/>
          <w:spacing w:val="-2"/>
        </w:rPr>
        <w:t>3</w:t>
      </w:r>
      <w:r>
        <w:rPr>
          <w:spacing w:val="-2"/>
        </w:rPr>
        <w:t>名监事，其中</w:t>
      </w:r>
      <w:r>
        <w:rPr>
          <w:rFonts w:ascii="宋体" w:hAnsi="宋体" w:cs="宋体" w:eastAsia="宋体" w:hint="default"/>
          <w:spacing w:val="-2"/>
        </w:rPr>
        <w:t>1</w:t>
      </w:r>
      <w:r>
        <w:rPr>
          <w:spacing w:val="-2"/>
        </w:rPr>
        <w:t>名职工代表监事，监事的选举程序、监事会的人数及人员构成符合法律、法规和《公司章</w:t>
      </w:r>
      <w:r>
        <w:rPr/>
        <w:t> </w:t>
      </w:r>
      <w:r>
        <w:rPr>
          <w:spacing w:val="-2"/>
        </w:rPr>
        <w:t>程》的要求。公司监事能够按照公司《监事会议事规则》的要求，认真履行自己的职责，对公司重大事项、关联交易、财务</w:t>
      </w:r>
      <w:r>
        <w:rPr>
          <w:spacing w:val="-67"/>
        </w:rPr>
        <w:t> </w:t>
      </w:r>
      <w:r>
        <w:rPr>
          <w:spacing w:val="-67"/>
        </w:rPr>
      </w:r>
      <w:r>
        <w:rPr/>
        <w:t>状况以及董事、高级管理人员履行职责的合法合规性进行监督。公司监事会的召集、召开符合法律、行政法规、部门规章、</w:t>
      </w:r>
      <w:r>
        <w:rPr>
          <w:spacing w:val="-85"/>
        </w:rPr>
        <w:t> </w:t>
      </w:r>
      <w:r>
        <w:rPr>
          <w:spacing w:val="-85"/>
        </w:rPr>
      </w:r>
      <w:r>
        <w:rPr/>
        <w:t>规范性文件和《公司章程》等制度的有关规定。</w:t>
      </w:r>
    </w:p>
    <w:p>
      <w:pPr>
        <w:spacing w:line="240" w:lineRule="auto" w:before="4"/>
        <w:rPr>
          <w:rFonts w:ascii="宋体" w:hAnsi="宋体" w:cs="宋体" w:eastAsia="宋体" w:hint="default"/>
          <w:sz w:val="22"/>
          <w:szCs w:val="22"/>
        </w:rPr>
      </w:pPr>
    </w:p>
    <w:p>
      <w:pPr>
        <w:pStyle w:val="Heading3"/>
        <w:spacing w:line="240" w:lineRule="auto"/>
        <w:ind w:right="0"/>
        <w:jc w:val="both"/>
        <w:rPr>
          <w:b w:val="0"/>
          <w:bCs w:val="0"/>
        </w:rPr>
      </w:pPr>
      <w:r>
        <w:rPr>
          <w:rFonts w:ascii="宋体" w:hAnsi="宋体" w:cs="宋体" w:eastAsia="宋体" w:hint="default"/>
        </w:rPr>
        <w:t>5</w:t>
      </w:r>
      <w:r>
        <w:rPr/>
        <w:t>、绩效评价与激励约束机制</w:t>
      </w:r>
      <w:r>
        <w:rPr>
          <w:b w:val="0"/>
          <w:bCs w:val="0"/>
        </w:rPr>
      </w:r>
    </w:p>
    <w:p>
      <w:pPr>
        <w:spacing w:line="240" w:lineRule="auto" w:before="9"/>
        <w:rPr>
          <w:rFonts w:ascii="宋体" w:hAnsi="宋体" w:cs="宋体" w:eastAsia="宋体" w:hint="default"/>
          <w:b/>
          <w:bCs/>
          <w:sz w:val="27"/>
          <w:szCs w:val="27"/>
        </w:rPr>
      </w:pPr>
    </w:p>
    <w:p>
      <w:pPr>
        <w:pStyle w:val="BodyText"/>
        <w:spacing w:line="319" w:lineRule="auto"/>
        <w:ind w:right="1133" w:firstLine="360"/>
        <w:jc w:val="both"/>
      </w:pPr>
      <w:r>
        <w:rPr>
          <w:spacing w:val="-2"/>
        </w:rPr>
        <w:t>公司董事的薪酬由股东大会决定，高级管理人员的薪酬由董事会决定。公司经营层的薪酬与公司经营业绩、根据公司经</w:t>
      </w:r>
      <w:r>
        <w:rPr/>
        <w:t> 营目标制定的关键管理工作相关指标挂钩。</w:t>
      </w:r>
    </w:p>
    <w:p>
      <w:pPr>
        <w:spacing w:line="240" w:lineRule="auto" w:before="4"/>
        <w:rPr>
          <w:rFonts w:ascii="宋体" w:hAnsi="宋体" w:cs="宋体" w:eastAsia="宋体" w:hint="default"/>
          <w:sz w:val="22"/>
          <w:szCs w:val="22"/>
        </w:rPr>
      </w:pPr>
    </w:p>
    <w:p>
      <w:pPr>
        <w:pStyle w:val="Heading3"/>
        <w:spacing w:line="240" w:lineRule="auto"/>
        <w:ind w:right="0"/>
        <w:jc w:val="both"/>
        <w:rPr>
          <w:b w:val="0"/>
          <w:bCs w:val="0"/>
        </w:rPr>
      </w:pPr>
      <w:r>
        <w:rPr>
          <w:rFonts w:ascii="宋体" w:hAnsi="宋体" w:cs="宋体" w:eastAsia="宋体" w:hint="default"/>
        </w:rPr>
        <w:t>6</w:t>
      </w:r>
      <w:r>
        <w:rPr/>
        <w:t>、信息披露与透明度</w:t>
      </w:r>
      <w:r>
        <w:rPr>
          <w:b w:val="0"/>
          <w:bCs w:val="0"/>
        </w:rPr>
      </w:r>
    </w:p>
    <w:p>
      <w:pPr>
        <w:spacing w:after="0" w:line="240" w:lineRule="auto"/>
        <w:jc w:val="both"/>
        <w:sectPr>
          <w:pgSz w:w="11910" w:h="16840"/>
          <w:pgMar w:header="877" w:footer="1187" w:top="1100" w:bottom="1380" w:left="0" w:right="0"/>
        </w:sectPr>
      </w:pPr>
    </w:p>
    <w:p>
      <w:pPr>
        <w:spacing w:line="240" w:lineRule="auto" w:before="12"/>
        <w:rPr>
          <w:rFonts w:ascii="宋体" w:hAnsi="宋体" w:cs="宋体" w:eastAsia="宋体" w:hint="default"/>
          <w:b/>
          <w:bCs/>
          <w:sz w:val="21"/>
          <w:szCs w:val="21"/>
        </w:rPr>
      </w:pPr>
    </w:p>
    <w:p>
      <w:pPr>
        <w:pStyle w:val="BodyText"/>
        <w:spacing w:line="319" w:lineRule="auto" w:before="44"/>
        <w:ind w:right="1033" w:firstLine="360"/>
        <w:jc w:val="left"/>
      </w:pPr>
      <w:r>
        <w:rPr/>
        <w:t>公司严格按照有关法律、法规以及公司《信息披露事务管理制度》、《投资者关系管理制度》等的要求，真实、准确、 完整、及时、公平地披露有关信息；指定公司董事会秘书负责信息披露工作，协调公司与投资者的关系，接待投资者来访，</w:t>
      </w:r>
      <w:r>
        <w:rPr>
          <w:spacing w:val="-85"/>
        </w:rPr>
        <w:t> </w:t>
      </w:r>
      <w:r>
        <w:rPr>
          <w:spacing w:val="-85"/>
        </w:rPr>
      </w:r>
      <w:r>
        <w:rPr>
          <w:spacing w:val="-3"/>
        </w:rPr>
        <w:t>回答投资者咨询；指定《中国证券报》、《证券时报》《上海证券报》、《证券日报》和巨潮资讯网（</w:t>
      </w:r>
      <w:hyperlink r:id="rId14">
        <w:r>
          <w:rPr>
            <w:rFonts w:ascii="宋体" w:hAnsi="宋体" w:cs="宋体" w:eastAsia="宋体" w:hint="default"/>
            <w:spacing w:val="-3"/>
          </w:rPr>
          <w:t>www.cninfo.com.cn</w:t>
        </w:r>
      </w:hyperlink>
      <w:r>
        <w:rPr>
          <w:spacing w:val="-3"/>
        </w:rPr>
        <w:t>）</w:t>
      </w:r>
      <w:r>
        <w:rPr>
          <w:spacing w:val="-77"/>
        </w:rPr>
        <w:t> </w:t>
      </w:r>
      <w:r>
        <w:rPr/>
        <w:t>为公司信息披露报纸和网站，确保公司所有股东能够以平等的机会获得信息。</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rFonts w:ascii="宋体" w:hAnsi="宋体" w:cs="宋体" w:eastAsia="宋体" w:hint="default"/>
        </w:rPr>
        <w:t>7</w:t>
      </w:r>
      <w:r>
        <w:rPr/>
        <w:t>、利益相关者</w:t>
      </w:r>
      <w:r>
        <w:rPr>
          <w:b w:val="0"/>
          <w:bCs w:val="0"/>
        </w:rPr>
      </w:r>
    </w:p>
    <w:p>
      <w:pPr>
        <w:spacing w:line="240" w:lineRule="auto" w:before="11"/>
        <w:rPr>
          <w:rFonts w:ascii="宋体" w:hAnsi="宋体" w:cs="宋体" w:eastAsia="宋体" w:hint="default"/>
          <w:b/>
          <w:bCs/>
          <w:sz w:val="27"/>
          <w:szCs w:val="27"/>
        </w:rPr>
      </w:pPr>
    </w:p>
    <w:p>
      <w:pPr>
        <w:pStyle w:val="BodyText"/>
        <w:spacing w:line="439" w:lineRule="auto"/>
        <w:ind w:right="3553" w:firstLine="360"/>
        <w:jc w:val="left"/>
      </w:pPr>
      <w:r>
        <w:rPr/>
        <w:t>公司尊重和维护利益相关者的合法权利，协调平衡股东、员工、社会等各方利益。 公司治理的实际状况与中国证监会发布的有关上市公司治理的规范性文件是否存在重大差异</w:t>
      </w:r>
    </w:p>
    <w:p>
      <w:pPr>
        <w:pStyle w:val="BodyText"/>
        <w:spacing w:line="203" w:lineRule="exact"/>
        <w:ind w:right="0"/>
        <w:jc w:val="left"/>
      </w:pPr>
      <w:r>
        <w:rPr/>
        <w:t>□ 是 √ 否</w:t>
      </w:r>
    </w:p>
    <w:p>
      <w:pPr>
        <w:pStyle w:val="BodyText"/>
        <w:spacing w:line="240" w:lineRule="auto" w:before="117"/>
        <w:ind w:left="1493" w:right="0"/>
        <w:jc w:val="left"/>
      </w:pPr>
      <w:r>
        <w:rPr/>
        <w:t>公司治理的实际状况与中国证监会发布的有关上市公司治理的规范性文件不存在重大差异。</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二、公司相对于控股股东在业务、人员、资产、机构、财务等方面的独立情况" w:id="132"/>
      <w:bookmarkEnd w:id="132"/>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2"/>
        </w:rPr>
        <w:t>公司的重大决策由股东大会和董事会依法作出。公司控股股东严格规范其行为，未直接或间接干预公司的决策及依法开</w:t>
      </w:r>
      <w:r>
        <w:rPr/>
        <w:t> 展的生产经营活动。公司拥有自主经营能力，在业务、人员、资产、机构、财务上独立于控股股东。</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三、同业竞争情况" w:id="133"/>
      <w:bookmarkEnd w:id="133"/>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left="1134" w:right="0"/>
        <w:jc w:val="left"/>
        <w:rPr>
          <w:b w:val="0"/>
          <w:bCs w:val="0"/>
        </w:rPr>
      </w:pPr>
      <w:bookmarkStart w:name="四、报告期内召开的年度股东大会和临时股东大会的有关情况" w:id="134"/>
      <w:bookmarkEnd w:id="134"/>
      <w:r>
        <w:rPr>
          <w:b w:val="0"/>
          <w:bCs w:val="0"/>
        </w:rPr>
      </w:r>
      <w:r>
        <w:rPr/>
        <w:t>四、报告期内召开的年度股东大会和临时股东大会的有关情况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本报告期股东大会情况" w:id="135"/>
      <w:bookmarkEnd w:id="135"/>
      <w:r>
        <w:rPr>
          <w:b w:val="0"/>
          <w:bCs w:val="0"/>
        </w:rPr>
      </w:r>
      <w:r>
        <w:rPr>
          <w:rFonts w:ascii="宋体" w:hAnsi="宋体" w:cs="宋体" w:eastAsia="宋体" w:hint="default"/>
        </w:rPr>
        <w:t>1</w:t>
      </w:r>
      <w:r>
        <w:rPr/>
        <w:t>、本报告期股东大会情况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129" w:type="dxa"/>
        <w:tblLayout w:type="fixed"/>
        <w:tblCellMar>
          <w:top w:w="0" w:type="dxa"/>
          <w:left w:w="0" w:type="dxa"/>
          <w:bottom w:w="0" w:type="dxa"/>
          <w:right w:w="0" w:type="dxa"/>
        </w:tblCellMar>
        <w:tblLook w:val="01E0"/>
      </w:tblPr>
      <w:tblGrid>
        <w:gridCol w:w="1419"/>
        <w:gridCol w:w="1276"/>
        <w:gridCol w:w="992"/>
        <w:gridCol w:w="1701"/>
        <w:gridCol w:w="1844"/>
        <w:gridCol w:w="2336"/>
      </w:tblGrid>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10" w:right="41" w:hanging="270"/>
              <w:jc w:val="left"/>
              <w:rPr>
                <w:rFonts w:ascii="宋体" w:hAnsi="宋体" w:cs="宋体" w:eastAsia="宋体" w:hint="default"/>
                <w:sz w:val="18"/>
                <w:szCs w:val="18"/>
              </w:rPr>
            </w:pPr>
            <w:r>
              <w:rPr>
                <w:rFonts w:ascii="宋体" w:hAnsi="宋体" w:cs="宋体" w:eastAsia="宋体" w:hint="default"/>
                <w:sz w:val="18"/>
                <w:szCs w:val="18"/>
              </w:rPr>
              <w:t>投资者参与 比例</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22" w:right="81"/>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年年度股东 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0.0102%</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巨潮资讯网 </w:t>
            </w:r>
            <w:hyperlink r:id="rId14">
              <w:r>
                <w:rPr>
                  <w:rFonts w:ascii="宋体" w:hAnsi="宋体" w:cs="宋体" w:eastAsia="宋体" w:hint="default"/>
                  <w:sz w:val="18"/>
                  <w:szCs w:val="18"/>
                </w:rPr>
                <w:t>www.cninfo.com.cn</w:t>
              </w:r>
            </w:hyperlink>
            <w:r>
              <w:rPr>
                <w:rFonts w:ascii="宋体" w:hAnsi="宋体" w:cs="宋体" w:eastAsia="宋体" w:hint="default"/>
                <w:sz w:val="18"/>
                <w:szCs w:val="18"/>
              </w:rPr>
              <w:t>《</w:t>
            </w:r>
            <w:r>
              <w:rPr>
                <w:rFonts w:ascii="宋体" w:hAnsi="宋体" w:cs="宋体" w:eastAsia="宋体" w:hint="default"/>
                <w:sz w:val="18"/>
                <w:szCs w:val="18"/>
              </w:rPr>
              <w:t>2014</w:t>
            </w:r>
            <w:r>
              <w:rPr>
                <w:rFonts w:ascii="宋体" w:hAnsi="宋体" w:cs="宋体" w:eastAsia="宋体" w:hint="default"/>
                <w:spacing w:val="-58"/>
                <w:sz w:val="18"/>
                <w:szCs w:val="18"/>
              </w:rPr>
              <w:t> </w:t>
            </w:r>
            <w:r>
              <w:rPr>
                <w:rFonts w:ascii="宋体" w:hAnsi="宋体" w:cs="宋体" w:eastAsia="宋体" w:hint="default"/>
                <w:sz w:val="18"/>
                <w:szCs w:val="18"/>
              </w:rPr>
              <w:t>年 </w:t>
            </w:r>
            <w:r>
              <w:rPr>
                <w:rFonts w:ascii="宋体" w:hAnsi="宋体" w:cs="宋体" w:eastAsia="宋体" w:hint="default"/>
                <w:spacing w:val="-7"/>
                <w:sz w:val="18"/>
                <w:szCs w:val="18"/>
              </w:rPr>
              <w:t>年度股东大会决议公告》（公</w:t>
            </w:r>
            <w:r>
              <w:rPr>
                <w:rFonts w:ascii="宋体" w:hAnsi="宋体" w:cs="宋体" w:eastAsia="宋体" w:hint="default"/>
                <w:sz w:val="18"/>
                <w:szCs w:val="18"/>
              </w:rPr>
              <w:t> 告编号：</w:t>
            </w:r>
            <w:r>
              <w:rPr>
                <w:rFonts w:ascii="宋体" w:hAnsi="宋体" w:cs="宋体" w:eastAsia="宋体" w:hint="default"/>
                <w:sz w:val="18"/>
                <w:szCs w:val="18"/>
              </w:rPr>
              <w:t>2015-023</w:t>
            </w:r>
            <w:r>
              <w:rPr>
                <w:rFonts w:ascii="宋体" w:hAnsi="宋体" w:cs="宋体" w:eastAsia="宋体" w:hint="default"/>
                <w:sz w:val="18"/>
                <w:szCs w:val="18"/>
              </w:rPr>
              <w:t>）</w:t>
            </w:r>
          </w:p>
        </w:tc>
      </w:tr>
      <w:tr>
        <w:trPr>
          <w:trHeight w:val="133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22" w:right="81"/>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年第一次临 时股东大会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0.0075%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巨潮资讯网 </w:t>
            </w:r>
            <w:hyperlink r:id="rId14">
              <w:r>
                <w:rPr>
                  <w:rFonts w:ascii="宋体" w:hAnsi="宋体" w:cs="宋体" w:eastAsia="宋体" w:hint="default"/>
                  <w:sz w:val="18"/>
                  <w:szCs w:val="18"/>
                </w:rPr>
                <w:t>www.cninfo.com.cn</w:t>
              </w:r>
            </w:hyperlink>
            <w:r>
              <w:rPr>
                <w:rFonts w:ascii="宋体" w:hAnsi="宋体" w:cs="宋体" w:eastAsia="宋体" w:hint="default"/>
                <w:sz w:val="18"/>
                <w:szCs w:val="18"/>
              </w:rPr>
              <w:t>《</w:t>
            </w:r>
            <w:r>
              <w:rPr>
                <w:rFonts w:ascii="宋体" w:hAnsi="宋体" w:cs="宋体" w:eastAsia="宋体" w:hint="default"/>
                <w:sz w:val="18"/>
                <w:szCs w:val="18"/>
              </w:rPr>
              <w:t>2015</w:t>
            </w:r>
            <w:r>
              <w:rPr>
                <w:rFonts w:ascii="宋体" w:hAnsi="宋体" w:cs="宋体" w:eastAsia="宋体" w:hint="default"/>
                <w:spacing w:val="-58"/>
                <w:sz w:val="18"/>
                <w:szCs w:val="18"/>
              </w:rPr>
              <w:t> </w:t>
            </w:r>
            <w:r>
              <w:rPr>
                <w:rFonts w:ascii="宋体" w:hAnsi="宋体" w:cs="宋体" w:eastAsia="宋体" w:hint="default"/>
                <w:sz w:val="18"/>
                <w:szCs w:val="18"/>
              </w:rPr>
              <w:t>年 第一次临时股东大会决议公 </w:t>
            </w:r>
            <w:r>
              <w:rPr>
                <w:rFonts w:ascii="宋体" w:hAnsi="宋体" w:cs="宋体" w:eastAsia="宋体" w:hint="default"/>
                <w:spacing w:val="-6"/>
                <w:sz w:val="18"/>
                <w:szCs w:val="18"/>
              </w:rPr>
              <w:t>告》（公告编号：</w:t>
            </w:r>
            <w:r>
              <w:rPr>
                <w:rFonts w:ascii="宋体" w:hAnsi="宋体" w:cs="宋体" w:eastAsia="宋体" w:hint="default"/>
                <w:spacing w:val="-6"/>
                <w:sz w:val="18"/>
                <w:szCs w:val="18"/>
              </w:rPr>
              <w:t>2015-061</w:t>
            </w:r>
            <w:r>
              <w:rPr>
                <w:rFonts w:ascii="宋体" w:hAnsi="宋体" w:cs="宋体" w:eastAsia="宋体" w:hint="default"/>
                <w:spacing w:val="-6"/>
                <w:sz w:val="18"/>
                <w:szCs w:val="18"/>
              </w:rPr>
              <w:t>）</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2、表决权恢复的优先股股东请求召开临时股东大会" w:id="136"/>
      <w:bookmarkEnd w:id="136"/>
      <w:r>
        <w:rPr>
          <w:b w:val="0"/>
          <w:bCs w:val="0"/>
        </w:rPr>
      </w:r>
      <w:r>
        <w:rPr>
          <w:rFonts w:ascii="宋体" w:hAnsi="宋体" w:cs="宋体" w:eastAsia="宋体" w:hint="default"/>
        </w:rPr>
        <w:t>2</w:t>
      </w:r>
      <w:r>
        <w:rPr/>
        <w:t>、表决权恢复的优先股股东请求召开临时股东大会</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1134" w:right="0"/>
        <w:jc w:val="left"/>
      </w:pPr>
      <w:r>
        <w:rPr/>
        <w:t>□ 适用 √ 不适用</w:t>
      </w:r>
    </w:p>
    <w:p>
      <w:pPr>
        <w:spacing w:after="0" w:line="240" w:lineRule="auto"/>
        <w:jc w:val="left"/>
        <w:sectPr>
          <w:pgSz w:w="11910" w:h="16840"/>
          <w:pgMar w:header="877" w:footer="1187" w:top="1100" w:bottom="1380" w:left="0" w:right="0"/>
        </w:sectPr>
      </w:pPr>
    </w:p>
    <w:p>
      <w:pPr>
        <w:spacing w:line="240" w:lineRule="auto" w:before="8"/>
        <w:rPr>
          <w:rFonts w:ascii="宋体" w:hAnsi="宋体" w:cs="宋体" w:eastAsia="宋体" w:hint="default"/>
          <w:sz w:val="19"/>
          <w:szCs w:val="19"/>
        </w:rPr>
      </w:pPr>
    </w:p>
    <w:p>
      <w:pPr>
        <w:pStyle w:val="Heading2"/>
        <w:spacing w:line="240" w:lineRule="auto" w:before="26"/>
        <w:ind w:right="0"/>
        <w:jc w:val="left"/>
        <w:rPr>
          <w:b w:val="0"/>
          <w:bCs w:val="0"/>
        </w:rPr>
      </w:pPr>
      <w:bookmarkStart w:name="五、报告期内独立董事履行职责的情况" w:id="137"/>
      <w:bookmarkEnd w:id="137"/>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独立董事出席董事会及股东大会的情况" w:id="138"/>
      <w:bookmarkEnd w:id="138"/>
      <w:r>
        <w:rPr>
          <w:b w:val="0"/>
          <w:bCs w:val="0"/>
        </w:rPr>
      </w:r>
      <w:r>
        <w:rPr>
          <w:rFonts w:ascii="宋体" w:hAnsi="宋体" w:cs="宋体" w:eastAsia="宋体" w:hint="default"/>
        </w:rPr>
        <w:t>1</w:t>
      </w:r>
      <w:r>
        <w:rPr/>
        <w:t>、独立董事出席董事会及股东大会的情况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12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田祖海</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11" w:right="0"/>
              <w:jc w:val="left"/>
              <w:rPr>
                <w:rFonts w:ascii="宋体" w:hAnsi="宋体" w:cs="宋体" w:eastAsia="宋体" w:hint="default"/>
                <w:sz w:val="18"/>
                <w:szCs w:val="18"/>
              </w:rPr>
            </w:pPr>
            <w:r>
              <w:rPr>
                <w:rFonts w:ascii="宋体"/>
                <w:sz w:val="18"/>
              </w:rPr>
              <w:t>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余明桂</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11" w:right="0"/>
              <w:jc w:val="left"/>
              <w:rPr>
                <w:rFonts w:ascii="宋体" w:hAnsi="宋体" w:cs="宋体" w:eastAsia="宋体" w:hint="default"/>
                <w:sz w:val="18"/>
                <w:szCs w:val="18"/>
              </w:rPr>
            </w:pPr>
            <w:r>
              <w:rPr>
                <w:rFonts w:ascii="宋体"/>
                <w:sz w:val="18"/>
              </w:rPr>
              <w:t>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胡华夏</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11" w:right="0"/>
              <w:jc w:val="left"/>
              <w:rPr>
                <w:rFonts w:ascii="宋体" w:hAnsi="宋体" w:cs="宋体" w:eastAsia="宋体" w:hint="default"/>
                <w:sz w:val="18"/>
                <w:szCs w:val="18"/>
              </w:rPr>
            </w:pPr>
            <w:r>
              <w:rPr>
                <w:rFonts w:ascii="宋体"/>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彭海朝</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11" w:right="0"/>
              <w:jc w:val="left"/>
              <w:rPr>
                <w:rFonts w:ascii="宋体" w:hAnsi="宋体" w:cs="宋体" w:eastAsia="宋体" w:hint="default"/>
                <w:sz w:val="18"/>
                <w:szCs w:val="18"/>
              </w:rPr>
            </w:pPr>
            <w:r>
              <w:rPr>
                <w:rFonts w:ascii="宋体"/>
                <w:sz w:val="18"/>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8"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2</w:t>
            </w:r>
          </w:p>
        </w:tc>
      </w:tr>
    </w:tbl>
    <w:p>
      <w:pPr>
        <w:spacing w:line="240" w:lineRule="auto" w:before="9"/>
        <w:rPr>
          <w:rFonts w:ascii="宋体" w:hAnsi="宋体" w:cs="宋体" w:eastAsia="宋体" w:hint="default"/>
          <w:b/>
          <w:bCs/>
          <w:sz w:val="6"/>
          <w:szCs w:val="6"/>
        </w:rPr>
      </w:pPr>
    </w:p>
    <w:p>
      <w:pPr>
        <w:pStyle w:val="BodyText"/>
        <w:spacing w:line="360" w:lineRule="auto" w:before="44"/>
        <w:ind w:left="1494" w:right="5892" w:hanging="360"/>
        <w:jc w:val="left"/>
      </w:pPr>
      <w:r>
        <w:rPr/>
        <w:t>连续两次未亲自出席董事会的说明 公司独立董事不存在连续两次未亲自出席董事会的情况。</w:t>
      </w:r>
    </w:p>
    <w:p>
      <w:pPr>
        <w:spacing w:line="240" w:lineRule="auto" w:before="11"/>
        <w:rPr>
          <w:rFonts w:ascii="宋体" w:hAnsi="宋体" w:cs="宋体" w:eastAsia="宋体" w:hint="default"/>
          <w:sz w:val="19"/>
          <w:szCs w:val="19"/>
        </w:rPr>
      </w:pPr>
    </w:p>
    <w:p>
      <w:pPr>
        <w:pStyle w:val="Heading3"/>
        <w:spacing w:line="240" w:lineRule="auto"/>
        <w:ind w:left="1134" w:right="0"/>
        <w:jc w:val="both"/>
        <w:rPr>
          <w:b w:val="0"/>
          <w:bCs w:val="0"/>
        </w:rPr>
      </w:pPr>
      <w:bookmarkStart w:name="2、独立董事对公司有关事项提出异议的情况" w:id="139"/>
      <w:bookmarkEnd w:id="139"/>
      <w:r>
        <w:rPr>
          <w:b w:val="0"/>
          <w:bCs w:val="0"/>
        </w:rPr>
      </w:r>
      <w:r>
        <w:rPr>
          <w:rFonts w:ascii="宋体" w:hAnsi="宋体" w:cs="宋体" w:eastAsia="宋体" w:hint="default"/>
        </w:rPr>
        <w:t>2</w:t>
      </w:r>
      <w:r>
        <w:rPr/>
        <w:t>、独立董事对公司有关事项提出异议的情况</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1134" w:right="0"/>
        <w:jc w:val="both"/>
      </w:pPr>
      <w:r>
        <w:rPr/>
        <w:t>独立董事对公司有关事项是否提出异议</w:t>
      </w:r>
    </w:p>
    <w:p>
      <w:pPr>
        <w:pStyle w:val="BodyText"/>
        <w:spacing w:line="240" w:lineRule="auto" w:before="116"/>
        <w:ind w:left="1134" w:right="0"/>
        <w:jc w:val="both"/>
      </w:pPr>
      <w:r>
        <w:rPr/>
        <w:t>□ 是 √ 否</w:t>
      </w:r>
    </w:p>
    <w:p>
      <w:pPr>
        <w:pStyle w:val="BodyText"/>
        <w:spacing w:line="240" w:lineRule="auto" w:before="117"/>
        <w:ind w:left="1493" w:right="0"/>
        <w:jc w:val="left"/>
      </w:pPr>
      <w:r>
        <w:rPr/>
        <w:t>报告期内独立董事对公司有关事项未提出异议。</w:t>
      </w:r>
    </w:p>
    <w:p>
      <w:pPr>
        <w:spacing w:line="240" w:lineRule="auto" w:before="10"/>
        <w:rPr>
          <w:rFonts w:ascii="宋体" w:hAnsi="宋体" w:cs="宋体" w:eastAsia="宋体" w:hint="default"/>
          <w:sz w:val="26"/>
          <w:szCs w:val="26"/>
        </w:rPr>
      </w:pPr>
    </w:p>
    <w:p>
      <w:pPr>
        <w:pStyle w:val="Heading3"/>
        <w:spacing w:line="240" w:lineRule="auto"/>
        <w:ind w:left="1134" w:right="0"/>
        <w:jc w:val="both"/>
        <w:rPr>
          <w:b w:val="0"/>
          <w:bCs w:val="0"/>
        </w:rPr>
      </w:pPr>
      <w:bookmarkStart w:name="3、独立董事履行职责的其他说明" w:id="140"/>
      <w:bookmarkEnd w:id="140"/>
      <w:r>
        <w:rPr>
          <w:b w:val="0"/>
          <w:bCs w:val="0"/>
        </w:rPr>
      </w:r>
      <w:r>
        <w:rPr>
          <w:rFonts w:ascii="宋体" w:hAnsi="宋体" w:cs="宋体" w:eastAsia="宋体" w:hint="default"/>
        </w:rPr>
        <w:t>3</w:t>
      </w:r>
      <w:r>
        <w:rPr/>
        <w:t>、独立董事履行职责的其他说明</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1134" w:right="0"/>
        <w:jc w:val="both"/>
      </w:pPr>
      <w:r>
        <w:rPr/>
        <w:t>独立董事对公司有关建议是否被采纳</w:t>
      </w:r>
    </w:p>
    <w:p>
      <w:pPr>
        <w:pStyle w:val="BodyText"/>
        <w:spacing w:line="439" w:lineRule="auto" w:before="116"/>
        <w:ind w:right="6793"/>
        <w:jc w:val="left"/>
      </w:pPr>
      <w:r>
        <w:rPr/>
        <w:t>√ 是 □ 否 独立董事对公司有关建议被采纳或未被采纳的说明</w:t>
      </w:r>
    </w:p>
    <w:p>
      <w:pPr>
        <w:pStyle w:val="BodyText"/>
        <w:spacing w:line="202" w:lineRule="exact"/>
        <w:ind w:right="0" w:firstLine="360"/>
        <w:jc w:val="both"/>
      </w:pPr>
      <w:r>
        <w:rPr/>
        <w:t>公司独立董事严格按照中国证监会和深圳证券交易所的有关规定及《公司章程》、《董事会议事规则》、《独立董事工</w:t>
      </w:r>
    </w:p>
    <w:p>
      <w:pPr>
        <w:pStyle w:val="BodyText"/>
        <w:spacing w:line="316" w:lineRule="auto" w:before="76"/>
        <w:ind w:right="1131"/>
        <w:jc w:val="both"/>
      </w:pPr>
      <w:r>
        <w:rPr>
          <w:spacing w:val="-2"/>
        </w:rPr>
        <w:t>作制度》履行职责，对报告期内公司年度利润分配预案、续聘年度审计机构、年度内部控制评价报告、年度和半年度募集资</w:t>
      </w:r>
      <w:r>
        <w:rPr>
          <w:spacing w:val="-66"/>
        </w:rPr>
        <w:t> </w:t>
      </w:r>
      <w:r>
        <w:rPr>
          <w:spacing w:val="-66"/>
        </w:rPr>
      </w:r>
      <w:r>
        <w:rPr>
          <w:spacing w:val="-5"/>
        </w:rPr>
        <w:t>金存放与使用情况、超募资金使用、关联交易、非公开发行股票、提名独立董事、聘任高级管理人员等事项发表了独立意见；</w:t>
      </w:r>
      <w:r>
        <w:rPr>
          <w:spacing w:val="-79"/>
        </w:rPr>
        <w:t> </w:t>
      </w:r>
      <w:r>
        <w:rPr>
          <w:spacing w:val="-79"/>
        </w:rPr>
      </w:r>
      <w:r>
        <w:rPr>
          <w:spacing w:val="-2"/>
        </w:rPr>
        <w:t>同时密切关注公司经营情况，结合自身专业特长在公司业务发展、财务管理、资本运作等方面提出了专业性建议，为完善公</w:t>
      </w:r>
      <w:r>
        <w:rPr>
          <w:spacing w:val="-66"/>
        </w:rPr>
        <w:t> </w:t>
      </w:r>
      <w:r>
        <w:rPr>
          <w:spacing w:val="-66"/>
        </w:rPr>
      </w:r>
      <w:r>
        <w:rPr/>
        <w:t>司监督机制，维护公司和全体股东的合法权益发挥了重要的作用。</w:t>
      </w:r>
    </w:p>
    <w:p>
      <w:pPr>
        <w:spacing w:line="240" w:lineRule="auto" w:before="10"/>
        <w:rPr>
          <w:rFonts w:ascii="宋体" w:hAnsi="宋体" w:cs="宋体" w:eastAsia="宋体" w:hint="default"/>
          <w:sz w:val="20"/>
          <w:szCs w:val="20"/>
        </w:rPr>
      </w:pPr>
    </w:p>
    <w:p>
      <w:pPr>
        <w:pStyle w:val="Heading2"/>
        <w:spacing w:line="240" w:lineRule="auto"/>
        <w:ind w:right="0"/>
        <w:jc w:val="both"/>
        <w:rPr>
          <w:b w:val="0"/>
          <w:bCs w:val="0"/>
        </w:rPr>
      </w:pPr>
      <w:bookmarkStart w:name="六、董事会下设专门委员会在报告期内履行职责情况" w:id="141"/>
      <w:bookmarkEnd w:id="141"/>
      <w:r>
        <w:rPr>
          <w:b w:val="0"/>
          <w:bCs w:val="0"/>
        </w:rPr>
      </w:r>
      <w:r>
        <w:rPr/>
        <w:t>六、董事会下设专门委员会在报告期内履行职责情况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rFonts w:ascii="宋体" w:hAnsi="宋体" w:cs="宋体" w:eastAsia="宋体" w:hint="default"/>
        </w:rPr>
        <w:t>1</w:t>
      </w:r>
      <w:r>
        <w:rPr/>
        <w:t>、审计委员会</w:t>
      </w:r>
      <w:r>
        <w:rPr>
          <w:b w:val="0"/>
          <w:bCs w:val="0"/>
        </w:rPr>
      </w:r>
    </w:p>
    <w:p>
      <w:pPr>
        <w:spacing w:line="240" w:lineRule="auto" w:before="9"/>
        <w:rPr>
          <w:rFonts w:ascii="宋体" w:hAnsi="宋体" w:cs="宋体" w:eastAsia="宋体" w:hint="default"/>
          <w:b/>
          <w:bCs/>
          <w:sz w:val="27"/>
          <w:szCs w:val="27"/>
        </w:rPr>
      </w:pPr>
    </w:p>
    <w:p>
      <w:pPr>
        <w:pStyle w:val="BodyText"/>
        <w:spacing w:line="319" w:lineRule="auto"/>
        <w:ind w:right="1131" w:firstLine="360"/>
        <w:jc w:val="both"/>
      </w:pPr>
      <w:r>
        <w:rPr>
          <w:spacing w:val="-2"/>
        </w:rPr>
        <w:t>报告期内，公司董事会下设审计委员会共召开四次会议，审议通过了公司关联交易情况报告、募集资金存放与使用情况</w:t>
      </w:r>
      <w:r>
        <w:rPr/>
        <w:t> </w:t>
      </w:r>
      <w:r>
        <w:rPr>
          <w:spacing w:val="-2"/>
        </w:rPr>
        <w:t>审核报告、内部控制评价报告、财务报告、续聘年度审计机构、内部审计工作报告及计划等事项。审计委员会在年报编制及</w:t>
      </w:r>
      <w:r>
        <w:rPr>
          <w:spacing w:val="-66"/>
        </w:rPr>
        <w:t> </w:t>
      </w:r>
      <w:r>
        <w:rPr>
          <w:spacing w:val="-66"/>
        </w:rPr>
      </w:r>
      <w:r>
        <w:rPr>
          <w:spacing w:val="-2"/>
        </w:rPr>
        <w:t>财务报表审计过程中，按照《审计委员会年度报告工作制度》的要求，认真听取经营层对公司生产经营情况及重大事项进展</w:t>
      </w:r>
      <w:r>
        <w:rPr>
          <w:spacing w:val="-66"/>
        </w:rPr>
        <w:t> </w:t>
      </w:r>
      <w:r>
        <w:rPr>
          <w:spacing w:val="-66"/>
        </w:rPr>
      </w:r>
      <w:r>
        <w:rPr/>
        <w:t>情况的汇报，并与年审注册会计师进行了审计事前、事中、事后沟通，督促年审会计师按时完成审计工作。</w:t>
      </w:r>
    </w:p>
    <w:p>
      <w:pPr>
        <w:spacing w:after="0" w:line="319" w:lineRule="auto"/>
        <w:jc w:val="both"/>
        <w:sectPr>
          <w:pgSz w:w="11910" w:h="16840"/>
          <w:pgMar w:header="877" w:footer="1187" w:top="1100" w:bottom="1380" w:left="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r>
        <w:rPr>
          <w:rFonts w:ascii="宋体" w:hAnsi="宋体" w:cs="宋体" w:eastAsia="宋体" w:hint="default"/>
        </w:rPr>
        <w:t>2</w:t>
      </w:r>
      <w:r>
        <w:rPr/>
        <w:t>、薪酬与考核委员会</w:t>
      </w:r>
      <w:r>
        <w:rPr>
          <w:b w:val="0"/>
          <w:bCs w:val="0"/>
        </w:rPr>
      </w:r>
    </w:p>
    <w:p>
      <w:pPr>
        <w:pStyle w:val="BodyText"/>
        <w:spacing w:line="430" w:lineRule="atLeast" w:before="169"/>
        <w:ind w:left="1493" w:right="1033"/>
        <w:jc w:val="left"/>
      </w:pPr>
      <w:r>
        <w:rPr/>
        <w:t>报告期内，公司董事会下设薪酬与考核委员会召开一次会议，审议通过了公司经营层薪酬考核方案并提交董事会审议。</w:t>
      </w:r>
      <w:r>
        <w:rPr>
          <w:spacing w:val="-85"/>
        </w:rPr>
        <w:t> </w:t>
      </w:r>
      <w:r>
        <w:rPr>
          <w:spacing w:val="-85"/>
        </w:rPr>
      </w:r>
      <w:r>
        <w:rPr>
          <w:spacing w:val="-2"/>
        </w:rPr>
        <w:t>注：为提高公司董事会决策效率，经</w:t>
      </w:r>
      <w:r>
        <w:rPr>
          <w:rFonts w:ascii="宋体" w:hAnsi="宋体" w:cs="宋体" w:eastAsia="宋体" w:hint="default"/>
          <w:spacing w:val="-2"/>
        </w:rPr>
        <w:t>2015</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8</w:t>
      </w:r>
      <w:r>
        <w:rPr>
          <w:spacing w:val="-2"/>
        </w:rPr>
        <w:t>日召开的第六届董事会第九次会议审议批准，公司撤销了董事会下设的</w:t>
      </w:r>
    </w:p>
    <w:p>
      <w:pPr>
        <w:pStyle w:val="BodyText"/>
        <w:spacing w:line="240" w:lineRule="auto" w:before="78"/>
        <w:ind w:left="1134" w:right="0"/>
        <w:jc w:val="left"/>
      </w:pPr>
      <w:r>
        <w:rPr/>
        <w:t>战略委员会、提名委员会、薪酬与考核委员会。</w:t>
      </w:r>
    </w:p>
    <w:p>
      <w:pPr>
        <w:spacing w:line="240" w:lineRule="auto" w:before="13"/>
        <w:rPr>
          <w:rFonts w:ascii="宋体" w:hAnsi="宋体" w:cs="宋体" w:eastAsia="宋体" w:hint="default"/>
          <w:sz w:val="24"/>
          <w:szCs w:val="24"/>
        </w:rPr>
      </w:pPr>
    </w:p>
    <w:p>
      <w:pPr>
        <w:pStyle w:val="Heading2"/>
        <w:spacing w:line="240" w:lineRule="auto"/>
        <w:ind w:left="1134" w:right="0"/>
        <w:jc w:val="left"/>
        <w:rPr>
          <w:b w:val="0"/>
          <w:bCs w:val="0"/>
        </w:rPr>
      </w:pPr>
      <w:bookmarkStart w:name="七、监事会工作情况" w:id="142"/>
      <w:bookmarkEnd w:id="142"/>
      <w:r>
        <w:rPr>
          <w:b w:val="0"/>
          <w:bCs w:val="0"/>
        </w:rPr>
      </w:r>
      <w:r>
        <w:rPr/>
        <w:t>七、监事会工作情况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t>监事会在报告期内的监督活动是否发现公司存在风险</w:t>
      </w:r>
    </w:p>
    <w:p>
      <w:pPr>
        <w:pStyle w:val="BodyText"/>
        <w:spacing w:line="240" w:lineRule="auto" w:before="116"/>
        <w:ind w:left="1134" w:right="0"/>
        <w:jc w:val="left"/>
      </w:pPr>
      <w:r>
        <w:rPr/>
        <w:t>□ 是 √ 否</w:t>
      </w:r>
    </w:p>
    <w:p>
      <w:pPr>
        <w:pStyle w:val="BodyText"/>
        <w:spacing w:line="240" w:lineRule="auto" w:before="117"/>
        <w:ind w:left="1493" w:right="0"/>
        <w:jc w:val="left"/>
      </w:pPr>
      <w:r>
        <w:rPr/>
        <w:t>公司监事会对报告期内的监督事项无异议。</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八、高级管理人员的考评及激励情况" w:id="143"/>
      <w:bookmarkEnd w:id="143"/>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360"/>
        <w:jc w:val="both"/>
      </w:pPr>
      <w:r>
        <w:rPr>
          <w:spacing w:val="-2"/>
        </w:rPr>
        <w:t>公司高级管理人员的薪酬由基本年薪、年功薪酬和年终业绩奖励组成。其中，基本年薪和年功薪酬主要与岗位、资历经</w:t>
      </w:r>
      <w:r>
        <w:rPr/>
        <w:t> </w:t>
      </w:r>
      <w:r>
        <w:rPr>
          <w:spacing w:val="-2"/>
        </w:rPr>
        <w:t>验挂钩，年终业绩奖励与公司经营业绩挂钩。公司根据年度经营目标完成情况以及高级管理人员的工作业绩对高级管理人员</w:t>
      </w:r>
      <w:r>
        <w:rPr>
          <w:spacing w:val="-64"/>
        </w:rPr>
        <w:t> </w:t>
      </w:r>
      <w:r>
        <w:rPr>
          <w:spacing w:val="-64"/>
        </w:rPr>
      </w:r>
      <w:r>
        <w:rPr/>
        <w:t>进行年度绩效考核并确定年度薪酬。</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九、内部控制评价报告" w:id="144"/>
      <w:bookmarkEnd w:id="144"/>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发现的内部控制重大缺陷的具体情况" w:id="145"/>
      <w:bookmarkEnd w:id="145"/>
      <w:r>
        <w:rPr>
          <w:b w:val="0"/>
          <w:bCs w:val="0"/>
        </w:rPr>
      </w:r>
      <w:r>
        <w:rPr>
          <w:rFonts w:ascii="宋体" w:hAnsi="宋体" w:cs="宋体" w:eastAsia="宋体" w:hint="default"/>
        </w:rPr>
        <w:t>1</w:t>
      </w:r>
      <w:r>
        <w:rPr/>
        <w:t>、报告期内发现的内部控制重大缺陷的具体情况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1134" w:right="0"/>
        <w:jc w:val="left"/>
      </w:pPr>
      <w:r>
        <w:rPr/>
        <w:t>□ 是 √ 否</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内控自我评价报告" w:id="146"/>
      <w:bookmarkEnd w:id="146"/>
      <w:r>
        <w:rPr>
          <w:b w:val="0"/>
          <w:bCs w:val="0"/>
        </w:rPr>
      </w:r>
      <w:r>
        <w:rPr>
          <w:rFonts w:ascii="宋体" w:hAnsi="宋体" w:cs="宋体" w:eastAsia="宋体" w:hint="default"/>
        </w:rPr>
        <w:t>2</w:t>
      </w:r>
      <w:r>
        <w:rPr/>
        <w:t>、内控自我评价报告</w:t>
      </w:r>
      <w:r>
        <w:rPr>
          <w:b w:val="0"/>
          <w:bCs w:val="0"/>
        </w:rPr>
      </w:r>
    </w:p>
    <w:p>
      <w:pPr>
        <w:spacing w:line="240" w:lineRule="auto" w:before="13"/>
        <w:rPr>
          <w:rFonts w:ascii="宋体" w:hAnsi="宋体" w:cs="宋体" w:eastAsia="宋体" w:hint="default"/>
          <w:b/>
          <w:bCs/>
          <w:sz w:val="26"/>
          <w:szCs w:val="26"/>
        </w:rPr>
      </w:pPr>
    </w:p>
    <w:tbl>
      <w:tblPr>
        <w:tblW w:w="0" w:type="auto"/>
        <w:jc w:val="left"/>
        <w:tblInd w:w="1129" w:type="dxa"/>
        <w:tblLayout w:type="fixed"/>
        <w:tblCellMar>
          <w:top w:w="0" w:type="dxa"/>
          <w:left w:w="0" w:type="dxa"/>
          <w:bottom w:w="0" w:type="dxa"/>
          <w:right w:w="0" w:type="dxa"/>
        </w:tblCellMar>
        <w:tblLook w:val="01E0"/>
      </w:tblPr>
      <w:tblGrid>
        <w:gridCol w:w="3970"/>
        <w:gridCol w:w="5598"/>
      </w:tblGrid>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6"/>
                <w:sz w:val="18"/>
                <w:szCs w:val="18"/>
              </w:rPr>
              <w:t> </w:t>
            </w:r>
            <w:hyperlink r:id="rId14">
              <w:r>
                <w:rPr>
                  <w:rFonts w:ascii="宋体" w:hAnsi="宋体" w:cs="宋体" w:eastAsia="宋体" w:hint="default"/>
                  <w:sz w:val="18"/>
                  <w:szCs w:val="18"/>
                </w:rPr>
                <w:t>www.cninfo.com.cn</w:t>
              </w:r>
            </w:hyperlink>
            <w:r>
              <w:rPr>
                <w:rFonts w:ascii="宋体" w:hAnsi="宋体" w:cs="宋体" w:eastAsia="宋体" w:hint="default"/>
                <w:sz w:val="18"/>
                <w:szCs w:val="18"/>
              </w:rPr>
              <w:t>《</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年度内部控制评价报告》</w:t>
            </w:r>
          </w:p>
        </w:tc>
      </w:tr>
      <w:tr>
        <w:trPr>
          <w:trHeight w:val="714"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7"/>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纳入评价范围单位资产总额占公司合并财务报表 资产总额的比例</w:t>
            </w: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100%</w:t>
            </w:r>
          </w:p>
        </w:tc>
      </w:tr>
      <w:tr>
        <w:trPr>
          <w:trHeight w:val="714"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7"/>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纳入评价范围单位营业收入占公司合并财务报表 营业收入的比例</w:t>
            </w: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100%</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w:t>
            </w:r>
          </w:p>
        </w:tc>
      </w:tr>
    </w:tbl>
    <w:p>
      <w:pPr>
        <w:spacing w:line="240" w:lineRule="auto" w:before="3"/>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缺陷认定标准" w:id="147"/>
      <w:bookmarkEnd w:id="147"/>
      <w:r>
        <w:rPr>
          <w:b w:val="0"/>
          <w:bCs w:val="0"/>
        </w:rPr>
      </w:r>
      <w:r>
        <w:rPr/>
        <w:t>缺陷认定标准</w:t>
      </w:r>
      <w:r>
        <w:rPr>
          <w:b w:val="0"/>
          <w:bCs w:val="0"/>
        </w:rPr>
      </w:r>
    </w:p>
    <w:p>
      <w:pPr>
        <w:pStyle w:val="Heading3"/>
        <w:spacing w:line="240" w:lineRule="auto" w:before="156"/>
        <w:ind w:left="1134" w:right="0"/>
        <w:jc w:val="left"/>
        <w:rPr>
          <w:b w:val="0"/>
          <w:bCs w:val="0"/>
        </w:rPr>
      </w:pPr>
      <w:bookmarkStart w:name="（1）财务报告内部控制缺陷认定标准" w:id="148"/>
      <w:bookmarkEnd w:id="148"/>
      <w:r>
        <w:rPr>
          <w:b w:val="0"/>
          <w:bCs w:val="0"/>
        </w:rPr>
      </w:r>
      <w:r>
        <w:rPr/>
        <w:t>（</w:t>
      </w:r>
      <w:r>
        <w:rPr>
          <w:rFonts w:ascii="宋体" w:hAnsi="宋体" w:cs="宋体" w:eastAsia="宋体" w:hint="default"/>
        </w:rPr>
        <w:t>1</w:t>
      </w:r>
      <w:r>
        <w:rPr/>
        <w:t>）财务报告内部控制缺陷认定标准</w:t>
      </w:r>
      <w:r>
        <w:rPr>
          <w:b w:val="0"/>
          <w:bCs w:val="0"/>
        </w:rPr>
      </w:r>
    </w:p>
    <w:p>
      <w:pPr>
        <w:spacing w:line="240" w:lineRule="auto" w:before="11"/>
        <w:rPr>
          <w:rFonts w:ascii="宋体" w:hAnsi="宋体" w:cs="宋体" w:eastAsia="宋体" w:hint="default"/>
          <w:b/>
          <w:bCs/>
          <w:sz w:val="19"/>
          <w:szCs w:val="19"/>
        </w:rPr>
      </w:pPr>
    </w:p>
    <w:p>
      <w:pPr>
        <w:pStyle w:val="BodyText"/>
        <w:spacing w:line="240" w:lineRule="auto"/>
        <w:ind w:left="1134" w:right="0"/>
        <w:jc w:val="left"/>
      </w:pPr>
      <w:r>
        <w:rPr/>
        <w:t>财务报告内部控制缺陷评价的定量标准</w:t>
      </w:r>
    </w:p>
    <w:p>
      <w:pPr>
        <w:spacing w:after="0" w:line="240" w:lineRule="auto"/>
        <w:jc w:val="left"/>
        <w:sectPr>
          <w:pgSz w:w="11910" w:h="16840"/>
          <w:pgMar w:header="877" w:footer="1187" w:top="1100" w:bottom="1380" w:left="0" w:right="0"/>
        </w:sectPr>
      </w:pPr>
    </w:p>
    <w:p>
      <w:pPr>
        <w:spacing w:line="240" w:lineRule="auto" w:before="8"/>
        <w:rPr>
          <w:rFonts w:ascii="宋体" w:hAnsi="宋体" w:cs="宋体" w:eastAsia="宋体" w:hint="default"/>
          <w:sz w:val="24"/>
          <w:szCs w:val="24"/>
        </w:rPr>
      </w:pPr>
    </w:p>
    <w:tbl>
      <w:tblPr>
        <w:tblW w:w="0" w:type="auto"/>
        <w:jc w:val="left"/>
        <w:tblInd w:w="1196" w:type="dxa"/>
        <w:tblLayout w:type="fixed"/>
        <w:tblCellMar>
          <w:top w:w="0" w:type="dxa"/>
          <w:left w:w="0" w:type="dxa"/>
          <w:bottom w:w="0" w:type="dxa"/>
          <w:right w:w="0" w:type="dxa"/>
        </w:tblCellMar>
        <w:tblLook w:val="01E0"/>
      </w:tblPr>
      <w:tblGrid>
        <w:gridCol w:w="1139"/>
        <w:gridCol w:w="1135"/>
        <w:gridCol w:w="2976"/>
        <w:gridCol w:w="1274"/>
        <w:gridCol w:w="2979"/>
      </w:tblGrid>
      <w:tr>
        <w:trPr>
          <w:trHeight w:val="402" w:hRule="exact"/>
        </w:trPr>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b/>
                <w:bCs/>
                <w:sz w:val="18"/>
                <w:szCs w:val="18"/>
              </w:rPr>
              <w:t>评价等级</w:t>
            </w:r>
            <w:r>
              <w:rPr>
                <w:rFonts w:ascii="宋体" w:hAnsi="宋体" w:cs="宋体" w:eastAsia="宋体" w:hint="default"/>
                <w:sz w:val="18"/>
                <w:szCs w:val="18"/>
              </w:rPr>
            </w:r>
          </w:p>
        </w:tc>
        <w:tc>
          <w:tcPr>
            <w:tcW w:w="836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评价标准</w:t>
            </w:r>
            <w:r>
              <w:rPr>
                <w:rFonts w:ascii="宋体" w:hAnsi="宋体" w:cs="宋体" w:eastAsia="宋体" w:hint="default"/>
                <w:sz w:val="18"/>
                <w:szCs w:val="18"/>
              </w:rPr>
            </w:r>
          </w:p>
        </w:tc>
      </w:tr>
      <w:tr>
        <w:trPr>
          <w:trHeight w:val="402" w:hRule="exact"/>
        </w:trPr>
        <w:tc>
          <w:tcPr>
            <w:tcW w:w="113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重大缺陷</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319" w:lineRule="auto"/>
              <w:ind w:left="-1" w:right="43"/>
              <w:jc w:val="left"/>
              <w:rPr>
                <w:rFonts w:ascii="宋体" w:hAnsi="宋体" w:cs="宋体" w:eastAsia="宋体" w:hint="default"/>
                <w:sz w:val="18"/>
                <w:szCs w:val="18"/>
              </w:rPr>
            </w:pPr>
            <w:r>
              <w:rPr>
                <w:rFonts w:ascii="宋体" w:hAnsi="宋体" w:cs="宋体" w:eastAsia="宋体" w:hint="default"/>
                <w:sz w:val="18"/>
                <w:szCs w:val="18"/>
              </w:rPr>
              <w:t>财务报告错报 金额大于等于</w:t>
            </w:r>
          </w:p>
        </w:tc>
        <w:tc>
          <w:tcPr>
            <w:tcW w:w="72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利润总额的</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z w:val="18"/>
                <w:szCs w:val="18"/>
              </w:rPr>
              <w:t>，且绝对金额大于等于</w:t>
            </w:r>
            <w:r>
              <w:rPr>
                <w:rFonts w:ascii="宋体" w:hAnsi="宋体" w:cs="宋体" w:eastAsia="宋体" w:hint="default"/>
                <w:spacing w:val="-46"/>
                <w:sz w:val="18"/>
                <w:szCs w:val="18"/>
              </w:rPr>
              <w:t> </w:t>
            </w:r>
            <w:r>
              <w:rPr>
                <w:rFonts w:ascii="宋体" w:hAnsi="宋体" w:cs="宋体" w:eastAsia="宋体" w:hint="default"/>
                <w:sz w:val="18"/>
                <w:szCs w:val="18"/>
              </w:rPr>
              <w:t>500</w:t>
            </w:r>
            <w:r>
              <w:rPr>
                <w:rFonts w:ascii="宋体" w:hAnsi="宋体" w:cs="宋体" w:eastAsia="宋体" w:hint="default"/>
                <w:spacing w:val="-45"/>
                <w:sz w:val="18"/>
                <w:szCs w:val="18"/>
              </w:rPr>
              <w:t> </w:t>
            </w:r>
            <w:r>
              <w:rPr>
                <w:rFonts w:ascii="宋体" w:hAnsi="宋体" w:cs="宋体" w:eastAsia="宋体" w:hint="default"/>
                <w:sz w:val="18"/>
                <w:szCs w:val="18"/>
              </w:rPr>
              <w:t>万元</w:t>
            </w:r>
          </w:p>
        </w:tc>
      </w:tr>
      <w:tr>
        <w:trPr>
          <w:trHeight w:val="407" w:hRule="exact"/>
        </w:trPr>
        <w:tc>
          <w:tcPr>
            <w:tcW w:w="1139"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72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净资产的</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z w:val="18"/>
                <w:szCs w:val="18"/>
              </w:rPr>
              <w:t>，且绝对金额大于等于</w:t>
            </w:r>
            <w:r>
              <w:rPr>
                <w:rFonts w:ascii="宋体" w:hAnsi="宋体" w:cs="宋体" w:eastAsia="宋体" w:hint="default"/>
                <w:spacing w:val="-46"/>
                <w:sz w:val="18"/>
                <w:szCs w:val="18"/>
              </w:rPr>
              <w:t> </w:t>
            </w:r>
            <w:r>
              <w:rPr>
                <w:rFonts w:ascii="宋体" w:hAnsi="宋体" w:cs="宋体" w:eastAsia="宋体" w:hint="default"/>
                <w:sz w:val="18"/>
                <w:szCs w:val="18"/>
              </w:rPr>
              <w:t>2,500</w:t>
            </w:r>
            <w:r>
              <w:rPr>
                <w:rFonts w:ascii="宋体" w:hAnsi="宋体" w:cs="宋体" w:eastAsia="宋体" w:hint="default"/>
                <w:spacing w:val="-45"/>
                <w:sz w:val="18"/>
                <w:szCs w:val="18"/>
              </w:rPr>
              <w:t> </w:t>
            </w:r>
            <w:r>
              <w:rPr>
                <w:rFonts w:ascii="宋体" w:hAnsi="宋体" w:cs="宋体" w:eastAsia="宋体" w:hint="default"/>
                <w:sz w:val="18"/>
                <w:szCs w:val="18"/>
              </w:rPr>
              <w:t>万元</w:t>
            </w:r>
          </w:p>
        </w:tc>
      </w:tr>
      <w:tr>
        <w:trPr>
          <w:trHeight w:val="407" w:hRule="exact"/>
        </w:trPr>
        <w:tc>
          <w:tcPr>
            <w:tcW w:w="1139"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72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left"/>
              <w:rPr>
                <w:rFonts w:ascii="宋体" w:hAnsi="宋体" w:cs="宋体" w:eastAsia="宋体" w:hint="default"/>
                <w:sz w:val="18"/>
                <w:szCs w:val="18"/>
              </w:rPr>
            </w:pPr>
            <w:r>
              <w:rPr>
                <w:rFonts w:ascii="宋体" w:hAnsi="宋体" w:cs="宋体" w:eastAsia="宋体" w:hint="default"/>
                <w:sz w:val="18"/>
                <w:szCs w:val="18"/>
              </w:rPr>
              <w:t>营业收入总额的</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z w:val="18"/>
                <w:szCs w:val="18"/>
              </w:rPr>
              <w:t>，且绝对金额大于等于</w:t>
            </w:r>
            <w:r>
              <w:rPr>
                <w:rFonts w:ascii="宋体" w:hAnsi="宋体" w:cs="宋体" w:eastAsia="宋体" w:hint="default"/>
                <w:spacing w:val="-46"/>
                <w:sz w:val="18"/>
                <w:szCs w:val="18"/>
              </w:rPr>
              <w:t> </w:t>
            </w:r>
            <w:r>
              <w:rPr>
                <w:rFonts w:ascii="宋体" w:hAnsi="宋体" w:cs="宋体" w:eastAsia="宋体" w:hint="default"/>
                <w:sz w:val="18"/>
                <w:szCs w:val="18"/>
              </w:rPr>
              <w:t>3,000</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407" w:hRule="exact"/>
        </w:trPr>
        <w:tc>
          <w:tcPr>
            <w:tcW w:w="1139"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72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left"/>
              <w:rPr>
                <w:rFonts w:ascii="宋体" w:hAnsi="宋体" w:cs="宋体" w:eastAsia="宋体" w:hint="default"/>
                <w:sz w:val="18"/>
                <w:szCs w:val="18"/>
              </w:rPr>
            </w:pPr>
            <w:r>
              <w:rPr>
                <w:rFonts w:ascii="宋体" w:hAnsi="宋体" w:cs="宋体" w:eastAsia="宋体" w:hint="default"/>
                <w:sz w:val="18"/>
                <w:szCs w:val="18"/>
              </w:rPr>
              <w:t>资产总额的</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z w:val="18"/>
                <w:szCs w:val="18"/>
              </w:rPr>
              <w:t>，且绝对金额大于等于</w:t>
            </w:r>
            <w:r>
              <w:rPr>
                <w:rFonts w:ascii="宋体" w:hAnsi="宋体" w:cs="宋体" w:eastAsia="宋体" w:hint="default"/>
                <w:spacing w:val="-46"/>
                <w:sz w:val="18"/>
                <w:szCs w:val="18"/>
              </w:rPr>
              <w:t> </w:t>
            </w:r>
            <w:r>
              <w:rPr>
                <w:rFonts w:ascii="宋体" w:hAnsi="宋体" w:cs="宋体" w:eastAsia="宋体" w:hint="default"/>
                <w:sz w:val="18"/>
                <w:szCs w:val="18"/>
              </w:rPr>
              <w:t>3,000</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714" w:hRule="exact"/>
        </w:trPr>
        <w:tc>
          <w:tcPr>
            <w:tcW w:w="113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重要缺陷</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316" w:lineRule="auto"/>
              <w:ind w:left="-1" w:right="43"/>
              <w:jc w:val="left"/>
              <w:rPr>
                <w:rFonts w:ascii="宋体" w:hAnsi="宋体" w:cs="宋体" w:eastAsia="宋体" w:hint="default"/>
                <w:sz w:val="18"/>
                <w:szCs w:val="18"/>
              </w:rPr>
            </w:pPr>
            <w:r>
              <w:rPr>
                <w:rFonts w:ascii="宋体" w:hAnsi="宋体" w:cs="宋体" w:eastAsia="宋体" w:hint="default"/>
                <w:sz w:val="18"/>
                <w:szCs w:val="18"/>
              </w:rPr>
              <w:t>财务报告错报 金额小于</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right="1"/>
              <w:jc w:val="left"/>
              <w:rPr>
                <w:rFonts w:ascii="宋体" w:hAnsi="宋体" w:cs="宋体" w:eastAsia="宋体" w:hint="default"/>
                <w:sz w:val="18"/>
                <w:szCs w:val="18"/>
              </w:rPr>
            </w:pPr>
            <w:r>
              <w:rPr>
                <w:rFonts w:ascii="宋体" w:hAnsi="宋体" w:cs="宋体" w:eastAsia="宋体" w:hint="default"/>
                <w:sz w:val="18"/>
                <w:szCs w:val="18"/>
              </w:rPr>
              <w:t>利润总额的</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z w:val="18"/>
                <w:szCs w:val="18"/>
              </w:rPr>
              <w:t>，且绝对金额小于</w:t>
            </w:r>
            <w:r>
              <w:rPr>
                <w:rFonts w:ascii="宋体" w:hAnsi="宋体" w:cs="宋体" w:eastAsia="宋体" w:hint="default"/>
                <w:spacing w:val="-48"/>
                <w:sz w:val="18"/>
                <w:szCs w:val="18"/>
              </w:rPr>
              <w:t> </w:t>
            </w:r>
            <w:r>
              <w:rPr>
                <w:rFonts w:ascii="宋体" w:hAnsi="宋体" w:cs="宋体" w:eastAsia="宋体" w:hint="default"/>
                <w:sz w:val="18"/>
                <w:szCs w:val="18"/>
              </w:rPr>
              <w:t>500 </w:t>
            </w:r>
            <w:r>
              <w:rPr>
                <w:rFonts w:ascii="宋体" w:hAnsi="宋体" w:cs="宋体" w:eastAsia="宋体" w:hint="default"/>
                <w:sz w:val="18"/>
                <w:szCs w:val="18"/>
              </w:rPr>
              <w:t>万元</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且大于等于</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 w:right="41"/>
              <w:jc w:val="left"/>
              <w:rPr>
                <w:rFonts w:ascii="宋体" w:hAnsi="宋体" w:cs="宋体" w:eastAsia="宋体" w:hint="default"/>
                <w:sz w:val="18"/>
                <w:szCs w:val="18"/>
              </w:rPr>
            </w:pPr>
            <w:r>
              <w:rPr>
                <w:rFonts w:ascii="宋体" w:hAnsi="宋体" w:cs="宋体" w:eastAsia="宋体" w:hint="default"/>
                <w:sz w:val="18"/>
                <w:szCs w:val="18"/>
              </w:rPr>
              <w:t>利润总额的</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，且绝对金额大于等于 </w:t>
            </w:r>
            <w:r>
              <w:rPr>
                <w:rFonts w:ascii="宋体" w:hAnsi="宋体" w:cs="宋体" w:eastAsia="宋体" w:hint="default"/>
                <w:sz w:val="18"/>
                <w:szCs w:val="18"/>
              </w:rPr>
              <w:t>300</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714" w:hRule="exact"/>
        </w:trPr>
        <w:tc>
          <w:tcPr>
            <w:tcW w:w="1139"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right="85"/>
              <w:jc w:val="left"/>
              <w:rPr>
                <w:rFonts w:ascii="宋体" w:hAnsi="宋体" w:cs="宋体" w:eastAsia="宋体" w:hint="default"/>
                <w:sz w:val="18"/>
                <w:szCs w:val="18"/>
              </w:rPr>
            </w:pPr>
            <w:r>
              <w:rPr>
                <w:rFonts w:ascii="宋体" w:hAnsi="宋体" w:cs="宋体" w:eastAsia="宋体" w:hint="default"/>
                <w:sz w:val="18"/>
                <w:szCs w:val="18"/>
              </w:rPr>
              <w:t>净资产的</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z w:val="18"/>
                <w:szCs w:val="18"/>
              </w:rPr>
              <w:t>，且绝对金额小于</w:t>
            </w:r>
            <w:r>
              <w:rPr>
                <w:rFonts w:ascii="宋体" w:hAnsi="宋体" w:cs="宋体" w:eastAsia="宋体" w:hint="default"/>
                <w:spacing w:val="-46"/>
                <w:sz w:val="18"/>
                <w:szCs w:val="18"/>
              </w:rPr>
              <w:t> </w:t>
            </w:r>
            <w:r>
              <w:rPr>
                <w:rFonts w:ascii="宋体" w:hAnsi="宋体" w:cs="宋体" w:eastAsia="宋体" w:hint="default"/>
                <w:sz w:val="18"/>
                <w:szCs w:val="18"/>
              </w:rPr>
              <w:t>2,500 </w:t>
            </w:r>
            <w:r>
              <w:rPr>
                <w:rFonts w:ascii="宋体" w:hAnsi="宋体" w:cs="宋体" w:eastAsia="宋体" w:hint="default"/>
                <w:sz w:val="18"/>
                <w:szCs w:val="18"/>
              </w:rPr>
              <w:t>万元</w:t>
            </w:r>
          </w:p>
        </w:tc>
        <w:tc>
          <w:tcPr>
            <w:tcW w:w="1274" w:type="dxa"/>
            <w:vMerge/>
            <w:tcBorders>
              <w:left w:val="single" w:sz="4" w:space="0" w:color="000000"/>
              <w:right w:val="single" w:sz="4" w:space="0" w:color="000000"/>
            </w:tcBorders>
          </w:tcPr>
          <w:p>
            <w:pP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 w:right="41"/>
              <w:jc w:val="left"/>
              <w:rPr>
                <w:rFonts w:ascii="宋体" w:hAnsi="宋体" w:cs="宋体" w:eastAsia="宋体" w:hint="default"/>
                <w:sz w:val="18"/>
                <w:szCs w:val="18"/>
              </w:rPr>
            </w:pPr>
            <w:r>
              <w:rPr>
                <w:rFonts w:ascii="宋体" w:hAnsi="宋体" w:cs="宋体" w:eastAsia="宋体" w:hint="default"/>
                <w:sz w:val="18"/>
                <w:szCs w:val="18"/>
              </w:rPr>
              <w:t>净资产的</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z w:val="18"/>
                <w:szCs w:val="18"/>
              </w:rPr>
              <w:t>，且绝对金额大于等于 </w:t>
            </w:r>
            <w:r>
              <w:rPr>
                <w:rFonts w:ascii="宋体" w:hAnsi="宋体" w:cs="宋体" w:eastAsia="宋体" w:hint="default"/>
                <w:sz w:val="18"/>
                <w:szCs w:val="18"/>
              </w:rPr>
              <w:t>1,300</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714" w:hRule="exact"/>
        </w:trPr>
        <w:tc>
          <w:tcPr>
            <w:tcW w:w="1139"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right="41"/>
              <w:jc w:val="left"/>
              <w:rPr>
                <w:rFonts w:ascii="宋体" w:hAnsi="宋体" w:cs="宋体" w:eastAsia="宋体" w:hint="default"/>
                <w:sz w:val="18"/>
                <w:szCs w:val="18"/>
              </w:rPr>
            </w:pPr>
            <w:r>
              <w:rPr>
                <w:rFonts w:ascii="宋体" w:hAnsi="宋体" w:cs="宋体" w:eastAsia="宋体" w:hint="default"/>
                <w:sz w:val="18"/>
                <w:szCs w:val="18"/>
              </w:rPr>
              <w:t>营业收入总额的</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z w:val="18"/>
                <w:szCs w:val="18"/>
              </w:rPr>
              <w:t>，且绝对金额小于 </w:t>
            </w:r>
            <w:r>
              <w:rPr>
                <w:rFonts w:ascii="宋体" w:hAnsi="宋体" w:cs="宋体" w:eastAsia="宋体" w:hint="default"/>
                <w:sz w:val="18"/>
                <w:szCs w:val="18"/>
              </w:rPr>
              <w:t>3,000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274" w:type="dxa"/>
            <w:vMerge/>
            <w:tcBorders>
              <w:left w:val="single" w:sz="4" w:space="0" w:color="000000"/>
              <w:right w:val="single" w:sz="4" w:space="0" w:color="000000"/>
            </w:tcBorders>
          </w:tcPr>
          <w:p>
            <w:pP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 w:right="41"/>
              <w:jc w:val="left"/>
              <w:rPr>
                <w:rFonts w:ascii="宋体" w:hAnsi="宋体" w:cs="宋体" w:eastAsia="宋体" w:hint="default"/>
                <w:sz w:val="18"/>
                <w:szCs w:val="18"/>
              </w:rPr>
            </w:pPr>
            <w:r>
              <w:rPr>
                <w:rFonts w:ascii="宋体" w:hAnsi="宋体" w:cs="宋体" w:eastAsia="宋体" w:hint="default"/>
                <w:sz w:val="18"/>
                <w:szCs w:val="18"/>
              </w:rPr>
              <w:t>营业收入总额的</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z w:val="18"/>
                <w:szCs w:val="18"/>
              </w:rPr>
              <w:t>，且绝对金额大 于等于</w:t>
            </w:r>
            <w:r>
              <w:rPr>
                <w:rFonts w:ascii="宋体" w:hAnsi="宋体" w:cs="宋体" w:eastAsia="宋体" w:hint="default"/>
                <w:spacing w:val="-46"/>
                <w:sz w:val="18"/>
                <w:szCs w:val="18"/>
              </w:rPr>
              <w:t> </w:t>
            </w:r>
            <w:r>
              <w:rPr>
                <w:rFonts w:ascii="宋体" w:hAnsi="宋体" w:cs="宋体" w:eastAsia="宋体" w:hint="default"/>
                <w:sz w:val="18"/>
                <w:szCs w:val="18"/>
              </w:rPr>
              <w:t>1,500</w:t>
            </w:r>
            <w:r>
              <w:rPr>
                <w:rFonts w:ascii="宋体" w:hAnsi="宋体" w:cs="宋体" w:eastAsia="宋体" w:hint="default"/>
                <w:spacing w:val="-45"/>
                <w:sz w:val="18"/>
                <w:szCs w:val="18"/>
              </w:rPr>
              <w:t> </w:t>
            </w:r>
            <w:r>
              <w:rPr>
                <w:rFonts w:ascii="宋体" w:hAnsi="宋体" w:cs="宋体" w:eastAsia="宋体" w:hint="default"/>
                <w:sz w:val="18"/>
                <w:szCs w:val="18"/>
              </w:rPr>
              <w:t>万元</w:t>
            </w:r>
          </w:p>
        </w:tc>
      </w:tr>
      <w:tr>
        <w:trPr>
          <w:trHeight w:val="714" w:hRule="exact"/>
        </w:trPr>
        <w:tc>
          <w:tcPr>
            <w:tcW w:w="1139"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right="-1"/>
              <w:jc w:val="left"/>
              <w:rPr>
                <w:rFonts w:ascii="宋体" w:hAnsi="宋体" w:cs="宋体" w:eastAsia="宋体" w:hint="default"/>
                <w:sz w:val="18"/>
                <w:szCs w:val="18"/>
              </w:rPr>
            </w:pPr>
            <w:r>
              <w:rPr>
                <w:rFonts w:ascii="宋体" w:hAnsi="宋体" w:cs="宋体" w:eastAsia="宋体" w:hint="default"/>
                <w:sz w:val="18"/>
                <w:szCs w:val="18"/>
              </w:rPr>
              <w:t>资产总额的</w:t>
            </w:r>
            <w:r>
              <w:rPr>
                <w:rFonts w:ascii="宋体" w:hAnsi="宋体" w:cs="宋体" w:eastAsia="宋体" w:hint="default"/>
                <w:spacing w:val="-47"/>
                <w:sz w:val="18"/>
                <w:szCs w:val="18"/>
              </w:rPr>
              <w:t> </w:t>
            </w:r>
            <w:r>
              <w:rPr>
                <w:rFonts w:ascii="宋体" w:hAnsi="宋体" w:cs="宋体" w:eastAsia="宋体" w:hint="default"/>
                <w:spacing w:val="-9"/>
                <w:sz w:val="18"/>
                <w:szCs w:val="18"/>
              </w:rPr>
              <w:t>2%</w:t>
            </w:r>
            <w:r>
              <w:rPr>
                <w:rFonts w:ascii="宋体" w:hAnsi="宋体" w:cs="宋体" w:eastAsia="宋体" w:hint="default"/>
                <w:spacing w:val="-9"/>
                <w:sz w:val="18"/>
                <w:szCs w:val="18"/>
              </w:rPr>
              <w:t>，且绝对金额小于</w:t>
            </w:r>
            <w:r>
              <w:rPr>
                <w:rFonts w:ascii="宋体" w:hAnsi="宋体" w:cs="宋体" w:eastAsia="宋体" w:hint="default"/>
                <w:spacing w:val="-47"/>
                <w:sz w:val="18"/>
                <w:szCs w:val="18"/>
              </w:rPr>
              <w:t> </w:t>
            </w:r>
            <w:r>
              <w:rPr>
                <w:rFonts w:ascii="宋体" w:hAnsi="宋体" w:cs="宋体" w:eastAsia="宋体" w:hint="default"/>
                <w:sz w:val="18"/>
                <w:szCs w:val="18"/>
              </w:rPr>
              <w:t>3,000 </w:t>
            </w:r>
            <w:r>
              <w:rPr>
                <w:rFonts w:ascii="宋体" w:hAnsi="宋体" w:cs="宋体" w:eastAsia="宋体" w:hint="default"/>
                <w:sz w:val="18"/>
                <w:szCs w:val="18"/>
              </w:rPr>
              <w:t>万元</w:t>
            </w:r>
          </w:p>
        </w:tc>
        <w:tc>
          <w:tcPr>
            <w:tcW w:w="1274" w:type="dxa"/>
            <w:vMerge/>
            <w:tcBorders>
              <w:left w:val="single" w:sz="4" w:space="0" w:color="000000"/>
              <w:bottom w:val="single" w:sz="4" w:space="0" w:color="000000"/>
              <w:right w:val="single" w:sz="4" w:space="0" w:color="000000"/>
            </w:tcBorders>
          </w:tcPr>
          <w:p>
            <w:pP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 w:right="41"/>
              <w:jc w:val="left"/>
              <w:rPr>
                <w:rFonts w:ascii="宋体" w:hAnsi="宋体" w:cs="宋体" w:eastAsia="宋体" w:hint="default"/>
                <w:sz w:val="18"/>
                <w:szCs w:val="18"/>
              </w:rPr>
            </w:pPr>
            <w:r>
              <w:rPr>
                <w:rFonts w:ascii="宋体" w:hAnsi="宋体" w:cs="宋体" w:eastAsia="宋体" w:hint="default"/>
                <w:sz w:val="18"/>
                <w:szCs w:val="18"/>
              </w:rPr>
              <w:t>资产总额的</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z w:val="18"/>
                <w:szCs w:val="18"/>
              </w:rPr>
              <w:t>，且绝对金额大于等于 </w:t>
            </w:r>
            <w:r>
              <w:rPr>
                <w:rFonts w:ascii="宋体" w:hAnsi="宋体" w:cs="宋体" w:eastAsia="宋体" w:hint="default"/>
                <w:sz w:val="18"/>
                <w:szCs w:val="18"/>
              </w:rPr>
              <w:t>1,500</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407" w:hRule="exact"/>
        </w:trPr>
        <w:tc>
          <w:tcPr>
            <w:tcW w:w="113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一般缺陷</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319" w:lineRule="auto"/>
              <w:ind w:left="-1" w:right="43"/>
              <w:jc w:val="left"/>
              <w:rPr>
                <w:rFonts w:ascii="宋体" w:hAnsi="宋体" w:cs="宋体" w:eastAsia="宋体" w:hint="default"/>
                <w:sz w:val="18"/>
                <w:szCs w:val="18"/>
              </w:rPr>
            </w:pPr>
            <w:r>
              <w:rPr>
                <w:rFonts w:ascii="宋体" w:hAnsi="宋体" w:cs="宋体" w:eastAsia="宋体" w:hint="default"/>
                <w:sz w:val="18"/>
                <w:szCs w:val="18"/>
              </w:rPr>
              <w:t>财务报告错报 金额小于</w:t>
            </w:r>
          </w:p>
        </w:tc>
        <w:tc>
          <w:tcPr>
            <w:tcW w:w="72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left"/>
              <w:rPr>
                <w:rFonts w:ascii="宋体" w:hAnsi="宋体" w:cs="宋体" w:eastAsia="宋体" w:hint="default"/>
                <w:sz w:val="18"/>
                <w:szCs w:val="18"/>
              </w:rPr>
            </w:pPr>
            <w:r>
              <w:rPr>
                <w:rFonts w:ascii="宋体" w:hAnsi="宋体" w:cs="宋体" w:eastAsia="宋体" w:hint="default"/>
                <w:sz w:val="18"/>
                <w:szCs w:val="18"/>
              </w:rPr>
              <w:t>利润总额的</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，且绝对金额小于</w:t>
            </w:r>
            <w:r>
              <w:rPr>
                <w:rFonts w:ascii="宋体" w:hAnsi="宋体" w:cs="宋体" w:eastAsia="宋体" w:hint="default"/>
                <w:spacing w:val="-46"/>
                <w:sz w:val="18"/>
                <w:szCs w:val="18"/>
              </w:rPr>
              <w:t> </w:t>
            </w:r>
            <w:r>
              <w:rPr>
                <w:rFonts w:ascii="宋体" w:hAnsi="宋体" w:cs="宋体" w:eastAsia="宋体" w:hint="default"/>
                <w:sz w:val="18"/>
                <w:szCs w:val="18"/>
              </w:rPr>
              <w:t>300</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408" w:hRule="exact"/>
        </w:trPr>
        <w:tc>
          <w:tcPr>
            <w:tcW w:w="1139"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72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left"/>
              <w:rPr>
                <w:rFonts w:ascii="宋体" w:hAnsi="宋体" w:cs="宋体" w:eastAsia="宋体" w:hint="default"/>
                <w:sz w:val="18"/>
                <w:szCs w:val="18"/>
              </w:rPr>
            </w:pPr>
            <w:r>
              <w:rPr>
                <w:rFonts w:ascii="宋体" w:hAnsi="宋体" w:cs="宋体" w:eastAsia="宋体" w:hint="default"/>
                <w:sz w:val="18"/>
                <w:szCs w:val="18"/>
              </w:rPr>
              <w:t>净资产的</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z w:val="18"/>
                <w:szCs w:val="18"/>
              </w:rPr>
              <w:t>，且绝对金额小于</w:t>
            </w:r>
            <w:r>
              <w:rPr>
                <w:rFonts w:ascii="宋体" w:hAnsi="宋体" w:cs="宋体" w:eastAsia="宋体" w:hint="default"/>
                <w:spacing w:val="-46"/>
                <w:sz w:val="18"/>
                <w:szCs w:val="18"/>
              </w:rPr>
              <w:t> </w:t>
            </w:r>
            <w:r>
              <w:rPr>
                <w:rFonts w:ascii="宋体" w:hAnsi="宋体" w:cs="宋体" w:eastAsia="宋体" w:hint="default"/>
                <w:sz w:val="18"/>
                <w:szCs w:val="18"/>
              </w:rPr>
              <w:t>1,300</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407" w:hRule="exact"/>
        </w:trPr>
        <w:tc>
          <w:tcPr>
            <w:tcW w:w="1139"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72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营业收入总额的</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z w:val="18"/>
                <w:szCs w:val="18"/>
              </w:rPr>
              <w:t>，且绝对金额小于</w:t>
            </w:r>
            <w:r>
              <w:rPr>
                <w:rFonts w:ascii="宋体" w:hAnsi="宋体" w:cs="宋体" w:eastAsia="宋体" w:hint="default"/>
                <w:spacing w:val="-46"/>
                <w:sz w:val="18"/>
                <w:szCs w:val="18"/>
              </w:rPr>
              <w:t> </w:t>
            </w:r>
            <w:r>
              <w:rPr>
                <w:rFonts w:ascii="宋体" w:hAnsi="宋体" w:cs="宋体" w:eastAsia="宋体" w:hint="default"/>
                <w:sz w:val="18"/>
                <w:szCs w:val="18"/>
              </w:rPr>
              <w:t>1,500</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407" w:hRule="exact"/>
        </w:trPr>
        <w:tc>
          <w:tcPr>
            <w:tcW w:w="1139"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72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资产总额的</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z w:val="18"/>
                <w:szCs w:val="18"/>
              </w:rPr>
              <w:t>，且绝对金额小于</w:t>
            </w:r>
            <w:r>
              <w:rPr>
                <w:rFonts w:ascii="宋体" w:hAnsi="宋体" w:cs="宋体" w:eastAsia="宋体" w:hint="default"/>
                <w:spacing w:val="-46"/>
                <w:sz w:val="18"/>
                <w:szCs w:val="18"/>
              </w:rPr>
              <w:t> </w:t>
            </w:r>
            <w:r>
              <w:rPr>
                <w:rFonts w:ascii="宋体" w:hAnsi="宋体" w:cs="宋体" w:eastAsia="宋体" w:hint="default"/>
                <w:sz w:val="18"/>
                <w:szCs w:val="18"/>
              </w:rPr>
              <w:t>1,500</w:t>
            </w:r>
            <w:r>
              <w:rPr>
                <w:rFonts w:ascii="宋体" w:hAnsi="宋体" w:cs="宋体" w:eastAsia="宋体" w:hint="default"/>
                <w:spacing w:val="-46"/>
                <w:sz w:val="18"/>
                <w:szCs w:val="18"/>
              </w:rPr>
              <w:t> </w:t>
            </w:r>
            <w:r>
              <w:rPr>
                <w:rFonts w:ascii="宋体" w:hAnsi="宋体" w:cs="宋体" w:eastAsia="宋体" w:hint="default"/>
                <w:sz w:val="18"/>
                <w:szCs w:val="18"/>
              </w:rPr>
              <w:t>万元</w:t>
            </w:r>
          </w:p>
        </w:tc>
      </w:tr>
    </w:tbl>
    <w:p>
      <w:pPr>
        <w:pStyle w:val="BodyText"/>
        <w:spacing w:line="319" w:lineRule="auto" w:before="51"/>
        <w:ind w:right="1033"/>
        <w:jc w:val="left"/>
      </w:pPr>
      <w:r>
        <w:rPr/>
        <w:t>注：如同属上述四个指标的缺陷衡量范围，采用孰低原则；上述指标均采用最近一个会计年度经审计的合并财务报表数据，</w:t>
      </w:r>
      <w:r>
        <w:rPr>
          <w:spacing w:val="-83"/>
        </w:rPr>
        <w:t> </w:t>
      </w:r>
      <w:r>
        <w:rPr>
          <w:spacing w:val="-83"/>
        </w:rPr>
      </w:r>
      <w:r>
        <w:rPr/>
        <w:t>如数据为负值，取其绝对值计算。</w:t>
      </w:r>
    </w:p>
    <w:p>
      <w:pPr>
        <w:pStyle w:val="BodyText"/>
        <w:spacing w:line="240" w:lineRule="auto" w:before="134"/>
        <w:ind w:right="0"/>
        <w:jc w:val="left"/>
      </w:pPr>
      <w:r>
        <w:rPr/>
        <w:t>财务报告内部控制缺陷评价的定性标准</w:t>
      </w:r>
    </w:p>
    <w:p>
      <w:pPr>
        <w:spacing w:line="240" w:lineRule="auto" w:before="0"/>
        <w:rPr>
          <w:rFonts w:ascii="宋体" w:hAnsi="宋体" w:cs="宋体" w:eastAsia="宋体" w:hint="default"/>
          <w:sz w:val="14"/>
          <w:szCs w:val="14"/>
        </w:rPr>
      </w:pPr>
    </w:p>
    <w:tbl>
      <w:tblPr>
        <w:tblW w:w="0" w:type="auto"/>
        <w:jc w:val="left"/>
        <w:tblInd w:w="1183" w:type="dxa"/>
        <w:tblLayout w:type="fixed"/>
        <w:tblCellMar>
          <w:top w:w="0" w:type="dxa"/>
          <w:left w:w="0" w:type="dxa"/>
          <w:bottom w:w="0" w:type="dxa"/>
          <w:right w:w="0" w:type="dxa"/>
        </w:tblCellMar>
        <w:tblLook w:val="01E0"/>
      </w:tblPr>
      <w:tblGrid>
        <w:gridCol w:w="1140"/>
        <w:gridCol w:w="8390"/>
      </w:tblGrid>
      <w:tr>
        <w:trPr>
          <w:trHeight w:val="407"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04" w:right="0"/>
              <w:jc w:val="left"/>
              <w:rPr>
                <w:rFonts w:ascii="宋体" w:hAnsi="宋体" w:cs="宋体" w:eastAsia="宋体" w:hint="default"/>
                <w:sz w:val="18"/>
                <w:szCs w:val="18"/>
              </w:rPr>
            </w:pPr>
            <w:r>
              <w:rPr>
                <w:rFonts w:ascii="宋体" w:hAnsi="宋体" w:cs="宋体" w:eastAsia="宋体" w:hint="default"/>
                <w:b/>
                <w:bCs/>
                <w:sz w:val="18"/>
                <w:szCs w:val="18"/>
              </w:rPr>
              <w:t>评价等级</w:t>
            </w:r>
            <w:r>
              <w:rPr>
                <w:rFonts w:ascii="宋体" w:hAnsi="宋体" w:cs="宋体" w:eastAsia="宋体" w:hint="default"/>
                <w:sz w:val="18"/>
                <w:szCs w:val="18"/>
              </w:rPr>
            </w:r>
          </w:p>
        </w:tc>
        <w:tc>
          <w:tcPr>
            <w:tcW w:w="8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b/>
                <w:bCs/>
                <w:sz w:val="18"/>
                <w:szCs w:val="18"/>
              </w:rPr>
              <w:t>评价标准</w:t>
            </w:r>
            <w:r>
              <w:rPr>
                <w:rFonts w:ascii="宋体" w:hAnsi="宋体" w:cs="宋体" w:eastAsia="宋体" w:hint="default"/>
                <w:sz w:val="18"/>
                <w:szCs w:val="18"/>
              </w:rPr>
            </w:r>
          </w:p>
        </w:tc>
      </w:tr>
      <w:tr>
        <w:trPr>
          <w:trHeight w:val="1418"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05" w:right="0"/>
              <w:jc w:val="left"/>
              <w:rPr>
                <w:rFonts w:ascii="宋体" w:hAnsi="宋体" w:cs="宋体" w:eastAsia="宋体" w:hint="default"/>
                <w:sz w:val="18"/>
                <w:szCs w:val="18"/>
              </w:rPr>
            </w:pPr>
            <w:r>
              <w:rPr>
                <w:rFonts w:ascii="宋体" w:hAnsi="宋体" w:cs="宋体" w:eastAsia="宋体" w:hint="default"/>
                <w:sz w:val="18"/>
                <w:szCs w:val="18"/>
              </w:rPr>
              <w:t>重大缺陷</w:t>
            </w:r>
          </w:p>
        </w:tc>
        <w:tc>
          <w:tcPr>
            <w:tcW w:w="8390"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302" w:lineRule="auto" w:before="52"/>
              <w:ind w:left="419" w:right="0" w:hanging="420"/>
              <w:jc w:val="left"/>
              <w:rPr>
                <w:rFonts w:ascii="宋体" w:hAnsi="宋体" w:cs="宋体" w:eastAsia="宋体" w:hint="default"/>
                <w:sz w:val="18"/>
                <w:szCs w:val="18"/>
              </w:rPr>
            </w:pPr>
            <w:r>
              <w:rPr>
                <w:rFonts w:ascii="Wingdings" w:hAnsi="Wingdings" w:cs="Wingdings" w:eastAsia="Wingdings" w:hint="default"/>
                <w:sz w:val="18"/>
                <w:szCs w:val="18"/>
              </w:rPr>
              <w:t></w:t>
            </w:r>
            <w:r>
              <w:rPr>
                <w:rFonts w:ascii="Times New Roman" w:hAnsi="Times New Roman" w:cs="Times New Roman" w:eastAsia="Times New Roman" w:hint="default"/>
                <w:sz w:val="18"/>
                <w:szCs w:val="18"/>
              </w:rPr>
              <w:tab/>
            </w:r>
            <w:r>
              <w:rPr>
                <w:rFonts w:ascii="宋体" w:hAnsi="宋体" w:cs="宋体" w:eastAsia="宋体" w:hint="default"/>
                <w:sz w:val="18"/>
                <w:szCs w:val="18"/>
              </w:rPr>
              <w:t>外部审计机构、上市公司监管机构或其他外部机构发现公司董事、监事和高级管理人员在经营管理活</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动中舞弊；</w:t>
            </w:r>
          </w:p>
          <w:p>
            <w:pPr>
              <w:pStyle w:val="TableParagraph"/>
              <w:tabs>
                <w:tab w:pos="419" w:val="left" w:leader="none"/>
              </w:tabs>
              <w:spacing w:line="240" w:lineRule="auto" w:before="69"/>
              <w:ind w:left="-1" w:right="0"/>
              <w:jc w:val="left"/>
              <w:rPr>
                <w:rFonts w:ascii="宋体" w:hAnsi="宋体" w:cs="宋体" w:eastAsia="宋体" w:hint="default"/>
                <w:sz w:val="18"/>
                <w:szCs w:val="18"/>
              </w:rPr>
            </w:pPr>
            <w:r>
              <w:rPr>
                <w:rFonts w:ascii="Wingdings" w:hAnsi="Wingdings" w:cs="Wingdings" w:eastAsia="Wingdings" w:hint="default"/>
                <w:sz w:val="18"/>
                <w:szCs w:val="18"/>
              </w:rPr>
              <w:t></w:t>
            </w:r>
            <w:r>
              <w:rPr>
                <w:rFonts w:ascii="Times New Roman" w:hAnsi="Times New Roman" w:cs="Times New Roman" w:eastAsia="Times New Roman" w:hint="default"/>
                <w:sz w:val="18"/>
                <w:szCs w:val="18"/>
              </w:rPr>
              <w:tab/>
            </w:r>
            <w:r>
              <w:rPr>
                <w:rFonts w:ascii="宋体" w:hAnsi="宋体" w:cs="宋体" w:eastAsia="宋体" w:hint="default"/>
                <w:sz w:val="18"/>
                <w:szCs w:val="18"/>
              </w:rPr>
              <w:t>对已经公告的财务报表进行重大差错更正；</w:t>
            </w:r>
          </w:p>
          <w:p>
            <w:pPr>
              <w:pStyle w:val="TableParagraph"/>
              <w:tabs>
                <w:tab w:pos="419" w:val="left" w:leader="none"/>
              </w:tabs>
              <w:spacing w:line="240" w:lineRule="auto" w:before="104"/>
              <w:ind w:left="-1" w:right="0"/>
              <w:jc w:val="left"/>
              <w:rPr>
                <w:rFonts w:ascii="宋体" w:hAnsi="宋体" w:cs="宋体" w:eastAsia="宋体" w:hint="default"/>
                <w:sz w:val="18"/>
                <w:szCs w:val="18"/>
              </w:rPr>
            </w:pPr>
            <w:r>
              <w:rPr>
                <w:rFonts w:ascii="Wingdings" w:hAnsi="Wingdings" w:cs="Wingdings" w:eastAsia="Wingdings" w:hint="default"/>
                <w:sz w:val="18"/>
                <w:szCs w:val="18"/>
              </w:rPr>
              <w:t></w:t>
            </w:r>
            <w:r>
              <w:rPr>
                <w:rFonts w:ascii="Times New Roman" w:hAnsi="Times New Roman" w:cs="Times New Roman" w:eastAsia="Times New Roman" w:hint="default"/>
                <w:sz w:val="18"/>
                <w:szCs w:val="18"/>
              </w:rPr>
              <w:tab/>
            </w:r>
            <w:r>
              <w:rPr>
                <w:rFonts w:ascii="宋体" w:hAnsi="宋体" w:cs="宋体" w:eastAsia="宋体" w:hint="default"/>
                <w:sz w:val="18"/>
                <w:szCs w:val="18"/>
              </w:rPr>
              <w:t>外部审计机构发现当期财务报表存在重大错报，而内部控制在运行过程中未能发现该错报。</w:t>
            </w:r>
          </w:p>
        </w:tc>
      </w:tr>
      <w:tr>
        <w:trPr>
          <w:trHeight w:val="1106"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05" w:right="0"/>
              <w:jc w:val="left"/>
              <w:rPr>
                <w:rFonts w:ascii="宋体" w:hAnsi="宋体" w:cs="宋体" w:eastAsia="宋体" w:hint="default"/>
                <w:sz w:val="18"/>
                <w:szCs w:val="18"/>
              </w:rPr>
            </w:pPr>
            <w:r>
              <w:rPr>
                <w:rFonts w:ascii="宋体" w:hAnsi="宋体" w:cs="宋体" w:eastAsia="宋体" w:hint="default"/>
                <w:sz w:val="18"/>
                <w:szCs w:val="18"/>
              </w:rPr>
              <w:t>重要缺陷</w:t>
            </w:r>
          </w:p>
        </w:tc>
        <w:tc>
          <w:tcPr>
            <w:tcW w:w="8390"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40" w:lineRule="auto" w:before="51"/>
              <w:ind w:left="-1" w:right="0"/>
              <w:jc w:val="left"/>
              <w:rPr>
                <w:rFonts w:ascii="宋体" w:hAnsi="宋体" w:cs="宋体" w:eastAsia="宋体" w:hint="default"/>
                <w:sz w:val="18"/>
                <w:szCs w:val="18"/>
              </w:rPr>
            </w:pPr>
            <w:r>
              <w:rPr>
                <w:rFonts w:ascii="Wingdings" w:hAnsi="Wingdings" w:cs="Wingdings" w:eastAsia="Wingdings" w:hint="default"/>
                <w:sz w:val="18"/>
                <w:szCs w:val="18"/>
              </w:rPr>
              <w:t></w:t>
            </w:r>
            <w:r>
              <w:rPr>
                <w:rFonts w:ascii="Times New Roman" w:hAnsi="Times New Roman" w:cs="Times New Roman" w:eastAsia="Times New Roman" w:hint="default"/>
                <w:sz w:val="18"/>
                <w:szCs w:val="18"/>
              </w:rPr>
              <w:tab/>
            </w:r>
            <w:r>
              <w:rPr>
                <w:rFonts w:ascii="宋体" w:hAnsi="宋体" w:cs="宋体" w:eastAsia="宋体" w:hint="default"/>
                <w:sz w:val="18"/>
                <w:szCs w:val="18"/>
              </w:rPr>
              <w:t>未依照公认的会计准则选择和应用会计政策；</w:t>
            </w:r>
          </w:p>
          <w:p>
            <w:pPr>
              <w:pStyle w:val="TableParagraph"/>
              <w:tabs>
                <w:tab w:pos="419" w:val="left" w:leader="none"/>
              </w:tabs>
              <w:spacing w:line="240" w:lineRule="auto" w:before="104"/>
              <w:ind w:left="-1" w:right="0"/>
              <w:jc w:val="left"/>
              <w:rPr>
                <w:rFonts w:ascii="宋体" w:hAnsi="宋体" w:cs="宋体" w:eastAsia="宋体" w:hint="default"/>
                <w:sz w:val="18"/>
                <w:szCs w:val="18"/>
              </w:rPr>
            </w:pPr>
            <w:r>
              <w:rPr>
                <w:rFonts w:ascii="Wingdings" w:hAnsi="Wingdings" w:cs="Wingdings" w:eastAsia="Wingdings" w:hint="default"/>
                <w:sz w:val="18"/>
                <w:szCs w:val="18"/>
              </w:rPr>
              <w:t></w:t>
            </w:r>
            <w:r>
              <w:rPr>
                <w:rFonts w:ascii="Times New Roman" w:hAnsi="Times New Roman" w:cs="Times New Roman" w:eastAsia="Times New Roman" w:hint="default"/>
                <w:sz w:val="18"/>
                <w:szCs w:val="18"/>
              </w:rPr>
              <w:tab/>
            </w:r>
            <w:r>
              <w:rPr>
                <w:rFonts w:ascii="宋体" w:hAnsi="宋体" w:cs="宋体" w:eastAsia="宋体" w:hint="default"/>
                <w:sz w:val="18"/>
                <w:szCs w:val="18"/>
              </w:rPr>
              <w:t>未建立经营管理活动相关的反舞弊程序和控制措施；</w:t>
            </w:r>
          </w:p>
          <w:p>
            <w:pPr>
              <w:pStyle w:val="TableParagraph"/>
              <w:tabs>
                <w:tab w:pos="419" w:val="left" w:leader="none"/>
              </w:tabs>
              <w:spacing w:line="240" w:lineRule="auto" w:before="103"/>
              <w:ind w:left="-1" w:right="0"/>
              <w:jc w:val="left"/>
              <w:rPr>
                <w:rFonts w:ascii="宋体" w:hAnsi="宋体" w:cs="宋体" w:eastAsia="宋体" w:hint="default"/>
                <w:sz w:val="18"/>
                <w:szCs w:val="18"/>
              </w:rPr>
            </w:pPr>
            <w:r>
              <w:rPr>
                <w:rFonts w:ascii="Wingdings" w:hAnsi="Wingdings" w:cs="Wingdings" w:eastAsia="Wingdings" w:hint="default"/>
                <w:sz w:val="18"/>
                <w:szCs w:val="18"/>
              </w:rPr>
              <w:t></w:t>
            </w:r>
            <w:r>
              <w:rPr>
                <w:rFonts w:ascii="Times New Roman" w:hAnsi="Times New Roman" w:cs="Times New Roman" w:eastAsia="Times New Roman" w:hint="default"/>
                <w:sz w:val="18"/>
                <w:szCs w:val="18"/>
              </w:rPr>
              <w:tab/>
            </w:r>
            <w:r>
              <w:rPr>
                <w:rFonts w:ascii="宋体" w:hAnsi="宋体" w:cs="宋体" w:eastAsia="宋体" w:hint="default"/>
                <w:sz w:val="18"/>
                <w:szCs w:val="18"/>
              </w:rPr>
              <w:t>对于非常规或特殊交易的账务处理没有建立相应的控制机制或没有实施且没有相应的补偿性控制。</w:t>
            </w:r>
          </w:p>
        </w:tc>
      </w:tr>
      <w:tr>
        <w:trPr>
          <w:trHeight w:val="407"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05" w:right="0"/>
              <w:jc w:val="left"/>
              <w:rPr>
                <w:rFonts w:ascii="宋体" w:hAnsi="宋体" w:cs="宋体" w:eastAsia="宋体" w:hint="default"/>
                <w:sz w:val="18"/>
                <w:szCs w:val="18"/>
              </w:rPr>
            </w:pPr>
            <w:r>
              <w:rPr>
                <w:rFonts w:ascii="宋体" w:hAnsi="宋体" w:cs="宋体" w:eastAsia="宋体" w:hint="default"/>
                <w:sz w:val="18"/>
                <w:szCs w:val="18"/>
              </w:rPr>
              <w:t>一般缺陷</w:t>
            </w:r>
          </w:p>
        </w:tc>
        <w:tc>
          <w:tcPr>
            <w:tcW w:w="8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left"/>
              <w:rPr>
                <w:rFonts w:ascii="宋体" w:hAnsi="宋体" w:cs="宋体" w:eastAsia="宋体" w:hint="default"/>
                <w:sz w:val="18"/>
                <w:szCs w:val="18"/>
              </w:rPr>
            </w:pPr>
            <w:r>
              <w:rPr>
                <w:rFonts w:ascii="宋体" w:hAnsi="宋体" w:cs="宋体" w:eastAsia="宋体" w:hint="default"/>
                <w:sz w:val="18"/>
                <w:szCs w:val="18"/>
              </w:rPr>
              <w:t>不构成重大缺陷和重要缺陷的内部控制缺陷，认定为一般缺陷。</w:t>
            </w:r>
          </w:p>
        </w:tc>
      </w:tr>
    </w:tbl>
    <w:p>
      <w:pPr>
        <w:spacing w:line="240" w:lineRule="auto" w:before="1"/>
        <w:rPr>
          <w:rFonts w:ascii="宋体" w:hAnsi="宋体" w:cs="宋体" w:eastAsia="宋体" w:hint="default"/>
          <w:sz w:val="14"/>
          <w:szCs w:val="14"/>
        </w:rPr>
      </w:pPr>
    </w:p>
    <w:p>
      <w:pPr>
        <w:pStyle w:val="Heading3"/>
        <w:spacing w:line="240" w:lineRule="auto"/>
        <w:ind w:right="0"/>
        <w:jc w:val="left"/>
        <w:rPr>
          <w:b w:val="0"/>
          <w:bCs w:val="0"/>
        </w:rPr>
      </w:pPr>
      <w:bookmarkStart w:name="（2）非财务报告内部控制缺陷认定标准" w:id="149"/>
      <w:bookmarkEnd w:id="149"/>
      <w:r>
        <w:rPr>
          <w:b w:val="0"/>
          <w:bCs w:val="0"/>
        </w:rPr>
      </w:r>
      <w:r>
        <w:rPr/>
        <w:t>（</w:t>
      </w:r>
      <w:r>
        <w:rPr>
          <w:rFonts w:ascii="宋体" w:hAnsi="宋体" w:cs="宋体" w:eastAsia="宋体" w:hint="default"/>
        </w:rPr>
        <w:t>2</w:t>
      </w:r>
      <w:r>
        <w:rPr/>
        <w:t>）非财务报告内部控制缺陷认定标准</w:t>
      </w:r>
      <w:r>
        <w:rPr>
          <w:b w:val="0"/>
          <w:bCs w:val="0"/>
        </w:rPr>
      </w:r>
    </w:p>
    <w:p>
      <w:pPr>
        <w:spacing w:line="240" w:lineRule="auto" w:before="10"/>
        <w:rPr>
          <w:rFonts w:ascii="宋体" w:hAnsi="宋体" w:cs="宋体" w:eastAsia="宋体" w:hint="default"/>
          <w:b/>
          <w:bCs/>
          <w:sz w:val="19"/>
          <w:szCs w:val="19"/>
        </w:rPr>
      </w:pPr>
    </w:p>
    <w:p>
      <w:pPr>
        <w:pStyle w:val="BodyText"/>
        <w:spacing w:line="240" w:lineRule="auto"/>
        <w:ind w:right="0"/>
        <w:jc w:val="left"/>
      </w:pPr>
      <w:r>
        <w:rPr/>
        <w:t>非财务报告内部控制缺陷评价的定量标准</w:t>
      </w:r>
    </w:p>
    <w:p>
      <w:pPr>
        <w:spacing w:line="240" w:lineRule="auto" w:before="1"/>
        <w:rPr>
          <w:rFonts w:ascii="宋体" w:hAnsi="宋体" w:cs="宋体" w:eastAsia="宋体" w:hint="default"/>
          <w:sz w:val="14"/>
          <w:szCs w:val="14"/>
        </w:rPr>
      </w:pPr>
    </w:p>
    <w:tbl>
      <w:tblPr>
        <w:tblW w:w="0" w:type="auto"/>
        <w:jc w:val="left"/>
        <w:tblInd w:w="1210" w:type="dxa"/>
        <w:tblLayout w:type="fixed"/>
        <w:tblCellMar>
          <w:top w:w="0" w:type="dxa"/>
          <w:left w:w="0" w:type="dxa"/>
          <w:bottom w:w="0" w:type="dxa"/>
          <w:right w:w="0" w:type="dxa"/>
        </w:tblCellMar>
        <w:tblLook w:val="01E0"/>
      </w:tblPr>
      <w:tblGrid>
        <w:gridCol w:w="1139"/>
        <w:gridCol w:w="8338"/>
      </w:tblGrid>
      <w:tr>
        <w:trPr>
          <w:trHeight w:val="407" w:hRule="exact"/>
        </w:trPr>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2"/>
              <w:jc w:val="right"/>
              <w:rPr>
                <w:rFonts w:ascii="宋体" w:hAnsi="宋体" w:cs="宋体" w:eastAsia="宋体" w:hint="default"/>
                <w:sz w:val="18"/>
                <w:szCs w:val="18"/>
              </w:rPr>
            </w:pPr>
            <w:r>
              <w:rPr>
                <w:rFonts w:ascii="宋体" w:hAnsi="宋体" w:cs="宋体" w:eastAsia="宋体" w:hint="default"/>
                <w:b/>
                <w:bCs/>
                <w:w w:val="95"/>
                <w:sz w:val="18"/>
                <w:szCs w:val="18"/>
              </w:rPr>
              <w:t>评价等级</w:t>
            </w:r>
            <w:r>
              <w:rPr>
                <w:rFonts w:ascii="宋体" w:hAnsi="宋体" w:cs="宋体" w:eastAsia="宋体" w:hint="default"/>
                <w:sz w:val="18"/>
                <w:szCs w:val="18"/>
              </w:rPr>
            </w:r>
          </w:p>
        </w:tc>
        <w:tc>
          <w:tcPr>
            <w:tcW w:w="8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b/>
                <w:bCs/>
                <w:sz w:val="18"/>
                <w:szCs w:val="18"/>
              </w:rPr>
              <w:t>评价标准</w:t>
            </w:r>
            <w:r>
              <w:rPr>
                <w:rFonts w:ascii="宋体" w:hAnsi="宋体" w:cs="宋体" w:eastAsia="宋体" w:hint="default"/>
                <w:sz w:val="18"/>
                <w:szCs w:val="18"/>
              </w:rPr>
            </w:r>
          </w:p>
        </w:tc>
      </w:tr>
      <w:tr>
        <w:trPr>
          <w:trHeight w:val="407" w:hRule="exact"/>
        </w:trPr>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3"/>
              <w:jc w:val="right"/>
              <w:rPr>
                <w:rFonts w:ascii="宋体" w:hAnsi="宋体" w:cs="宋体" w:eastAsia="宋体" w:hint="default"/>
                <w:sz w:val="18"/>
                <w:szCs w:val="18"/>
              </w:rPr>
            </w:pPr>
            <w:r>
              <w:rPr>
                <w:rFonts w:ascii="宋体" w:hAnsi="宋体" w:cs="宋体" w:eastAsia="宋体" w:hint="default"/>
                <w:sz w:val="18"/>
                <w:szCs w:val="18"/>
              </w:rPr>
              <w:t>重大缺陷</w:t>
            </w:r>
          </w:p>
        </w:tc>
        <w:tc>
          <w:tcPr>
            <w:tcW w:w="8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left"/>
              <w:rPr>
                <w:rFonts w:ascii="宋体" w:hAnsi="宋体" w:cs="宋体" w:eastAsia="宋体" w:hint="default"/>
                <w:sz w:val="18"/>
                <w:szCs w:val="18"/>
              </w:rPr>
            </w:pPr>
            <w:r>
              <w:rPr>
                <w:rFonts w:ascii="宋体" w:hAnsi="宋体" w:cs="宋体" w:eastAsia="宋体" w:hint="default"/>
                <w:sz w:val="18"/>
                <w:szCs w:val="18"/>
              </w:rPr>
              <w:t>直接财产损失或影响程度大于等于利润总额的</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z w:val="18"/>
                <w:szCs w:val="18"/>
              </w:rPr>
              <w:t>，且绝对金额大于等于</w:t>
            </w:r>
            <w:r>
              <w:rPr>
                <w:rFonts w:ascii="宋体" w:hAnsi="宋体" w:cs="宋体" w:eastAsia="宋体" w:hint="default"/>
                <w:spacing w:val="-46"/>
                <w:sz w:val="18"/>
                <w:szCs w:val="18"/>
              </w:rPr>
              <w:t> </w:t>
            </w:r>
            <w:r>
              <w:rPr>
                <w:rFonts w:ascii="宋体" w:hAnsi="宋体" w:cs="宋体" w:eastAsia="宋体" w:hint="default"/>
                <w:sz w:val="18"/>
                <w:szCs w:val="18"/>
              </w:rPr>
              <w:t>500</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407" w:hRule="exact"/>
        </w:trPr>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3"/>
              <w:jc w:val="right"/>
              <w:rPr>
                <w:rFonts w:ascii="宋体" w:hAnsi="宋体" w:cs="宋体" w:eastAsia="宋体" w:hint="default"/>
                <w:sz w:val="18"/>
                <w:szCs w:val="18"/>
              </w:rPr>
            </w:pPr>
            <w:r>
              <w:rPr>
                <w:rFonts w:ascii="宋体" w:hAnsi="宋体" w:cs="宋体" w:eastAsia="宋体" w:hint="default"/>
                <w:sz w:val="18"/>
                <w:szCs w:val="18"/>
              </w:rPr>
              <w:t>重要缺陷</w:t>
            </w:r>
          </w:p>
        </w:tc>
        <w:tc>
          <w:tcPr>
            <w:tcW w:w="8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left"/>
              <w:rPr>
                <w:rFonts w:ascii="宋体" w:hAnsi="宋体" w:cs="宋体" w:eastAsia="宋体" w:hint="default"/>
                <w:sz w:val="18"/>
                <w:szCs w:val="18"/>
              </w:rPr>
            </w:pPr>
            <w:r>
              <w:rPr>
                <w:rFonts w:ascii="宋体" w:hAnsi="宋体" w:cs="宋体" w:eastAsia="宋体" w:hint="default"/>
                <w:sz w:val="18"/>
                <w:szCs w:val="18"/>
              </w:rPr>
              <w:t>直接财产损失或影响程度小于利润总额的</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z w:val="18"/>
                <w:szCs w:val="18"/>
              </w:rPr>
              <w:t>且大于等于</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w:t>
            </w:r>
            <w:r>
              <w:rPr>
                <w:rFonts w:ascii="宋体" w:hAnsi="宋体" w:cs="宋体" w:eastAsia="宋体" w:hint="default"/>
                <w:sz w:val="18"/>
                <w:szCs w:val="18"/>
              </w:rPr>
              <w:t>且绝对金额小于</w:t>
            </w:r>
            <w:r>
              <w:rPr>
                <w:rFonts w:ascii="宋体" w:hAnsi="宋体" w:cs="宋体" w:eastAsia="宋体" w:hint="default"/>
                <w:spacing w:val="-46"/>
                <w:sz w:val="18"/>
                <w:szCs w:val="18"/>
              </w:rPr>
              <w:t> </w:t>
            </w:r>
            <w:r>
              <w:rPr>
                <w:rFonts w:ascii="宋体" w:hAnsi="宋体" w:cs="宋体" w:eastAsia="宋体" w:hint="default"/>
                <w:sz w:val="18"/>
                <w:szCs w:val="18"/>
              </w:rPr>
              <w:t>500</w:t>
            </w:r>
            <w:r>
              <w:rPr>
                <w:rFonts w:ascii="宋体" w:hAnsi="宋体" w:cs="宋体" w:eastAsia="宋体" w:hint="default"/>
                <w:spacing w:val="-46"/>
                <w:sz w:val="18"/>
                <w:szCs w:val="18"/>
              </w:rPr>
              <w:t> </w:t>
            </w:r>
            <w:r>
              <w:rPr>
                <w:rFonts w:ascii="宋体" w:hAnsi="宋体" w:cs="宋体" w:eastAsia="宋体" w:hint="default"/>
                <w:sz w:val="18"/>
                <w:szCs w:val="18"/>
              </w:rPr>
              <w:t>万元</w:t>
            </w:r>
            <w:r>
              <w:rPr>
                <w:rFonts w:ascii="宋体" w:hAnsi="宋体" w:cs="宋体" w:eastAsia="宋体" w:hint="default"/>
                <w:sz w:val="18"/>
                <w:szCs w:val="18"/>
              </w:rPr>
              <w:t>,</w:t>
            </w:r>
            <w:r>
              <w:rPr>
                <w:rFonts w:ascii="宋体" w:hAnsi="宋体" w:cs="宋体" w:eastAsia="宋体" w:hint="default"/>
                <w:sz w:val="18"/>
                <w:szCs w:val="18"/>
              </w:rPr>
              <w:t>大于等于</w:t>
            </w:r>
            <w:r>
              <w:rPr>
                <w:rFonts w:ascii="宋体" w:hAnsi="宋体" w:cs="宋体" w:eastAsia="宋体" w:hint="default"/>
                <w:spacing w:val="-46"/>
                <w:sz w:val="18"/>
                <w:szCs w:val="18"/>
              </w:rPr>
              <w:t> </w:t>
            </w:r>
            <w:r>
              <w:rPr>
                <w:rFonts w:ascii="宋体" w:hAnsi="宋体" w:cs="宋体" w:eastAsia="宋体" w:hint="default"/>
                <w:sz w:val="18"/>
                <w:szCs w:val="18"/>
              </w:rPr>
              <w:t>300</w:t>
            </w:r>
            <w:r>
              <w:rPr>
                <w:rFonts w:ascii="宋体" w:hAnsi="宋体" w:cs="宋体" w:eastAsia="宋体" w:hint="default"/>
                <w:spacing w:val="-45"/>
                <w:sz w:val="18"/>
                <w:szCs w:val="18"/>
              </w:rPr>
              <w:t> </w:t>
            </w:r>
            <w:r>
              <w:rPr>
                <w:rFonts w:ascii="宋体" w:hAnsi="宋体" w:cs="宋体" w:eastAsia="宋体" w:hint="default"/>
                <w:sz w:val="18"/>
                <w:szCs w:val="18"/>
              </w:rPr>
              <w:t>万元</w:t>
            </w:r>
          </w:p>
        </w:tc>
      </w:tr>
      <w:tr>
        <w:trPr>
          <w:trHeight w:val="408" w:hRule="exact"/>
        </w:trPr>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3"/>
              <w:jc w:val="right"/>
              <w:rPr>
                <w:rFonts w:ascii="宋体" w:hAnsi="宋体" w:cs="宋体" w:eastAsia="宋体" w:hint="default"/>
                <w:sz w:val="18"/>
                <w:szCs w:val="18"/>
              </w:rPr>
            </w:pPr>
            <w:r>
              <w:rPr>
                <w:rFonts w:ascii="宋体" w:hAnsi="宋体" w:cs="宋体" w:eastAsia="宋体" w:hint="default"/>
                <w:sz w:val="18"/>
                <w:szCs w:val="18"/>
              </w:rPr>
              <w:t>一般缺陷</w:t>
            </w:r>
          </w:p>
        </w:tc>
        <w:tc>
          <w:tcPr>
            <w:tcW w:w="8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 w:right="0"/>
              <w:jc w:val="left"/>
              <w:rPr>
                <w:rFonts w:ascii="宋体" w:hAnsi="宋体" w:cs="宋体" w:eastAsia="宋体" w:hint="default"/>
                <w:sz w:val="18"/>
                <w:szCs w:val="18"/>
              </w:rPr>
            </w:pPr>
            <w:r>
              <w:rPr>
                <w:rFonts w:ascii="宋体" w:hAnsi="宋体" w:cs="宋体" w:eastAsia="宋体" w:hint="default"/>
                <w:sz w:val="18"/>
                <w:szCs w:val="18"/>
              </w:rPr>
              <w:t>直接财产损失或影响程度小于利润总额的</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，且绝对金额小于</w:t>
            </w:r>
            <w:r>
              <w:rPr>
                <w:rFonts w:ascii="宋体" w:hAnsi="宋体" w:cs="宋体" w:eastAsia="宋体" w:hint="default"/>
                <w:spacing w:val="-46"/>
                <w:sz w:val="18"/>
                <w:szCs w:val="18"/>
              </w:rPr>
              <w:t> </w:t>
            </w:r>
            <w:r>
              <w:rPr>
                <w:rFonts w:ascii="宋体" w:hAnsi="宋体" w:cs="宋体" w:eastAsia="宋体" w:hint="default"/>
                <w:sz w:val="18"/>
                <w:szCs w:val="18"/>
              </w:rPr>
              <w:t>300</w:t>
            </w:r>
            <w:r>
              <w:rPr>
                <w:rFonts w:ascii="宋体" w:hAnsi="宋体" w:cs="宋体" w:eastAsia="宋体" w:hint="default"/>
                <w:spacing w:val="-46"/>
                <w:sz w:val="18"/>
                <w:szCs w:val="18"/>
              </w:rPr>
              <w:t> </w:t>
            </w:r>
            <w:r>
              <w:rPr>
                <w:rFonts w:ascii="宋体" w:hAnsi="宋体" w:cs="宋体" w:eastAsia="宋体" w:hint="default"/>
                <w:sz w:val="18"/>
                <w:szCs w:val="18"/>
              </w:rPr>
              <w:t>万元</w:t>
            </w:r>
          </w:p>
        </w:tc>
      </w:tr>
    </w:tbl>
    <w:p>
      <w:pPr>
        <w:spacing w:after="0" w:line="240" w:lineRule="auto"/>
        <w:jc w:val="left"/>
        <w:rPr>
          <w:rFonts w:ascii="宋体" w:hAnsi="宋体" w:cs="宋体" w:eastAsia="宋体" w:hint="default"/>
          <w:sz w:val="18"/>
          <w:szCs w:val="18"/>
        </w:rPr>
        <w:sectPr>
          <w:pgSz w:w="11910" w:h="16840"/>
          <w:pgMar w:header="877" w:footer="1187" w:top="1100" w:bottom="1380" w:left="0" w:right="0"/>
        </w:sectPr>
      </w:pPr>
    </w:p>
    <w:p>
      <w:pPr>
        <w:spacing w:line="240" w:lineRule="auto" w:before="13"/>
        <w:rPr>
          <w:rFonts w:ascii="宋体" w:hAnsi="宋体" w:cs="宋体" w:eastAsia="宋体" w:hint="default"/>
          <w:sz w:val="21"/>
          <w:szCs w:val="21"/>
        </w:rPr>
      </w:pPr>
    </w:p>
    <w:p>
      <w:pPr>
        <w:pStyle w:val="BodyText"/>
        <w:spacing w:line="436" w:lineRule="auto" w:before="44"/>
        <w:ind w:right="2833"/>
        <w:jc w:val="left"/>
      </w:pPr>
      <w:r>
        <w:rPr/>
        <w:t>注：上述指标采用最近一个会计年度经审计的合并财务报表数据，如数据为负值，取其绝对值计算。 非财务报告内部控制缺陷评价的定性标准</w:t>
      </w:r>
    </w:p>
    <w:p>
      <w:pPr>
        <w:spacing w:line="240" w:lineRule="auto" w:before="11"/>
        <w:rPr>
          <w:rFonts w:ascii="宋体" w:hAnsi="宋体" w:cs="宋体" w:eastAsia="宋体" w:hint="default"/>
          <w:sz w:val="2"/>
          <w:szCs w:val="2"/>
        </w:rPr>
      </w:pPr>
    </w:p>
    <w:tbl>
      <w:tblPr>
        <w:tblW w:w="0" w:type="auto"/>
        <w:jc w:val="left"/>
        <w:tblInd w:w="1211" w:type="dxa"/>
        <w:tblLayout w:type="fixed"/>
        <w:tblCellMar>
          <w:top w:w="0" w:type="dxa"/>
          <w:left w:w="0" w:type="dxa"/>
          <w:bottom w:w="0" w:type="dxa"/>
          <w:right w:w="0" w:type="dxa"/>
        </w:tblCellMar>
        <w:tblLook w:val="01E0"/>
      </w:tblPr>
      <w:tblGrid>
        <w:gridCol w:w="1139"/>
        <w:gridCol w:w="8335"/>
      </w:tblGrid>
      <w:tr>
        <w:trPr>
          <w:trHeight w:val="401" w:hRule="exact"/>
        </w:trPr>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2"/>
              <w:jc w:val="right"/>
              <w:rPr>
                <w:rFonts w:ascii="宋体" w:hAnsi="宋体" w:cs="宋体" w:eastAsia="宋体" w:hint="default"/>
                <w:sz w:val="18"/>
                <w:szCs w:val="18"/>
              </w:rPr>
            </w:pPr>
            <w:r>
              <w:rPr>
                <w:rFonts w:ascii="宋体" w:hAnsi="宋体" w:cs="宋体" w:eastAsia="宋体" w:hint="default"/>
                <w:b/>
                <w:bCs/>
                <w:w w:val="95"/>
                <w:sz w:val="18"/>
                <w:szCs w:val="18"/>
              </w:rPr>
              <w:t>评价等级</w:t>
            </w:r>
            <w:r>
              <w:rPr>
                <w:rFonts w:ascii="宋体" w:hAnsi="宋体" w:cs="宋体" w:eastAsia="宋体" w:hint="default"/>
                <w:sz w:val="18"/>
                <w:szCs w:val="18"/>
              </w:rPr>
            </w:r>
          </w:p>
        </w:tc>
        <w:tc>
          <w:tcPr>
            <w:tcW w:w="8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评价标准</w:t>
            </w:r>
            <w:r>
              <w:rPr>
                <w:rFonts w:ascii="宋体" w:hAnsi="宋体" w:cs="宋体" w:eastAsia="宋体" w:hint="default"/>
                <w:sz w:val="18"/>
                <w:szCs w:val="18"/>
              </w:rPr>
            </w:r>
          </w:p>
        </w:tc>
      </w:tr>
      <w:tr>
        <w:trPr>
          <w:trHeight w:val="2435" w:hRule="exact"/>
        </w:trPr>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3"/>
              <w:jc w:val="right"/>
              <w:rPr>
                <w:rFonts w:ascii="宋体" w:hAnsi="宋体" w:cs="宋体" w:eastAsia="宋体" w:hint="default"/>
                <w:sz w:val="18"/>
                <w:szCs w:val="18"/>
              </w:rPr>
            </w:pPr>
            <w:r>
              <w:rPr>
                <w:rFonts w:ascii="宋体" w:hAnsi="宋体" w:cs="宋体" w:eastAsia="宋体" w:hint="default"/>
                <w:sz w:val="18"/>
                <w:szCs w:val="18"/>
              </w:rPr>
              <w:t>重大缺陷</w:t>
            </w:r>
          </w:p>
        </w:tc>
        <w:tc>
          <w:tcPr>
            <w:tcW w:w="8335"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40" w:lineRule="auto" w:before="53"/>
              <w:ind w:left="-1" w:right="0"/>
              <w:jc w:val="left"/>
              <w:rPr>
                <w:rFonts w:ascii="宋体" w:hAnsi="宋体" w:cs="宋体" w:eastAsia="宋体" w:hint="default"/>
                <w:sz w:val="18"/>
                <w:szCs w:val="18"/>
              </w:rPr>
            </w:pPr>
            <w:r>
              <w:rPr>
                <w:rFonts w:ascii="Wingdings" w:hAnsi="Wingdings" w:cs="Wingdings" w:eastAsia="Wingdings" w:hint="default"/>
                <w:sz w:val="18"/>
                <w:szCs w:val="18"/>
              </w:rPr>
              <w:t></w:t>
            </w:r>
            <w:r>
              <w:rPr>
                <w:rFonts w:ascii="Times New Roman" w:hAnsi="Times New Roman" w:cs="Times New Roman" w:eastAsia="Times New Roman" w:hint="default"/>
                <w:sz w:val="18"/>
                <w:szCs w:val="18"/>
              </w:rPr>
              <w:tab/>
            </w:r>
            <w:r>
              <w:rPr>
                <w:rFonts w:ascii="宋体" w:hAnsi="宋体" w:cs="宋体" w:eastAsia="宋体" w:hint="default"/>
                <w:sz w:val="18"/>
                <w:szCs w:val="18"/>
              </w:rPr>
              <w:t>公司重要业务事项、环节和高风险领域缺乏制度控制或制度体系失效，对公司经营造成重大影响；</w:t>
            </w:r>
          </w:p>
          <w:p>
            <w:pPr>
              <w:pStyle w:val="TableParagraph"/>
              <w:tabs>
                <w:tab w:pos="419" w:val="left" w:leader="none"/>
              </w:tabs>
              <w:spacing w:line="302" w:lineRule="auto" w:before="102"/>
              <w:ind w:left="419" w:right="-2" w:hanging="420"/>
              <w:jc w:val="left"/>
              <w:rPr>
                <w:rFonts w:ascii="宋体" w:hAnsi="宋体" w:cs="宋体" w:eastAsia="宋体" w:hint="default"/>
                <w:sz w:val="18"/>
                <w:szCs w:val="18"/>
              </w:rPr>
            </w:pPr>
            <w:r>
              <w:rPr>
                <w:rFonts w:ascii="Wingdings" w:hAnsi="Wingdings" w:cs="Wingdings" w:eastAsia="Wingdings" w:hint="default"/>
                <w:sz w:val="18"/>
                <w:szCs w:val="18"/>
              </w:rPr>
              <w:t></w:t>
            </w:r>
            <w:r>
              <w:rPr>
                <w:rFonts w:ascii="Times New Roman" w:hAnsi="Times New Roman" w:cs="Times New Roman" w:eastAsia="Times New Roman" w:hint="default"/>
                <w:sz w:val="18"/>
                <w:szCs w:val="18"/>
              </w:rPr>
              <w:tab/>
            </w:r>
            <w:r>
              <w:rPr>
                <w:rFonts w:ascii="宋体" w:hAnsi="宋体" w:cs="宋体" w:eastAsia="宋体" w:hint="default"/>
                <w:spacing w:val="-1"/>
                <w:sz w:val="18"/>
                <w:szCs w:val="18"/>
              </w:rPr>
              <w:t>公司缺乏对重大决策、重大事项、重要人事任免事项及大额资金支付业务的决策程序，导致公司出现</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重大损失；</w:t>
            </w:r>
          </w:p>
          <w:p>
            <w:pPr>
              <w:pStyle w:val="TableParagraph"/>
              <w:tabs>
                <w:tab w:pos="419" w:val="left" w:leader="none"/>
              </w:tabs>
              <w:spacing w:line="302" w:lineRule="auto" w:before="69"/>
              <w:ind w:left="419" w:right="-1" w:hanging="420"/>
              <w:jc w:val="left"/>
              <w:rPr>
                <w:rFonts w:ascii="宋体" w:hAnsi="宋体" w:cs="宋体" w:eastAsia="宋体" w:hint="default"/>
                <w:sz w:val="18"/>
                <w:szCs w:val="18"/>
              </w:rPr>
            </w:pPr>
            <w:r>
              <w:rPr>
                <w:rFonts w:ascii="Wingdings" w:hAnsi="Wingdings" w:cs="Wingdings" w:eastAsia="Wingdings" w:hint="default"/>
                <w:sz w:val="18"/>
                <w:szCs w:val="18"/>
              </w:rPr>
              <w:t></w:t>
            </w:r>
            <w:r>
              <w:rPr>
                <w:rFonts w:ascii="Times New Roman" w:hAnsi="Times New Roman" w:cs="Times New Roman" w:eastAsia="Times New Roman" w:hint="default"/>
                <w:sz w:val="18"/>
                <w:szCs w:val="18"/>
              </w:rPr>
              <w:tab/>
            </w:r>
            <w:r>
              <w:rPr>
                <w:rFonts w:ascii="宋体" w:hAnsi="宋体" w:cs="宋体" w:eastAsia="宋体" w:hint="default"/>
                <w:spacing w:val="-1"/>
                <w:sz w:val="18"/>
                <w:szCs w:val="18"/>
              </w:rPr>
              <w:t>公司严重违犯国家法律、法规或规范性文件，受到政府部门责令停产停业、暂扣或吊销许可证及执照</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的行政处罚，对公司造成严重的负面影响或重大损失；</w:t>
            </w:r>
          </w:p>
          <w:p>
            <w:pPr>
              <w:pStyle w:val="TableParagraph"/>
              <w:tabs>
                <w:tab w:pos="419" w:val="left" w:leader="none"/>
              </w:tabs>
              <w:spacing w:line="240" w:lineRule="auto" w:before="69"/>
              <w:ind w:left="-1" w:right="0"/>
              <w:jc w:val="left"/>
              <w:rPr>
                <w:rFonts w:ascii="宋体" w:hAnsi="宋体" w:cs="宋体" w:eastAsia="宋体" w:hint="default"/>
                <w:sz w:val="18"/>
                <w:szCs w:val="18"/>
              </w:rPr>
            </w:pPr>
            <w:r>
              <w:rPr>
                <w:rFonts w:ascii="Wingdings" w:hAnsi="Wingdings" w:cs="Wingdings" w:eastAsia="Wingdings" w:hint="default"/>
                <w:sz w:val="18"/>
                <w:szCs w:val="18"/>
              </w:rPr>
              <w:t></w:t>
            </w:r>
            <w:r>
              <w:rPr>
                <w:rFonts w:ascii="Times New Roman" w:hAnsi="Times New Roman" w:cs="Times New Roman" w:eastAsia="Times New Roman" w:hint="default"/>
                <w:sz w:val="18"/>
                <w:szCs w:val="18"/>
              </w:rPr>
              <w:tab/>
            </w:r>
            <w:r>
              <w:rPr>
                <w:rFonts w:ascii="宋体" w:hAnsi="宋体" w:cs="宋体" w:eastAsia="宋体" w:hint="default"/>
                <w:sz w:val="18"/>
                <w:szCs w:val="18"/>
              </w:rPr>
              <w:t>公司受到中国证监会处罚、证券交易所公开谴责；</w:t>
            </w:r>
          </w:p>
          <w:p>
            <w:pPr>
              <w:pStyle w:val="TableParagraph"/>
              <w:tabs>
                <w:tab w:pos="419" w:val="left" w:leader="none"/>
              </w:tabs>
              <w:spacing w:line="240" w:lineRule="auto" w:before="103"/>
              <w:ind w:left="-1" w:right="0"/>
              <w:jc w:val="left"/>
              <w:rPr>
                <w:rFonts w:ascii="宋体" w:hAnsi="宋体" w:cs="宋体" w:eastAsia="宋体" w:hint="default"/>
                <w:sz w:val="18"/>
                <w:szCs w:val="18"/>
              </w:rPr>
            </w:pPr>
            <w:r>
              <w:rPr>
                <w:rFonts w:ascii="Wingdings" w:hAnsi="Wingdings" w:cs="Wingdings" w:eastAsia="Wingdings" w:hint="default"/>
                <w:sz w:val="18"/>
                <w:szCs w:val="18"/>
              </w:rPr>
              <w:t></w:t>
            </w:r>
            <w:r>
              <w:rPr>
                <w:rFonts w:ascii="Times New Roman" w:hAnsi="Times New Roman" w:cs="Times New Roman" w:eastAsia="Times New Roman" w:hint="default"/>
                <w:sz w:val="18"/>
                <w:szCs w:val="18"/>
              </w:rPr>
              <w:tab/>
            </w:r>
            <w:r>
              <w:rPr>
                <w:rFonts w:ascii="宋体" w:hAnsi="宋体" w:cs="宋体" w:eastAsia="宋体" w:hint="default"/>
                <w:sz w:val="18"/>
                <w:szCs w:val="18"/>
              </w:rPr>
              <w:t>公司核心管理人员和高级技术人员流失严重，造成经营活动难以正常进行。</w:t>
            </w:r>
          </w:p>
        </w:tc>
      </w:tr>
      <w:tr>
        <w:trPr>
          <w:trHeight w:val="2434" w:hRule="exact"/>
        </w:trPr>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03"/>
              <w:jc w:val="right"/>
              <w:rPr>
                <w:rFonts w:ascii="宋体" w:hAnsi="宋体" w:cs="宋体" w:eastAsia="宋体" w:hint="default"/>
                <w:sz w:val="18"/>
                <w:szCs w:val="18"/>
              </w:rPr>
            </w:pPr>
            <w:r>
              <w:rPr>
                <w:rFonts w:ascii="宋体" w:hAnsi="宋体" w:cs="宋体" w:eastAsia="宋体" w:hint="default"/>
                <w:sz w:val="18"/>
                <w:szCs w:val="18"/>
              </w:rPr>
              <w:t>重要缺陷</w:t>
            </w:r>
          </w:p>
        </w:tc>
        <w:tc>
          <w:tcPr>
            <w:tcW w:w="8335"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40" w:lineRule="auto" w:before="51"/>
              <w:ind w:left="-1" w:right="-16"/>
              <w:jc w:val="left"/>
              <w:rPr>
                <w:rFonts w:ascii="宋体" w:hAnsi="宋体" w:cs="宋体" w:eastAsia="宋体" w:hint="default"/>
                <w:sz w:val="18"/>
                <w:szCs w:val="18"/>
              </w:rPr>
            </w:pPr>
            <w:r>
              <w:rPr>
                <w:rFonts w:ascii="Wingdings" w:hAnsi="Wingdings" w:cs="Wingdings" w:eastAsia="Wingdings" w:hint="default"/>
                <w:sz w:val="18"/>
                <w:szCs w:val="18"/>
              </w:rPr>
              <w:t></w:t>
            </w:r>
            <w:r>
              <w:rPr>
                <w:rFonts w:ascii="Times New Roman" w:hAnsi="Times New Roman" w:cs="Times New Roman" w:eastAsia="Times New Roman" w:hint="default"/>
                <w:sz w:val="18"/>
                <w:szCs w:val="18"/>
              </w:rPr>
              <w:tab/>
            </w:r>
            <w:r>
              <w:rPr>
                <w:rFonts w:ascii="宋体" w:hAnsi="宋体" w:cs="宋体" w:eastAsia="宋体" w:hint="default"/>
                <w:sz w:val="18"/>
                <w:szCs w:val="18"/>
              </w:rPr>
              <w:t>公司重要业务事项、环节和高风险领域相关的制度控制或系统存在缺陷，对公司经营造成重要影响；</w:t>
            </w:r>
          </w:p>
          <w:p>
            <w:pPr>
              <w:pStyle w:val="TableParagraph"/>
              <w:tabs>
                <w:tab w:pos="419" w:val="left" w:leader="none"/>
              </w:tabs>
              <w:spacing w:line="302" w:lineRule="auto" w:before="103"/>
              <w:ind w:left="419" w:right="0" w:hanging="420"/>
              <w:jc w:val="left"/>
              <w:rPr>
                <w:rFonts w:ascii="宋体" w:hAnsi="宋体" w:cs="宋体" w:eastAsia="宋体" w:hint="default"/>
                <w:sz w:val="18"/>
                <w:szCs w:val="18"/>
              </w:rPr>
            </w:pPr>
            <w:r>
              <w:rPr>
                <w:rFonts w:ascii="Wingdings" w:hAnsi="Wingdings" w:cs="Wingdings" w:eastAsia="Wingdings" w:hint="default"/>
                <w:sz w:val="18"/>
                <w:szCs w:val="18"/>
              </w:rPr>
              <w:t></w:t>
            </w:r>
            <w:r>
              <w:rPr>
                <w:rFonts w:ascii="Times New Roman" w:hAnsi="Times New Roman" w:cs="Times New Roman" w:eastAsia="Times New Roman" w:hint="default"/>
                <w:sz w:val="18"/>
                <w:szCs w:val="18"/>
              </w:rPr>
              <w:tab/>
            </w:r>
            <w:r>
              <w:rPr>
                <w:rFonts w:ascii="宋体" w:hAnsi="宋体" w:cs="宋体" w:eastAsia="宋体" w:hint="default"/>
                <w:spacing w:val="-1"/>
                <w:sz w:val="18"/>
                <w:szCs w:val="18"/>
              </w:rPr>
              <w:t>公司重大决策、重大事项、重要人事任免事项及大额资金支付业务决策程序不完善或不规范，导致公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司出现重要损失；</w:t>
            </w:r>
          </w:p>
          <w:p>
            <w:pPr>
              <w:pStyle w:val="TableParagraph"/>
              <w:tabs>
                <w:tab w:pos="419" w:val="left" w:leader="none"/>
              </w:tabs>
              <w:spacing w:line="302" w:lineRule="auto" w:before="68"/>
              <w:ind w:left="419" w:right="-2" w:hanging="420"/>
              <w:jc w:val="left"/>
              <w:rPr>
                <w:rFonts w:ascii="宋体" w:hAnsi="宋体" w:cs="宋体" w:eastAsia="宋体" w:hint="default"/>
                <w:sz w:val="18"/>
                <w:szCs w:val="18"/>
              </w:rPr>
            </w:pPr>
            <w:r>
              <w:rPr>
                <w:rFonts w:ascii="Wingdings" w:hAnsi="Wingdings" w:cs="Wingdings" w:eastAsia="Wingdings" w:hint="default"/>
                <w:sz w:val="18"/>
                <w:szCs w:val="18"/>
              </w:rPr>
              <w:t></w:t>
            </w:r>
            <w:r>
              <w:rPr>
                <w:rFonts w:ascii="Times New Roman" w:hAnsi="Times New Roman" w:cs="Times New Roman" w:eastAsia="Times New Roman" w:hint="default"/>
                <w:sz w:val="18"/>
                <w:szCs w:val="18"/>
              </w:rPr>
              <w:tab/>
            </w:r>
            <w:r>
              <w:rPr>
                <w:rFonts w:ascii="宋体" w:hAnsi="宋体" w:cs="宋体" w:eastAsia="宋体" w:hint="default"/>
                <w:spacing w:val="-1"/>
                <w:sz w:val="18"/>
                <w:szCs w:val="18"/>
              </w:rPr>
              <w:t>公司违犯国家法律、法规或规范性文件，受到除责令停产停业、暂扣或吊销许可证及执照以外的行政</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处罚；</w:t>
            </w:r>
          </w:p>
          <w:p>
            <w:pPr>
              <w:pStyle w:val="TableParagraph"/>
              <w:tabs>
                <w:tab w:pos="419" w:val="left" w:leader="none"/>
              </w:tabs>
              <w:spacing w:line="240" w:lineRule="auto" w:before="69"/>
              <w:ind w:left="-1" w:right="0"/>
              <w:jc w:val="left"/>
              <w:rPr>
                <w:rFonts w:ascii="宋体" w:hAnsi="宋体" w:cs="宋体" w:eastAsia="宋体" w:hint="default"/>
                <w:sz w:val="18"/>
                <w:szCs w:val="18"/>
              </w:rPr>
            </w:pPr>
            <w:r>
              <w:rPr>
                <w:rFonts w:ascii="Wingdings" w:hAnsi="Wingdings" w:cs="Wingdings" w:eastAsia="Wingdings" w:hint="default"/>
                <w:sz w:val="18"/>
                <w:szCs w:val="18"/>
              </w:rPr>
              <w:t></w:t>
            </w:r>
            <w:r>
              <w:rPr>
                <w:rFonts w:ascii="Times New Roman" w:hAnsi="Times New Roman" w:cs="Times New Roman" w:eastAsia="Times New Roman" w:hint="default"/>
                <w:sz w:val="18"/>
                <w:szCs w:val="18"/>
              </w:rPr>
              <w:tab/>
            </w:r>
            <w:r>
              <w:rPr>
                <w:rFonts w:ascii="宋体" w:hAnsi="宋体" w:cs="宋体" w:eastAsia="宋体" w:hint="default"/>
                <w:sz w:val="18"/>
                <w:szCs w:val="18"/>
              </w:rPr>
              <w:t>公司受到注册地中国证监会派出机构处罚、证券交易所通报批评；</w:t>
            </w:r>
          </w:p>
          <w:p>
            <w:pPr>
              <w:pStyle w:val="TableParagraph"/>
              <w:tabs>
                <w:tab w:pos="419" w:val="left" w:leader="none"/>
              </w:tabs>
              <w:spacing w:line="240" w:lineRule="auto" w:before="104"/>
              <w:ind w:left="-1" w:right="0"/>
              <w:jc w:val="left"/>
              <w:rPr>
                <w:rFonts w:ascii="宋体" w:hAnsi="宋体" w:cs="宋体" w:eastAsia="宋体" w:hint="default"/>
                <w:sz w:val="18"/>
                <w:szCs w:val="18"/>
              </w:rPr>
            </w:pPr>
            <w:r>
              <w:rPr>
                <w:rFonts w:ascii="Wingdings" w:hAnsi="Wingdings" w:cs="Wingdings" w:eastAsia="Wingdings" w:hint="default"/>
                <w:sz w:val="18"/>
                <w:szCs w:val="18"/>
              </w:rPr>
              <w:t></w:t>
            </w:r>
            <w:r>
              <w:rPr>
                <w:rFonts w:ascii="Times New Roman" w:hAnsi="Times New Roman" w:cs="Times New Roman" w:eastAsia="Times New Roman" w:hint="default"/>
                <w:sz w:val="18"/>
                <w:szCs w:val="18"/>
              </w:rPr>
              <w:tab/>
            </w:r>
            <w:r>
              <w:rPr>
                <w:rFonts w:ascii="宋体" w:hAnsi="宋体" w:cs="宋体" w:eastAsia="宋体" w:hint="default"/>
                <w:sz w:val="18"/>
                <w:szCs w:val="18"/>
              </w:rPr>
              <w:t>公司关键岗位业务人员流失严重。</w:t>
            </w:r>
          </w:p>
        </w:tc>
      </w:tr>
      <w:tr>
        <w:trPr>
          <w:trHeight w:val="402" w:hRule="exact"/>
        </w:trPr>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3"/>
              <w:jc w:val="right"/>
              <w:rPr>
                <w:rFonts w:ascii="宋体" w:hAnsi="宋体" w:cs="宋体" w:eastAsia="宋体" w:hint="default"/>
                <w:sz w:val="18"/>
                <w:szCs w:val="18"/>
              </w:rPr>
            </w:pPr>
            <w:r>
              <w:rPr>
                <w:rFonts w:ascii="宋体" w:hAnsi="宋体" w:cs="宋体" w:eastAsia="宋体" w:hint="default"/>
                <w:sz w:val="18"/>
                <w:szCs w:val="18"/>
              </w:rPr>
              <w:t>一般缺陷</w:t>
            </w:r>
          </w:p>
        </w:tc>
        <w:tc>
          <w:tcPr>
            <w:tcW w:w="8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不构成重大缺陷和重要缺陷的内部控制缺陷，认定为一般缺陷。</w:t>
            </w:r>
          </w:p>
        </w:tc>
      </w:tr>
    </w:tbl>
    <w:p>
      <w:pPr>
        <w:spacing w:line="240" w:lineRule="auto" w:before="2"/>
        <w:rPr>
          <w:rFonts w:ascii="宋体" w:hAnsi="宋体" w:cs="宋体" w:eastAsia="宋体" w:hint="default"/>
          <w:sz w:val="20"/>
          <w:szCs w:val="20"/>
        </w:rPr>
      </w:pPr>
    </w:p>
    <w:p>
      <w:pPr>
        <w:pStyle w:val="Heading2"/>
        <w:spacing w:line="240" w:lineRule="auto"/>
        <w:ind w:right="0"/>
        <w:jc w:val="left"/>
        <w:rPr>
          <w:b w:val="0"/>
          <w:bCs w:val="0"/>
        </w:rPr>
      </w:pPr>
      <w:bookmarkStart w:name="十、内部控制审计报告或鉴证报告" w:id="150"/>
      <w:bookmarkEnd w:id="150"/>
      <w:r>
        <w:rPr>
          <w:b w:val="0"/>
          <w:bCs w:val="0"/>
        </w:rPr>
      </w:r>
      <w:r>
        <w:rPr/>
        <w:t>十、内部控制审计报告或鉴证报告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after="0" w:line="240" w:lineRule="auto"/>
        <w:jc w:val="left"/>
        <w:sectPr>
          <w:pgSz w:w="11910" w:h="16840"/>
          <w:pgMar w:header="877" w:footer="1187" w:top="1100" w:bottom="138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1130"/>
        <w:jc w:val="center"/>
        <w:rPr>
          <w:b w:val="0"/>
          <w:bCs w:val="0"/>
        </w:rPr>
      </w:pPr>
      <w:bookmarkStart w:name="第十节 财务报告" w:id="151"/>
      <w:bookmarkEnd w:id="151"/>
      <w:r>
        <w:rPr>
          <w:b w:val="0"/>
          <w:bCs w:val="0"/>
        </w:rPr>
      </w:r>
      <w:bookmarkStart w:name="_bookmark9" w:id="152"/>
      <w:bookmarkEnd w:id="152"/>
      <w:r>
        <w:rPr>
          <w:b w:val="0"/>
          <w:bCs w:val="0"/>
        </w:rPr>
      </w:r>
      <w:r>
        <w:rPr/>
        <w:t>第十节</w:t>
      </w:r>
      <w:r>
        <w:rPr>
          <w:spacing w:val="-5"/>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53"/>
      <w:bookmarkEnd w:id="153"/>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中审众环会计师事务所（特殊普通合伙）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众环审字（</w:t>
            </w:r>
            <w:r>
              <w:rPr>
                <w:rFonts w:ascii="宋体" w:hAnsi="宋体" w:cs="宋体" w:eastAsia="宋体" w:hint="default"/>
                <w:sz w:val="18"/>
                <w:szCs w:val="18"/>
              </w:rPr>
              <w:t>2016</w:t>
            </w:r>
            <w:r>
              <w:rPr>
                <w:rFonts w:ascii="宋体" w:hAnsi="宋体" w:cs="宋体" w:eastAsia="宋体" w:hint="default"/>
                <w:sz w:val="18"/>
                <w:szCs w:val="18"/>
              </w:rPr>
              <w:t>）</w:t>
            </w:r>
            <w:r>
              <w:rPr>
                <w:rFonts w:ascii="宋体" w:hAnsi="宋体" w:cs="宋体" w:eastAsia="宋体" w:hint="default"/>
                <w:sz w:val="18"/>
                <w:szCs w:val="18"/>
              </w:rPr>
              <w:t>010589</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陈刚、聂慧蓉</w:t>
            </w:r>
          </w:p>
        </w:tc>
      </w:tr>
    </w:tbl>
    <w:p>
      <w:pPr>
        <w:pStyle w:val="BodyText"/>
        <w:spacing w:line="240" w:lineRule="auto" w:before="51"/>
        <w:ind w:left="1131" w:right="1130"/>
        <w:jc w:val="center"/>
      </w:pPr>
      <w:r>
        <w:rPr/>
        <w:t>审计报告正文</w:t>
      </w:r>
    </w:p>
    <w:p>
      <w:pPr>
        <w:spacing w:before="156"/>
        <w:ind w:left="1129" w:right="1130" w:firstLine="0"/>
        <w:jc w:val="center"/>
        <w:rPr>
          <w:rFonts w:ascii="宋体" w:hAnsi="宋体" w:cs="宋体" w:eastAsia="宋体" w:hint="default"/>
          <w:sz w:val="32"/>
          <w:szCs w:val="32"/>
        </w:rPr>
      </w:pPr>
      <w:r>
        <w:rPr>
          <w:rFonts w:ascii="宋体" w:hAnsi="宋体" w:cs="宋体" w:eastAsia="宋体" w:hint="default"/>
          <w:b/>
          <w:bCs/>
          <w:sz w:val="32"/>
          <w:szCs w:val="32"/>
        </w:rPr>
        <w:t>审计报告</w:t>
      </w:r>
      <w:r>
        <w:rPr>
          <w:rFonts w:ascii="宋体" w:hAnsi="宋体" w:cs="宋体" w:eastAsia="宋体" w:hint="default"/>
          <w:sz w:val="32"/>
          <w:szCs w:val="32"/>
        </w:rPr>
      </w:r>
    </w:p>
    <w:p>
      <w:pPr>
        <w:spacing w:line="240" w:lineRule="auto" w:before="3"/>
        <w:rPr>
          <w:rFonts w:ascii="宋体" w:hAnsi="宋体" w:cs="宋体" w:eastAsia="宋体" w:hint="default"/>
          <w:b/>
          <w:bCs/>
          <w:sz w:val="12"/>
          <w:szCs w:val="12"/>
        </w:rPr>
      </w:pPr>
    </w:p>
    <w:p>
      <w:pPr>
        <w:pStyle w:val="BodyText"/>
        <w:spacing w:line="240" w:lineRule="auto" w:before="44"/>
        <w:ind w:left="0" w:right="1130"/>
        <w:jc w:val="right"/>
      </w:pPr>
      <w:r>
        <w:rPr/>
        <w:t>众环审字（</w:t>
      </w:r>
      <w:r>
        <w:rPr>
          <w:rFonts w:ascii="宋体" w:hAnsi="宋体" w:cs="宋体" w:eastAsia="宋体" w:hint="default"/>
        </w:rPr>
        <w:t>2016</w:t>
      </w:r>
      <w:r>
        <w:rPr/>
        <w:t>）</w:t>
      </w:r>
      <w:r>
        <w:rPr>
          <w:rFonts w:ascii="宋体" w:hAnsi="宋体" w:cs="宋体" w:eastAsia="宋体" w:hint="default"/>
        </w:rPr>
        <w:t>010589</w:t>
      </w:r>
      <w:r>
        <w:rPr/>
        <w:t>号</w:t>
      </w:r>
    </w:p>
    <w:p>
      <w:pPr>
        <w:pStyle w:val="BodyText"/>
        <w:spacing w:line="240" w:lineRule="auto" w:before="117"/>
        <w:ind w:right="0"/>
        <w:jc w:val="left"/>
      </w:pPr>
      <w:r>
        <w:rPr/>
        <w:t>武汉天喻信息产业股份有限公司全体股东：</w:t>
      </w:r>
    </w:p>
    <w:p>
      <w:pPr>
        <w:pStyle w:val="BodyText"/>
        <w:spacing w:line="319" w:lineRule="auto" w:before="115"/>
        <w:ind w:right="1131" w:firstLine="360"/>
        <w:jc w:val="both"/>
      </w:pPr>
      <w:r>
        <w:rPr>
          <w:spacing w:val="-2"/>
        </w:rPr>
        <w:t>我们审计了后附的武汉天喻信息产业股份有限公司（以下简称“天喻信息”）财务报表，包括</w:t>
      </w: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日的合并及</w:t>
      </w:r>
      <w:r>
        <w:rPr/>
        <w:t> </w:t>
      </w:r>
      <w:r>
        <w:rPr>
          <w:spacing w:val="-2"/>
        </w:rPr>
        <w:t>母公司资产负债表，</w:t>
      </w:r>
      <w:r>
        <w:rPr>
          <w:rFonts w:ascii="宋体" w:hAnsi="宋体" w:cs="宋体" w:eastAsia="宋体" w:hint="default"/>
          <w:spacing w:val="-2"/>
        </w:rPr>
        <w:t>2015</w:t>
      </w:r>
      <w:r>
        <w:rPr>
          <w:spacing w:val="-2"/>
        </w:rPr>
        <w:t>年度的合并及母公司利润表、合并及母公司现金流量表、合并及母公司股东权益变动表，以及财务</w:t>
      </w:r>
      <w:r>
        <w:rPr>
          <w:spacing w:val="-61"/>
        </w:rPr>
        <w:t> </w:t>
      </w:r>
      <w:r>
        <w:rPr>
          <w:spacing w:val="-61"/>
        </w:rPr>
      </w:r>
      <w:r>
        <w:rPr/>
        <w:t>报表附注。</w:t>
      </w:r>
    </w:p>
    <w:p>
      <w:pPr>
        <w:spacing w:line="357" w:lineRule="auto" w:before="58"/>
        <w:ind w:left="1493" w:right="1123" w:firstLine="1"/>
        <w:jc w:val="left"/>
        <w:rPr>
          <w:rFonts w:ascii="宋体" w:hAnsi="宋体" w:cs="宋体" w:eastAsia="宋体" w:hint="default"/>
          <w:sz w:val="18"/>
          <w:szCs w:val="18"/>
        </w:rPr>
      </w:pPr>
      <w:r>
        <w:rPr>
          <w:rFonts w:ascii="宋体" w:hAnsi="宋体" w:cs="宋体" w:eastAsia="宋体" w:hint="default"/>
          <w:b/>
          <w:bCs/>
          <w:sz w:val="18"/>
          <w:szCs w:val="18"/>
        </w:rPr>
        <w:t>一、管理层对财务报表的责任</w:t>
      </w:r>
      <w:r>
        <w:rPr>
          <w:rFonts w:ascii="宋体" w:hAnsi="宋体" w:cs="宋体" w:eastAsia="宋体" w:hint="default"/>
          <w:b/>
          <w:bCs/>
          <w:w w:val="99"/>
          <w:sz w:val="18"/>
          <w:szCs w:val="18"/>
        </w:rPr>
        <w:t> </w:t>
      </w:r>
      <w:r>
        <w:rPr>
          <w:rFonts w:ascii="宋体" w:hAnsi="宋体" w:cs="宋体" w:eastAsia="宋体" w:hint="default"/>
          <w:sz w:val="18"/>
          <w:szCs w:val="18"/>
        </w:rPr>
        <w:t>编制和公允列报财务报表是天喻信息管理层的责任，这种责任包括：（</w:t>
      </w:r>
      <w:r>
        <w:rPr>
          <w:rFonts w:ascii="宋体" w:hAnsi="宋体" w:cs="宋体" w:eastAsia="宋体" w:hint="default"/>
          <w:sz w:val="18"/>
          <w:szCs w:val="18"/>
        </w:rPr>
        <w:t>1</w:t>
      </w:r>
      <w:r>
        <w:rPr>
          <w:rFonts w:ascii="宋体" w:hAnsi="宋体" w:cs="宋体" w:eastAsia="宋体" w:hint="default"/>
          <w:sz w:val="18"/>
          <w:szCs w:val="18"/>
        </w:rPr>
        <w:t>）按照企业会计准则的规定编制财务报表，并</w:t>
      </w:r>
    </w:p>
    <w:p>
      <w:pPr>
        <w:pStyle w:val="BodyText"/>
        <w:spacing w:line="357" w:lineRule="auto"/>
        <w:ind w:left="1493" w:right="0" w:hanging="360"/>
        <w:jc w:val="left"/>
      </w:pPr>
      <w:r>
        <w:rPr/>
        <w:t>使其实现公允反映；（</w:t>
      </w:r>
      <w:r>
        <w:rPr>
          <w:rFonts w:ascii="宋体" w:hAnsi="宋体" w:cs="宋体" w:eastAsia="宋体" w:hint="default"/>
        </w:rPr>
        <w:t>2</w:t>
      </w:r>
      <w:r>
        <w:rPr/>
        <w:t>）设计、执行和维护必要的内部控制，以使财务报表不存在由于舞弊或错误导致的重大错报。 </w:t>
      </w:r>
      <w:r>
        <w:rPr>
          <w:rFonts w:ascii="宋体" w:hAnsi="宋体" w:cs="宋体" w:eastAsia="宋体" w:hint="default"/>
          <w:b/>
          <w:bCs/>
        </w:rPr>
        <w:t>二、注册会计师的责任</w:t>
      </w:r>
      <w:r>
        <w:rPr>
          <w:rFonts w:ascii="宋体" w:hAnsi="宋体" w:cs="宋体" w:eastAsia="宋体" w:hint="default"/>
          <w:b/>
          <w:bCs/>
          <w:w w:val="99"/>
        </w:rPr>
        <w:t> </w:t>
      </w:r>
      <w:r>
        <w:rPr>
          <w:spacing w:val="-2"/>
        </w:rPr>
        <w:t>我们的责任是在执行审计工作的基础上对财务报表发表审计意见。我们按照中国注册会计师审计准则的规定执行了审计</w:t>
      </w:r>
    </w:p>
    <w:p>
      <w:pPr>
        <w:pStyle w:val="BodyText"/>
        <w:spacing w:line="224" w:lineRule="exact"/>
        <w:ind w:right="0"/>
        <w:jc w:val="left"/>
      </w:pPr>
      <w:r>
        <w:rPr/>
        <w:t>工作。中国注册会计师审计准则要求我们遵守职业道德守则，计划和执行审计工作以对财务报表是否不存在重大错报获取合</w:t>
      </w:r>
    </w:p>
    <w:p>
      <w:pPr>
        <w:pStyle w:val="BodyText"/>
        <w:spacing w:line="240" w:lineRule="auto" w:before="77"/>
        <w:ind w:right="0"/>
        <w:jc w:val="left"/>
      </w:pPr>
      <w:r>
        <w:rPr/>
        <w:t>理保证。</w:t>
      </w:r>
    </w:p>
    <w:p>
      <w:pPr>
        <w:pStyle w:val="BodyText"/>
        <w:spacing w:line="319" w:lineRule="auto" w:before="115"/>
        <w:ind w:left="1134" w:right="1032" w:firstLine="360"/>
        <w:jc w:val="left"/>
      </w:pPr>
      <w:r>
        <w:rPr/>
        <w:t>审计工作涉及实施审计程序，以获取有关财务报表金额和披露的审计证据。选择的审计程序取决于注册会计师的判断， </w:t>
      </w:r>
      <w:r>
        <w:rPr>
          <w:spacing w:val="-2"/>
        </w:rPr>
        <w:t>包括对由于舞弊或错误导致的财务报表重大错报风险的评估。在进行风险评估时，注册会计师考虑与财务报表编制和公允列</w:t>
      </w:r>
      <w:r>
        <w:rPr>
          <w:spacing w:val="-64"/>
        </w:rPr>
        <w:t> </w:t>
      </w:r>
      <w:r>
        <w:rPr>
          <w:spacing w:val="-64"/>
        </w:rPr>
      </w:r>
      <w:r>
        <w:rPr>
          <w:spacing w:val="-2"/>
        </w:rPr>
        <w:t>报相关的内部控制，以设计恰当的审计程序，但目的并非对内部控制的有效性发表意见。审计工作还包括评价管理层选用会</w:t>
      </w:r>
      <w:r>
        <w:rPr>
          <w:spacing w:val="-65"/>
        </w:rPr>
        <w:t> </w:t>
      </w:r>
      <w:r>
        <w:rPr>
          <w:spacing w:val="-65"/>
        </w:rPr>
      </w:r>
      <w:r>
        <w:rPr/>
        <w:t>计政策的恰当性和作出会计估计的合理性，以及评价财务报表的总体列报。</w:t>
      </w:r>
    </w:p>
    <w:p>
      <w:pPr>
        <w:pStyle w:val="BodyText"/>
        <w:spacing w:line="360" w:lineRule="auto" w:before="56"/>
        <w:ind w:left="1495" w:right="4093" w:hanging="2"/>
        <w:jc w:val="left"/>
        <w:rPr>
          <w:rFonts w:ascii="宋体" w:hAnsi="宋体" w:cs="宋体" w:eastAsia="宋体" w:hint="default"/>
        </w:rPr>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rPr>
      </w:r>
    </w:p>
    <w:p>
      <w:pPr>
        <w:pStyle w:val="BodyText"/>
        <w:spacing w:line="319" w:lineRule="auto" w:before="25"/>
        <w:ind w:right="0" w:firstLine="360"/>
        <w:jc w:val="left"/>
      </w:pPr>
      <w:r>
        <w:rPr>
          <w:spacing w:val="-2"/>
        </w:rPr>
        <w:t>我们认为，天喻信息财务报表在所有重大方面按照企业会计准则的规定编制，公允反映了天喻信息</w:t>
      </w: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日的合</w:t>
      </w:r>
      <w:r>
        <w:rPr/>
        <w:t> 并及母公司财务状况以及</w:t>
      </w:r>
      <w:r>
        <w:rPr>
          <w:rFonts w:ascii="宋体" w:hAnsi="宋体" w:cs="宋体" w:eastAsia="宋体" w:hint="default"/>
        </w:rPr>
        <w:t>2015</w:t>
      </w:r>
      <w:r>
        <w:rPr/>
        <w:t>年度的合并及母公司经营成果和现金流量。</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tabs>
          <w:tab w:pos="7974" w:val="left" w:leader="none"/>
        </w:tabs>
        <w:spacing w:line="357" w:lineRule="auto"/>
        <w:ind w:left="7974" w:right="1949" w:hanging="6481"/>
        <w:jc w:val="left"/>
      </w:pPr>
      <w:r>
        <w:rPr/>
        <w:t>中审众环会计师事务所（特殊普通合伙）</w:t>
        <w:tab/>
        <w:t>中国注册会计师：陈刚 中国注册会计师：聂慧蓉</w:t>
      </w:r>
    </w:p>
    <w:p>
      <w:pPr>
        <w:pStyle w:val="BodyText"/>
        <w:tabs>
          <w:tab w:pos="3384" w:val="left" w:leader="none"/>
          <w:tab w:pos="7974" w:val="left" w:leader="none"/>
        </w:tabs>
        <w:spacing w:line="240" w:lineRule="auto" w:before="28"/>
        <w:ind w:left="2124" w:right="0"/>
        <w:jc w:val="left"/>
      </w:pPr>
      <w:r>
        <w:rPr/>
        <w:t>中国</w:t>
        <w:tab/>
        <w:t>武汉</w:t>
        <w:tab/>
      </w:r>
      <w:r>
        <w:rPr>
          <w:rFonts w:ascii="宋体" w:hAnsi="宋体" w:cs="宋体" w:eastAsia="宋体" w:hint="default"/>
        </w:rPr>
        <w:t>2016</w:t>
      </w:r>
      <w:r>
        <w:rPr/>
        <w:t>年</w:t>
      </w:r>
      <w:r>
        <w:rPr>
          <w:rFonts w:ascii="宋体" w:hAnsi="宋体" w:cs="宋体" w:eastAsia="宋体" w:hint="default"/>
        </w:rPr>
        <w:t>4</w:t>
      </w:r>
      <w:r>
        <w:rPr/>
        <w:t>月</w:t>
      </w:r>
      <w:r>
        <w:rPr>
          <w:rFonts w:ascii="宋体" w:hAnsi="宋体" w:cs="宋体" w:eastAsia="宋体" w:hint="default"/>
        </w:rPr>
        <w:t>12</w:t>
      </w:r>
      <w:r>
        <w:rPr/>
        <w:t>日</w:t>
      </w:r>
    </w:p>
    <w:p>
      <w:pPr>
        <w:spacing w:after="0" w:line="240" w:lineRule="auto"/>
        <w:jc w:val="left"/>
        <w:sectPr>
          <w:pgSz w:w="11910" w:h="16840"/>
          <w:pgMar w:header="877" w:footer="1187" w:top="1100" w:bottom="1380" w:left="0" w:right="0"/>
        </w:sectPr>
      </w:pPr>
    </w:p>
    <w:p>
      <w:pPr>
        <w:spacing w:line="240" w:lineRule="auto" w:before="8"/>
        <w:rPr>
          <w:rFonts w:ascii="宋体" w:hAnsi="宋体" w:cs="宋体" w:eastAsia="宋体" w:hint="default"/>
          <w:sz w:val="19"/>
          <w:szCs w:val="19"/>
        </w:rPr>
      </w:pPr>
    </w:p>
    <w:p>
      <w:pPr>
        <w:pStyle w:val="Heading2"/>
        <w:spacing w:line="240" w:lineRule="auto" w:before="26"/>
        <w:ind w:right="0"/>
        <w:jc w:val="left"/>
        <w:rPr>
          <w:b w:val="0"/>
          <w:bCs w:val="0"/>
        </w:rPr>
      </w:pPr>
      <w:bookmarkStart w:name="二、财务报表" w:id="154"/>
      <w:bookmarkEnd w:id="154"/>
      <w:r>
        <w:rPr>
          <w:b w:val="0"/>
          <w:bCs w:val="0"/>
        </w:rPr>
      </w:r>
      <w:r>
        <w:rPr/>
        <w:t>二、财务报表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合并资产负债表" w:id="155"/>
      <w:bookmarkEnd w:id="155"/>
      <w:r>
        <w:rPr>
          <w:b w:val="0"/>
          <w:bCs w:val="0"/>
        </w:rPr>
      </w:r>
      <w:r>
        <w:rPr>
          <w:rFonts w:ascii="宋体" w:hAnsi="宋体" w:cs="宋体" w:eastAsia="宋体" w:hint="default"/>
        </w:rPr>
        <w:t>1</w:t>
      </w:r>
      <w:r>
        <w:rPr/>
        <w:t>、合并资产负债表</w:t>
      </w:r>
      <w:r>
        <w:rPr>
          <w:b w:val="0"/>
          <w:bCs w:val="0"/>
        </w:rPr>
      </w:r>
    </w:p>
    <w:p>
      <w:pPr>
        <w:spacing w:line="240" w:lineRule="auto" w:before="7"/>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877" w:footer="1187" w:top="1100" w:bottom="1380" w:left="0" w:right="0"/>
        </w:sectPr>
      </w:pPr>
    </w:p>
    <w:p>
      <w:pPr>
        <w:pStyle w:val="BodyText"/>
        <w:spacing w:line="240" w:lineRule="auto" w:before="44"/>
        <w:ind w:right="-19"/>
        <w:jc w:val="left"/>
      </w:pPr>
      <w:r>
        <w:rPr/>
        <w:t>编制单位：武汉天喻信息产业股份有限公司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617" w:right="-17"/>
        <w:jc w:val="left"/>
      </w:pPr>
      <w:r>
        <w:rPr>
          <w:rFonts w:ascii="宋体" w:hAnsi="宋体" w:cs="宋体" w:eastAsia="宋体" w:hint="default"/>
        </w:rPr>
        <w:t>2015</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5"/>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5" w:right="1291"/>
        <w:jc w:val="center"/>
      </w:pPr>
      <w:r>
        <w:rPr/>
        <w:t>单位：元</w:t>
      </w:r>
    </w:p>
    <w:p>
      <w:pPr>
        <w:spacing w:after="0" w:line="240" w:lineRule="auto"/>
        <w:jc w:val="center"/>
        <w:sectPr>
          <w:type w:val="continuous"/>
          <w:pgSz w:w="11910" w:h="16840"/>
          <w:pgMar w:top="1580" w:bottom="840" w:left="0" w:right="0"/>
          <w:cols w:num="3" w:equalWidth="0">
            <w:col w:w="4555" w:space="40"/>
            <w:col w:w="2102" w:space="2043"/>
            <w:col w:w="317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406,530,577.80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673,693,307.28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3,857,400.00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6,030,240.00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503,500,012.80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542,057,245.93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8,088,544.12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8,936,950.12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2,873,210.59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11,240,093.75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10,861,076.93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418,877,123.88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473,371,481.74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2,924,515.07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3,651,329.66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1,355,018,267.42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1,721,474,842.25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21,534,880.00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20,450,560.00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84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12,820,587.97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9,460,471.51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205,203,329.25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135,645,551.31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355,055.56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38,263,285.05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50,500,870.65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52,142,994.08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466,431.10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8,658,801.02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6,984,264.50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26,312,003.66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25,007,936.60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3,004,628.94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14,689,497.95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328,390,157.05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303,110,992.10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1,683,408,424.47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2,024,585,834.35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117,842,253.39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517,267,400.46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53"/>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134,119,378.14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86,108,131.32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143,249,173.07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136,650,096.45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40,133,097.02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40,941,234.08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53"/>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52,688,500.30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59,198,466.62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29,353,941.03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29,378,464.56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425,831.99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1,333,804.85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87" w:top="1100" w:bottom="138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27,426,432.34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17,514,538.62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382,501.53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545,238,607.28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888,774,638.49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19,120,000.00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19,710,000.00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1,226,245.83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1,247,645.33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20,346,245.83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20,957,645.33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565,584,853.11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909,732,283.82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430,056,000.00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430,056,000.00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415,687,239.48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400,456,124.30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5,187,448.00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4,265,776.00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48,043,038.71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42,135,156.40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87" w:top="1100" w:bottom="138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212,659,426.56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233,075,147.80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1,111,633,152.75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1,109,988,204.50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6,190,418.61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4,865,346.03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1,117,823,571.36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1,114,853,550.53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1,683,408,424.47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2,024,585,834.35</w:t>
            </w:r>
          </w:p>
        </w:tc>
      </w:tr>
    </w:tbl>
    <w:p>
      <w:pPr>
        <w:spacing w:line="240" w:lineRule="auto" w:before="7"/>
        <w:rPr>
          <w:rFonts w:ascii="Times New Roman" w:hAnsi="Times New Roman" w:cs="Times New Roman" w:eastAsia="Times New Roman" w:hint="default"/>
          <w:sz w:val="7"/>
          <w:szCs w:val="7"/>
        </w:rPr>
      </w:pPr>
    </w:p>
    <w:p>
      <w:pPr>
        <w:pStyle w:val="BodyText"/>
        <w:tabs>
          <w:tab w:pos="3510" w:val="left" w:leader="none"/>
          <w:tab w:pos="7561" w:val="left" w:leader="none"/>
        </w:tabs>
        <w:spacing w:line="240" w:lineRule="auto" w:before="44"/>
        <w:ind w:left="0" w:right="1229"/>
        <w:jc w:val="right"/>
      </w:pPr>
      <w:r>
        <w:rPr/>
        <w:t>法定代表人：张新访</w:t>
        <w:tab/>
        <w:t>主管会计工作负责人：孙静</w:t>
        <w:tab/>
        <w:t>会计机构负责人：张艳菊</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母公司资产负债表" w:id="156"/>
      <w:bookmarkEnd w:id="156"/>
      <w:r>
        <w:rPr>
          <w:b w:val="0"/>
          <w:bCs w:val="0"/>
        </w:rPr>
      </w:r>
      <w:r>
        <w:rPr>
          <w:rFonts w:ascii="宋体" w:hAnsi="宋体" w:cs="宋体" w:eastAsia="宋体" w:hint="default"/>
        </w:rPr>
        <w:t>2</w:t>
      </w:r>
      <w:r>
        <w:rPr/>
        <w:t>、母公司资产负债表</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0" w:right="131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371,576,385.81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646,694,423.75</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3,020,000.00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6,030,240.00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488,571,057.01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500,655,503.38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7,754,801.28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8,835,859.09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2,873,210.59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93,765,376.81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90,150,051.23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399,536,479.05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460,600,819.66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2,566,777.41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2,648,806.83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1,366,790,877.37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1,718,488,914.53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21,134,880.00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20,050,560.00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176,154,916.09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198,567,977.70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198,849,450.89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100,374,352.50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355,055.56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38,263,285.05</w:t>
            </w:r>
          </w:p>
        </w:tc>
      </w:tr>
    </w:tbl>
    <w:p>
      <w:pPr>
        <w:spacing w:after="0" w:line="240" w:lineRule="auto"/>
        <w:jc w:val="right"/>
        <w:rPr>
          <w:rFonts w:ascii="宋体" w:hAnsi="宋体" w:cs="宋体" w:eastAsia="宋体" w:hint="default"/>
          <w:sz w:val="18"/>
          <w:szCs w:val="18"/>
        </w:rPr>
        <w:sectPr>
          <w:pgSz w:w="11910" w:h="16840"/>
          <w:pgMar w:header="877" w:footer="1187" w:top="1100" w:bottom="138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48,762,424.91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49,974,776.08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6,865,665.13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5,875,382.16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26,312,003.66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23,464,192.00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3,004,628.94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2,552,218.05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481,439,025.18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439,122,743.54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1,848,229,902.55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2,157,611,658.07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117,842,253.39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517,267,400.46</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134,119,378.14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97,081,944.83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187,626,815.57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160,809,744.38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39,310,329.20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40,714,341.08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38,874,330.03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44,121,317.86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26,125,098.48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25,696,508.77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425,831.99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1,333,804.85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59,244,289.48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63,428,813.67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382,501.53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603,568,326.28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950,836,377.43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87" w:top="1100" w:bottom="138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16,220,000.00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16,810,000.00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1,226,245.83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1,247,645.33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17,446,245.83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18,057,645.33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621,014,572.11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968,894,022.76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430,056,000.00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430,056,000.00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403,997,757.24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403,997,757.24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5,187,448.00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4,265,776.00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48,043,038.71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42,135,156.40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339,931,086.49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308,262,945.67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1,227,215,330.44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1,188,717,635.31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1,848,229,902.55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2,157,611,658.07</w:t>
            </w:r>
          </w:p>
        </w:tc>
      </w:tr>
    </w:tbl>
    <w:p>
      <w:pPr>
        <w:spacing w:line="240" w:lineRule="auto" w:before="7"/>
        <w:rPr>
          <w:rFonts w:ascii="Times New Roman" w:hAnsi="Times New Roman" w:cs="Times New Roman" w:eastAsia="Times New Roman" w:hint="default"/>
          <w:sz w:val="7"/>
          <w:szCs w:val="7"/>
        </w:rPr>
      </w:pPr>
    </w:p>
    <w:p>
      <w:pPr>
        <w:pStyle w:val="BodyText"/>
        <w:tabs>
          <w:tab w:pos="3510" w:val="left" w:leader="none"/>
          <w:tab w:pos="7561" w:val="left" w:leader="none"/>
        </w:tabs>
        <w:spacing w:line="240" w:lineRule="auto" w:before="44"/>
        <w:ind w:left="0" w:right="1229"/>
        <w:jc w:val="right"/>
      </w:pPr>
      <w:r>
        <w:rPr/>
        <w:t>法定代表人：张新访</w:t>
        <w:tab/>
        <w:t>主管会计工作负责人：孙静</w:t>
        <w:tab/>
        <w:t>会计机构负责人：张艳菊</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合并利润表" w:id="157"/>
      <w:bookmarkEnd w:id="157"/>
      <w:r>
        <w:rPr>
          <w:b w:val="0"/>
          <w:bCs w:val="0"/>
        </w:rPr>
      </w:r>
      <w:r>
        <w:rPr>
          <w:rFonts w:ascii="宋体" w:hAnsi="宋体" w:cs="宋体" w:eastAsia="宋体" w:hint="default"/>
        </w:rPr>
        <w:t>3</w:t>
      </w:r>
      <w:r>
        <w:rPr/>
        <w:t>、合并利润表</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0" w:right="131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081"/>
        <w:gridCol w:w="3210"/>
        <w:gridCol w:w="3278"/>
      </w:tblGrid>
      <w:tr>
        <w:trPr>
          <w:trHeight w:val="402"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1,483,296,003.21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1,354,686,517.38</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1,483,296,003.21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1,354,686,517.38</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1,470,331,937.41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1,284,623,505.92</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1,030,380,377.72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871,403,399.15</w:t>
            </w:r>
          </w:p>
        </w:tc>
      </w:tr>
    </w:tbl>
    <w:p>
      <w:pPr>
        <w:spacing w:after="0" w:line="240" w:lineRule="auto"/>
        <w:jc w:val="right"/>
        <w:rPr>
          <w:rFonts w:ascii="宋体" w:hAnsi="宋体" w:cs="宋体" w:eastAsia="宋体" w:hint="default"/>
          <w:sz w:val="18"/>
          <w:szCs w:val="18"/>
        </w:rPr>
        <w:sectPr>
          <w:pgSz w:w="11910" w:h="16840"/>
          <w:pgMar w:header="877" w:footer="1187" w:top="1100" w:bottom="138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3081"/>
        <w:gridCol w:w="3210"/>
        <w:gridCol w:w="3278"/>
      </w:tblGrid>
      <w:tr>
        <w:trPr>
          <w:trHeight w:val="402"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10,171,725.61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9,578,741.12</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170,595,028.40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155,834,398.62</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199,006,885.47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190,757,174.46</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28,637,868.68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3,500,386.27</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31,540,051.53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53,549,406.30</w:t>
            </w: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6"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加：公允价值变动收益（损失以 “－”号填列）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pacing w:val="-3"/>
                <w:sz w:val="18"/>
                <w:szCs w:val="18"/>
              </w:rPr>
              <w:t>投资收益（损失以“－”号填</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-1,292,363.54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-11,245,056.89</w:t>
            </w: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-1,539,883.54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-6,322,230.84</w:t>
            </w: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宋体" w:hAnsi="宋体" w:cs="宋体" w:eastAsia="宋体" w:hint="default"/>
                <w:sz w:val="18"/>
                <w:szCs w:val="18"/>
              </w:rPr>
              <w:t>-</w:t>
            </w:r>
            <w:r>
              <w:rPr>
                <w:rFonts w:ascii="宋体" w:hAnsi="宋体" w:cs="宋体" w:eastAsia="宋体" w:hint="default"/>
                <w:sz w:val="18"/>
                <w:szCs w:val="18"/>
              </w:rPr>
              <w:t>”号填</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13"/>
              <w:jc w:val="left"/>
              <w:rPr>
                <w:rFonts w:ascii="宋体" w:hAnsi="宋体" w:cs="宋体" w:eastAsia="宋体" w:hint="default"/>
                <w:sz w:val="18"/>
                <w:szCs w:val="18"/>
              </w:rPr>
            </w:pPr>
            <w:r>
              <w:rPr>
                <w:rFonts w:ascii="宋体" w:hAnsi="宋体" w:cs="宋体" w:eastAsia="宋体" w:hint="default"/>
                <w:sz w:val="18"/>
                <w:szCs w:val="18"/>
              </w:rPr>
              <w:t>三、营业利润（亏损以“－”号填列）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11,671,702.26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58,817,954.57</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7,381,677.68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8,734,214.60</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6,965.99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6,163.09</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1,355,329.11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3,554,394.20</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1,200,571.22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1,094,726.69</w:t>
            </w: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3"/>
                <w:sz w:val="18"/>
                <w:szCs w:val="18"/>
              </w:rPr>
              <w:t>四、利润总额（亏损总额以“－”号填</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17,698,050.83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63,997,774.97</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11,586,902.00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4,376,768.97</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13"/>
              <w:jc w:val="left"/>
              <w:rPr>
                <w:rFonts w:ascii="宋体" w:hAnsi="宋体" w:cs="宋体" w:eastAsia="宋体" w:hint="default"/>
                <w:sz w:val="18"/>
                <w:szCs w:val="18"/>
              </w:rPr>
            </w:pPr>
            <w:r>
              <w:rPr>
                <w:rFonts w:ascii="宋体" w:hAnsi="宋体" w:cs="宋体" w:eastAsia="宋体" w:hint="default"/>
                <w:sz w:val="18"/>
                <w:szCs w:val="18"/>
              </w:rPr>
              <w:t>五、净利润（净亏损以“－”号填列）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6,111,148.83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59,621,006.00</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6,994,961.07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58,620,962.31</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-883,812.24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1,000,043.69</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921,672.00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1,230,120.00</w:t>
            </w: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6" w:firstLine="36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 益的税后净额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921,672.00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1,230,120.00</w:t>
            </w: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87" w:top="1100" w:bottom="138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3081"/>
        <w:gridCol w:w="3210"/>
        <w:gridCol w:w="3278"/>
      </w:tblGrid>
      <w:tr>
        <w:trPr>
          <w:trHeight w:val="714"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7" w:firstLine="36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重新计量设定受益计划净负债 或净资产的变动</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7" w:firstLine="360"/>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权益法下在被投资单位不能重 分类进损益的其他综合收益中享有的 份额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921,672.00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1,230,120.00</w:t>
            </w:r>
          </w:p>
        </w:tc>
      </w:tr>
      <w:tr>
        <w:trPr>
          <w:trHeight w:val="1026"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7" w:firstLine="360"/>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权益法下在被投资单位以后将 重分类进损益的其他综合收益中享有 的份额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7" w:firstLine="36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可供出售金融资产公允价值变 动损益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921,672.00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1,230,120.00</w:t>
            </w: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7" w:firstLine="36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持有至到期投资重分类为可供 出售金融资产损益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现金流量套期损益的有效部分</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外币财务报表折算差额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6" w:firstLine="36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 的税后净额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7,032,820.83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60,851,126.00</w:t>
            </w: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6"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7,916,633.07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59,851,082.31</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6"/>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-883,812.24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1,000,043.69</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0.0163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0.1363</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0.0163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0.1363</w:t>
            </w:r>
          </w:p>
        </w:tc>
      </w:tr>
    </w:tbl>
    <w:p>
      <w:pPr>
        <w:spacing w:line="240" w:lineRule="auto" w:before="7"/>
        <w:rPr>
          <w:rFonts w:ascii="Times New Roman" w:hAnsi="Times New Roman" w:cs="Times New Roman" w:eastAsia="Times New Roman" w:hint="default"/>
          <w:sz w:val="7"/>
          <w:szCs w:val="7"/>
        </w:rPr>
      </w:pPr>
    </w:p>
    <w:p>
      <w:pPr>
        <w:pStyle w:val="BodyText"/>
        <w:tabs>
          <w:tab w:pos="3510" w:val="left" w:leader="none"/>
          <w:tab w:pos="7561" w:val="left" w:leader="none"/>
        </w:tabs>
        <w:spacing w:line="240" w:lineRule="auto" w:before="44"/>
        <w:ind w:left="0" w:right="1229"/>
        <w:jc w:val="right"/>
      </w:pPr>
      <w:r>
        <w:rPr/>
        <w:t>法定代表人：张新访</w:t>
        <w:tab/>
        <w:t>主管会计工作负责人：孙静</w:t>
        <w:tab/>
        <w:t>会计机构负责人：张艳菊</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母公司利润表" w:id="158"/>
      <w:bookmarkEnd w:id="158"/>
      <w:r>
        <w:rPr>
          <w:b w:val="0"/>
          <w:bCs w:val="0"/>
        </w:rPr>
      </w:r>
      <w:r>
        <w:rPr>
          <w:rFonts w:ascii="宋体" w:hAnsi="宋体" w:cs="宋体" w:eastAsia="宋体" w:hint="default"/>
        </w:rPr>
        <w:t>4</w:t>
      </w:r>
      <w:r>
        <w:rPr/>
        <w:t>、母公司利润表</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0" w:right="131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1,437,387,743.17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1,307,831,029.80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1,055,615,827.68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916,299,436.70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9,141,290.81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7,710,827.31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106,512,288.70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96,296,910.86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149,154,452.58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147,354,105.10</w:t>
            </w:r>
          </w:p>
        </w:tc>
      </w:tr>
    </w:tbl>
    <w:p>
      <w:pPr>
        <w:spacing w:after="0" w:line="240" w:lineRule="auto"/>
        <w:jc w:val="right"/>
        <w:rPr>
          <w:rFonts w:ascii="宋体" w:hAnsi="宋体" w:cs="宋体" w:eastAsia="宋体" w:hint="default"/>
          <w:sz w:val="18"/>
          <w:szCs w:val="18"/>
        </w:rPr>
        <w:sectPr>
          <w:pgSz w:w="11910" w:h="16840"/>
          <w:pgMar w:header="877" w:footer="1187" w:top="1100" w:bottom="1380" w:left="0" w:right="0"/>
        </w:sectPr>
      </w:pPr>
    </w:p>
    <w:p>
      <w:pPr>
        <w:spacing w:line="240" w:lineRule="auto" w:before="10"/>
        <w:rPr>
          <w:rFonts w:ascii="Times New Roman" w:hAnsi="Times New Roman" w:cs="Times New Roman" w:eastAsia="Times New Roman" w:hint="default"/>
          <w:sz w:val="27"/>
          <w:szCs w:val="27"/>
        </w:rPr>
      </w:pPr>
      <w:r>
        <w:rPr/>
        <w:pict>
          <v:group style="position:absolute;margin-left:205.339996pt;margin-top:219.22998pt;width:163.35pt;height:20.8pt;mso-position-horizontal-relative:page;mso-position-vertical-relative:page;z-index:-778576" coordorigin="4107,4385" coordsize="3267,416">
            <v:group style="position:absolute;left:4118;top:4396;width:2;height:393" coordorigin="4118,4396" coordsize="2,393">
              <v:shape style="position:absolute;left:4118;top:4396;width:2;height:393" coordorigin="4118,4396" coordsize="0,393" path="m4118,4396l4118,4788e" filled="false" stroked="true" strokeweight="1.140pt" strokecolor="#ffffff">
                <v:path arrowok="t"/>
              </v:shape>
            </v:group>
            <v:group style="position:absolute;left:4130;top:4396;width:3244;height:393" coordorigin="4130,4396" coordsize="3244,393">
              <v:shape style="position:absolute;left:4130;top:4396;width:3244;height:393" coordorigin="4130,4396" coordsize="3244,393" path="m4130,4788l7374,4788,7374,4396,4130,4396,4130,4788xe" filled="true" fillcolor="#ffffff" stroked="false">
                <v:path arrowok="t"/>
                <v:fill type="solid"/>
              </v:shape>
            </v:group>
            <w10:wrap type="none"/>
          </v:group>
        </w:pict>
      </w:r>
      <w:r>
        <w:rPr/>
        <w:pict>
          <v:group style="position:absolute;margin-left:205.339996pt;margin-top:375.529968pt;width:163.35pt;height:20.8pt;mso-position-horizontal-relative:page;mso-position-vertical-relative:page;z-index:-778552" coordorigin="4107,7511" coordsize="3267,416">
            <v:group style="position:absolute;left:4118;top:7522;width:2;height:393" coordorigin="4118,7522" coordsize="2,393">
              <v:shape style="position:absolute;left:4118;top:7522;width:2;height:393" coordorigin="4118,7522" coordsize="0,393" path="m4118,7522l4118,7914e" filled="false" stroked="true" strokeweight="1.140pt" strokecolor="#ffffff">
                <v:path arrowok="t"/>
              </v:shape>
            </v:group>
            <v:group style="position:absolute;left:4130;top:7522;width:3244;height:393" coordorigin="4130,7522" coordsize="3244,393">
              <v:shape style="position:absolute;left:4130;top:7522;width:3244;height:393" coordorigin="4130,7522" coordsize="3244,393" path="m4130,7914l7374,7914,7374,7522,4130,7522,4130,7914xe" filled="true" fillcolor="#ffffff" stroked="false">
                <v:path arrowok="t"/>
                <v:fill type="solid"/>
              </v:shape>
            </v:group>
            <w10:wrap type="none"/>
          </v:group>
        </w:pict>
      </w:r>
    </w:p>
    <w:tbl>
      <w:tblPr>
        <w:tblW w:w="0" w:type="auto"/>
        <w:jc w:val="left"/>
        <w:tblInd w:w="1129" w:type="dxa"/>
        <w:tblLayout w:type="fixed"/>
        <w:tblCellMar>
          <w:top w:w="0" w:type="dxa"/>
          <w:left w:w="0" w:type="dxa"/>
          <w:bottom w:w="0" w:type="dxa"/>
          <w:right w:w="0" w:type="dxa"/>
        </w:tblCellMar>
        <w:tblLook w:val="01E0"/>
      </w:tblPr>
      <w:tblGrid>
        <w:gridCol w:w="2968"/>
        <w:gridCol w:w="1081"/>
        <w:gridCol w:w="2219"/>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96" w:right="0"/>
              <w:jc w:val="left"/>
              <w:rPr>
                <w:rFonts w:ascii="宋体" w:hAnsi="宋体" w:cs="宋体" w:eastAsia="宋体" w:hint="default"/>
                <w:sz w:val="18"/>
                <w:szCs w:val="18"/>
              </w:rPr>
            </w:pPr>
            <w:r>
              <w:rPr>
                <w:rFonts w:ascii="宋体"/>
                <w:sz w:val="18"/>
              </w:rPr>
              <w:t>28,576,655.07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4,156,819.84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96" w:right="0"/>
              <w:jc w:val="left"/>
              <w:rPr>
                <w:rFonts w:ascii="宋体" w:hAnsi="宋体" w:cs="宋体" w:eastAsia="宋体" w:hint="default"/>
                <w:sz w:val="18"/>
                <w:szCs w:val="18"/>
              </w:rPr>
            </w:pPr>
            <w:r>
              <w:rPr>
                <w:rFonts w:ascii="宋体"/>
                <w:sz w:val="18"/>
              </w:rPr>
              <w:t>22,961,664.91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45,025,175.31</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加：公允价值变动收益（损失以 “－”号填列）</w:t>
            </w:r>
          </w:p>
        </w:tc>
        <w:tc>
          <w:tcPr>
            <w:tcW w:w="3300"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投资收益（损失以“－”号</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96" w:right="0"/>
              <w:jc w:val="left"/>
              <w:rPr>
                <w:rFonts w:ascii="宋体" w:hAnsi="宋体" w:cs="宋体" w:eastAsia="宋体" w:hint="default"/>
                <w:sz w:val="18"/>
                <w:szCs w:val="18"/>
              </w:rPr>
            </w:pPr>
            <w:r>
              <w:rPr>
                <w:rFonts w:ascii="宋体"/>
                <w:sz w:val="18"/>
              </w:rPr>
              <w:t>-1,492,363.54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-42,865,859.08</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3"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96" w:right="0"/>
              <w:jc w:val="left"/>
              <w:rPr>
                <w:rFonts w:ascii="宋体" w:hAnsi="宋体" w:cs="宋体" w:eastAsia="宋体" w:hint="default"/>
                <w:sz w:val="18"/>
                <w:szCs w:val="18"/>
              </w:rPr>
            </w:pPr>
            <w:r>
              <w:rPr>
                <w:rFonts w:ascii="宋体"/>
                <w:sz w:val="18"/>
              </w:rPr>
              <w:t>-1,539,883.54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-6,505,160.87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二、营业利润（亏损以“－”号填列</w:t>
            </w:r>
          </w:p>
        </w:tc>
        <w:tc>
          <w:tcPr>
            <w:tcW w:w="10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2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63,933,199.88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48,121,895.60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86" w:right="0"/>
              <w:jc w:val="left"/>
              <w:rPr>
                <w:rFonts w:ascii="宋体" w:hAnsi="宋体" w:cs="宋体" w:eastAsia="宋体" w:hint="default"/>
                <w:sz w:val="18"/>
                <w:szCs w:val="18"/>
              </w:rPr>
            </w:pPr>
            <w:r>
              <w:rPr>
                <w:rFonts w:ascii="宋体"/>
                <w:sz w:val="18"/>
              </w:rPr>
              <w:t>6,837,907.98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14,402,904.85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8,097.85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86" w:right="0"/>
              <w:jc w:val="left"/>
              <w:rPr>
                <w:rFonts w:ascii="宋体" w:hAnsi="宋体" w:cs="宋体" w:eastAsia="宋体" w:hint="default"/>
                <w:sz w:val="18"/>
                <w:szCs w:val="18"/>
              </w:rPr>
            </w:pPr>
            <w:r>
              <w:rPr>
                <w:rFonts w:ascii="宋体"/>
                <w:sz w:val="18"/>
              </w:rPr>
              <w:t>1,312,553.15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2,861,377.02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86" w:right="0"/>
              <w:jc w:val="left"/>
              <w:rPr>
                <w:rFonts w:ascii="宋体" w:hAnsi="宋体" w:cs="宋体" w:eastAsia="宋体" w:hint="default"/>
                <w:sz w:val="18"/>
                <w:szCs w:val="18"/>
              </w:rPr>
            </w:pPr>
            <w:r>
              <w:rPr>
                <w:rFonts w:ascii="宋体"/>
                <w:sz w:val="18"/>
              </w:rPr>
              <w:t>1,157,795.26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527,901.92</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三、利润总额（亏损总额以“－”号 填列）</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96" w:right="0"/>
              <w:jc w:val="left"/>
              <w:rPr>
                <w:rFonts w:ascii="宋体" w:hAnsi="宋体" w:cs="宋体" w:eastAsia="宋体" w:hint="default"/>
                <w:sz w:val="18"/>
                <w:szCs w:val="18"/>
              </w:rPr>
            </w:pPr>
            <w:r>
              <w:rPr>
                <w:rFonts w:ascii="宋体"/>
                <w:sz w:val="18"/>
              </w:rPr>
              <w:t>69,458,554.71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59,663,423.43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96" w:right="0"/>
              <w:jc w:val="left"/>
              <w:rPr>
                <w:rFonts w:ascii="宋体" w:hAnsi="宋体" w:cs="宋体" w:eastAsia="宋体" w:hint="default"/>
                <w:sz w:val="18"/>
                <w:szCs w:val="18"/>
              </w:rPr>
            </w:pPr>
            <w:r>
              <w:rPr>
                <w:rFonts w:ascii="宋体"/>
                <w:sz w:val="18"/>
              </w:rPr>
              <w:t>10,379,731.58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3,364,371.64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四、净利润（净亏损以“－”号填列</w:t>
            </w:r>
          </w:p>
        </w:tc>
        <w:tc>
          <w:tcPr>
            <w:tcW w:w="10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2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59,078,823.13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56,299,051.79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921,672.00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1,230,120.00</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0"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重新计量设定受益计划净负债 或净资产的变动</w:t>
            </w:r>
          </w:p>
        </w:tc>
        <w:tc>
          <w:tcPr>
            <w:tcW w:w="3300"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3" w:firstLine="360"/>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权益法下在被投资单位不能重 分类进损益的其他综合收益中享有的 份额</w:t>
            </w:r>
          </w:p>
        </w:tc>
        <w:tc>
          <w:tcPr>
            <w:tcW w:w="3300"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921,672.00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1,230,120.00</w:t>
            </w:r>
          </w:p>
        </w:tc>
      </w:tr>
      <w:tr>
        <w:trPr>
          <w:trHeight w:val="1026"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3" w:firstLine="360"/>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权益法下在被投资单位以后将 重分类进损益的其他综合收益中享有 的份额</w:t>
            </w:r>
          </w:p>
        </w:tc>
        <w:tc>
          <w:tcPr>
            <w:tcW w:w="3300"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可供出售金融资产公允价值变 动损益</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921,672.00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1,230,120.00</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持有至到期投资重分类为可供 出售金融资产损益</w:t>
            </w:r>
          </w:p>
        </w:tc>
        <w:tc>
          <w:tcPr>
            <w:tcW w:w="3300"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现金流量套期损益的有效部分</w:t>
            </w:r>
          </w:p>
        </w:tc>
        <w:tc>
          <w:tcPr>
            <w:tcW w:w="3300"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外币财务报表折算差额</w:t>
            </w:r>
          </w:p>
        </w:tc>
        <w:tc>
          <w:tcPr>
            <w:tcW w:w="3300"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3300"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87" w:top="1100" w:bottom="138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60,000,495.13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57,529,171.79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53"/>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0.1374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0.1309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53"/>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0.1374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0.1309</w:t>
            </w:r>
          </w:p>
        </w:tc>
      </w:tr>
    </w:tbl>
    <w:p>
      <w:pPr>
        <w:spacing w:line="240" w:lineRule="auto" w:before="7"/>
        <w:rPr>
          <w:rFonts w:ascii="Times New Roman" w:hAnsi="Times New Roman" w:cs="Times New Roman" w:eastAsia="Times New Roman" w:hint="default"/>
          <w:sz w:val="7"/>
          <w:szCs w:val="7"/>
        </w:rPr>
      </w:pPr>
    </w:p>
    <w:p>
      <w:pPr>
        <w:pStyle w:val="BodyText"/>
        <w:tabs>
          <w:tab w:pos="3510" w:val="left" w:leader="none"/>
          <w:tab w:pos="7561" w:val="left" w:leader="none"/>
        </w:tabs>
        <w:spacing w:line="240" w:lineRule="auto" w:before="44"/>
        <w:ind w:left="0" w:right="1229"/>
        <w:jc w:val="right"/>
      </w:pPr>
      <w:r>
        <w:rPr/>
        <w:t>法定代表人：张新访</w:t>
        <w:tab/>
        <w:t>主管会计工作负责人：孙静</w:t>
        <w:tab/>
        <w:t>会计机构负责人：张艳菊</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合并现金流量表" w:id="159"/>
      <w:bookmarkEnd w:id="159"/>
      <w:r>
        <w:rPr>
          <w:b w:val="0"/>
          <w:bCs w:val="0"/>
        </w:rPr>
      </w:r>
      <w:r>
        <w:rPr>
          <w:rFonts w:ascii="宋体" w:hAnsi="宋体" w:cs="宋体" w:eastAsia="宋体" w:hint="default"/>
        </w:rPr>
        <w:t>5</w:t>
      </w:r>
      <w:r>
        <w:rPr/>
        <w:t>、合并现金流量表</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0" w:right="131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1,719,913,866.55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1,516,242,074.79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1,003,293.44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6,811,572.58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116,441,587.89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41,969,708.32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1,837,358,747.88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1,565,023,355.69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902,717,566.59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1,057,836,171.62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2"/>
              <w:jc w:val="right"/>
              <w:rPr>
                <w:rFonts w:ascii="宋体" w:hAnsi="宋体" w:cs="宋体" w:eastAsia="宋体" w:hint="default"/>
                <w:sz w:val="18"/>
                <w:szCs w:val="18"/>
              </w:rPr>
            </w:pPr>
            <w:r>
              <w:rPr>
                <w:rFonts w:ascii="宋体" w:hAnsi="宋体" w:cs="宋体" w:eastAsia="宋体" w:hint="default"/>
                <w:sz w:val="18"/>
                <w:szCs w:val="18"/>
              </w:rPr>
              <w:t>支付给职工以及为职工支付的现</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310,522,060.86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298,563,776.91</w:t>
            </w:r>
          </w:p>
        </w:tc>
      </w:tr>
    </w:tbl>
    <w:p>
      <w:pPr>
        <w:spacing w:after="0" w:line="240" w:lineRule="auto"/>
        <w:jc w:val="right"/>
        <w:rPr>
          <w:rFonts w:ascii="宋体" w:hAnsi="宋体" w:cs="宋体" w:eastAsia="宋体" w:hint="default"/>
          <w:sz w:val="18"/>
          <w:szCs w:val="18"/>
        </w:rPr>
        <w:sectPr>
          <w:pgSz w:w="11910" w:h="16840"/>
          <w:pgMar w:header="877" w:footer="1187" w:top="1100" w:bottom="138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36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107,552,128.32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67,932,482.27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224,453,324.23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249,520,296.93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1,545,245,080.00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1,673,852,727.73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292,113,667.88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-108,829,372.04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247,520.00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104,040.00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87,646.78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446,335.15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335,166.78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550,375.15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48,664,690.36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102,427,231.45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4,900,000.00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80,853.18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53,564,690.36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107,508,084.63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-53,229,523.58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-106,957,709.48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17,440,000.00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5,100,000.00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17,440,000.00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5,100,000.00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1,681,809,976.01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4,658,231,675.08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1,699,249,976.01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4,663,331,675.08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2,097,836,167.52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4,310,027,478.00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31,094,521.32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33,977,546.93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87" w:top="1100" w:bottom="138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18,540,000.00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2,128,930,688.84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4,362,545,024.93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-429,680,712.83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300,786,650.15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-6,893,242.45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-3,704,551.17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-197,689,810.98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81,295,017.46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589,447,160.93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508,152,143.47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391,757,349.95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589,447,160.93</w:t>
            </w:r>
          </w:p>
        </w:tc>
      </w:tr>
    </w:tbl>
    <w:p>
      <w:pPr>
        <w:spacing w:line="240" w:lineRule="auto" w:before="7"/>
        <w:rPr>
          <w:rFonts w:ascii="Times New Roman" w:hAnsi="Times New Roman" w:cs="Times New Roman" w:eastAsia="Times New Roman" w:hint="default"/>
          <w:sz w:val="7"/>
          <w:szCs w:val="7"/>
        </w:rPr>
      </w:pPr>
    </w:p>
    <w:p>
      <w:pPr>
        <w:pStyle w:val="BodyText"/>
        <w:tabs>
          <w:tab w:pos="3510" w:val="left" w:leader="none"/>
          <w:tab w:pos="7561" w:val="left" w:leader="none"/>
        </w:tabs>
        <w:spacing w:line="240" w:lineRule="auto" w:before="44"/>
        <w:ind w:left="0" w:right="1229"/>
        <w:jc w:val="right"/>
      </w:pPr>
      <w:r>
        <w:rPr/>
        <w:t>法定代表人：张新访</w:t>
        <w:tab/>
        <w:t>主管会计工作负责人：孙静</w:t>
        <w:tab/>
        <w:t>会计机构负责人：张艳菊</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母公司现金流量表" w:id="160"/>
      <w:bookmarkEnd w:id="160"/>
      <w:r>
        <w:rPr>
          <w:b w:val="0"/>
          <w:bCs w:val="0"/>
        </w:rPr>
      </w:r>
      <w:r>
        <w:rPr>
          <w:rFonts w:ascii="宋体" w:hAnsi="宋体" w:cs="宋体" w:eastAsia="宋体" w:hint="default"/>
        </w:rPr>
        <w:t>6</w:t>
      </w:r>
      <w:r>
        <w:rPr/>
        <w:t>、母公司现金流量表</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0" w:right="131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1,656,629,461.45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1,458,055,794.99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1,003,293.44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6,811,572.58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115,179,312.54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95,973,975.70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1,772,812,067.43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1,560,841,343.27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945,700,110.61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1,087,935,673.58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210,176,507.61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187,320,691.17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100,040,995.59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53,091,642.87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207,731,352.90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286,734,108.89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1,463,648,966.71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1,615,082,116.51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309,163,100.72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-54,240,773.24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47,520.00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95,040.00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85,031.88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628,722.82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132,551.88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723,762.82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2"/>
              <w:jc w:val="right"/>
              <w:rPr>
                <w:rFonts w:ascii="宋体" w:hAnsi="宋体" w:cs="宋体" w:eastAsia="宋体" w:hint="default"/>
                <w:sz w:val="18"/>
                <w:szCs w:val="18"/>
              </w:rPr>
            </w:pPr>
            <w:r>
              <w:rPr>
                <w:rFonts w:ascii="宋体" w:hAnsi="宋体" w:cs="宋体" w:eastAsia="宋体" w:hint="default"/>
                <w:sz w:val="18"/>
                <w:szCs w:val="18"/>
              </w:rPr>
              <w:t>购建固定资产、无形资产和其他</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45,365,816.76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75,838,927.79</w:t>
            </w:r>
          </w:p>
        </w:tc>
      </w:tr>
    </w:tbl>
    <w:p>
      <w:pPr>
        <w:spacing w:after="0" w:line="240" w:lineRule="auto"/>
        <w:jc w:val="right"/>
        <w:rPr>
          <w:rFonts w:ascii="宋体" w:hAnsi="宋体" w:cs="宋体" w:eastAsia="宋体" w:hint="default"/>
          <w:sz w:val="18"/>
          <w:szCs w:val="18"/>
        </w:rPr>
        <w:sectPr>
          <w:pgSz w:w="11910" w:h="16840"/>
          <w:pgMar w:header="877" w:footer="1187" w:top="1100" w:bottom="138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36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长期资产支付的现金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15,560,000.00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35,440,000.00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60,925,816.76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111,278,927.79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-60,793,264.88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-110,555,164.97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1,681,809,976.01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4,658,231,675.08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1,681,809,976.01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4,658,231,675.08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2,097,836,167.52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4,305,027,478.00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31,094,521.32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33,767,130.25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2,128,930,688.84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4,338,794,608.25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-447,120,712.83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319,437,066.83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-6,893,242.45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-3,704,551.17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-205,644,119.44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150,936,577.45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562,448,277.40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411,511,699.95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356,804,157.96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562,448,277.40</w:t>
            </w:r>
          </w:p>
        </w:tc>
      </w:tr>
    </w:tbl>
    <w:p>
      <w:pPr>
        <w:spacing w:line="240" w:lineRule="auto" w:before="9"/>
        <w:rPr>
          <w:rFonts w:ascii="宋体" w:hAnsi="宋体" w:cs="宋体" w:eastAsia="宋体" w:hint="default"/>
          <w:sz w:val="6"/>
          <w:szCs w:val="6"/>
        </w:rPr>
      </w:pPr>
    </w:p>
    <w:p>
      <w:pPr>
        <w:pStyle w:val="BodyText"/>
        <w:tabs>
          <w:tab w:pos="4644" w:val="left" w:leader="none"/>
          <w:tab w:pos="8695" w:val="left" w:leader="none"/>
        </w:tabs>
        <w:spacing w:line="240" w:lineRule="auto" w:before="44"/>
        <w:ind w:left="1134" w:right="0"/>
        <w:jc w:val="left"/>
      </w:pPr>
      <w:r>
        <w:rPr/>
        <w:t>法定代表人：张新访</w:t>
        <w:tab/>
        <w:t>主管会计工作负责人：孙静</w:t>
        <w:tab/>
        <w:t>会计机构负责人：张艳菊</w:t>
      </w:r>
    </w:p>
    <w:p>
      <w:pPr>
        <w:spacing w:after="0" w:line="240" w:lineRule="auto"/>
        <w:jc w:val="left"/>
        <w:sectPr>
          <w:pgSz w:w="11910" w:h="16840"/>
          <w:pgMar w:header="877" w:footer="1187" w:top="1100" w:bottom="1380" w:left="0" w:right="0"/>
        </w:sectPr>
      </w:pPr>
    </w:p>
    <w:p>
      <w:pPr>
        <w:spacing w:line="240" w:lineRule="auto" w:before="9"/>
        <w:rPr>
          <w:rFonts w:ascii="宋体" w:hAnsi="宋体" w:cs="宋体" w:eastAsia="宋体" w:hint="default"/>
          <w:sz w:val="3"/>
          <w:szCs w:val="3"/>
        </w:rPr>
      </w:pPr>
    </w:p>
    <w:p>
      <w:pPr>
        <w:spacing w:line="20" w:lineRule="exact"/>
        <w:ind w:left="58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620" w:right="0"/>
        <w:jc w:val="left"/>
        <w:rPr>
          <w:b w:val="0"/>
          <w:bCs w:val="0"/>
        </w:rPr>
      </w:pPr>
      <w:bookmarkStart w:name="7、合并所有者权益变动表" w:id="161"/>
      <w:bookmarkEnd w:id="161"/>
      <w:r>
        <w:rPr>
          <w:b w:val="0"/>
          <w:bCs w:val="0"/>
        </w:rPr>
      </w:r>
      <w:r>
        <w:rPr>
          <w:rFonts w:ascii="宋体" w:hAnsi="宋体" w:cs="宋体" w:eastAsia="宋体" w:hint="default"/>
        </w:rPr>
        <w:t>7</w:t>
      </w:r>
      <w:r>
        <w:rPr/>
        <w:t>、合并所有者权益变动表</w:t>
      </w:r>
      <w:r>
        <w:rPr>
          <w:b w:val="0"/>
          <w:bCs w:val="0"/>
        </w:rPr>
      </w:r>
    </w:p>
    <w:p>
      <w:pPr>
        <w:spacing w:line="240" w:lineRule="auto" w:before="11"/>
        <w:rPr>
          <w:rFonts w:ascii="宋体" w:hAnsi="宋体" w:cs="宋体" w:eastAsia="宋体" w:hint="default"/>
          <w:b/>
          <w:bCs/>
          <w:sz w:val="27"/>
          <w:szCs w:val="27"/>
        </w:rPr>
      </w:pPr>
    </w:p>
    <w:p>
      <w:pPr>
        <w:pStyle w:val="BodyText"/>
        <w:tabs>
          <w:tab w:pos="13851" w:val="left" w:leader="none"/>
        </w:tabs>
        <w:spacing w:line="240" w:lineRule="auto"/>
        <w:ind w:left="620" w:right="0"/>
        <w:jc w:val="left"/>
      </w:pPr>
      <w:r>
        <w:rPr/>
        <w:t>本期金额</w:t>
        <w:tab/>
        <w:t>单位</w:t>
      </w:r>
      <w:r>
        <w:rPr>
          <w:spacing w:val="-89"/>
        </w:rPr>
        <w:t>：</w:t>
      </w:r>
      <w:r>
        <w:rPr/>
        <w:t>元</w:t>
      </w:r>
    </w:p>
    <w:p>
      <w:pPr>
        <w:spacing w:line="240" w:lineRule="auto" w:before="13"/>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2836"/>
        <w:gridCol w:w="1344"/>
        <w:gridCol w:w="420"/>
        <w:gridCol w:w="433"/>
        <w:gridCol w:w="420"/>
        <w:gridCol w:w="1372"/>
        <w:gridCol w:w="601"/>
        <w:gridCol w:w="1176"/>
        <w:gridCol w:w="449"/>
        <w:gridCol w:w="1246"/>
        <w:gridCol w:w="434"/>
        <w:gridCol w:w="1385"/>
        <w:gridCol w:w="1386"/>
        <w:gridCol w:w="1525"/>
      </w:tblGrid>
      <w:tr>
        <w:trPr>
          <w:trHeight w:val="402" w:hRule="exact"/>
        </w:trPr>
        <w:tc>
          <w:tcPr>
            <w:tcW w:w="28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192"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2836" w:type="dxa"/>
            <w:vMerge/>
            <w:tcBorders>
              <w:left w:val="single" w:sz="4" w:space="0" w:color="000000"/>
              <w:right w:val="single" w:sz="4" w:space="0" w:color="000000"/>
            </w:tcBorders>
          </w:tcPr>
          <w:p>
            <w:pPr/>
          </w:p>
        </w:tc>
        <w:tc>
          <w:tcPr>
            <w:tcW w:w="928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3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147"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5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127"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02" w:hRule="exact"/>
        </w:trPr>
        <w:tc>
          <w:tcPr>
            <w:tcW w:w="2836" w:type="dxa"/>
            <w:vMerge/>
            <w:tcBorders>
              <w:left w:val="single" w:sz="4" w:space="0" w:color="000000"/>
              <w:right w:val="single" w:sz="4" w:space="0" w:color="000000"/>
            </w:tcBorders>
          </w:tcPr>
          <w:p>
            <w:pPr/>
          </w:p>
        </w:tc>
        <w:tc>
          <w:tcPr>
            <w:tcW w:w="13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27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2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601"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15" w:right="24"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11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449"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39" w:right="37"/>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24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5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434" w:type="dxa"/>
            <w:vMerge w:val="restart"/>
            <w:tcBorders>
              <w:top w:val="single" w:sz="4" w:space="0" w:color="000000"/>
              <w:left w:val="single" w:sz="4" w:space="0" w:color="000000"/>
              <w:right w:val="single" w:sz="4" w:space="0" w:color="000000"/>
            </w:tcBorders>
          </w:tcPr>
          <w:p>
            <w:pPr>
              <w:pStyle w:val="TableParagraph"/>
              <w:spacing w:line="319" w:lineRule="auto" w:before="97"/>
              <w:ind w:left="31" w:right="31"/>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3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3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86" w:type="dxa"/>
            <w:vMerge/>
            <w:tcBorders>
              <w:left w:val="single" w:sz="4" w:space="0" w:color="000000"/>
              <w:right w:val="single" w:sz="4" w:space="0" w:color="000000"/>
            </w:tcBorders>
          </w:tcPr>
          <w:p>
            <w:pPr/>
          </w:p>
        </w:tc>
        <w:tc>
          <w:tcPr>
            <w:tcW w:w="1525" w:type="dxa"/>
            <w:vMerge/>
            <w:tcBorders>
              <w:left w:val="single" w:sz="4" w:space="0" w:color="000000"/>
              <w:right w:val="single" w:sz="4" w:space="0" w:color="000000"/>
            </w:tcBorders>
          </w:tcPr>
          <w:p>
            <w:pPr/>
          </w:p>
        </w:tc>
      </w:tr>
      <w:tr>
        <w:trPr>
          <w:trHeight w:val="714" w:hRule="exact"/>
        </w:trPr>
        <w:tc>
          <w:tcPr>
            <w:tcW w:w="2836" w:type="dxa"/>
            <w:vMerge/>
            <w:tcBorders>
              <w:left w:val="single" w:sz="4" w:space="0" w:color="000000"/>
              <w:bottom w:val="single" w:sz="4" w:space="0" w:color="000000"/>
              <w:right w:val="single" w:sz="4" w:space="0" w:color="000000"/>
            </w:tcBorders>
          </w:tcPr>
          <w:p>
            <w:pPr/>
          </w:p>
        </w:tc>
        <w:tc>
          <w:tcPr>
            <w:tcW w:w="1344" w:type="dxa"/>
            <w:vMerge/>
            <w:tcBorders>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13" w:right="24"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4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21" w:right="30"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72" w:type="dxa"/>
            <w:vMerge/>
            <w:tcBorders>
              <w:left w:val="single" w:sz="4" w:space="0" w:color="000000"/>
              <w:bottom w:val="single" w:sz="4" w:space="0" w:color="000000"/>
              <w:right w:val="single" w:sz="4" w:space="0" w:color="000000"/>
            </w:tcBorders>
          </w:tcPr>
          <w:p>
            <w:pPr/>
          </w:p>
        </w:tc>
        <w:tc>
          <w:tcPr>
            <w:tcW w:w="601" w:type="dxa"/>
            <w:vMerge/>
            <w:tcBorders>
              <w:left w:val="single" w:sz="4" w:space="0" w:color="000000"/>
              <w:bottom w:val="single" w:sz="4" w:space="0" w:color="000000"/>
              <w:right w:val="single" w:sz="4" w:space="0" w:color="000000"/>
            </w:tcBorders>
          </w:tcPr>
          <w:p>
            <w:pPr/>
          </w:p>
        </w:tc>
        <w:tc>
          <w:tcPr>
            <w:tcW w:w="1176"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1246" w:type="dxa"/>
            <w:vMerge/>
            <w:tcBorders>
              <w:left w:val="single" w:sz="4" w:space="0" w:color="000000"/>
              <w:bottom w:val="single" w:sz="4" w:space="0" w:color="000000"/>
              <w:right w:val="single" w:sz="4" w:space="0" w:color="000000"/>
            </w:tcBorders>
          </w:tcPr>
          <w:p>
            <w:pPr/>
          </w:p>
        </w:tc>
        <w:tc>
          <w:tcPr>
            <w:tcW w:w="434" w:type="dxa"/>
            <w:vMerge/>
            <w:tcBorders>
              <w:left w:val="single" w:sz="4" w:space="0" w:color="000000"/>
              <w:bottom w:val="single" w:sz="4" w:space="0" w:color="000000"/>
              <w:right w:val="single" w:sz="4" w:space="0" w:color="000000"/>
            </w:tcBorders>
          </w:tcPr>
          <w:p>
            <w:pPr/>
          </w:p>
        </w:tc>
        <w:tc>
          <w:tcPr>
            <w:tcW w:w="1385" w:type="dxa"/>
            <w:vMerge/>
            <w:tcBorders>
              <w:left w:val="single" w:sz="4" w:space="0" w:color="000000"/>
              <w:bottom w:val="single" w:sz="4" w:space="0" w:color="000000"/>
              <w:right w:val="single" w:sz="4" w:space="0" w:color="000000"/>
            </w:tcBorders>
          </w:tcPr>
          <w:p>
            <w:pPr/>
          </w:p>
        </w:tc>
        <w:tc>
          <w:tcPr>
            <w:tcW w:w="1386" w:type="dxa"/>
            <w:vMerge/>
            <w:tcBorders>
              <w:left w:val="single" w:sz="4" w:space="0" w:color="000000"/>
              <w:bottom w:val="single" w:sz="4" w:space="0" w:color="000000"/>
              <w:right w:val="single" w:sz="4" w:space="0" w:color="000000"/>
            </w:tcBorders>
          </w:tcPr>
          <w:p>
            <w:pPr/>
          </w:p>
        </w:tc>
        <w:tc>
          <w:tcPr>
            <w:tcW w:w="1525" w:type="dxa"/>
            <w:vMerge/>
            <w:tcBorders>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430,056,000.00</w:t>
            </w:r>
          </w:p>
        </w:tc>
        <w:tc>
          <w:tcPr>
            <w:tcW w:w="420"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400,456,124.30</w:t>
            </w:r>
          </w:p>
        </w:tc>
        <w:tc>
          <w:tcPr>
            <w:tcW w:w="6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4,265,776.00</w:t>
            </w:r>
          </w:p>
        </w:tc>
        <w:tc>
          <w:tcPr>
            <w:tcW w:w="449"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0" w:right="0"/>
              <w:jc w:val="center"/>
              <w:rPr>
                <w:rFonts w:ascii="宋体" w:hAnsi="宋体" w:cs="宋体" w:eastAsia="宋体" w:hint="default"/>
                <w:sz w:val="18"/>
                <w:szCs w:val="18"/>
              </w:rPr>
            </w:pPr>
            <w:r>
              <w:rPr>
                <w:rFonts w:ascii="宋体"/>
                <w:sz w:val="18"/>
              </w:rPr>
              <w:t>42,135,156.40</w:t>
            </w:r>
          </w:p>
        </w:tc>
        <w:tc>
          <w:tcPr>
            <w:tcW w:w="434"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233,075,147.80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4,865,346.03</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1,114,853,550.53</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4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74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4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34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4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430,056,000.00</w:t>
            </w:r>
          </w:p>
        </w:tc>
        <w:tc>
          <w:tcPr>
            <w:tcW w:w="420"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400,456,124.30</w:t>
            </w:r>
          </w:p>
        </w:tc>
        <w:tc>
          <w:tcPr>
            <w:tcW w:w="6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4,265,776.00</w:t>
            </w:r>
          </w:p>
        </w:tc>
        <w:tc>
          <w:tcPr>
            <w:tcW w:w="449"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0" w:right="0"/>
              <w:jc w:val="center"/>
              <w:rPr>
                <w:rFonts w:ascii="宋体" w:hAnsi="宋体" w:cs="宋体" w:eastAsia="宋体" w:hint="default"/>
                <w:sz w:val="18"/>
                <w:szCs w:val="18"/>
              </w:rPr>
            </w:pPr>
            <w:r>
              <w:rPr>
                <w:rFonts w:ascii="宋体"/>
                <w:sz w:val="18"/>
              </w:rPr>
              <w:t>42,135,156.40</w:t>
            </w:r>
          </w:p>
        </w:tc>
        <w:tc>
          <w:tcPr>
            <w:tcW w:w="434"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233,075,147.80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4,865,346.03</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1,114,853,550.53</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81"/>
              <w:jc w:val="left"/>
              <w:rPr>
                <w:rFonts w:ascii="宋体" w:hAnsi="宋体" w:cs="宋体" w:eastAsia="宋体" w:hint="default"/>
                <w:sz w:val="18"/>
                <w:szCs w:val="18"/>
              </w:rPr>
            </w:pPr>
            <w:r>
              <w:rPr>
                <w:rFonts w:ascii="宋体" w:hAnsi="宋体" w:cs="宋体" w:eastAsia="宋体" w:hint="default"/>
                <w:sz w:val="18"/>
                <w:szCs w:val="18"/>
              </w:rPr>
              <w:t>三、本期增减变动金额（减少以 “－”号填列）</w:t>
            </w:r>
          </w:p>
        </w:tc>
        <w:tc>
          <w:tcPr>
            <w:tcW w:w="134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15,231,115.18</w:t>
            </w:r>
          </w:p>
        </w:tc>
        <w:tc>
          <w:tcPr>
            <w:tcW w:w="6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921,672.00</w:t>
            </w:r>
          </w:p>
        </w:tc>
        <w:tc>
          <w:tcPr>
            <w:tcW w:w="449"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0" w:right="0"/>
              <w:jc w:val="center"/>
              <w:rPr>
                <w:rFonts w:ascii="宋体" w:hAnsi="宋体" w:cs="宋体" w:eastAsia="宋体" w:hint="default"/>
                <w:sz w:val="18"/>
                <w:szCs w:val="18"/>
              </w:rPr>
            </w:pPr>
            <w:r>
              <w:rPr>
                <w:rFonts w:ascii="宋体"/>
                <w:sz w:val="18"/>
              </w:rPr>
              <w:t>5,907,882.31</w:t>
            </w:r>
          </w:p>
        </w:tc>
        <w:tc>
          <w:tcPr>
            <w:tcW w:w="434"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-20,415,721.24</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1,325,072.58</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2,970,020.83</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34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921,672.00</w:t>
            </w:r>
          </w:p>
        </w:tc>
        <w:tc>
          <w:tcPr>
            <w:tcW w:w="449"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6,994,961.07</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-883,812.24</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7,032,820.83</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34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17,440,000.00</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17,440,000.00</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34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17,440,000.00</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17,440,000.00</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．其他权益工具持有者投入资本</w:t>
            </w:r>
          </w:p>
        </w:tc>
        <w:tc>
          <w:tcPr>
            <w:tcW w:w="134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．股份支付计入所有者权益的金额</w:t>
            </w:r>
          </w:p>
        </w:tc>
        <w:tc>
          <w:tcPr>
            <w:tcW w:w="134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4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4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0" w:right="0"/>
              <w:jc w:val="center"/>
              <w:rPr>
                <w:rFonts w:ascii="宋体" w:hAnsi="宋体" w:cs="宋体" w:eastAsia="宋体" w:hint="default"/>
                <w:sz w:val="18"/>
                <w:szCs w:val="18"/>
              </w:rPr>
            </w:pPr>
            <w:r>
              <w:rPr>
                <w:rFonts w:ascii="宋体"/>
                <w:sz w:val="18"/>
              </w:rPr>
              <w:t>5,907,882.31</w:t>
            </w:r>
          </w:p>
        </w:tc>
        <w:tc>
          <w:tcPr>
            <w:tcW w:w="434"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-27,410,682.31</w:t>
            </w:r>
          </w:p>
        </w:tc>
        <w:tc>
          <w:tcPr>
            <w:tcW w:w="1386"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-21,502,800.00</w:t>
            </w:r>
          </w:p>
        </w:tc>
      </w:tr>
      <w:tr>
        <w:trPr>
          <w:trHeight w:val="403"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34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0" w:right="0"/>
              <w:jc w:val="center"/>
              <w:rPr>
                <w:rFonts w:ascii="宋体" w:hAnsi="宋体" w:cs="宋体" w:eastAsia="宋体" w:hint="default"/>
                <w:sz w:val="18"/>
                <w:szCs w:val="18"/>
              </w:rPr>
            </w:pPr>
            <w:r>
              <w:rPr>
                <w:rFonts w:ascii="宋体"/>
                <w:sz w:val="18"/>
              </w:rPr>
              <w:t>5,907,882.31</w:t>
            </w:r>
          </w:p>
        </w:tc>
        <w:tc>
          <w:tcPr>
            <w:tcW w:w="434"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-5,907,882.31</w:t>
            </w:r>
          </w:p>
        </w:tc>
        <w:tc>
          <w:tcPr>
            <w:tcW w:w="1386"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34"/>
          <w:footerReference w:type="default" r:id="rId35"/>
          <w:pgSz w:w="16840" w:h="11910" w:orient="landscape"/>
          <w:pgMar w:header="857" w:footer="1187" w:top="1040" w:bottom="1380" w:left="820" w:right="0"/>
          <w:pgNumType w:start="75"/>
        </w:sectPr>
      </w:pPr>
    </w:p>
    <w:p>
      <w:pPr>
        <w:spacing w:line="240" w:lineRule="auto" w:before="9"/>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2836"/>
        <w:gridCol w:w="1344"/>
        <w:gridCol w:w="420"/>
        <w:gridCol w:w="433"/>
        <w:gridCol w:w="420"/>
        <w:gridCol w:w="1372"/>
        <w:gridCol w:w="601"/>
        <w:gridCol w:w="1176"/>
        <w:gridCol w:w="449"/>
        <w:gridCol w:w="1246"/>
        <w:gridCol w:w="434"/>
        <w:gridCol w:w="1385"/>
        <w:gridCol w:w="1386"/>
        <w:gridCol w:w="1525"/>
      </w:tblGrid>
      <w:tr>
        <w:trPr>
          <w:trHeight w:val="416" w:hRule="exact"/>
        </w:trPr>
        <w:tc>
          <w:tcPr>
            <w:tcW w:w="283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1344" w:type="dxa"/>
            <w:tcBorders>
              <w:top w:val="single" w:sz="15" w:space="0" w:color="000000"/>
              <w:left w:val="single" w:sz="4" w:space="0" w:color="000000"/>
              <w:bottom w:val="single" w:sz="4" w:space="0" w:color="000000"/>
              <w:right w:val="single" w:sz="4" w:space="0" w:color="000000"/>
            </w:tcBorders>
          </w:tcPr>
          <w:p>
            <w:pPr/>
          </w:p>
        </w:tc>
        <w:tc>
          <w:tcPr>
            <w:tcW w:w="420" w:type="dxa"/>
            <w:tcBorders>
              <w:top w:val="single" w:sz="15" w:space="0" w:color="000000"/>
              <w:left w:val="single" w:sz="4" w:space="0" w:color="000000"/>
              <w:bottom w:val="single" w:sz="4" w:space="0" w:color="000000"/>
              <w:right w:val="single" w:sz="4" w:space="0" w:color="000000"/>
            </w:tcBorders>
          </w:tcPr>
          <w:p>
            <w:pPr/>
          </w:p>
        </w:tc>
        <w:tc>
          <w:tcPr>
            <w:tcW w:w="433" w:type="dxa"/>
            <w:tcBorders>
              <w:top w:val="single" w:sz="15" w:space="0" w:color="000000"/>
              <w:left w:val="single" w:sz="4" w:space="0" w:color="000000"/>
              <w:bottom w:val="single" w:sz="4" w:space="0" w:color="000000"/>
              <w:right w:val="single" w:sz="4" w:space="0" w:color="000000"/>
            </w:tcBorders>
          </w:tcPr>
          <w:p>
            <w:pPr/>
          </w:p>
        </w:tc>
        <w:tc>
          <w:tcPr>
            <w:tcW w:w="420" w:type="dxa"/>
            <w:tcBorders>
              <w:top w:val="single" w:sz="15" w:space="0" w:color="000000"/>
              <w:left w:val="single" w:sz="4" w:space="0" w:color="000000"/>
              <w:bottom w:val="single" w:sz="4" w:space="0" w:color="000000"/>
              <w:right w:val="single" w:sz="4" w:space="0" w:color="000000"/>
            </w:tcBorders>
          </w:tcPr>
          <w:p>
            <w:pPr/>
          </w:p>
        </w:tc>
        <w:tc>
          <w:tcPr>
            <w:tcW w:w="1372" w:type="dxa"/>
            <w:tcBorders>
              <w:top w:val="single" w:sz="15" w:space="0" w:color="000000"/>
              <w:left w:val="single" w:sz="4" w:space="0" w:color="000000"/>
              <w:bottom w:val="single" w:sz="4" w:space="0" w:color="000000"/>
              <w:right w:val="single" w:sz="4" w:space="0" w:color="000000"/>
            </w:tcBorders>
          </w:tcPr>
          <w:p>
            <w:pPr/>
          </w:p>
        </w:tc>
        <w:tc>
          <w:tcPr>
            <w:tcW w:w="601" w:type="dxa"/>
            <w:tcBorders>
              <w:top w:val="single" w:sz="15" w:space="0" w:color="000000"/>
              <w:left w:val="single" w:sz="4" w:space="0" w:color="000000"/>
              <w:bottom w:val="single" w:sz="4" w:space="0" w:color="000000"/>
              <w:right w:val="single" w:sz="4" w:space="0" w:color="000000"/>
            </w:tcBorders>
          </w:tcPr>
          <w:p>
            <w:pPr/>
          </w:p>
        </w:tc>
        <w:tc>
          <w:tcPr>
            <w:tcW w:w="1176" w:type="dxa"/>
            <w:tcBorders>
              <w:top w:val="single" w:sz="15" w:space="0" w:color="000000"/>
              <w:left w:val="single" w:sz="4" w:space="0" w:color="000000"/>
              <w:bottom w:val="single" w:sz="4" w:space="0" w:color="000000"/>
              <w:right w:val="single" w:sz="4" w:space="0" w:color="000000"/>
            </w:tcBorders>
          </w:tcPr>
          <w:p>
            <w:pPr/>
          </w:p>
        </w:tc>
        <w:tc>
          <w:tcPr>
            <w:tcW w:w="449" w:type="dxa"/>
            <w:tcBorders>
              <w:top w:val="single" w:sz="15" w:space="0" w:color="000000"/>
              <w:left w:val="single" w:sz="4" w:space="0" w:color="000000"/>
              <w:bottom w:val="single" w:sz="4" w:space="0" w:color="000000"/>
              <w:right w:val="single" w:sz="4" w:space="0" w:color="000000"/>
            </w:tcBorders>
          </w:tcPr>
          <w:p>
            <w:pPr/>
          </w:p>
        </w:tc>
        <w:tc>
          <w:tcPr>
            <w:tcW w:w="1246" w:type="dxa"/>
            <w:tcBorders>
              <w:top w:val="single" w:sz="15" w:space="0" w:color="000000"/>
              <w:left w:val="single" w:sz="4" w:space="0" w:color="000000"/>
              <w:bottom w:val="single" w:sz="4" w:space="0" w:color="000000"/>
              <w:right w:val="single" w:sz="4" w:space="0" w:color="000000"/>
            </w:tcBorders>
          </w:tcPr>
          <w:p>
            <w:pPr/>
          </w:p>
        </w:tc>
        <w:tc>
          <w:tcPr>
            <w:tcW w:w="434" w:type="dxa"/>
            <w:tcBorders>
              <w:top w:val="single" w:sz="15" w:space="0" w:color="000000"/>
              <w:left w:val="single" w:sz="4" w:space="0" w:color="000000"/>
              <w:bottom w:val="single" w:sz="4" w:space="0" w:color="000000"/>
              <w:right w:val="single" w:sz="4" w:space="0" w:color="000000"/>
            </w:tcBorders>
          </w:tcPr>
          <w:p>
            <w:pPr/>
          </w:p>
        </w:tc>
        <w:tc>
          <w:tcPr>
            <w:tcW w:w="1385" w:type="dxa"/>
            <w:tcBorders>
              <w:top w:val="single" w:sz="15" w:space="0" w:color="000000"/>
              <w:left w:val="single" w:sz="4" w:space="0" w:color="000000"/>
              <w:bottom w:val="single" w:sz="4" w:space="0" w:color="000000"/>
              <w:right w:val="single" w:sz="4" w:space="0" w:color="000000"/>
            </w:tcBorders>
          </w:tcPr>
          <w:p>
            <w:pPr/>
          </w:p>
        </w:tc>
        <w:tc>
          <w:tcPr>
            <w:tcW w:w="1386" w:type="dxa"/>
            <w:tcBorders>
              <w:top w:val="single" w:sz="15" w:space="0" w:color="000000"/>
              <w:left w:val="single" w:sz="4" w:space="0" w:color="000000"/>
              <w:bottom w:val="single" w:sz="4" w:space="0" w:color="000000"/>
              <w:right w:val="single" w:sz="4" w:space="0" w:color="000000"/>
            </w:tcBorders>
          </w:tcPr>
          <w:p>
            <w:pPr/>
          </w:p>
        </w:tc>
        <w:tc>
          <w:tcPr>
            <w:tcW w:w="1525"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．对所有者（或股东）的分配</w:t>
            </w:r>
          </w:p>
        </w:tc>
        <w:tc>
          <w:tcPr>
            <w:tcW w:w="134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-21,502,800.00</w:t>
            </w:r>
          </w:p>
        </w:tc>
        <w:tc>
          <w:tcPr>
            <w:tcW w:w="1386"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-21,502,800.00</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4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34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．资本公积转增资本（或股本）</w:t>
            </w:r>
          </w:p>
        </w:tc>
        <w:tc>
          <w:tcPr>
            <w:tcW w:w="134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．盈余公积转增资本（或股本）</w:t>
            </w:r>
          </w:p>
        </w:tc>
        <w:tc>
          <w:tcPr>
            <w:tcW w:w="134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34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4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34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34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34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4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15,231,115.18</w:t>
            </w:r>
          </w:p>
        </w:tc>
        <w:tc>
          <w:tcPr>
            <w:tcW w:w="6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-15,231,115.18</w:t>
            </w:r>
          </w:p>
        </w:tc>
        <w:tc>
          <w:tcPr>
            <w:tcW w:w="15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 w:right="0"/>
              <w:jc w:val="left"/>
              <w:rPr>
                <w:rFonts w:ascii="宋体" w:hAnsi="宋体" w:cs="宋体" w:eastAsia="宋体" w:hint="default"/>
                <w:sz w:val="18"/>
                <w:szCs w:val="18"/>
              </w:rPr>
            </w:pPr>
            <w:r>
              <w:rPr>
                <w:rFonts w:ascii="宋体"/>
                <w:sz w:val="18"/>
              </w:rPr>
              <w:t>430,056,000.00</w:t>
            </w:r>
          </w:p>
        </w:tc>
        <w:tc>
          <w:tcPr>
            <w:tcW w:w="420"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415,687,239.48</w:t>
            </w:r>
          </w:p>
        </w:tc>
        <w:tc>
          <w:tcPr>
            <w:tcW w:w="60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3" w:right="0"/>
              <w:jc w:val="left"/>
              <w:rPr>
                <w:rFonts w:ascii="宋体" w:hAnsi="宋体" w:cs="宋体" w:eastAsia="宋体" w:hint="default"/>
                <w:sz w:val="18"/>
                <w:szCs w:val="18"/>
              </w:rPr>
            </w:pPr>
            <w:r>
              <w:rPr>
                <w:rFonts w:ascii="宋体"/>
                <w:sz w:val="18"/>
              </w:rPr>
              <w:t>5,187,448.00</w:t>
            </w:r>
          </w:p>
        </w:tc>
        <w:tc>
          <w:tcPr>
            <w:tcW w:w="449"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 w:right="0"/>
              <w:jc w:val="left"/>
              <w:rPr>
                <w:rFonts w:ascii="宋体" w:hAnsi="宋体" w:cs="宋体" w:eastAsia="宋体" w:hint="default"/>
                <w:sz w:val="18"/>
                <w:szCs w:val="18"/>
              </w:rPr>
            </w:pPr>
            <w:r>
              <w:rPr>
                <w:rFonts w:ascii="宋体"/>
                <w:sz w:val="18"/>
              </w:rPr>
              <w:t>48,043,038.71</w:t>
            </w:r>
          </w:p>
        </w:tc>
        <w:tc>
          <w:tcPr>
            <w:tcW w:w="434"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212,659,426.56</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6,190,418.61</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1,117,823,571.36</w:t>
            </w:r>
          </w:p>
        </w:tc>
      </w:tr>
    </w:tbl>
    <w:p>
      <w:pPr>
        <w:spacing w:line="240" w:lineRule="auto" w:before="9"/>
        <w:rPr>
          <w:rFonts w:ascii="宋体" w:hAnsi="宋体" w:cs="宋体" w:eastAsia="宋体" w:hint="default"/>
          <w:sz w:val="6"/>
          <w:szCs w:val="6"/>
        </w:rPr>
      </w:pPr>
    </w:p>
    <w:p>
      <w:pPr>
        <w:pStyle w:val="BodyText"/>
        <w:tabs>
          <w:tab w:pos="13851" w:val="left" w:leader="none"/>
        </w:tabs>
        <w:spacing w:line="240" w:lineRule="auto" w:before="44"/>
        <w:ind w:left="620" w:right="0"/>
        <w:jc w:val="left"/>
      </w:pPr>
      <w:r>
        <w:rPr/>
        <w:t>上期金额</w:t>
        <w:tab/>
        <w:t>单位</w:t>
      </w:r>
      <w:r>
        <w:rPr>
          <w:spacing w:val="-89"/>
        </w:rPr>
        <w:t>：</w:t>
      </w:r>
      <w:r>
        <w:rPr/>
        <w:t>元</w:t>
      </w:r>
    </w:p>
    <w:p>
      <w:pPr>
        <w:spacing w:line="240" w:lineRule="auto" w:before="1"/>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2842"/>
        <w:gridCol w:w="1331"/>
        <w:gridCol w:w="433"/>
        <w:gridCol w:w="434"/>
        <w:gridCol w:w="426"/>
        <w:gridCol w:w="1421"/>
        <w:gridCol w:w="546"/>
        <w:gridCol w:w="1151"/>
        <w:gridCol w:w="460"/>
        <w:gridCol w:w="1242"/>
        <w:gridCol w:w="466"/>
        <w:gridCol w:w="1372"/>
        <w:gridCol w:w="1386"/>
        <w:gridCol w:w="1525"/>
      </w:tblGrid>
      <w:tr>
        <w:trPr>
          <w:trHeight w:val="402" w:hRule="exact"/>
        </w:trPr>
        <w:tc>
          <w:tcPr>
            <w:tcW w:w="284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193"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2842" w:type="dxa"/>
            <w:vMerge/>
            <w:tcBorders>
              <w:left w:val="single" w:sz="4" w:space="0" w:color="000000"/>
              <w:right w:val="single" w:sz="4" w:space="0" w:color="000000"/>
            </w:tcBorders>
          </w:tcPr>
          <w:p>
            <w:pPr/>
          </w:p>
        </w:tc>
        <w:tc>
          <w:tcPr>
            <w:tcW w:w="9281"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3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147"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5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127"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02" w:hRule="exact"/>
        </w:trPr>
        <w:tc>
          <w:tcPr>
            <w:tcW w:w="2842" w:type="dxa"/>
            <w:vMerge/>
            <w:tcBorders>
              <w:left w:val="single" w:sz="4" w:space="0" w:color="000000"/>
              <w:right w:val="single" w:sz="4" w:space="0" w:color="000000"/>
            </w:tcBorders>
          </w:tcPr>
          <w:p>
            <w:pPr/>
          </w:p>
        </w:tc>
        <w:tc>
          <w:tcPr>
            <w:tcW w:w="133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2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4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87" w:right="23" w:hanging="65"/>
              <w:jc w:val="left"/>
              <w:rPr>
                <w:rFonts w:ascii="宋体" w:hAnsi="宋体" w:cs="宋体" w:eastAsia="宋体" w:hint="default"/>
                <w:sz w:val="18"/>
                <w:szCs w:val="18"/>
              </w:rPr>
            </w:pPr>
            <w:r>
              <w:rPr>
                <w:rFonts w:ascii="宋体" w:hAnsi="宋体" w:cs="宋体" w:eastAsia="宋体" w:hint="default"/>
                <w:spacing w:val="-17"/>
                <w:sz w:val="18"/>
                <w:szCs w:val="18"/>
              </w:rPr>
              <w:t>减：库</w:t>
            </w:r>
            <w:r>
              <w:rPr>
                <w:rFonts w:ascii="宋体" w:hAnsi="宋体" w:cs="宋体" w:eastAsia="宋体" w:hint="default"/>
                <w:sz w:val="18"/>
                <w:szCs w:val="18"/>
              </w:rPr>
              <w:t> 存股</w:t>
            </w:r>
          </w:p>
        </w:tc>
        <w:tc>
          <w:tcPr>
            <w:tcW w:w="11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46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45" w:right="42"/>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24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466" w:type="dxa"/>
            <w:vMerge w:val="restart"/>
            <w:tcBorders>
              <w:top w:val="single" w:sz="4" w:space="0" w:color="000000"/>
              <w:left w:val="single" w:sz="4" w:space="0" w:color="000000"/>
              <w:right w:val="single" w:sz="4" w:space="0" w:color="000000"/>
            </w:tcBorders>
          </w:tcPr>
          <w:p>
            <w:pPr>
              <w:pStyle w:val="TableParagraph"/>
              <w:spacing w:line="319" w:lineRule="auto" w:before="95"/>
              <w:ind w:left="47" w:right="47"/>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3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86" w:type="dxa"/>
            <w:vMerge/>
            <w:tcBorders>
              <w:left w:val="single" w:sz="4" w:space="0" w:color="000000"/>
              <w:right w:val="single" w:sz="4" w:space="0" w:color="000000"/>
            </w:tcBorders>
          </w:tcPr>
          <w:p>
            <w:pPr/>
          </w:p>
        </w:tc>
        <w:tc>
          <w:tcPr>
            <w:tcW w:w="1525" w:type="dxa"/>
            <w:vMerge/>
            <w:tcBorders>
              <w:left w:val="single" w:sz="4" w:space="0" w:color="000000"/>
              <w:right w:val="single" w:sz="4" w:space="0" w:color="000000"/>
            </w:tcBorders>
          </w:tcPr>
          <w:p>
            <w:pPr/>
          </w:p>
        </w:tc>
      </w:tr>
      <w:tr>
        <w:trPr>
          <w:trHeight w:val="714" w:hRule="exact"/>
        </w:trPr>
        <w:tc>
          <w:tcPr>
            <w:tcW w:w="2842" w:type="dxa"/>
            <w:vMerge/>
            <w:tcBorders>
              <w:left w:val="single" w:sz="4" w:space="0" w:color="000000"/>
              <w:bottom w:val="single" w:sz="4" w:space="0" w:color="000000"/>
              <w:right w:val="single" w:sz="4" w:space="0" w:color="000000"/>
            </w:tcBorders>
          </w:tcPr>
          <w:p>
            <w:pPr/>
          </w:p>
        </w:tc>
        <w:tc>
          <w:tcPr>
            <w:tcW w:w="1331" w:type="dxa"/>
            <w:vMerge/>
            <w:tcBorders>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21" w:right="30"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22" w:right="30"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21" w:type="dxa"/>
            <w:vMerge/>
            <w:tcBorders>
              <w:left w:val="single" w:sz="4" w:space="0" w:color="000000"/>
              <w:bottom w:val="single" w:sz="4" w:space="0" w:color="000000"/>
              <w:right w:val="single" w:sz="4" w:space="0" w:color="000000"/>
            </w:tcBorders>
          </w:tcPr>
          <w:p>
            <w:pPr/>
          </w:p>
        </w:tc>
        <w:tc>
          <w:tcPr>
            <w:tcW w:w="546" w:type="dxa"/>
            <w:vMerge/>
            <w:tcBorders>
              <w:left w:val="single" w:sz="4" w:space="0" w:color="000000"/>
              <w:bottom w:val="single" w:sz="4" w:space="0" w:color="000000"/>
              <w:right w:val="single" w:sz="4" w:space="0" w:color="000000"/>
            </w:tcBorders>
          </w:tcPr>
          <w:p>
            <w:pPr/>
          </w:p>
        </w:tc>
        <w:tc>
          <w:tcPr>
            <w:tcW w:w="1151" w:type="dxa"/>
            <w:vMerge/>
            <w:tcBorders>
              <w:left w:val="single" w:sz="4" w:space="0" w:color="000000"/>
              <w:bottom w:val="single" w:sz="4" w:space="0" w:color="000000"/>
              <w:right w:val="single" w:sz="4" w:space="0" w:color="000000"/>
            </w:tcBorders>
          </w:tcPr>
          <w:p>
            <w:pPr/>
          </w:p>
        </w:tc>
        <w:tc>
          <w:tcPr>
            <w:tcW w:w="460" w:type="dxa"/>
            <w:vMerge/>
            <w:tcBorders>
              <w:left w:val="single" w:sz="4" w:space="0" w:color="000000"/>
              <w:bottom w:val="single" w:sz="4" w:space="0" w:color="000000"/>
              <w:right w:val="single" w:sz="4" w:space="0" w:color="000000"/>
            </w:tcBorders>
          </w:tcPr>
          <w:p>
            <w:pPr/>
          </w:p>
        </w:tc>
        <w:tc>
          <w:tcPr>
            <w:tcW w:w="1242"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1372" w:type="dxa"/>
            <w:vMerge/>
            <w:tcBorders>
              <w:left w:val="single" w:sz="4" w:space="0" w:color="000000"/>
              <w:bottom w:val="single" w:sz="4" w:space="0" w:color="000000"/>
              <w:right w:val="single" w:sz="4" w:space="0" w:color="000000"/>
            </w:tcBorders>
          </w:tcPr>
          <w:p>
            <w:pPr/>
          </w:p>
        </w:tc>
        <w:tc>
          <w:tcPr>
            <w:tcW w:w="1386" w:type="dxa"/>
            <w:vMerge/>
            <w:tcBorders>
              <w:left w:val="single" w:sz="4" w:space="0" w:color="000000"/>
              <w:bottom w:val="single" w:sz="4" w:space="0" w:color="000000"/>
              <w:right w:val="single" w:sz="4" w:space="0" w:color="000000"/>
            </w:tcBorders>
          </w:tcPr>
          <w:p>
            <w:pPr/>
          </w:p>
        </w:tc>
        <w:tc>
          <w:tcPr>
            <w:tcW w:w="1525" w:type="dxa"/>
            <w:vMerge/>
            <w:tcBorders>
              <w:left w:val="single" w:sz="4" w:space="0" w:color="000000"/>
              <w:bottom w:val="single" w:sz="4" w:space="0" w:color="000000"/>
              <w:right w:val="single" w:sz="4" w:space="0" w:color="000000"/>
            </w:tcBorders>
          </w:tcPr>
          <w:p>
            <w:pPr/>
          </w:p>
        </w:tc>
      </w:tr>
      <w:tr>
        <w:trPr>
          <w:trHeight w:val="40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 w:right="0"/>
              <w:jc w:val="left"/>
              <w:rPr>
                <w:rFonts w:ascii="宋体" w:hAnsi="宋体" w:cs="宋体" w:eastAsia="宋体" w:hint="default"/>
                <w:sz w:val="18"/>
                <w:szCs w:val="18"/>
              </w:rPr>
            </w:pPr>
            <w:r>
              <w:rPr>
                <w:rFonts w:ascii="宋体"/>
                <w:sz w:val="18"/>
              </w:rPr>
              <w:t>215,028,000.00</w:t>
            </w:r>
          </w:p>
        </w:tc>
        <w:tc>
          <w:tcPr>
            <w:tcW w:w="433"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8" w:right="0"/>
              <w:jc w:val="left"/>
              <w:rPr>
                <w:rFonts w:ascii="宋体" w:hAnsi="宋体" w:cs="宋体" w:eastAsia="宋体" w:hint="default"/>
                <w:sz w:val="18"/>
                <w:szCs w:val="18"/>
              </w:rPr>
            </w:pPr>
            <w:r>
              <w:rPr>
                <w:rFonts w:ascii="宋体"/>
                <w:sz w:val="18"/>
              </w:rPr>
              <w:t>618,368,541.52</w:t>
            </w:r>
          </w:p>
        </w:tc>
        <w:tc>
          <w:tcPr>
            <w:tcW w:w="546"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 w:right="0"/>
              <w:jc w:val="left"/>
              <w:rPr>
                <w:rFonts w:ascii="宋体" w:hAnsi="宋体" w:cs="宋体" w:eastAsia="宋体" w:hint="default"/>
                <w:sz w:val="18"/>
                <w:szCs w:val="18"/>
              </w:rPr>
            </w:pPr>
            <w:r>
              <w:rPr>
                <w:rFonts w:ascii="宋体"/>
                <w:sz w:val="18"/>
              </w:rPr>
              <w:t>3,035,656.00</w:t>
            </w:r>
          </w:p>
        </w:tc>
        <w:tc>
          <w:tcPr>
            <w:tcW w:w="460"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 w:right="0"/>
              <w:jc w:val="left"/>
              <w:rPr>
                <w:rFonts w:ascii="宋体" w:hAnsi="宋体" w:cs="宋体" w:eastAsia="宋体" w:hint="default"/>
                <w:sz w:val="18"/>
                <w:szCs w:val="18"/>
              </w:rPr>
            </w:pPr>
            <w:r>
              <w:rPr>
                <w:rFonts w:ascii="宋体"/>
                <w:sz w:val="18"/>
              </w:rPr>
              <w:t>36,505,251.22</w:t>
            </w:r>
          </w:p>
        </w:tc>
        <w:tc>
          <w:tcPr>
            <w:tcW w:w="466"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sz w:val="18"/>
              </w:rPr>
              <w:t>201,586,890.67</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2" w:right="0"/>
              <w:jc w:val="left"/>
              <w:rPr>
                <w:rFonts w:ascii="宋体" w:hAnsi="宋体" w:cs="宋体" w:eastAsia="宋体" w:hint="default"/>
                <w:sz w:val="18"/>
                <w:szCs w:val="18"/>
              </w:rPr>
            </w:pPr>
            <w:r>
              <w:rPr>
                <w:rFonts w:ascii="宋体"/>
                <w:sz w:val="18"/>
              </w:rPr>
              <w:t>14,420,885.12</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2" w:right="0"/>
              <w:jc w:val="left"/>
              <w:rPr>
                <w:rFonts w:ascii="宋体" w:hAnsi="宋体" w:cs="宋体" w:eastAsia="宋体" w:hint="default"/>
                <w:sz w:val="18"/>
                <w:szCs w:val="18"/>
              </w:rPr>
            </w:pPr>
            <w:r>
              <w:rPr>
                <w:rFonts w:ascii="宋体"/>
                <w:sz w:val="18"/>
              </w:rPr>
              <w:t>1,088,945,224.53</w:t>
            </w:r>
          </w:p>
        </w:tc>
      </w:tr>
      <w:tr>
        <w:trPr>
          <w:trHeight w:val="40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31"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460"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31"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460"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331"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460"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57" w:footer="1187" w:top="1040" w:bottom="1380" w:left="820" w:right="0"/>
        </w:sectPr>
      </w:pPr>
    </w:p>
    <w:p>
      <w:pPr>
        <w:spacing w:line="240" w:lineRule="auto" w:before="2"/>
        <w:rPr>
          <w:rFonts w:ascii="Times New Roman" w:hAnsi="Times New Roman" w:cs="Times New Roman" w:eastAsia="Times New Roman" w:hint="default"/>
          <w:sz w:val="4"/>
          <w:szCs w:val="4"/>
        </w:rPr>
      </w:pPr>
    </w:p>
    <w:tbl>
      <w:tblPr>
        <w:tblW w:w="0" w:type="auto"/>
        <w:jc w:val="left"/>
        <w:tblInd w:w="111" w:type="dxa"/>
        <w:tblLayout w:type="fixed"/>
        <w:tblCellMar>
          <w:top w:w="0" w:type="dxa"/>
          <w:left w:w="0" w:type="dxa"/>
          <w:bottom w:w="0" w:type="dxa"/>
          <w:right w:w="0" w:type="dxa"/>
        </w:tblCellMar>
        <w:tblLook w:val="01E0"/>
      </w:tblPr>
      <w:tblGrid>
        <w:gridCol w:w="2842"/>
        <w:gridCol w:w="1331"/>
        <w:gridCol w:w="433"/>
        <w:gridCol w:w="434"/>
        <w:gridCol w:w="426"/>
        <w:gridCol w:w="1421"/>
        <w:gridCol w:w="546"/>
        <w:gridCol w:w="1151"/>
        <w:gridCol w:w="460"/>
        <w:gridCol w:w="1242"/>
        <w:gridCol w:w="466"/>
        <w:gridCol w:w="1372"/>
        <w:gridCol w:w="1386"/>
        <w:gridCol w:w="1525"/>
      </w:tblGrid>
      <w:tr>
        <w:trPr>
          <w:trHeight w:val="416" w:hRule="exact"/>
        </w:trPr>
        <w:tc>
          <w:tcPr>
            <w:tcW w:w="284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31" w:type="dxa"/>
            <w:tcBorders>
              <w:top w:val="single" w:sz="15" w:space="0" w:color="000000"/>
              <w:left w:val="single" w:sz="4" w:space="0" w:color="000000"/>
              <w:bottom w:val="single" w:sz="4" w:space="0" w:color="000000"/>
              <w:right w:val="single" w:sz="4" w:space="0" w:color="000000"/>
            </w:tcBorders>
          </w:tcPr>
          <w:p>
            <w:pPr/>
          </w:p>
        </w:tc>
        <w:tc>
          <w:tcPr>
            <w:tcW w:w="433" w:type="dxa"/>
            <w:tcBorders>
              <w:top w:val="single" w:sz="15" w:space="0" w:color="000000"/>
              <w:left w:val="single" w:sz="4" w:space="0" w:color="000000"/>
              <w:bottom w:val="single" w:sz="4" w:space="0" w:color="000000"/>
              <w:right w:val="single" w:sz="4" w:space="0" w:color="000000"/>
            </w:tcBorders>
          </w:tcPr>
          <w:p>
            <w:pPr/>
          </w:p>
        </w:tc>
        <w:tc>
          <w:tcPr>
            <w:tcW w:w="434" w:type="dxa"/>
            <w:tcBorders>
              <w:top w:val="single" w:sz="15" w:space="0" w:color="000000"/>
              <w:left w:val="single" w:sz="4" w:space="0" w:color="000000"/>
              <w:bottom w:val="single" w:sz="4" w:space="0" w:color="000000"/>
              <w:right w:val="single" w:sz="4" w:space="0" w:color="000000"/>
            </w:tcBorders>
          </w:tcPr>
          <w:p>
            <w:pPr/>
          </w:p>
        </w:tc>
        <w:tc>
          <w:tcPr>
            <w:tcW w:w="426" w:type="dxa"/>
            <w:tcBorders>
              <w:top w:val="single" w:sz="15" w:space="0" w:color="000000"/>
              <w:left w:val="single" w:sz="4" w:space="0" w:color="000000"/>
              <w:bottom w:val="single" w:sz="4" w:space="0" w:color="000000"/>
              <w:right w:val="single" w:sz="4" w:space="0" w:color="000000"/>
            </w:tcBorders>
          </w:tcPr>
          <w:p>
            <w:pPr/>
          </w:p>
        </w:tc>
        <w:tc>
          <w:tcPr>
            <w:tcW w:w="1421" w:type="dxa"/>
            <w:tcBorders>
              <w:top w:val="single" w:sz="15" w:space="0" w:color="000000"/>
              <w:left w:val="single" w:sz="4" w:space="0" w:color="000000"/>
              <w:bottom w:val="single" w:sz="4" w:space="0" w:color="000000"/>
              <w:right w:val="single" w:sz="4" w:space="0" w:color="000000"/>
            </w:tcBorders>
          </w:tcPr>
          <w:p>
            <w:pPr/>
          </w:p>
        </w:tc>
        <w:tc>
          <w:tcPr>
            <w:tcW w:w="546" w:type="dxa"/>
            <w:tcBorders>
              <w:top w:val="single" w:sz="15" w:space="0" w:color="000000"/>
              <w:left w:val="single" w:sz="4" w:space="0" w:color="000000"/>
              <w:bottom w:val="single" w:sz="4" w:space="0" w:color="000000"/>
              <w:right w:val="single" w:sz="4" w:space="0" w:color="000000"/>
            </w:tcBorders>
          </w:tcPr>
          <w:p>
            <w:pPr/>
          </w:p>
        </w:tc>
        <w:tc>
          <w:tcPr>
            <w:tcW w:w="1151" w:type="dxa"/>
            <w:tcBorders>
              <w:top w:val="single" w:sz="15" w:space="0" w:color="000000"/>
              <w:left w:val="single" w:sz="4" w:space="0" w:color="000000"/>
              <w:bottom w:val="single" w:sz="4" w:space="0" w:color="000000"/>
              <w:right w:val="single" w:sz="4" w:space="0" w:color="000000"/>
            </w:tcBorders>
          </w:tcPr>
          <w:p>
            <w:pPr/>
          </w:p>
        </w:tc>
        <w:tc>
          <w:tcPr>
            <w:tcW w:w="460" w:type="dxa"/>
            <w:tcBorders>
              <w:top w:val="single" w:sz="15" w:space="0" w:color="000000"/>
              <w:left w:val="single" w:sz="4" w:space="0" w:color="000000"/>
              <w:bottom w:val="single" w:sz="4" w:space="0" w:color="000000"/>
              <w:right w:val="single" w:sz="4" w:space="0" w:color="000000"/>
            </w:tcBorders>
          </w:tcPr>
          <w:p>
            <w:pPr/>
          </w:p>
        </w:tc>
        <w:tc>
          <w:tcPr>
            <w:tcW w:w="1242" w:type="dxa"/>
            <w:tcBorders>
              <w:top w:val="single" w:sz="15" w:space="0" w:color="000000"/>
              <w:left w:val="single" w:sz="4" w:space="0" w:color="000000"/>
              <w:bottom w:val="single" w:sz="4" w:space="0" w:color="000000"/>
              <w:right w:val="single" w:sz="4" w:space="0" w:color="000000"/>
            </w:tcBorders>
          </w:tcPr>
          <w:p>
            <w:pPr/>
          </w:p>
        </w:tc>
        <w:tc>
          <w:tcPr>
            <w:tcW w:w="466" w:type="dxa"/>
            <w:tcBorders>
              <w:top w:val="single" w:sz="15" w:space="0" w:color="000000"/>
              <w:left w:val="single" w:sz="4" w:space="0" w:color="000000"/>
              <w:bottom w:val="single" w:sz="4" w:space="0" w:color="000000"/>
              <w:right w:val="single" w:sz="4" w:space="0" w:color="000000"/>
            </w:tcBorders>
          </w:tcPr>
          <w:p>
            <w:pPr/>
          </w:p>
        </w:tc>
        <w:tc>
          <w:tcPr>
            <w:tcW w:w="1372" w:type="dxa"/>
            <w:tcBorders>
              <w:top w:val="single" w:sz="15" w:space="0" w:color="000000"/>
              <w:left w:val="single" w:sz="4" w:space="0" w:color="000000"/>
              <w:bottom w:val="single" w:sz="4" w:space="0" w:color="000000"/>
              <w:right w:val="single" w:sz="4" w:space="0" w:color="000000"/>
            </w:tcBorders>
          </w:tcPr>
          <w:p>
            <w:pPr/>
          </w:p>
        </w:tc>
        <w:tc>
          <w:tcPr>
            <w:tcW w:w="1386" w:type="dxa"/>
            <w:tcBorders>
              <w:top w:val="single" w:sz="15" w:space="0" w:color="000000"/>
              <w:left w:val="single" w:sz="4" w:space="0" w:color="000000"/>
              <w:bottom w:val="single" w:sz="4" w:space="0" w:color="000000"/>
              <w:right w:val="single" w:sz="4" w:space="0" w:color="000000"/>
            </w:tcBorders>
          </w:tcPr>
          <w:p>
            <w:pPr/>
          </w:p>
        </w:tc>
        <w:tc>
          <w:tcPr>
            <w:tcW w:w="1525"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215,028,000.00</w:t>
            </w:r>
          </w:p>
        </w:tc>
        <w:tc>
          <w:tcPr>
            <w:tcW w:w="433"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618,368,541.52</w:t>
            </w:r>
          </w:p>
        </w:tc>
        <w:tc>
          <w:tcPr>
            <w:tcW w:w="546"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 w:right="0"/>
              <w:jc w:val="center"/>
              <w:rPr>
                <w:rFonts w:ascii="宋体" w:hAnsi="宋体" w:cs="宋体" w:eastAsia="宋体" w:hint="default"/>
                <w:sz w:val="18"/>
                <w:szCs w:val="18"/>
              </w:rPr>
            </w:pPr>
            <w:r>
              <w:rPr>
                <w:rFonts w:ascii="宋体"/>
                <w:sz w:val="18"/>
              </w:rPr>
              <w:t>3,035,656.00</w:t>
            </w:r>
          </w:p>
        </w:tc>
        <w:tc>
          <w:tcPr>
            <w:tcW w:w="460"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 w:right="0"/>
              <w:jc w:val="center"/>
              <w:rPr>
                <w:rFonts w:ascii="宋体" w:hAnsi="宋体" w:cs="宋体" w:eastAsia="宋体" w:hint="default"/>
                <w:sz w:val="18"/>
                <w:szCs w:val="18"/>
              </w:rPr>
            </w:pPr>
            <w:r>
              <w:rPr>
                <w:rFonts w:ascii="宋体"/>
                <w:sz w:val="18"/>
              </w:rPr>
              <w:t>36,505,251.22</w:t>
            </w:r>
          </w:p>
        </w:tc>
        <w:tc>
          <w:tcPr>
            <w:tcW w:w="466"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201,586,890.67</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14,420,885.12</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1,088,945,224.53</w:t>
            </w:r>
          </w:p>
        </w:tc>
      </w:tr>
      <w:tr>
        <w:trPr>
          <w:trHeight w:val="714"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87"/>
              <w:jc w:val="left"/>
              <w:rPr>
                <w:rFonts w:ascii="宋体" w:hAnsi="宋体" w:cs="宋体" w:eastAsia="宋体" w:hint="default"/>
                <w:sz w:val="18"/>
                <w:szCs w:val="18"/>
              </w:rPr>
            </w:pPr>
            <w:r>
              <w:rPr>
                <w:rFonts w:ascii="宋体" w:hAnsi="宋体" w:cs="宋体" w:eastAsia="宋体" w:hint="default"/>
                <w:sz w:val="18"/>
                <w:szCs w:val="18"/>
              </w:rPr>
              <w:t>三、本期增减变动金额（减少以 “－”号填列）</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215,028,000.00</w:t>
            </w:r>
          </w:p>
        </w:tc>
        <w:tc>
          <w:tcPr>
            <w:tcW w:w="433"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-217,912,417.22</w:t>
            </w:r>
          </w:p>
        </w:tc>
        <w:tc>
          <w:tcPr>
            <w:tcW w:w="546"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sz w:val="18"/>
              </w:rPr>
              <w:t>1,230,120.00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4" w:right="0"/>
              <w:jc w:val="center"/>
              <w:rPr>
                <w:rFonts w:ascii="宋体" w:hAnsi="宋体" w:cs="宋体" w:eastAsia="宋体" w:hint="default"/>
                <w:sz w:val="18"/>
                <w:szCs w:val="18"/>
              </w:rPr>
            </w:pPr>
            <w:r>
              <w:rPr>
                <w:rFonts w:ascii="宋体"/>
                <w:sz w:val="18"/>
              </w:rPr>
              <w:t>5,629,905.18</w:t>
            </w:r>
          </w:p>
        </w:tc>
        <w:tc>
          <w:tcPr>
            <w:tcW w:w="466"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31,488,257.13</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-9,555,539.09</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25,908,326.00</w:t>
            </w:r>
          </w:p>
        </w:tc>
      </w:tr>
      <w:tr>
        <w:trPr>
          <w:trHeight w:val="40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331"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 w:right="0"/>
              <w:jc w:val="center"/>
              <w:rPr>
                <w:rFonts w:ascii="宋体" w:hAnsi="宋体" w:cs="宋体" w:eastAsia="宋体" w:hint="default"/>
                <w:sz w:val="18"/>
                <w:szCs w:val="18"/>
              </w:rPr>
            </w:pPr>
            <w:r>
              <w:rPr>
                <w:rFonts w:ascii="宋体"/>
                <w:sz w:val="18"/>
              </w:rPr>
              <w:t>1,230,120.00</w:t>
            </w:r>
          </w:p>
        </w:tc>
        <w:tc>
          <w:tcPr>
            <w:tcW w:w="460"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58,620,962.31</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1,000,043.69</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60,851,126.00</w:t>
            </w:r>
          </w:p>
        </w:tc>
      </w:tr>
      <w:tr>
        <w:trPr>
          <w:trHeight w:val="40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331"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-2,884,417.22</w:t>
            </w:r>
          </w:p>
        </w:tc>
        <w:tc>
          <w:tcPr>
            <w:tcW w:w="546"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460"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-10,555,582.78</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-13,440,000.00</w:t>
            </w:r>
          </w:p>
        </w:tc>
      </w:tr>
      <w:tr>
        <w:trPr>
          <w:trHeight w:val="40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331"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460"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5,100,000.00</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5,100,000.00</w:t>
            </w:r>
          </w:p>
        </w:tc>
      </w:tr>
      <w:tr>
        <w:trPr>
          <w:trHeight w:val="40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．其他权益工具持有者投入资本</w:t>
            </w:r>
          </w:p>
        </w:tc>
        <w:tc>
          <w:tcPr>
            <w:tcW w:w="1331"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460"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．股份支付计入所有者权益的金额</w:t>
            </w:r>
          </w:p>
        </w:tc>
        <w:tc>
          <w:tcPr>
            <w:tcW w:w="1331"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460"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31"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-2,884,417.22</w:t>
            </w:r>
          </w:p>
        </w:tc>
        <w:tc>
          <w:tcPr>
            <w:tcW w:w="546"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460"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-15,655,582.78</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-18,540,000.00</w:t>
            </w:r>
          </w:p>
        </w:tc>
      </w:tr>
      <w:tr>
        <w:trPr>
          <w:trHeight w:val="40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31"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460"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center"/>
              <w:rPr>
                <w:rFonts w:ascii="宋体" w:hAnsi="宋体" w:cs="宋体" w:eastAsia="宋体" w:hint="default"/>
                <w:sz w:val="18"/>
                <w:szCs w:val="18"/>
              </w:rPr>
            </w:pPr>
            <w:r>
              <w:rPr>
                <w:rFonts w:ascii="宋体"/>
                <w:sz w:val="18"/>
              </w:rPr>
              <w:t>5,629,905.18</w:t>
            </w:r>
          </w:p>
        </w:tc>
        <w:tc>
          <w:tcPr>
            <w:tcW w:w="466"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-27,132,705.18</w:t>
            </w:r>
          </w:p>
        </w:tc>
        <w:tc>
          <w:tcPr>
            <w:tcW w:w="1386"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-21,502,800.00</w:t>
            </w:r>
          </w:p>
        </w:tc>
      </w:tr>
      <w:tr>
        <w:trPr>
          <w:trHeight w:val="40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331"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460"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center"/>
              <w:rPr>
                <w:rFonts w:ascii="宋体" w:hAnsi="宋体" w:cs="宋体" w:eastAsia="宋体" w:hint="default"/>
                <w:sz w:val="18"/>
                <w:szCs w:val="18"/>
              </w:rPr>
            </w:pPr>
            <w:r>
              <w:rPr>
                <w:rFonts w:ascii="宋体"/>
                <w:sz w:val="18"/>
              </w:rPr>
              <w:t>5,629,905.18</w:t>
            </w:r>
          </w:p>
        </w:tc>
        <w:tc>
          <w:tcPr>
            <w:tcW w:w="466"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-5,629,905.18</w:t>
            </w:r>
          </w:p>
        </w:tc>
        <w:tc>
          <w:tcPr>
            <w:tcW w:w="1386"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1331"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460"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．对所有者（或股东）的分配</w:t>
            </w:r>
          </w:p>
        </w:tc>
        <w:tc>
          <w:tcPr>
            <w:tcW w:w="1331"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460"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-21,502,800.00</w:t>
            </w:r>
          </w:p>
        </w:tc>
        <w:tc>
          <w:tcPr>
            <w:tcW w:w="1386"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-21,502,800.00</w:t>
            </w:r>
          </w:p>
        </w:tc>
      </w:tr>
      <w:tr>
        <w:trPr>
          <w:trHeight w:val="40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31"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460"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215,028,000.00</w:t>
            </w:r>
          </w:p>
        </w:tc>
        <w:tc>
          <w:tcPr>
            <w:tcW w:w="433"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-215,028,000.00</w:t>
            </w:r>
          </w:p>
        </w:tc>
        <w:tc>
          <w:tcPr>
            <w:tcW w:w="546"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460"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．资本公积转增资本（或股本）</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215,028,000.00</w:t>
            </w:r>
          </w:p>
        </w:tc>
        <w:tc>
          <w:tcPr>
            <w:tcW w:w="433"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-215,028,000.00</w:t>
            </w:r>
          </w:p>
        </w:tc>
        <w:tc>
          <w:tcPr>
            <w:tcW w:w="546"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460"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．盈余公积转增资本（或股本）</w:t>
            </w:r>
          </w:p>
        </w:tc>
        <w:tc>
          <w:tcPr>
            <w:tcW w:w="1331"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460"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331"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460"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31"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460"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331"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460"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331"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460"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331"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460"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57" w:footer="1187" w:top="1040" w:bottom="1380" w:left="820" w:right="0"/>
        </w:sectPr>
      </w:pPr>
    </w:p>
    <w:p>
      <w:pPr>
        <w:spacing w:line="240" w:lineRule="auto" w:before="2"/>
        <w:rPr>
          <w:rFonts w:ascii="Times New Roman" w:hAnsi="Times New Roman" w:cs="Times New Roman" w:eastAsia="Times New Roman" w:hint="default"/>
          <w:sz w:val="4"/>
          <w:szCs w:val="4"/>
        </w:rPr>
      </w:pPr>
    </w:p>
    <w:tbl>
      <w:tblPr>
        <w:tblW w:w="0" w:type="auto"/>
        <w:jc w:val="left"/>
        <w:tblInd w:w="111" w:type="dxa"/>
        <w:tblLayout w:type="fixed"/>
        <w:tblCellMar>
          <w:top w:w="0" w:type="dxa"/>
          <w:left w:w="0" w:type="dxa"/>
          <w:bottom w:w="0" w:type="dxa"/>
          <w:right w:w="0" w:type="dxa"/>
        </w:tblCellMar>
        <w:tblLook w:val="01E0"/>
      </w:tblPr>
      <w:tblGrid>
        <w:gridCol w:w="2842"/>
        <w:gridCol w:w="1331"/>
        <w:gridCol w:w="433"/>
        <w:gridCol w:w="434"/>
        <w:gridCol w:w="426"/>
        <w:gridCol w:w="1421"/>
        <w:gridCol w:w="546"/>
        <w:gridCol w:w="1151"/>
        <w:gridCol w:w="460"/>
        <w:gridCol w:w="1242"/>
        <w:gridCol w:w="466"/>
        <w:gridCol w:w="1372"/>
        <w:gridCol w:w="1386"/>
        <w:gridCol w:w="1525"/>
      </w:tblGrid>
      <w:tr>
        <w:trPr>
          <w:trHeight w:val="416" w:hRule="exact"/>
        </w:trPr>
        <w:tc>
          <w:tcPr>
            <w:tcW w:w="284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31" w:type="dxa"/>
            <w:tcBorders>
              <w:top w:val="single" w:sz="15" w:space="0" w:color="000000"/>
              <w:left w:val="single" w:sz="4" w:space="0" w:color="000000"/>
              <w:bottom w:val="single" w:sz="4" w:space="0" w:color="000000"/>
              <w:right w:val="single" w:sz="4" w:space="0" w:color="000000"/>
            </w:tcBorders>
          </w:tcPr>
          <w:p>
            <w:pPr/>
          </w:p>
        </w:tc>
        <w:tc>
          <w:tcPr>
            <w:tcW w:w="433" w:type="dxa"/>
            <w:tcBorders>
              <w:top w:val="single" w:sz="15" w:space="0" w:color="000000"/>
              <w:left w:val="single" w:sz="4" w:space="0" w:color="000000"/>
              <w:bottom w:val="single" w:sz="4" w:space="0" w:color="000000"/>
              <w:right w:val="single" w:sz="4" w:space="0" w:color="000000"/>
            </w:tcBorders>
          </w:tcPr>
          <w:p>
            <w:pPr/>
          </w:p>
        </w:tc>
        <w:tc>
          <w:tcPr>
            <w:tcW w:w="434" w:type="dxa"/>
            <w:tcBorders>
              <w:top w:val="single" w:sz="15" w:space="0" w:color="000000"/>
              <w:left w:val="single" w:sz="4" w:space="0" w:color="000000"/>
              <w:bottom w:val="single" w:sz="4" w:space="0" w:color="000000"/>
              <w:right w:val="single" w:sz="4" w:space="0" w:color="000000"/>
            </w:tcBorders>
          </w:tcPr>
          <w:p>
            <w:pPr/>
          </w:p>
        </w:tc>
        <w:tc>
          <w:tcPr>
            <w:tcW w:w="426" w:type="dxa"/>
            <w:tcBorders>
              <w:top w:val="single" w:sz="15" w:space="0" w:color="000000"/>
              <w:left w:val="single" w:sz="4" w:space="0" w:color="000000"/>
              <w:bottom w:val="single" w:sz="4" w:space="0" w:color="000000"/>
              <w:right w:val="single" w:sz="4" w:space="0" w:color="000000"/>
            </w:tcBorders>
          </w:tcPr>
          <w:p>
            <w:pPr/>
          </w:p>
        </w:tc>
        <w:tc>
          <w:tcPr>
            <w:tcW w:w="1421" w:type="dxa"/>
            <w:tcBorders>
              <w:top w:val="single" w:sz="15" w:space="0" w:color="000000"/>
              <w:left w:val="single" w:sz="4" w:space="0" w:color="000000"/>
              <w:bottom w:val="single" w:sz="4" w:space="0" w:color="000000"/>
              <w:right w:val="single" w:sz="4" w:space="0" w:color="000000"/>
            </w:tcBorders>
          </w:tcPr>
          <w:p>
            <w:pPr/>
          </w:p>
        </w:tc>
        <w:tc>
          <w:tcPr>
            <w:tcW w:w="546" w:type="dxa"/>
            <w:tcBorders>
              <w:top w:val="single" w:sz="15" w:space="0" w:color="000000"/>
              <w:left w:val="single" w:sz="4" w:space="0" w:color="000000"/>
              <w:bottom w:val="single" w:sz="4" w:space="0" w:color="000000"/>
              <w:right w:val="single" w:sz="4" w:space="0" w:color="000000"/>
            </w:tcBorders>
          </w:tcPr>
          <w:p>
            <w:pPr/>
          </w:p>
        </w:tc>
        <w:tc>
          <w:tcPr>
            <w:tcW w:w="1151" w:type="dxa"/>
            <w:tcBorders>
              <w:top w:val="single" w:sz="15" w:space="0" w:color="000000"/>
              <w:left w:val="single" w:sz="4" w:space="0" w:color="000000"/>
              <w:bottom w:val="single" w:sz="4" w:space="0" w:color="000000"/>
              <w:right w:val="single" w:sz="4" w:space="0" w:color="000000"/>
            </w:tcBorders>
          </w:tcPr>
          <w:p>
            <w:pPr/>
          </w:p>
        </w:tc>
        <w:tc>
          <w:tcPr>
            <w:tcW w:w="460" w:type="dxa"/>
            <w:tcBorders>
              <w:top w:val="single" w:sz="15" w:space="0" w:color="000000"/>
              <w:left w:val="single" w:sz="4" w:space="0" w:color="000000"/>
              <w:bottom w:val="single" w:sz="4" w:space="0" w:color="000000"/>
              <w:right w:val="single" w:sz="4" w:space="0" w:color="000000"/>
            </w:tcBorders>
          </w:tcPr>
          <w:p>
            <w:pPr/>
          </w:p>
        </w:tc>
        <w:tc>
          <w:tcPr>
            <w:tcW w:w="1242" w:type="dxa"/>
            <w:tcBorders>
              <w:top w:val="single" w:sz="15" w:space="0" w:color="000000"/>
              <w:left w:val="single" w:sz="4" w:space="0" w:color="000000"/>
              <w:bottom w:val="single" w:sz="4" w:space="0" w:color="000000"/>
              <w:right w:val="single" w:sz="4" w:space="0" w:color="000000"/>
            </w:tcBorders>
          </w:tcPr>
          <w:p>
            <w:pPr/>
          </w:p>
        </w:tc>
        <w:tc>
          <w:tcPr>
            <w:tcW w:w="466" w:type="dxa"/>
            <w:tcBorders>
              <w:top w:val="single" w:sz="15" w:space="0" w:color="000000"/>
              <w:left w:val="single" w:sz="4" w:space="0" w:color="000000"/>
              <w:bottom w:val="single" w:sz="4" w:space="0" w:color="000000"/>
              <w:right w:val="single" w:sz="4" w:space="0" w:color="000000"/>
            </w:tcBorders>
          </w:tcPr>
          <w:p>
            <w:pPr/>
          </w:p>
        </w:tc>
        <w:tc>
          <w:tcPr>
            <w:tcW w:w="1372" w:type="dxa"/>
            <w:tcBorders>
              <w:top w:val="single" w:sz="15" w:space="0" w:color="000000"/>
              <w:left w:val="single" w:sz="4" w:space="0" w:color="000000"/>
              <w:bottom w:val="single" w:sz="4" w:space="0" w:color="000000"/>
              <w:right w:val="single" w:sz="4" w:space="0" w:color="000000"/>
            </w:tcBorders>
          </w:tcPr>
          <w:p>
            <w:pPr/>
          </w:p>
        </w:tc>
        <w:tc>
          <w:tcPr>
            <w:tcW w:w="1386" w:type="dxa"/>
            <w:tcBorders>
              <w:top w:val="single" w:sz="15" w:space="0" w:color="000000"/>
              <w:left w:val="single" w:sz="4" w:space="0" w:color="000000"/>
              <w:bottom w:val="single" w:sz="4" w:space="0" w:color="000000"/>
              <w:right w:val="single" w:sz="4" w:space="0" w:color="000000"/>
            </w:tcBorders>
          </w:tcPr>
          <w:p>
            <w:pPr/>
          </w:p>
        </w:tc>
        <w:tc>
          <w:tcPr>
            <w:tcW w:w="1525"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 w:right="0"/>
              <w:jc w:val="left"/>
              <w:rPr>
                <w:rFonts w:ascii="宋体" w:hAnsi="宋体" w:cs="宋体" w:eastAsia="宋体" w:hint="default"/>
                <w:sz w:val="18"/>
                <w:szCs w:val="18"/>
              </w:rPr>
            </w:pPr>
            <w:r>
              <w:rPr>
                <w:rFonts w:ascii="宋体"/>
                <w:sz w:val="18"/>
              </w:rPr>
              <w:t>430,056,000.00</w:t>
            </w:r>
          </w:p>
        </w:tc>
        <w:tc>
          <w:tcPr>
            <w:tcW w:w="433"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8" w:right="0"/>
              <w:jc w:val="left"/>
              <w:rPr>
                <w:rFonts w:ascii="宋体" w:hAnsi="宋体" w:cs="宋体" w:eastAsia="宋体" w:hint="default"/>
                <w:sz w:val="18"/>
                <w:szCs w:val="18"/>
              </w:rPr>
            </w:pPr>
            <w:r>
              <w:rPr>
                <w:rFonts w:ascii="宋体"/>
                <w:sz w:val="18"/>
              </w:rPr>
              <w:t>400,456,124.30</w:t>
            </w:r>
          </w:p>
        </w:tc>
        <w:tc>
          <w:tcPr>
            <w:tcW w:w="546"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 w:right="0"/>
              <w:jc w:val="left"/>
              <w:rPr>
                <w:rFonts w:ascii="宋体" w:hAnsi="宋体" w:cs="宋体" w:eastAsia="宋体" w:hint="default"/>
                <w:sz w:val="18"/>
                <w:szCs w:val="18"/>
              </w:rPr>
            </w:pPr>
            <w:r>
              <w:rPr>
                <w:rFonts w:ascii="宋体"/>
                <w:sz w:val="18"/>
              </w:rPr>
              <w:t>4,265,776.00</w:t>
            </w:r>
          </w:p>
        </w:tc>
        <w:tc>
          <w:tcPr>
            <w:tcW w:w="460"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 w:right="0"/>
              <w:jc w:val="left"/>
              <w:rPr>
                <w:rFonts w:ascii="宋体" w:hAnsi="宋体" w:cs="宋体" w:eastAsia="宋体" w:hint="default"/>
                <w:sz w:val="18"/>
                <w:szCs w:val="18"/>
              </w:rPr>
            </w:pPr>
            <w:r>
              <w:rPr>
                <w:rFonts w:ascii="宋体"/>
                <w:sz w:val="18"/>
              </w:rPr>
              <w:t>42,135,156.40</w:t>
            </w:r>
          </w:p>
        </w:tc>
        <w:tc>
          <w:tcPr>
            <w:tcW w:w="466"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sz w:val="18"/>
              </w:rPr>
              <w:t>233,075,147.80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2" w:right="0"/>
              <w:jc w:val="left"/>
              <w:rPr>
                <w:rFonts w:ascii="宋体" w:hAnsi="宋体" w:cs="宋体" w:eastAsia="宋体" w:hint="default"/>
                <w:sz w:val="18"/>
                <w:szCs w:val="18"/>
              </w:rPr>
            </w:pPr>
            <w:r>
              <w:rPr>
                <w:rFonts w:ascii="宋体"/>
                <w:sz w:val="18"/>
              </w:rPr>
              <w:t>4,865,346.03</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2" w:right="0"/>
              <w:jc w:val="left"/>
              <w:rPr>
                <w:rFonts w:ascii="宋体" w:hAnsi="宋体" w:cs="宋体" w:eastAsia="宋体" w:hint="default"/>
                <w:sz w:val="18"/>
                <w:szCs w:val="18"/>
              </w:rPr>
            </w:pPr>
            <w:r>
              <w:rPr>
                <w:rFonts w:ascii="宋体"/>
                <w:sz w:val="18"/>
              </w:rPr>
              <w:t>1,114,853,550.53</w:t>
            </w:r>
          </w:p>
        </w:tc>
      </w:tr>
    </w:tbl>
    <w:p>
      <w:pPr>
        <w:spacing w:line="240" w:lineRule="auto" w:before="7"/>
        <w:rPr>
          <w:rFonts w:ascii="Times New Roman" w:hAnsi="Times New Roman" w:cs="Times New Roman" w:eastAsia="Times New Roman" w:hint="default"/>
          <w:sz w:val="7"/>
          <w:szCs w:val="7"/>
        </w:rPr>
      </w:pPr>
    </w:p>
    <w:tbl>
      <w:tblPr>
        <w:tblW w:w="0" w:type="auto"/>
        <w:jc w:val="left"/>
        <w:tblInd w:w="585" w:type="dxa"/>
        <w:tblLayout w:type="fixed"/>
        <w:tblCellMar>
          <w:top w:w="0" w:type="dxa"/>
          <w:left w:w="0" w:type="dxa"/>
          <w:bottom w:w="0" w:type="dxa"/>
          <w:right w:w="0" w:type="dxa"/>
        </w:tblCellMar>
        <w:tblLook w:val="01E0"/>
      </w:tblPr>
      <w:tblGrid>
        <w:gridCol w:w="4187"/>
        <w:gridCol w:w="5703"/>
        <w:gridCol w:w="4042"/>
      </w:tblGrid>
      <w:tr>
        <w:trPr>
          <w:trHeight w:val="488" w:hRule="exact"/>
        </w:trPr>
        <w:tc>
          <w:tcPr>
            <w:tcW w:w="418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法定代表人：张新访</w:t>
            </w:r>
          </w:p>
        </w:tc>
        <w:tc>
          <w:tcPr>
            <w:tcW w:w="570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518" w:right="0"/>
              <w:jc w:val="left"/>
              <w:rPr>
                <w:rFonts w:ascii="宋体" w:hAnsi="宋体" w:cs="宋体" w:eastAsia="宋体" w:hint="default"/>
                <w:sz w:val="18"/>
                <w:szCs w:val="18"/>
              </w:rPr>
            </w:pPr>
            <w:r>
              <w:rPr>
                <w:rFonts w:ascii="宋体" w:hAnsi="宋体" w:cs="宋体" w:eastAsia="宋体" w:hint="default"/>
                <w:sz w:val="18"/>
                <w:szCs w:val="18"/>
              </w:rPr>
              <w:t>主管会计工作负责人：孙静</w:t>
            </w:r>
          </w:p>
        </w:tc>
        <w:tc>
          <w:tcPr>
            <w:tcW w:w="404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4"/>
              <w:jc w:val="right"/>
              <w:rPr>
                <w:rFonts w:ascii="宋体" w:hAnsi="宋体" w:cs="宋体" w:eastAsia="宋体" w:hint="default"/>
                <w:sz w:val="18"/>
                <w:szCs w:val="18"/>
              </w:rPr>
            </w:pPr>
            <w:r>
              <w:rPr>
                <w:rFonts w:ascii="宋体" w:hAnsi="宋体" w:cs="宋体" w:eastAsia="宋体" w:hint="default"/>
                <w:sz w:val="18"/>
                <w:szCs w:val="18"/>
              </w:rPr>
              <w:t>会计机构负责人：张艳菊</w:t>
            </w:r>
          </w:p>
        </w:tc>
      </w:tr>
      <w:tr>
        <w:trPr>
          <w:trHeight w:val="628" w:hRule="exact"/>
        </w:trPr>
        <w:tc>
          <w:tcPr>
            <w:tcW w:w="4187" w:type="dxa"/>
            <w:tcBorders>
              <w:top w:val="nil" w:sz="6" w:space="0" w:color="auto"/>
              <w:left w:val="nil" w:sz="6" w:space="0" w:color="auto"/>
              <w:bottom w:val="nil" w:sz="6" w:space="0" w:color="auto"/>
              <w:right w:val="nil" w:sz="6" w:space="0" w:color="auto"/>
            </w:tcBorders>
          </w:tcPr>
          <w:p>
            <w:pPr>
              <w:pStyle w:val="TableParagraph"/>
              <w:spacing w:line="240" w:lineRule="auto" w:before="143"/>
              <w:ind w:left="35" w:right="0"/>
              <w:jc w:val="left"/>
              <w:rPr>
                <w:rFonts w:ascii="宋体" w:hAnsi="宋体" w:cs="宋体" w:eastAsia="宋体" w:hint="default"/>
                <w:sz w:val="21"/>
                <w:szCs w:val="21"/>
              </w:rPr>
            </w:pPr>
            <w:bookmarkStart w:name="8、母公司所有者权益变动表" w:id="162"/>
            <w:bookmarkEnd w:id="162"/>
            <w:r>
              <w:rPr/>
            </w:r>
            <w:r>
              <w:rPr>
                <w:rFonts w:ascii="宋体" w:hAnsi="宋体" w:cs="宋体" w:eastAsia="宋体" w:hint="default"/>
                <w:b/>
                <w:bCs/>
                <w:sz w:val="21"/>
                <w:szCs w:val="21"/>
              </w:rPr>
              <w:t>8</w:t>
            </w:r>
            <w:r>
              <w:rPr>
                <w:rFonts w:ascii="宋体" w:hAnsi="宋体" w:cs="宋体" w:eastAsia="宋体" w:hint="default"/>
                <w:b/>
                <w:bCs/>
                <w:sz w:val="21"/>
                <w:szCs w:val="21"/>
              </w:rPr>
              <w:t>、母公司所有者权益变动表</w:t>
            </w:r>
            <w:r>
              <w:rPr>
                <w:rFonts w:ascii="宋体" w:hAnsi="宋体" w:cs="宋体" w:eastAsia="宋体" w:hint="default"/>
                <w:sz w:val="21"/>
                <w:szCs w:val="21"/>
              </w:rPr>
            </w:r>
          </w:p>
        </w:tc>
        <w:tc>
          <w:tcPr>
            <w:tcW w:w="5703" w:type="dxa"/>
            <w:tcBorders>
              <w:top w:val="nil" w:sz="6" w:space="0" w:color="auto"/>
              <w:left w:val="nil" w:sz="6" w:space="0" w:color="auto"/>
              <w:bottom w:val="nil" w:sz="6" w:space="0" w:color="auto"/>
              <w:right w:val="nil" w:sz="6" w:space="0" w:color="auto"/>
            </w:tcBorders>
          </w:tcPr>
          <w:p>
            <w:pPr/>
          </w:p>
        </w:tc>
        <w:tc>
          <w:tcPr>
            <w:tcW w:w="4042" w:type="dxa"/>
            <w:tcBorders>
              <w:top w:val="nil" w:sz="6" w:space="0" w:color="auto"/>
              <w:left w:val="nil" w:sz="6" w:space="0" w:color="auto"/>
              <w:bottom w:val="nil" w:sz="6" w:space="0" w:color="auto"/>
              <w:right w:val="nil" w:sz="6" w:space="0" w:color="auto"/>
            </w:tcBorders>
          </w:tcPr>
          <w:p>
            <w:pPr/>
          </w:p>
        </w:tc>
      </w:tr>
      <w:tr>
        <w:trPr>
          <w:trHeight w:val="490" w:hRule="exact"/>
        </w:trPr>
        <w:tc>
          <w:tcPr>
            <w:tcW w:w="4187" w:type="dxa"/>
            <w:tcBorders>
              <w:top w:val="nil" w:sz="6" w:space="0" w:color="auto"/>
              <w:left w:val="nil" w:sz="6" w:space="0" w:color="auto"/>
              <w:bottom w:val="nil" w:sz="6" w:space="0" w:color="auto"/>
              <w:right w:val="nil" w:sz="6" w:space="0" w:color="auto"/>
            </w:tcBorders>
          </w:tcPr>
          <w:p>
            <w:pPr>
              <w:pStyle w:val="TableParagraph"/>
              <w:spacing w:line="240" w:lineRule="auto" w:before="154"/>
              <w:ind w:left="35"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5703" w:type="dxa"/>
            <w:tcBorders>
              <w:top w:val="nil" w:sz="6" w:space="0" w:color="auto"/>
              <w:left w:val="nil" w:sz="6" w:space="0" w:color="auto"/>
              <w:bottom w:val="nil" w:sz="6" w:space="0" w:color="auto"/>
              <w:right w:val="nil" w:sz="6" w:space="0" w:color="auto"/>
            </w:tcBorders>
          </w:tcPr>
          <w:p>
            <w:pPr/>
          </w:p>
        </w:tc>
        <w:tc>
          <w:tcPr>
            <w:tcW w:w="4042"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33"/>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89"/>
                <w:sz w:val="18"/>
                <w:szCs w:val="18"/>
              </w:rPr>
              <w:t>：</w:t>
            </w:r>
            <w:r>
              <w:rPr>
                <w:rFonts w:ascii="宋体" w:hAnsi="宋体" w:cs="宋体" w:eastAsia="宋体" w:hint="default"/>
                <w:sz w:val="18"/>
                <w:szCs w:val="18"/>
              </w:rPr>
              <w:t>元</w:t>
            </w:r>
          </w:p>
        </w:tc>
      </w:tr>
    </w:tbl>
    <w:tbl>
      <w:tblPr>
        <w:tblW w:w="0" w:type="auto"/>
        <w:jc w:val="left"/>
        <w:tblInd w:w="111" w:type="dxa"/>
        <w:tblLayout w:type="fixed"/>
        <w:tblCellMar>
          <w:top w:w="0" w:type="dxa"/>
          <w:left w:w="0" w:type="dxa"/>
          <w:bottom w:w="0" w:type="dxa"/>
          <w:right w:w="0" w:type="dxa"/>
        </w:tblCellMar>
        <w:tblLook w:val="01E0"/>
      </w:tblPr>
      <w:tblGrid>
        <w:gridCol w:w="2842"/>
        <w:gridCol w:w="1349"/>
        <w:gridCol w:w="709"/>
        <w:gridCol w:w="708"/>
        <w:gridCol w:w="566"/>
        <w:gridCol w:w="1442"/>
        <w:gridCol w:w="968"/>
        <w:gridCol w:w="1277"/>
        <w:gridCol w:w="890"/>
        <w:gridCol w:w="1378"/>
        <w:gridCol w:w="1380"/>
        <w:gridCol w:w="1525"/>
      </w:tblGrid>
      <w:tr>
        <w:trPr>
          <w:trHeight w:val="402" w:hRule="exact"/>
        </w:trPr>
        <w:tc>
          <w:tcPr>
            <w:tcW w:w="284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193"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2842" w:type="dxa"/>
            <w:vMerge/>
            <w:tcBorders>
              <w:left w:val="single" w:sz="4" w:space="0" w:color="000000"/>
              <w:right w:val="single" w:sz="4" w:space="0" w:color="000000"/>
            </w:tcBorders>
          </w:tcPr>
          <w:p>
            <w:pPr/>
          </w:p>
        </w:tc>
        <w:tc>
          <w:tcPr>
            <w:tcW w:w="134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9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4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6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37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38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3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2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02" w:hRule="exact"/>
        </w:trPr>
        <w:tc>
          <w:tcPr>
            <w:tcW w:w="2842" w:type="dxa"/>
            <w:vMerge/>
            <w:tcBorders>
              <w:left w:val="single" w:sz="4" w:space="0" w:color="000000"/>
              <w:bottom w:val="single" w:sz="4" w:space="0" w:color="000000"/>
              <w:right w:val="single" w:sz="4" w:space="0" w:color="000000"/>
            </w:tcBorders>
          </w:tcPr>
          <w:p>
            <w:pPr/>
          </w:p>
        </w:tc>
        <w:tc>
          <w:tcPr>
            <w:tcW w:w="1349" w:type="dxa"/>
            <w:vMerge/>
            <w:tcBorders>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42" w:type="dxa"/>
            <w:vMerge/>
            <w:tcBorders>
              <w:left w:val="single" w:sz="4" w:space="0" w:color="000000"/>
              <w:bottom w:val="single" w:sz="4" w:space="0" w:color="000000"/>
              <w:right w:val="single" w:sz="4" w:space="0" w:color="000000"/>
            </w:tcBorders>
          </w:tcPr>
          <w:p>
            <w:pPr/>
          </w:p>
        </w:tc>
        <w:tc>
          <w:tcPr>
            <w:tcW w:w="968"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c>
          <w:tcPr>
            <w:tcW w:w="1378" w:type="dxa"/>
            <w:vMerge/>
            <w:tcBorders>
              <w:left w:val="single" w:sz="4" w:space="0" w:color="000000"/>
              <w:bottom w:val="single" w:sz="4" w:space="0" w:color="000000"/>
              <w:right w:val="single" w:sz="4" w:space="0" w:color="000000"/>
            </w:tcBorders>
          </w:tcPr>
          <w:p>
            <w:pPr/>
          </w:p>
        </w:tc>
        <w:tc>
          <w:tcPr>
            <w:tcW w:w="1380" w:type="dxa"/>
            <w:vMerge/>
            <w:tcBorders>
              <w:left w:val="single" w:sz="4" w:space="0" w:color="000000"/>
              <w:bottom w:val="single" w:sz="4" w:space="0" w:color="000000"/>
              <w:right w:val="single" w:sz="4" w:space="0" w:color="000000"/>
            </w:tcBorders>
          </w:tcPr>
          <w:p>
            <w:pPr/>
          </w:p>
        </w:tc>
        <w:tc>
          <w:tcPr>
            <w:tcW w:w="1525" w:type="dxa"/>
            <w:vMerge/>
            <w:tcBorders>
              <w:left w:val="single" w:sz="4" w:space="0" w:color="000000"/>
              <w:bottom w:val="single" w:sz="4" w:space="0" w:color="000000"/>
              <w:right w:val="single" w:sz="4" w:space="0" w:color="000000"/>
            </w:tcBorders>
          </w:tcPr>
          <w:p>
            <w:pPr/>
          </w:p>
        </w:tc>
      </w:tr>
      <w:tr>
        <w:trPr>
          <w:trHeight w:val="40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430,056,000.00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403,997,757.24</w:t>
            </w:r>
          </w:p>
        </w:tc>
        <w:tc>
          <w:tcPr>
            <w:tcW w:w="96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4,265,776.00</w:t>
            </w:r>
          </w:p>
        </w:tc>
        <w:tc>
          <w:tcPr>
            <w:tcW w:w="89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42,135,156.40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2" w:right="0"/>
              <w:jc w:val="center"/>
              <w:rPr>
                <w:rFonts w:ascii="宋体" w:hAnsi="宋体" w:cs="宋体" w:eastAsia="宋体" w:hint="default"/>
                <w:sz w:val="18"/>
                <w:szCs w:val="18"/>
              </w:rPr>
            </w:pPr>
            <w:r>
              <w:rPr>
                <w:rFonts w:ascii="宋体"/>
                <w:sz w:val="18"/>
              </w:rPr>
              <w:t>308,262,945.67</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1,188,717,635.31</w:t>
            </w:r>
          </w:p>
        </w:tc>
      </w:tr>
      <w:tr>
        <w:trPr>
          <w:trHeight w:val="40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4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4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4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430,056,000.00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403,997,757.24</w:t>
            </w:r>
          </w:p>
        </w:tc>
        <w:tc>
          <w:tcPr>
            <w:tcW w:w="96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4,265,776.00</w:t>
            </w:r>
          </w:p>
        </w:tc>
        <w:tc>
          <w:tcPr>
            <w:tcW w:w="89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42,135,156.40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2" w:right="0"/>
              <w:jc w:val="center"/>
              <w:rPr>
                <w:rFonts w:ascii="宋体" w:hAnsi="宋体" w:cs="宋体" w:eastAsia="宋体" w:hint="default"/>
                <w:sz w:val="18"/>
                <w:szCs w:val="18"/>
              </w:rPr>
            </w:pPr>
            <w:r>
              <w:rPr>
                <w:rFonts w:ascii="宋体"/>
                <w:sz w:val="18"/>
              </w:rPr>
              <w:t>308,262,945.67</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1,188,717,635.31</w:t>
            </w:r>
          </w:p>
        </w:tc>
      </w:tr>
      <w:tr>
        <w:trPr>
          <w:trHeight w:val="714"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87"/>
              <w:jc w:val="left"/>
              <w:rPr>
                <w:rFonts w:ascii="宋体" w:hAnsi="宋体" w:cs="宋体" w:eastAsia="宋体" w:hint="default"/>
                <w:sz w:val="18"/>
                <w:szCs w:val="18"/>
              </w:rPr>
            </w:pPr>
            <w:r>
              <w:rPr>
                <w:rFonts w:ascii="宋体" w:hAnsi="宋体" w:cs="宋体" w:eastAsia="宋体" w:hint="default"/>
                <w:sz w:val="18"/>
                <w:szCs w:val="18"/>
              </w:rPr>
              <w:t>三、本期增减变动金额（减少以 “－”号填列）</w:t>
            </w:r>
          </w:p>
        </w:tc>
        <w:tc>
          <w:tcPr>
            <w:tcW w:w="134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921,672.00</w:t>
            </w:r>
          </w:p>
        </w:tc>
        <w:tc>
          <w:tcPr>
            <w:tcW w:w="89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5,907,882.31</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52" w:right="0"/>
              <w:jc w:val="center"/>
              <w:rPr>
                <w:rFonts w:ascii="宋体" w:hAnsi="宋体" w:cs="宋体" w:eastAsia="宋体" w:hint="default"/>
                <w:sz w:val="18"/>
                <w:szCs w:val="18"/>
              </w:rPr>
            </w:pPr>
            <w:r>
              <w:rPr>
                <w:rFonts w:ascii="宋体"/>
                <w:sz w:val="18"/>
              </w:rPr>
              <w:t>31,668,140.82</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38,497,695.13</w:t>
            </w:r>
          </w:p>
        </w:tc>
      </w:tr>
      <w:tr>
        <w:trPr>
          <w:trHeight w:val="40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34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921,672.00</w:t>
            </w:r>
          </w:p>
        </w:tc>
        <w:tc>
          <w:tcPr>
            <w:tcW w:w="89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2" w:right="0"/>
              <w:jc w:val="center"/>
              <w:rPr>
                <w:rFonts w:ascii="宋体" w:hAnsi="宋体" w:cs="宋体" w:eastAsia="宋体" w:hint="default"/>
                <w:sz w:val="18"/>
                <w:szCs w:val="18"/>
              </w:rPr>
            </w:pPr>
            <w:r>
              <w:rPr>
                <w:rFonts w:ascii="宋体"/>
                <w:sz w:val="18"/>
              </w:rPr>
              <w:t>59,078,823.13</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60,000,495.13</w:t>
            </w:r>
          </w:p>
        </w:tc>
      </w:tr>
      <w:tr>
        <w:trPr>
          <w:trHeight w:val="40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34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34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．其他权益工具持有者投入资本</w:t>
            </w:r>
          </w:p>
        </w:tc>
        <w:tc>
          <w:tcPr>
            <w:tcW w:w="134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．股份支付计入所有者权益的金额</w:t>
            </w:r>
          </w:p>
        </w:tc>
        <w:tc>
          <w:tcPr>
            <w:tcW w:w="134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4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4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5,907,882.31</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2" w:right="0"/>
              <w:jc w:val="center"/>
              <w:rPr>
                <w:rFonts w:ascii="宋体" w:hAnsi="宋体" w:cs="宋体" w:eastAsia="宋体" w:hint="default"/>
                <w:sz w:val="18"/>
                <w:szCs w:val="18"/>
              </w:rPr>
            </w:pPr>
            <w:r>
              <w:rPr>
                <w:rFonts w:ascii="宋体"/>
                <w:sz w:val="18"/>
              </w:rPr>
              <w:t>-27,410,682.31</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-21,502,800.00</w:t>
            </w:r>
          </w:p>
        </w:tc>
      </w:tr>
    </w:tbl>
    <w:p>
      <w:pPr>
        <w:spacing w:after="0" w:line="240" w:lineRule="auto"/>
        <w:jc w:val="right"/>
        <w:rPr>
          <w:rFonts w:ascii="宋体" w:hAnsi="宋体" w:cs="宋体" w:eastAsia="宋体" w:hint="default"/>
          <w:sz w:val="18"/>
          <w:szCs w:val="18"/>
        </w:rPr>
        <w:sectPr>
          <w:pgSz w:w="16840" w:h="11910" w:orient="landscape"/>
          <w:pgMar w:header="857" w:footer="1187" w:top="1040" w:bottom="1380" w:left="820" w:right="0"/>
        </w:sectPr>
      </w:pPr>
    </w:p>
    <w:p>
      <w:pPr>
        <w:spacing w:line="240" w:lineRule="auto" w:before="2"/>
        <w:rPr>
          <w:rFonts w:ascii="Times New Roman" w:hAnsi="Times New Roman" w:cs="Times New Roman" w:eastAsia="Times New Roman" w:hint="default"/>
          <w:sz w:val="4"/>
          <w:szCs w:val="4"/>
        </w:rPr>
      </w:pPr>
    </w:p>
    <w:tbl>
      <w:tblPr>
        <w:tblW w:w="0" w:type="auto"/>
        <w:jc w:val="left"/>
        <w:tblInd w:w="111" w:type="dxa"/>
        <w:tblLayout w:type="fixed"/>
        <w:tblCellMar>
          <w:top w:w="0" w:type="dxa"/>
          <w:left w:w="0" w:type="dxa"/>
          <w:bottom w:w="0" w:type="dxa"/>
          <w:right w:w="0" w:type="dxa"/>
        </w:tblCellMar>
        <w:tblLook w:val="01E0"/>
      </w:tblPr>
      <w:tblGrid>
        <w:gridCol w:w="2842"/>
        <w:gridCol w:w="1349"/>
        <w:gridCol w:w="709"/>
        <w:gridCol w:w="708"/>
        <w:gridCol w:w="566"/>
        <w:gridCol w:w="1442"/>
        <w:gridCol w:w="968"/>
        <w:gridCol w:w="1277"/>
        <w:gridCol w:w="890"/>
        <w:gridCol w:w="1378"/>
        <w:gridCol w:w="1380"/>
        <w:gridCol w:w="1525"/>
      </w:tblGrid>
      <w:tr>
        <w:trPr>
          <w:trHeight w:val="416" w:hRule="exact"/>
        </w:trPr>
        <w:tc>
          <w:tcPr>
            <w:tcW w:w="284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349" w:type="dxa"/>
            <w:tcBorders>
              <w:top w:val="single" w:sz="15" w:space="0" w:color="000000"/>
              <w:left w:val="single" w:sz="4" w:space="0" w:color="000000"/>
              <w:bottom w:val="single" w:sz="4" w:space="0" w:color="000000"/>
              <w:right w:val="single" w:sz="4" w:space="0" w:color="000000"/>
            </w:tcBorders>
          </w:tcPr>
          <w:p>
            <w:pPr/>
          </w:p>
        </w:tc>
        <w:tc>
          <w:tcPr>
            <w:tcW w:w="709" w:type="dxa"/>
            <w:tcBorders>
              <w:top w:val="single" w:sz="15" w:space="0" w:color="000000"/>
              <w:left w:val="single" w:sz="4" w:space="0" w:color="000000"/>
              <w:bottom w:val="single" w:sz="4" w:space="0" w:color="000000"/>
              <w:right w:val="single" w:sz="4" w:space="0" w:color="000000"/>
            </w:tcBorders>
          </w:tcPr>
          <w:p>
            <w:pPr/>
          </w:p>
        </w:tc>
        <w:tc>
          <w:tcPr>
            <w:tcW w:w="708"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1442" w:type="dxa"/>
            <w:tcBorders>
              <w:top w:val="single" w:sz="15" w:space="0" w:color="000000"/>
              <w:left w:val="single" w:sz="4" w:space="0" w:color="000000"/>
              <w:bottom w:val="single" w:sz="4" w:space="0" w:color="000000"/>
              <w:right w:val="single" w:sz="4" w:space="0" w:color="000000"/>
            </w:tcBorders>
          </w:tcPr>
          <w:p>
            <w:pPr/>
          </w:p>
        </w:tc>
        <w:tc>
          <w:tcPr>
            <w:tcW w:w="968"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890" w:type="dxa"/>
            <w:tcBorders>
              <w:top w:val="single" w:sz="15" w:space="0" w:color="000000"/>
              <w:left w:val="single" w:sz="4" w:space="0" w:color="000000"/>
              <w:bottom w:val="single" w:sz="4" w:space="0" w:color="000000"/>
              <w:right w:val="single" w:sz="4" w:space="0" w:color="000000"/>
            </w:tcBorders>
          </w:tcPr>
          <w:p>
            <w:pPr/>
          </w:p>
        </w:tc>
        <w:tc>
          <w:tcPr>
            <w:tcW w:w="137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5,907,882.31</w:t>
            </w:r>
          </w:p>
        </w:tc>
        <w:tc>
          <w:tcPr>
            <w:tcW w:w="138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152" w:right="0"/>
              <w:jc w:val="center"/>
              <w:rPr>
                <w:rFonts w:ascii="宋体" w:hAnsi="宋体" w:cs="宋体" w:eastAsia="宋体" w:hint="default"/>
                <w:sz w:val="18"/>
                <w:szCs w:val="18"/>
              </w:rPr>
            </w:pPr>
            <w:r>
              <w:rPr>
                <w:rFonts w:ascii="宋体"/>
                <w:sz w:val="18"/>
              </w:rPr>
              <w:t>-5,907,882.31</w:t>
            </w:r>
          </w:p>
        </w:tc>
        <w:tc>
          <w:tcPr>
            <w:tcW w:w="1525"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．对所有者（或股东）的分配</w:t>
            </w:r>
          </w:p>
        </w:tc>
        <w:tc>
          <w:tcPr>
            <w:tcW w:w="134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2" w:right="0"/>
              <w:jc w:val="center"/>
              <w:rPr>
                <w:rFonts w:ascii="宋体" w:hAnsi="宋体" w:cs="宋体" w:eastAsia="宋体" w:hint="default"/>
                <w:sz w:val="18"/>
                <w:szCs w:val="18"/>
              </w:rPr>
            </w:pPr>
            <w:r>
              <w:rPr>
                <w:rFonts w:ascii="宋体"/>
                <w:sz w:val="18"/>
              </w:rPr>
              <w:t>-21,502,800.00</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-21,502,800.00</w:t>
            </w:r>
          </w:p>
        </w:tc>
      </w:tr>
      <w:tr>
        <w:trPr>
          <w:trHeight w:val="40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34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34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．资本公积转增资本（或股本）</w:t>
            </w:r>
          </w:p>
        </w:tc>
        <w:tc>
          <w:tcPr>
            <w:tcW w:w="134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．盈余公积转增资本（或股本）</w:t>
            </w:r>
          </w:p>
        </w:tc>
        <w:tc>
          <w:tcPr>
            <w:tcW w:w="134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34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4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34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34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34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4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 w:right="0"/>
              <w:jc w:val="left"/>
              <w:rPr>
                <w:rFonts w:ascii="宋体" w:hAnsi="宋体" w:cs="宋体" w:eastAsia="宋体" w:hint="default"/>
                <w:sz w:val="18"/>
                <w:szCs w:val="18"/>
              </w:rPr>
            </w:pPr>
            <w:r>
              <w:rPr>
                <w:rFonts w:ascii="宋体"/>
                <w:sz w:val="18"/>
              </w:rPr>
              <w:t>430,056,000.00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7" w:right="0"/>
              <w:jc w:val="left"/>
              <w:rPr>
                <w:rFonts w:ascii="宋体" w:hAnsi="宋体" w:cs="宋体" w:eastAsia="宋体" w:hint="default"/>
                <w:sz w:val="18"/>
                <w:szCs w:val="18"/>
              </w:rPr>
            </w:pPr>
            <w:r>
              <w:rPr>
                <w:rFonts w:ascii="宋体"/>
                <w:sz w:val="18"/>
              </w:rPr>
              <w:t>403,997,757.24</w:t>
            </w:r>
          </w:p>
        </w:tc>
        <w:tc>
          <w:tcPr>
            <w:tcW w:w="96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4" w:right="0"/>
              <w:jc w:val="left"/>
              <w:rPr>
                <w:rFonts w:ascii="宋体" w:hAnsi="宋体" w:cs="宋体" w:eastAsia="宋体" w:hint="default"/>
                <w:sz w:val="18"/>
                <w:szCs w:val="18"/>
              </w:rPr>
            </w:pPr>
            <w:r>
              <w:rPr>
                <w:rFonts w:ascii="宋体"/>
                <w:sz w:val="18"/>
              </w:rPr>
              <w:t>5,187,448.00</w:t>
            </w:r>
          </w:p>
        </w:tc>
        <w:tc>
          <w:tcPr>
            <w:tcW w:w="89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48,043,038.71</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2" w:right="0"/>
              <w:jc w:val="center"/>
              <w:rPr>
                <w:rFonts w:ascii="宋体" w:hAnsi="宋体" w:cs="宋体" w:eastAsia="宋体" w:hint="default"/>
                <w:sz w:val="18"/>
                <w:szCs w:val="18"/>
              </w:rPr>
            </w:pPr>
            <w:r>
              <w:rPr>
                <w:rFonts w:ascii="宋体"/>
                <w:sz w:val="18"/>
              </w:rPr>
              <w:t>339,931,086.49</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1,227,215,330.44</w:t>
            </w:r>
          </w:p>
        </w:tc>
      </w:tr>
    </w:tbl>
    <w:p>
      <w:pPr>
        <w:spacing w:line="240" w:lineRule="auto" w:before="7"/>
        <w:rPr>
          <w:rFonts w:ascii="Times New Roman" w:hAnsi="Times New Roman" w:cs="Times New Roman" w:eastAsia="Times New Roman" w:hint="default"/>
          <w:sz w:val="7"/>
          <w:szCs w:val="7"/>
        </w:rPr>
      </w:pPr>
    </w:p>
    <w:p>
      <w:pPr>
        <w:pStyle w:val="BodyText"/>
        <w:tabs>
          <w:tab w:pos="13851" w:val="left" w:leader="none"/>
        </w:tabs>
        <w:spacing w:line="240" w:lineRule="auto" w:before="44"/>
        <w:ind w:left="620" w:right="0"/>
        <w:jc w:val="left"/>
      </w:pPr>
      <w:r>
        <w:rPr/>
        <w:t>上期金额</w:t>
        <w:tab/>
        <w:t>单位</w:t>
      </w:r>
      <w:r>
        <w:rPr>
          <w:spacing w:val="-89"/>
        </w:rPr>
        <w:t>：</w:t>
      </w:r>
      <w:r>
        <w:rPr/>
        <w:t>元</w:t>
      </w:r>
    </w:p>
    <w:p>
      <w:pPr>
        <w:spacing w:line="240" w:lineRule="auto" w:before="1"/>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2842"/>
        <w:gridCol w:w="1349"/>
        <w:gridCol w:w="709"/>
        <w:gridCol w:w="708"/>
        <w:gridCol w:w="566"/>
        <w:gridCol w:w="1419"/>
        <w:gridCol w:w="991"/>
        <w:gridCol w:w="1277"/>
        <w:gridCol w:w="890"/>
        <w:gridCol w:w="1378"/>
        <w:gridCol w:w="1380"/>
        <w:gridCol w:w="1525"/>
      </w:tblGrid>
      <w:tr>
        <w:trPr>
          <w:trHeight w:val="402" w:hRule="exact"/>
        </w:trPr>
        <w:tc>
          <w:tcPr>
            <w:tcW w:w="284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193"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2842" w:type="dxa"/>
            <w:vMerge/>
            <w:tcBorders>
              <w:left w:val="single" w:sz="4" w:space="0" w:color="000000"/>
              <w:right w:val="single" w:sz="4" w:space="0" w:color="000000"/>
            </w:tcBorders>
          </w:tcPr>
          <w:p>
            <w:pPr/>
          </w:p>
        </w:tc>
        <w:tc>
          <w:tcPr>
            <w:tcW w:w="1349"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9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378"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38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3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25"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02" w:hRule="exact"/>
        </w:trPr>
        <w:tc>
          <w:tcPr>
            <w:tcW w:w="2842" w:type="dxa"/>
            <w:vMerge/>
            <w:tcBorders>
              <w:left w:val="single" w:sz="4" w:space="0" w:color="000000"/>
              <w:bottom w:val="single" w:sz="4" w:space="0" w:color="000000"/>
              <w:right w:val="single" w:sz="4" w:space="0" w:color="000000"/>
            </w:tcBorders>
          </w:tcPr>
          <w:p>
            <w:pPr/>
          </w:p>
        </w:tc>
        <w:tc>
          <w:tcPr>
            <w:tcW w:w="1349" w:type="dxa"/>
            <w:vMerge/>
            <w:tcBorders>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9"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c>
          <w:tcPr>
            <w:tcW w:w="1378" w:type="dxa"/>
            <w:vMerge/>
            <w:tcBorders>
              <w:left w:val="single" w:sz="4" w:space="0" w:color="000000"/>
              <w:bottom w:val="single" w:sz="4" w:space="0" w:color="000000"/>
              <w:right w:val="single" w:sz="4" w:space="0" w:color="000000"/>
            </w:tcBorders>
          </w:tcPr>
          <w:p>
            <w:pPr/>
          </w:p>
        </w:tc>
        <w:tc>
          <w:tcPr>
            <w:tcW w:w="1380" w:type="dxa"/>
            <w:vMerge/>
            <w:tcBorders>
              <w:left w:val="single" w:sz="4" w:space="0" w:color="000000"/>
              <w:bottom w:val="single" w:sz="4" w:space="0" w:color="000000"/>
              <w:right w:val="single" w:sz="4" w:space="0" w:color="000000"/>
            </w:tcBorders>
          </w:tcPr>
          <w:p>
            <w:pPr/>
          </w:p>
        </w:tc>
        <w:tc>
          <w:tcPr>
            <w:tcW w:w="1525" w:type="dxa"/>
            <w:vMerge/>
            <w:tcBorders>
              <w:left w:val="single" w:sz="4" w:space="0" w:color="000000"/>
              <w:bottom w:val="single" w:sz="4" w:space="0" w:color="000000"/>
              <w:right w:val="single" w:sz="4" w:space="0" w:color="000000"/>
            </w:tcBorders>
          </w:tcPr>
          <w:p>
            <w:pPr/>
          </w:p>
        </w:tc>
      </w:tr>
      <w:tr>
        <w:trPr>
          <w:trHeight w:val="40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215,028,000.00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619,025,757.24</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3,035,656.00</w:t>
            </w:r>
          </w:p>
        </w:tc>
        <w:tc>
          <w:tcPr>
            <w:tcW w:w="89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36,505,251.22</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2" w:right="0"/>
              <w:jc w:val="center"/>
              <w:rPr>
                <w:rFonts w:ascii="宋体" w:hAnsi="宋体" w:cs="宋体" w:eastAsia="宋体" w:hint="default"/>
                <w:sz w:val="18"/>
                <w:szCs w:val="18"/>
              </w:rPr>
            </w:pPr>
            <w:r>
              <w:rPr>
                <w:rFonts w:ascii="宋体"/>
                <w:sz w:val="18"/>
              </w:rPr>
              <w:t>279,096,599.06</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1,152,691,263.52</w:t>
            </w:r>
          </w:p>
        </w:tc>
      </w:tr>
      <w:tr>
        <w:trPr>
          <w:trHeight w:val="40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4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4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4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215,028,000.00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619,025,757.24</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3,035,656.00</w:t>
            </w:r>
          </w:p>
        </w:tc>
        <w:tc>
          <w:tcPr>
            <w:tcW w:w="89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36,505,251.22</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2" w:right="0"/>
              <w:jc w:val="center"/>
              <w:rPr>
                <w:rFonts w:ascii="宋体" w:hAnsi="宋体" w:cs="宋体" w:eastAsia="宋体" w:hint="default"/>
                <w:sz w:val="18"/>
                <w:szCs w:val="18"/>
              </w:rPr>
            </w:pPr>
            <w:r>
              <w:rPr>
                <w:rFonts w:ascii="宋体"/>
                <w:sz w:val="18"/>
              </w:rPr>
              <w:t>279,096,599.06</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1,152,691,263.52</w:t>
            </w:r>
          </w:p>
        </w:tc>
      </w:tr>
      <w:tr>
        <w:trPr>
          <w:trHeight w:val="40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215,028,000.00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-215,028,000.00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1,230,120.00</w:t>
            </w:r>
          </w:p>
        </w:tc>
        <w:tc>
          <w:tcPr>
            <w:tcW w:w="89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5,629,905.18</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2" w:right="0"/>
              <w:jc w:val="center"/>
              <w:rPr>
                <w:rFonts w:ascii="宋体" w:hAnsi="宋体" w:cs="宋体" w:eastAsia="宋体" w:hint="default"/>
                <w:sz w:val="18"/>
                <w:szCs w:val="18"/>
              </w:rPr>
            </w:pPr>
            <w:r>
              <w:rPr>
                <w:rFonts w:ascii="宋体"/>
                <w:sz w:val="18"/>
              </w:rPr>
              <w:t>29,166,346.61</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36,026,371.79</w:t>
            </w:r>
          </w:p>
        </w:tc>
      </w:tr>
    </w:tbl>
    <w:p>
      <w:pPr>
        <w:spacing w:after="0" w:line="240" w:lineRule="auto"/>
        <w:jc w:val="right"/>
        <w:rPr>
          <w:rFonts w:ascii="宋体" w:hAnsi="宋体" w:cs="宋体" w:eastAsia="宋体" w:hint="default"/>
          <w:sz w:val="18"/>
          <w:szCs w:val="18"/>
        </w:rPr>
        <w:sectPr>
          <w:pgSz w:w="16840" w:h="11910" w:orient="landscape"/>
          <w:pgMar w:header="857" w:footer="1187" w:top="1040" w:bottom="1380" w:left="820" w:right="0"/>
        </w:sectPr>
      </w:pPr>
    </w:p>
    <w:p>
      <w:pPr>
        <w:spacing w:line="240" w:lineRule="auto" w:before="9"/>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2842"/>
        <w:gridCol w:w="1349"/>
        <w:gridCol w:w="709"/>
        <w:gridCol w:w="708"/>
        <w:gridCol w:w="566"/>
        <w:gridCol w:w="1419"/>
        <w:gridCol w:w="991"/>
        <w:gridCol w:w="1277"/>
        <w:gridCol w:w="890"/>
        <w:gridCol w:w="1378"/>
        <w:gridCol w:w="1380"/>
        <w:gridCol w:w="1525"/>
      </w:tblGrid>
      <w:tr>
        <w:trPr>
          <w:trHeight w:val="377" w:hRule="exact"/>
        </w:trPr>
        <w:tc>
          <w:tcPr>
            <w:tcW w:w="284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1349" w:type="dxa"/>
            <w:tcBorders>
              <w:top w:val="single" w:sz="15" w:space="0" w:color="000000"/>
              <w:left w:val="single" w:sz="4" w:space="0" w:color="000000"/>
              <w:bottom w:val="single" w:sz="4" w:space="0" w:color="000000"/>
              <w:right w:val="single" w:sz="4" w:space="0" w:color="000000"/>
            </w:tcBorders>
          </w:tcPr>
          <w:p>
            <w:pPr/>
          </w:p>
        </w:tc>
        <w:tc>
          <w:tcPr>
            <w:tcW w:w="709" w:type="dxa"/>
            <w:tcBorders>
              <w:top w:val="single" w:sz="15" w:space="0" w:color="000000"/>
              <w:left w:val="single" w:sz="4" w:space="0" w:color="000000"/>
              <w:bottom w:val="single" w:sz="4" w:space="0" w:color="000000"/>
              <w:right w:val="single" w:sz="4" w:space="0" w:color="000000"/>
            </w:tcBorders>
          </w:tcPr>
          <w:p>
            <w:pPr/>
          </w:p>
        </w:tc>
        <w:tc>
          <w:tcPr>
            <w:tcW w:w="708"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1419" w:type="dxa"/>
            <w:tcBorders>
              <w:top w:val="single" w:sz="15" w:space="0" w:color="000000"/>
              <w:left w:val="single" w:sz="4" w:space="0" w:color="000000"/>
              <w:bottom w:val="single" w:sz="4" w:space="0" w:color="000000"/>
              <w:right w:val="single" w:sz="4" w:space="0" w:color="000000"/>
            </w:tcBorders>
          </w:tcPr>
          <w:p>
            <w:pPr/>
          </w:p>
        </w:tc>
        <w:tc>
          <w:tcPr>
            <w:tcW w:w="991"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890" w:type="dxa"/>
            <w:tcBorders>
              <w:top w:val="single" w:sz="15" w:space="0" w:color="000000"/>
              <w:left w:val="single" w:sz="4" w:space="0" w:color="000000"/>
              <w:bottom w:val="single" w:sz="4" w:space="0" w:color="000000"/>
              <w:right w:val="single" w:sz="4" w:space="0" w:color="000000"/>
            </w:tcBorders>
          </w:tcPr>
          <w:p>
            <w:pPr/>
          </w:p>
        </w:tc>
        <w:tc>
          <w:tcPr>
            <w:tcW w:w="1378" w:type="dxa"/>
            <w:tcBorders>
              <w:top w:val="single" w:sz="15" w:space="0" w:color="000000"/>
              <w:left w:val="single" w:sz="4" w:space="0" w:color="000000"/>
              <w:bottom w:val="single" w:sz="4" w:space="0" w:color="000000"/>
              <w:right w:val="single" w:sz="4" w:space="0" w:color="000000"/>
            </w:tcBorders>
          </w:tcPr>
          <w:p>
            <w:pPr/>
          </w:p>
        </w:tc>
        <w:tc>
          <w:tcPr>
            <w:tcW w:w="1380" w:type="dxa"/>
            <w:tcBorders>
              <w:top w:val="single" w:sz="15" w:space="0" w:color="000000"/>
              <w:left w:val="single" w:sz="4" w:space="0" w:color="000000"/>
              <w:bottom w:val="single" w:sz="4" w:space="0" w:color="000000"/>
              <w:right w:val="single" w:sz="4" w:space="0" w:color="000000"/>
            </w:tcBorders>
          </w:tcPr>
          <w:p>
            <w:pPr/>
          </w:p>
        </w:tc>
        <w:tc>
          <w:tcPr>
            <w:tcW w:w="1525"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34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1,230,120.00</w:t>
            </w:r>
          </w:p>
        </w:tc>
        <w:tc>
          <w:tcPr>
            <w:tcW w:w="89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2" w:right="0"/>
              <w:jc w:val="center"/>
              <w:rPr>
                <w:rFonts w:ascii="宋体" w:hAnsi="宋体" w:cs="宋体" w:eastAsia="宋体" w:hint="default"/>
                <w:sz w:val="18"/>
                <w:szCs w:val="18"/>
              </w:rPr>
            </w:pPr>
            <w:r>
              <w:rPr>
                <w:rFonts w:ascii="宋体"/>
                <w:sz w:val="18"/>
              </w:rPr>
              <w:t>56,299,051.79</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57,529,171.79</w:t>
            </w:r>
          </w:p>
        </w:tc>
      </w:tr>
      <w:tr>
        <w:trPr>
          <w:trHeight w:val="40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34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34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．其他权益工具持有者投入资本</w:t>
            </w:r>
          </w:p>
        </w:tc>
        <w:tc>
          <w:tcPr>
            <w:tcW w:w="134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．股份支付计入所有者权益的金额</w:t>
            </w:r>
          </w:p>
        </w:tc>
        <w:tc>
          <w:tcPr>
            <w:tcW w:w="134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4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4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5,629,905.18</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2" w:right="0"/>
              <w:jc w:val="center"/>
              <w:rPr>
                <w:rFonts w:ascii="宋体" w:hAnsi="宋体" w:cs="宋体" w:eastAsia="宋体" w:hint="default"/>
                <w:sz w:val="18"/>
                <w:szCs w:val="18"/>
              </w:rPr>
            </w:pPr>
            <w:r>
              <w:rPr>
                <w:rFonts w:ascii="宋体"/>
                <w:sz w:val="18"/>
              </w:rPr>
              <w:t>-27,132,705.18</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-21,502,800.00</w:t>
            </w:r>
          </w:p>
        </w:tc>
      </w:tr>
      <w:tr>
        <w:trPr>
          <w:trHeight w:val="40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34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5,629,905.18</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2" w:right="0"/>
              <w:jc w:val="center"/>
              <w:rPr>
                <w:rFonts w:ascii="宋体" w:hAnsi="宋体" w:cs="宋体" w:eastAsia="宋体" w:hint="default"/>
                <w:sz w:val="18"/>
                <w:szCs w:val="18"/>
              </w:rPr>
            </w:pPr>
            <w:r>
              <w:rPr>
                <w:rFonts w:ascii="宋体"/>
                <w:sz w:val="18"/>
              </w:rPr>
              <w:t>-5,629,905.18</w:t>
            </w:r>
          </w:p>
        </w:tc>
        <w:tc>
          <w:tcPr>
            <w:tcW w:w="15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．对所有者（或股东）的分配</w:t>
            </w:r>
          </w:p>
        </w:tc>
        <w:tc>
          <w:tcPr>
            <w:tcW w:w="134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2" w:right="0"/>
              <w:jc w:val="center"/>
              <w:rPr>
                <w:rFonts w:ascii="宋体" w:hAnsi="宋体" w:cs="宋体" w:eastAsia="宋体" w:hint="default"/>
                <w:sz w:val="18"/>
                <w:szCs w:val="18"/>
              </w:rPr>
            </w:pPr>
            <w:r>
              <w:rPr>
                <w:rFonts w:ascii="宋体"/>
                <w:sz w:val="18"/>
              </w:rPr>
              <w:t>-21,502,800.00</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-21,502,800.00</w:t>
            </w:r>
          </w:p>
        </w:tc>
      </w:tr>
      <w:tr>
        <w:trPr>
          <w:trHeight w:val="40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34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215,028,000.00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-215,028,000.00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．资本公积转增资本（或股本）</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215,028,000.00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-215,028,000.00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．盈余公积转增资本（或股本）</w:t>
            </w:r>
          </w:p>
        </w:tc>
        <w:tc>
          <w:tcPr>
            <w:tcW w:w="134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34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4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34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34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34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4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430,056,000.00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403,997,757.24</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4,265,776.00</w:t>
            </w:r>
          </w:p>
        </w:tc>
        <w:tc>
          <w:tcPr>
            <w:tcW w:w="89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42,135,156.40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2" w:right="0"/>
              <w:jc w:val="center"/>
              <w:rPr>
                <w:rFonts w:ascii="宋体" w:hAnsi="宋体" w:cs="宋体" w:eastAsia="宋体" w:hint="default"/>
                <w:sz w:val="18"/>
                <w:szCs w:val="18"/>
              </w:rPr>
            </w:pPr>
            <w:r>
              <w:rPr>
                <w:rFonts w:ascii="宋体"/>
                <w:sz w:val="18"/>
              </w:rPr>
              <w:t>308,262,945.67</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1,188,717,635.31</w:t>
            </w:r>
          </w:p>
        </w:tc>
      </w:tr>
    </w:tbl>
    <w:p>
      <w:pPr>
        <w:spacing w:line="240" w:lineRule="auto" w:before="9"/>
        <w:rPr>
          <w:rFonts w:ascii="宋体" w:hAnsi="宋体" w:cs="宋体" w:eastAsia="宋体" w:hint="default"/>
          <w:sz w:val="6"/>
          <w:szCs w:val="6"/>
        </w:rPr>
      </w:pPr>
    </w:p>
    <w:p>
      <w:pPr>
        <w:pStyle w:val="BodyText"/>
        <w:tabs>
          <w:tab w:pos="6290" w:val="left" w:leader="none"/>
          <w:tab w:pos="12500" w:val="left" w:leader="none"/>
        </w:tabs>
        <w:spacing w:line="240" w:lineRule="auto" w:before="44"/>
        <w:ind w:left="620" w:right="0"/>
        <w:jc w:val="left"/>
      </w:pPr>
      <w:r>
        <w:rPr/>
        <w:t>法定代表人：张新访</w:t>
        <w:tab/>
        <w:t>主管会计工作负责人：孙静</w:t>
        <w:tab/>
        <w:t>会计机构负责人：张艳菊</w:t>
      </w:r>
    </w:p>
    <w:p>
      <w:pPr>
        <w:spacing w:after="0" w:line="240" w:lineRule="auto"/>
        <w:jc w:val="left"/>
        <w:sectPr>
          <w:footerReference w:type="default" r:id="rId36"/>
          <w:pgSz w:w="16840" w:h="11910" w:orient="landscape"/>
          <w:pgMar w:footer="1187" w:header="857" w:top="1040" w:bottom="1380" w:left="820" w:right="0"/>
          <w:pgNumType w:start="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Heading2"/>
        <w:spacing w:line="240" w:lineRule="auto" w:before="26"/>
        <w:ind w:right="0"/>
        <w:jc w:val="left"/>
        <w:rPr>
          <w:b w:val="0"/>
          <w:bCs w:val="0"/>
        </w:rPr>
      </w:pPr>
      <w:bookmarkStart w:name="三、公司基本情况" w:id="163"/>
      <w:bookmarkEnd w:id="163"/>
      <w:r>
        <w:rPr>
          <w:b w:val="0"/>
          <w:bCs w:val="0"/>
        </w:rPr>
      </w:r>
      <w:r>
        <w:rPr/>
        <w:t>三、公司基本情况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494" w:right="0"/>
        <w:jc w:val="left"/>
      </w:pPr>
      <w:r>
        <w:rPr>
          <w:rFonts w:ascii="宋体" w:hAnsi="宋体" w:cs="宋体" w:eastAsia="宋体" w:hint="default"/>
        </w:rPr>
        <w:t>1</w:t>
      </w:r>
      <w:r>
        <w:rPr/>
        <w:t>、本公司历史沿革及注册资本 </w:t>
      </w:r>
      <w:r>
        <w:rPr>
          <w:spacing w:val="-2"/>
        </w:rPr>
        <w:t>公司是于</w:t>
      </w:r>
      <w:r>
        <w:rPr>
          <w:rFonts w:ascii="宋体" w:hAnsi="宋体" w:cs="宋体" w:eastAsia="宋体" w:hint="default"/>
          <w:spacing w:val="-2"/>
        </w:rPr>
        <w:t>2000</w:t>
      </w:r>
      <w:r>
        <w:rPr>
          <w:spacing w:val="-2"/>
        </w:rPr>
        <w:t>年</w:t>
      </w:r>
      <w:r>
        <w:rPr>
          <w:rFonts w:ascii="宋体" w:hAnsi="宋体" w:cs="宋体" w:eastAsia="宋体" w:hint="default"/>
          <w:spacing w:val="-2"/>
        </w:rPr>
        <w:t>11</w:t>
      </w:r>
      <w:r>
        <w:rPr>
          <w:spacing w:val="-2"/>
        </w:rPr>
        <w:t>月由武汉天喻信息产业有限责任公司整体变更设立的股份有限公司。</w:t>
      </w:r>
      <w:r>
        <w:rPr>
          <w:rFonts w:ascii="宋体" w:hAnsi="宋体" w:cs="宋体" w:eastAsia="宋体" w:hint="default"/>
          <w:spacing w:val="-2"/>
        </w:rPr>
        <w:t>2011</w:t>
      </w:r>
      <w:r>
        <w:rPr>
          <w:spacing w:val="-2"/>
        </w:rPr>
        <w:t>年，经中国证券监督管理委</w:t>
      </w:r>
    </w:p>
    <w:p>
      <w:pPr>
        <w:pStyle w:val="BodyText"/>
        <w:spacing w:line="316" w:lineRule="auto" w:before="17"/>
        <w:ind w:right="1123"/>
        <w:jc w:val="left"/>
      </w:pPr>
      <w:r>
        <w:rPr/>
        <w:t>员会核准，公司首次公开发行人民币普通股（</w:t>
      </w:r>
      <w:r>
        <w:rPr>
          <w:rFonts w:ascii="宋体" w:hAnsi="宋体" w:cs="宋体" w:eastAsia="宋体" w:hint="default"/>
        </w:rPr>
        <w:t>A</w:t>
      </w:r>
      <w:r>
        <w:rPr/>
        <w:t>股）股票</w:t>
      </w:r>
      <w:r>
        <w:rPr>
          <w:rFonts w:ascii="宋体" w:hAnsi="宋体" w:cs="宋体" w:eastAsia="宋体" w:hint="default"/>
        </w:rPr>
        <w:t>1,991</w:t>
      </w:r>
      <w:r>
        <w:rPr/>
        <w:t>万股（每股面值人民币</w:t>
      </w:r>
      <w:r>
        <w:rPr>
          <w:rFonts w:ascii="宋体" w:hAnsi="宋体" w:cs="宋体" w:eastAsia="宋体" w:hint="default"/>
        </w:rPr>
        <w:t>1</w:t>
      </w:r>
      <w:r>
        <w:rPr/>
        <w:t>元），每股发行价格为人民币</w:t>
      </w:r>
      <w:r>
        <w:rPr>
          <w:rFonts w:ascii="宋体" w:hAnsi="宋体" w:cs="宋体" w:eastAsia="宋体" w:hint="default"/>
        </w:rPr>
        <w:t>40</w:t>
      </w:r>
      <w:r>
        <w:rPr/>
        <w:t>元， 并于</w:t>
      </w:r>
      <w:r>
        <w:rPr>
          <w:rFonts w:ascii="宋体" w:hAnsi="宋体" w:cs="宋体" w:eastAsia="宋体" w:hint="default"/>
        </w:rPr>
        <w:t>2011</w:t>
      </w:r>
      <w:r>
        <w:rPr/>
        <w:t>年</w:t>
      </w:r>
      <w:r>
        <w:rPr>
          <w:rFonts w:ascii="宋体" w:hAnsi="宋体" w:cs="宋体" w:eastAsia="宋体" w:hint="default"/>
        </w:rPr>
        <w:t>4</w:t>
      </w:r>
      <w:r>
        <w:rPr/>
        <w:t>月</w:t>
      </w:r>
      <w:r>
        <w:rPr>
          <w:rFonts w:ascii="宋体" w:hAnsi="宋体" w:cs="宋体" w:eastAsia="宋体" w:hint="default"/>
        </w:rPr>
        <w:t>21</w:t>
      </w:r>
      <w:r>
        <w:rPr/>
        <w:t>日在深圳证券交易所创业板上市，发行后公司注册资本为</w:t>
      </w:r>
      <w:r>
        <w:rPr>
          <w:rFonts w:ascii="宋体" w:hAnsi="宋体" w:cs="宋体" w:eastAsia="宋体" w:hint="default"/>
        </w:rPr>
        <w:t>7,964</w:t>
      </w:r>
      <w:r>
        <w:rPr/>
        <w:t>万元。</w:t>
      </w:r>
    </w:p>
    <w:p>
      <w:pPr>
        <w:pStyle w:val="BodyText"/>
        <w:spacing w:line="316" w:lineRule="auto" w:before="19"/>
        <w:ind w:right="1123" w:firstLine="360"/>
        <w:jc w:val="left"/>
      </w:pPr>
      <w:r>
        <w:rPr>
          <w:rFonts w:ascii="宋体" w:hAnsi="宋体" w:cs="宋体" w:eastAsia="宋体" w:hint="default"/>
        </w:rPr>
        <w:t>2012</w:t>
      </w:r>
      <w:r>
        <w:rPr/>
        <w:t>年</w:t>
      </w:r>
      <w:r>
        <w:rPr>
          <w:rFonts w:ascii="宋体" w:hAnsi="宋体" w:cs="宋体" w:eastAsia="宋体" w:hint="default"/>
        </w:rPr>
        <w:t>5</w:t>
      </w:r>
      <w:r>
        <w:rPr/>
        <w:t>月，经</w:t>
      </w:r>
      <w:r>
        <w:rPr>
          <w:rFonts w:ascii="宋体" w:hAnsi="宋体" w:cs="宋体" w:eastAsia="宋体" w:hint="default"/>
        </w:rPr>
        <w:t>2011</w:t>
      </w:r>
      <w:r>
        <w:rPr/>
        <w:t>年年度股东大会决议通过，公司以</w:t>
      </w:r>
      <w:r>
        <w:rPr>
          <w:rFonts w:ascii="宋体" w:hAnsi="宋体" w:cs="宋体" w:eastAsia="宋体" w:hint="default"/>
        </w:rPr>
        <w:t>2011</w:t>
      </w:r>
      <w:r>
        <w:rPr/>
        <w:t>年末总股本</w:t>
      </w:r>
      <w:r>
        <w:rPr>
          <w:rFonts w:ascii="宋体" w:hAnsi="宋体" w:cs="宋体" w:eastAsia="宋体" w:hint="default"/>
        </w:rPr>
        <w:t>7,964</w:t>
      </w:r>
      <w:r>
        <w:rPr/>
        <w:t>万股为基数，以资本公积向全体股东每</w:t>
      </w:r>
      <w:r>
        <w:rPr>
          <w:rFonts w:ascii="宋体" w:hAnsi="宋体" w:cs="宋体" w:eastAsia="宋体" w:hint="default"/>
        </w:rPr>
        <w:t>10 </w:t>
      </w:r>
      <w:r>
        <w:rPr/>
        <w:t>股转增</w:t>
      </w:r>
      <w:r>
        <w:rPr>
          <w:rFonts w:ascii="宋体" w:hAnsi="宋体" w:cs="宋体" w:eastAsia="宋体" w:hint="default"/>
        </w:rPr>
        <w:t>8</w:t>
      </w:r>
      <w:r>
        <w:rPr/>
        <w:t>股，变更后注册资本为人民币</w:t>
      </w:r>
      <w:r>
        <w:rPr>
          <w:rFonts w:ascii="宋体" w:hAnsi="宋体" w:cs="宋体" w:eastAsia="宋体" w:hint="default"/>
        </w:rPr>
        <w:t>14,335.20</w:t>
      </w:r>
      <w:r>
        <w:rPr/>
        <w:t>万元；</w:t>
      </w:r>
      <w:r>
        <w:rPr>
          <w:rFonts w:ascii="宋体" w:hAnsi="宋体" w:cs="宋体" w:eastAsia="宋体" w:hint="default"/>
        </w:rPr>
        <w:t>2013</w:t>
      </w:r>
      <w:r>
        <w:rPr/>
        <w:t>年</w:t>
      </w:r>
      <w:r>
        <w:rPr>
          <w:rFonts w:ascii="宋体" w:hAnsi="宋体" w:cs="宋体" w:eastAsia="宋体" w:hint="default"/>
        </w:rPr>
        <w:t>5</w:t>
      </w:r>
      <w:r>
        <w:rPr/>
        <w:t>月，经</w:t>
      </w:r>
      <w:r>
        <w:rPr>
          <w:rFonts w:ascii="宋体" w:hAnsi="宋体" w:cs="宋体" w:eastAsia="宋体" w:hint="default"/>
        </w:rPr>
        <w:t>2012</w:t>
      </w:r>
      <w:r>
        <w:rPr/>
        <w:t>年年度股东大会决议通过，公司以</w:t>
      </w:r>
      <w:r>
        <w:rPr>
          <w:rFonts w:ascii="宋体" w:hAnsi="宋体" w:cs="宋体" w:eastAsia="宋体" w:hint="default"/>
        </w:rPr>
        <w:t>2012</w:t>
      </w:r>
      <w:r>
        <w:rPr/>
        <w:t>年末总股 </w:t>
      </w:r>
      <w:r>
        <w:rPr>
          <w:spacing w:val="-2"/>
        </w:rPr>
        <w:t>本</w:t>
      </w:r>
      <w:r>
        <w:rPr>
          <w:rFonts w:ascii="宋体" w:hAnsi="宋体" w:cs="宋体" w:eastAsia="宋体" w:hint="default"/>
          <w:spacing w:val="-2"/>
        </w:rPr>
        <w:t>14,335.20</w:t>
      </w:r>
      <w:r>
        <w:rPr>
          <w:spacing w:val="-2"/>
        </w:rPr>
        <w:t>万股为基数，以资本公积向全体股东每</w:t>
      </w:r>
      <w:r>
        <w:rPr>
          <w:rFonts w:ascii="宋体" w:hAnsi="宋体" w:cs="宋体" w:eastAsia="宋体" w:hint="default"/>
          <w:spacing w:val="-2"/>
        </w:rPr>
        <w:t>10</w:t>
      </w:r>
      <w:r>
        <w:rPr>
          <w:spacing w:val="-2"/>
        </w:rPr>
        <w:t>股转增</w:t>
      </w:r>
      <w:r>
        <w:rPr>
          <w:rFonts w:ascii="宋体" w:hAnsi="宋体" w:cs="宋体" w:eastAsia="宋体" w:hint="default"/>
          <w:spacing w:val="-2"/>
        </w:rPr>
        <w:t>5</w:t>
      </w:r>
      <w:r>
        <w:rPr>
          <w:spacing w:val="-2"/>
        </w:rPr>
        <w:t>股，变更后注册资本为人民币</w:t>
      </w:r>
      <w:r>
        <w:rPr>
          <w:rFonts w:ascii="宋体" w:hAnsi="宋体" w:cs="宋体" w:eastAsia="宋体" w:hint="default"/>
          <w:spacing w:val="-2"/>
        </w:rPr>
        <w:t>21,502.80</w:t>
      </w:r>
      <w:r>
        <w:rPr>
          <w:spacing w:val="-2"/>
        </w:rPr>
        <w:t>万元；</w:t>
      </w:r>
      <w:r>
        <w:rPr>
          <w:rFonts w:ascii="宋体" w:hAnsi="宋体" w:cs="宋体" w:eastAsia="宋体" w:hint="default"/>
          <w:spacing w:val="-2"/>
        </w:rPr>
        <w:t>2014</w:t>
      </w:r>
      <w:r>
        <w:rPr>
          <w:spacing w:val="-2"/>
        </w:rPr>
        <w:t>年</w:t>
      </w:r>
      <w:r>
        <w:rPr>
          <w:rFonts w:ascii="宋体" w:hAnsi="宋体" w:cs="宋体" w:eastAsia="宋体" w:hint="default"/>
          <w:spacing w:val="-2"/>
        </w:rPr>
        <w:t>5</w:t>
      </w:r>
      <w:r>
        <w:rPr>
          <w:spacing w:val="-2"/>
        </w:rPr>
        <w:t>月，经</w:t>
      </w:r>
      <w:r>
        <w:rPr>
          <w:spacing w:val="-61"/>
        </w:rPr>
        <w:t> </w:t>
      </w:r>
      <w:r>
        <w:rPr>
          <w:spacing w:val="-61"/>
        </w:rPr>
      </w:r>
      <w:r>
        <w:rPr>
          <w:rFonts w:ascii="宋体" w:hAnsi="宋体" w:cs="宋体" w:eastAsia="宋体" w:hint="default"/>
        </w:rPr>
        <w:t>2013</w:t>
      </w:r>
      <w:r>
        <w:rPr/>
        <w:t>年年度股东大会决议通过，公司以</w:t>
      </w:r>
      <w:r>
        <w:rPr>
          <w:rFonts w:ascii="宋体" w:hAnsi="宋体" w:cs="宋体" w:eastAsia="宋体" w:hint="default"/>
        </w:rPr>
        <w:t>2013</w:t>
      </w:r>
      <w:r>
        <w:rPr/>
        <w:t>年末总股本</w:t>
      </w:r>
      <w:r>
        <w:rPr>
          <w:rFonts w:ascii="宋体" w:hAnsi="宋体" w:cs="宋体" w:eastAsia="宋体" w:hint="default"/>
        </w:rPr>
        <w:t>21,502.80</w:t>
      </w:r>
      <w:r>
        <w:rPr/>
        <w:t>万股为基数，以资本公积向全体股东每</w:t>
      </w:r>
      <w:r>
        <w:rPr>
          <w:rFonts w:ascii="宋体" w:hAnsi="宋体" w:cs="宋体" w:eastAsia="宋体" w:hint="default"/>
        </w:rPr>
        <w:t>10</w:t>
      </w:r>
      <w:r>
        <w:rPr/>
        <w:t>股转增</w:t>
      </w:r>
      <w:r>
        <w:rPr>
          <w:rFonts w:ascii="宋体" w:hAnsi="宋体" w:cs="宋体" w:eastAsia="宋体" w:hint="default"/>
        </w:rPr>
        <w:t>10</w:t>
      </w:r>
      <w:r>
        <w:rPr/>
        <w:t>股，变 更后注册资本为人民币</w:t>
      </w:r>
      <w:r>
        <w:rPr>
          <w:rFonts w:ascii="宋体" w:hAnsi="宋体" w:cs="宋体" w:eastAsia="宋体" w:hint="default"/>
        </w:rPr>
        <w:t>43,005.60</w:t>
      </w:r>
      <w:r>
        <w:rPr/>
        <w:t>万元。</w:t>
      </w:r>
    </w:p>
    <w:p>
      <w:pPr>
        <w:pStyle w:val="BodyText"/>
        <w:spacing w:line="240" w:lineRule="auto" w:before="19"/>
        <w:ind w:left="1493" w:right="0"/>
        <w:jc w:val="left"/>
      </w:pPr>
      <w:r>
        <w:rPr>
          <w:rFonts w:ascii="宋体" w:hAnsi="宋体" w:cs="宋体" w:eastAsia="宋体" w:hint="default"/>
        </w:rPr>
        <w:t>2</w:t>
      </w:r>
      <w:r>
        <w:rPr/>
        <w:t>、本公司注册地： 武汉市东湖新技术开发区华工大学科技园</w:t>
      </w:r>
    </w:p>
    <w:p>
      <w:pPr>
        <w:pStyle w:val="BodyText"/>
        <w:spacing w:line="240" w:lineRule="auto" w:before="76"/>
        <w:ind w:left="1494" w:right="0"/>
        <w:jc w:val="left"/>
      </w:pPr>
      <w:r>
        <w:rPr>
          <w:rFonts w:ascii="宋体" w:hAnsi="宋体" w:cs="宋体" w:eastAsia="宋体" w:hint="default"/>
        </w:rPr>
        <w:t>3</w:t>
      </w:r>
      <w:r>
        <w:rPr/>
        <w:t>、组织形式： 股份有限公司（上市）</w:t>
      </w:r>
    </w:p>
    <w:p>
      <w:pPr>
        <w:pStyle w:val="BodyText"/>
        <w:spacing w:line="240" w:lineRule="auto" w:before="76"/>
        <w:ind w:left="1493" w:right="0"/>
        <w:jc w:val="left"/>
      </w:pPr>
      <w:r>
        <w:rPr>
          <w:rFonts w:ascii="宋体" w:hAnsi="宋体" w:cs="宋体" w:eastAsia="宋体" w:hint="default"/>
        </w:rPr>
        <w:t>4</w:t>
      </w:r>
      <w:r>
        <w:rPr/>
        <w:t>、总部地址：武汉市东湖新技术开发区华工大学科技园</w:t>
      </w:r>
    </w:p>
    <w:p>
      <w:pPr>
        <w:pStyle w:val="BodyText"/>
        <w:spacing w:line="316" w:lineRule="auto" w:before="76"/>
        <w:ind w:left="1493" w:right="0"/>
        <w:jc w:val="left"/>
      </w:pPr>
      <w:r>
        <w:rPr>
          <w:rFonts w:ascii="宋体" w:hAnsi="宋体" w:cs="宋体" w:eastAsia="宋体" w:hint="default"/>
        </w:rPr>
        <w:t>5</w:t>
      </w:r>
      <w:r>
        <w:rPr/>
        <w:t>、本公司及子公司的主营业务： </w:t>
      </w:r>
      <w:r>
        <w:rPr>
          <w:spacing w:val="-2"/>
        </w:rPr>
        <w:t>本公司：主要从事与数据安全相关的智能卡、终端设备及系统解决方案等的设计、制造、销售和服务，商用密码产品的</w:t>
      </w:r>
    </w:p>
    <w:p>
      <w:pPr>
        <w:pStyle w:val="BodyText"/>
        <w:spacing w:line="316" w:lineRule="auto" w:before="19"/>
        <w:ind w:right="0"/>
        <w:jc w:val="left"/>
      </w:pPr>
      <w:r>
        <w:rPr>
          <w:spacing w:val="-2"/>
        </w:rPr>
        <w:t>开发、生产，以及相关商品和技术的进出口，产品应用于金融、通信、交通、税控、社保、医疗卫生及工商等政务领域，满</w:t>
      </w:r>
      <w:r>
        <w:rPr>
          <w:spacing w:val="-69"/>
        </w:rPr>
        <w:t> </w:t>
      </w:r>
      <w:r>
        <w:rPr>
          <w:spacing w:val="-69"/>
        </w:rPr>
      </w:r>
      <w:r>
        <w:rPr/>
        <w:t>足不同客户群体的市场需求。</w:t>
      </w:r>
    </w:p>
    <w:p>
      <w:pPr>
        <w:pStyle w:val="BodyText"/>
        <w:spacing w:line="316" w:lineRule="auto" w:before="19"/>
        <w:ind w:right="1213" w:firstLine="360"/>
        <w:jc w:val="left"/>
      </w:pPr>
      <w:r>
        <w:rPr/>
        <w:t>子公司天喻通讯：主要从事以国家教育信息化建设为背景的</w:t>
      </w:r>
      <w:r>
        <w:rPr>
          <w:rFonts w:ascii="宋体" w:hAnsi="宋体" w:cs="宋体" w:eastAsia="宋体" w:hint="default"/>
        </w:rPr>
        <w:t>K12</w:t>
      </w:r>
      <w:r>
        <w:rPr/>
        <w:t>阶段教育云平台与应用的开发、销售、运营业务及</w:t>
      </w:r>
      <w:r>
        <w:rPr>
          <w:rFonts w:ascii="宋体" w:hAnsi="宋体" w:cs="宋体" w:eastAsia="宋体" w:hint="default"/>
        </w:rPr>
        <w:t>K12 </w:t>
      </w:r>
      <w:r>
        <w:rPr/>
        <w:t>阶段学生在线学习服务平台运营服务。</w:t>
      </w:r>
    </w:p>
    <w:p>
      <w:pPr>
        <w:pStyle w:val="BodyText"/>
        <w:spacing w:line="319" w:lineRule="auto" w:before="19"/>
        <w:ind w:left="1134" w:right="1122" w:firstLine="360"/>
        <w:jc w:val="left"/>
      </w:pPr>
      <w:r>
        <w:rPr/>
        <w:t>子公司擎动网络：主要从事流通领域的供应链</w:t>
      </w:r>
      <w:r>
        <w:rPr>
          <w:rFonts w:ascii="宋体" w:hAnsi="宋体" w:cs="宋体" w:eastAsia="宋体" w:hint="default"/>
        </w:rPr>
        <w:t>O2O</w:t>
      </w:r>
      <w:r>
        <w:rPr/>
        <w:t>服务平台及互联网金融支付平台的开发与运营，为流通领域供应链上 下游企业提供“供应链</w:t>
      </w:r>
      <w:r>
        <w:rPr>
          <w:rFonts w:ascii="宋体" w:hAnsi="宋体" w:cs="宋体" w:eastAsia="宋体" w:hint="default"/>
        </w:rPr>
        <w:t>O2O+</w:t>
      </w:r>
      <w:r>
        <w:rPr/>
        <w:t>金融支付”一体化解决方案。</w:t>
      </w:r>
    </w:p>
    <w:p>
      <w:pPr>
        <w:pStyle w:val="BodyText"/>
        <w:spacing w:line="316" w:lineRule="auto" w:before="17"/>
        <w:ind w:left="1134" w:right="1130" w:firstLine="360"/>
        <w:jc w:val="both"/>
      </w:pPr>
      <w:r>
        <w:rPr>
          <w:spacing w:val="-2"/>
        </w:rPr>
        <w:t>子公司湖北百旺：以税控产品及服务的技术开发、产品销售、技术服务为主营业务，致力于为增值税纳税企业提供税控</w:t>
      </w:r>
      <w:r>
        <w:rPr/>
        <w:t> </w:t>
      </w:r>
      <w:r>
        <w:rPr>
          <w:spacing w:val="-2"/>
        </w:rPr>
        <w:t>盘、税务专用打印机、税控开票软件、涉税业务培训、税务服务支持、税务综合解决方案等产品和服务，并向政府提供税控</w:t>
      </w:r>
      <w:r>
        <w:rPr>
          <w:spacing w:val="-68"/>
        </w:rPr>
        <w:t> </w:t>
      </w:r>
      <w:r>
        <w:rPr>
          <w:spacing w:val="-68"/>
        </w:rPr>
      </w:r>
      <w:r>
        <w:rPr/>
        <w:t>行业信息系统、技术服务、技术培训等服务。</w:t>
      </w:r>
    </w:p>
    <w:p>
      <w:pPr>
        <w:pStyle w:val="BodyText"/>
        <w:spacing w:line="316" w:lineRule="auto" w:before="19"/>
        <w:ind w:left="1493" w:right="1123"/>
        <w:jc w:val="left"/>
      </w:pPr>
      <w:r>
        <w:rPr/>
        <w:t>子公司果核科技：主要从事基于</w:t>
      </w:r>
      <w:r>
        <w:rPr>
          <w:rFonts w:ascii="宋体" w:hAnsi="宋体" w:cs="宋体" w:eastAsia="宋体" w:hint="default"/>
        </w:rPr>
        <w:t>TEE</w:t>
      </w:r>
      <w:r>
        <w:rPr/>
        <w:t>的手机安全解决方案及相关安全应用的开发、运营、项目实施等技术服务。 子公司聚联网络：面向银行、银行的个人和企业客户、商户提供基于移动互联网的产品和服务。构建</w:t>
      </w:r>
      <w:r>
        <w:rPr>
          <w:rFonts w:ascii="宋体" w:hAnsi="宋体" w:cs="宋体" w:eastAsia="宋体" w:hint="default"/>
        </w:rPr>
        <w:t>NFC</w:t>
      </w:r>
      <w:r>
        <w:rPr/>
        <w:t>支付服务生态</w:t>
      </w:r>
    </w:p>
    <w:p>
      <w:pPr>
        <w:pStyle w:val="BodyText"/>
        <w:spacing w:line="316" w:lineRule="auto" w:before="19"/>
        <w:ind w:left="1493" w:right="3733" w:hanging="360"/>
        <w:jc w:val="left"/>
      </w:pPr>
      <w:r>
        <w:rPr/>
        <w:t>体系，通过智能支付设备、支付管理平台、系统解决方案为用户提供支付应用服务。 子公司天喻信通：主要从事智能卡卡基制造及加工服务。 </w:t>
      </w:r>
      <w:r>
        <w:rPr>
          <w:rFonts w:ascii="宋体" w:hAnsi="宋体" w:cs="宋体" w:eastAsia="宋体" w:hint="default"/>
        </w:rPr>
        <w:t>6</w:t>
      </w:r>
      <w:r>
        <w:rPr/>
        <w:t>、本公司控股股东及实际控制人的名称： 本公司的控股股东为武汉华工创业投资有限责任公司，实际控制人为华中科技大学。 </w:t>
      </w:r>
      <w:r>
        <w:rPr>
          <w:rFonts w:ascii="宋体" w:hAnsi="宋体" w:cs="宋体" w:eastAsia="宋体" w:hint="default"/>
        </w:rPr>
        <w:t>7</w:t>
      </w:r>
      <w:r>
        <w:rPr/>
        <w:t>、财务报告的批准报出者和财务报告批准报出日： 本财务报告于</w:t>
      </w:r>
      <w:r>
        <w:rPr>
          <w:rFonts w:ascii="宋体" w:hAnsi="宋体" w:cs="宋体" w:eastAsia="宋体" w:hint="default"/>
        </w:rPr>
        <w:t>2016</w:t>
      </w:r>
      <w:r>
        <w:rPr/>
        <w:t>年</w:t>
      </w:r>
      <w:r>
        <w:rPr>
          <w:rFonts w:ascii="宋体" w:hAnsi="宋体" w:cs="宋体" w:eastAsia="宋体" w:hint="default"/>
        </w:rPr>
        <w:t>4</w:t>
      </w:r>
      <w:r>
        <w:rPr/>
        <w:t>月</w:t>
      </w:r>
      <w:r>
        <w:rPr>
          <w:rFonts w:ascii="宋体" w:hAnsi="宋体" w:cs="宋体" w:eastAsia="宋体" w:hint="default"/>
        </w:rPr>
        <w:t>12</w:t>
      </w:r>
      <w:r>
        <w:rPr/>
        <w:t>日经公司第六届董事会第十七次会议批准报出。</w:t>
      </w:r>
    </w:p>
    <w:p>
      <w:pPr>
        <w:pStyle w:val="BodyText"/>
        <w:spacing w:line="316" w:lineRule="auto" w:before="19"/>
        <w:ind w:right="1118" w:firstLine="360"/>
        <w:jc w:val="left"/>
      </w:pPr>
      <w:r>
        <w:rPr>
          <w:spacing w:val="-2"/>
        </w:rPr>
        <w:t>截至报告期末，纳入合并财务报表范围的子公司共计</w:t>
      </w:r>
      <w:r>
        <w:rPr>
          <w:rFonts w:ascii="宋体" w:hAnsi="宋体" w:cs="宋体" w:eastAsia="宋体" w:hint="default"/>
          <w:spacing w:val="-2"/>
        </w:rPr>
        <w:t>6</w:t>
      </w:r>
      <w:r>
        <w:rPr>
          <w:spacing w:val="-2"/>
        </w:rPr>
        <w:t>家，详见本附注九、</w:t>
      </w:r>
      <w:r>
        <w:rPr>
          <w:rFonts w:ascii="宋体" w:hAnsi="宋体" w:cs="宋体" w:eastAsia="宋体" w:hint="default"/>
          <w:spacing w:val="-2"/>
        </w:rPr>
        <w:t>1</w:t>
      </w:r>
      <w:r>
        <w:rPr>
          <w:spacing w:val="-2"/>
        </w:rPr>
        <w:t>，本报告期合并财务报表范围变化情况详见</w:t>
      </w:r>
      <w:r>
        <w:rPr/>
        <w:t> 本附注八。</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四、财务报表的编制基础" w:id="164"/>
      <w:bookmarkEnd w:id="164"/>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编制基础" w:id="165"/>
      <w:bookmarkEnd w:id="165"/>
      <w:r>
        <w:rPr>
          <w:b w:val="0"/>
          <w:bCs w:val="0"/>
        </w:rPr>
      </w:r>
      <w:r>
        <w:rPr>
          <w:rFonts w:ascii="宋体" w:hAnsi="宋体" w:cs="宋体" w:eastAsia="宋体" w:hint="default"/>
        </w:rPr>
        <w:t>1</w:t>
      </w:r>
      <w:r>
        <w:rPr/>
        <w:t>、编制基础</w:t>
      </w:r>
      <w:r>
        <w:rPr>
          <w:b w:val="0"/>
          <w:bCs w:val="0"/>
        </w:rPr>
      </w:r>
    </w:p>
    <w:p>
      <w:pPr>
        <w:spacing w:line="240" w:lineRule="auto" w:before="10"/>
        <w:rPr>
          <w:rFonts w:ascii="宋体" w:hAnsi="宋体" w:cs="宋体" w:eastAsia="宋体" w:hint="default"/>
          <w:b/>
          <w:bCs/>
          <w:sz w:val="27"/>
          <w:szCs w:val="27"/>
        </w:rPr>
      </w:pPr>
    </w:p>
    <w:p>
      <w:pPr>
        <w:pStyle w:val="BodyText"/>
        <w:spacing w:line="319" w:lineRule="auto"/>
        <w:ind w:right="0" w:firstLine="360"/>
        <w:jc w:val="left"/>
      </w:pPr>
      <w:r>
        <w:rPr>
          <w:spacing w:val="-2"/>
        </w:rPr>
        <w:t>本财务报表以持续经营为基础编制，根据实际发生的交易和事项，按照《企业会计准则——基本准则》和其他各项会计</w:t>
      </w:r>
      <w:r>
        <w:rPr/>
        <w:t> 准则的规定进行确认和计量，在此基础上编制财务报表。</w:t>
      </w:r>
    </w:p>
    <w:p>
      <w:pPr>
        <w:spacing w:after="0" w:line="319" w:lineRule="auto"/>
        <w:jc w:val="left"/>
        <w:sectPr>
          <w:headerReference w:type="default" r:id="rId37"/>
          <w:footerReference w:type="default" r:id="rId38"/>
          <w:pgSz w:w="11910" w:h="16840"/>
          <w:pgMar w:header="877" w:footer="1187" w:top="1100" w:bottom="1380" w:left="0" w:right="0"/>
          <w:pgNumType w:start="81"/>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2、持续经营" w:id="166"/>
      <w:bookmarkEnd w:id="166"/>
      <w:r>
        <w:rPr>
          <w:b w:val="0"/>
          <w:bCs w:val="0"/>
        </w:rPr>
      </w:r>
      <w:r>
        <w:rPr>
          <w:rFonts w:ascii="宋体" w:hAnsi="宋体" w:cs="宋体" w:eastAsia="宋体" w:hint="default"/>
        </w:rPr>
        <w:t>2</w:t>
      </w:r>
      <w:r>
        <w:rPr/>
        <w:t>、持续经营</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1493" w:right="0"/>
        <w:jc w:val="left"/>
      </w:pPr>
      <w:r>
        <w:rPr/>
        <w:t>本公司自报告期末起</w:t>
      </w:r>
      <w:r>
        <w:rPr>
          <w:rFonts w:ascii="宋体" w:hAnsi="宋体" w:cs="宋体" w:eastAsia="宋体" w:hint="default"/>
        </w:rPr>
        <w:t>12</w:t>
      </w:r>
      <w:r>
        <w:rPr/>
        <w:t>个月内不存在对本公司持续经营能力产生重大疑虑的事项或情况。</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五、重要会计政策及会计估计" w:id="167"/>
      <w:bookmarkEnd w:id="167"/>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1493" w:right="0" w:hanging="360"/>
        <w:jc w:val="left"/>
      </w:pPr>
      <w:r>
        <w:rPr/>
        <w:t>具体会计政策和会计估计提示： </w:t>
      </w:r>
      <w:r>
        <w:rPr>
          <w:spacing w:val="-2"/>
        </w:rPr>
        <w:t>本公司根据实际经营特点，依据相关会计准则的规定，对应收款项、固定资产、无形资产、收入等交易和事项制定了具</w:t>
      </w:r>
    </w:p>
    <w:p>
      <w:pPr>
        <w:pStyle w:val="BodyText"/>
        <w:spacing w:line="224" w:lineRule="exact"/>
        <w:ind w:right="0"/>
        <w:jc w:val="left"/>
      </w:pPr>
      <w:r>
        <w:rPr/>
        <w:t>体会计政策和会计估计。</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1、遵循企业会计准则的声明" w:id="168"/>
      <w:bookmarkEnd w:id="168"/>
      <w:r>
        <w:rPr>
          <w:b w:val="0"/>
          <w:bCs w:val="0"/>
        </w:rPr>
      </w:r>
      <w:r>
        <w:rPr>
          <w:rFonts w:ascii="宋体" w:hAnsi="宋体" w:cs="宋体" w:eastAsia="宋体" w:hint="default"/>
        </w:rPr>
        <w:t>1</w:t>
      </w:r>
      <w:r>
        <w:rPr/>
        <w:t>、遵循企业会计准则的声明</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1493" w:right="0"/>
        <w:jc w:val="left"/>
      </w:pPr>
      <w:r>
        <w:rPr/>
        <w:t>本财务报表符合企业会计准则的要求，真实、完整地反映了本公司的财务状况、经营成果和现金流量等有关信息。</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会计期间" w:id="169"/>
      <w:bookmarkEnd w:id="169"/>
      <w:r>
        <w:rPr>
          <w:b w:val="0"/>
          <w:bCs w:val="0"/>
        </w:rPr>
      </w:r>
      <w:r>
        <w:rPr>
          <w:rFonts w:ascii="宋体" w:hAnsi="宋体" w:cs="宋体" w:eastAsia="宋体" w:hint="default"/>
        </w:rPr>
        <w:t>2</w:t>
      </w:r>
      <w:r>
        <w:rPr/>
        <w:t>、会计期间</w:t>
      </w:r>
      <w:r>
        <w:rPr>
          <w:b w:val="0"/>
          <w:bCs w:val="0"/>
        </w:rPr>
      </w:r>
    </w:p>
    <w:p>
      <w:pPr>
        <w:spacing w:line="240" w:lineRule="auto" w:before="9"/>
        <w:rPr>
          <w:rFonts w:ascii="宋体" w:hAnsi="宋体" w:cs="宋体" w:eastAsia="宋体" w:hint="default"/>
          <w:b/>
          <w:bCs/>
          <w:sz w:val="27"/>
          <w:szCs w:val="27"/>
        </w:rPr>
      </w:pPr>
    </w:p>
    <w:p>
      <w:pPr>
        <w:pStyle w:val="BodyText"/>
        <w:spacing w:line="240" w:lineRule="auto"/>
        <w:ind w:left="1493" w:right="0"/>
        <w:jc w:val="left"/>
      </w:pPr>
      <w:r>
        <w:rPr/>
        <w:t>本公司会计年度采用公历年度，即每年自</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12</w:t>
      </w:r>
      <w:r>
        <w:rPr/>
        <w:t>月</w:t>
      </w:r>
      <w:r>
        <w:rPr>
          <w:rFonts w:ascii="宋体" w:hAnsi="宋体" w:cs="宋体" w:eastAsia="宋体" w:hint="default"/>
        </w:rPr>
        <w:t>31</w:t>
      </w:r>
      <w:r>
        <w:rPr/>
        <w:t>日止。</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营业周期" w:id="170"/>
      <w:bookmarkEnd w:id="170"/>
      <w:r>
        <w:rPr>
          <w:b w:val="0"/>
          <w:bCs w:val="0"/>
        </w:rPr>
      </w:r>
      <w:r>
        <w:rPr>
          <w:rFonts w:ascii="宋体" w:hAnsi="宋体" w:cs="宋体" w:eastAsia="宋体" w:hint="default"/>
        </w:rPr>
        <w:t>3</w:t>
      </w:r>
      <w:r>
        <w:rPr/>
        <w:t>、营业周期</w:t>
      </w:r>
      <w:r>
        <w:rPr>
          <w:b w:val="0"/>
          <w:bCs w:val="0"/>
        </w:rPr>
      </w:r>
    </w:p>
    <w:p>
      <w:pPr>
        <w:spacing w:line="240" w:lineRule="auto" w:before="9"/>
        <w:rPr>
          <w:rFonts w:ascii="宋体" w:hAnsi="宋体" w:cs="宋体" w:eastAsia="宋体" w:hint="default"/>
          <w:b/>
          <w:bCs/>
          <w:sz w:val="27"/>
          <w:szCs w:val="27"/>
        </w:rPr>
      </w:pPr>
    </w:p>
    <w:p>
      <w:pPr>
        <w:pStyle w:val="BodyText"/>
        <w:spacing w:line="319" w:lineRule="auto"/>
        <w:ind w:right="1131" w:firstLine="360"/>
        <w:jc w:val="both"/>
      </w:pPr>
      <w:r>
        <w:rPr>
          <w:spacing w:val="-2"/>
        </w:rPr>
        <w:t>正常营业周期，是指企业从购买用于加工的资产起至实现现金或现金等价物的期间。本公司正常营业周期短于一年。正</w:t>
      </w:r>
      <w:r>
        <w:rPr/>
        <w:t> </w:t>
      </w:r>
      <w:r>
        <w:rPr>
          <w:spacing w:val="-2"/>
        </w:rPr>
        <w:t>常营业周期短于一年的，自资产负债表日起一年内变现的资产或自资产负债表日起一年内到期应予以清偿的负债归类为流动</w:t>
      </w:r>
      <w:r>
        <w:rPr>
          <w:spacing w:val="-64"/>
        </w:rPr>
        <w:t> </w:t>
      </w:r>
      <w:r>
        <w:rPr>
          <w:spacing w:val="-64"/>
        </w:rPr>
      </w:r>
      <w:r>
        <w:rPr/>
        <w:t>资产或流动负债。</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bookmarkStart w:name="4、记账本位币" w:id="171"/>
      <w:bookmarkEnd w:id="171"/>
      <w:r>
        <w:rPr>
          <w:b w:val="0"/>
          <w:bCs w:val="0"/>
        </w:rPr>
      </w:r>
      <w:r>
        <w:rPr>
          <w:rFonts w:ascii="宋体" w:hAnsi="宋体" w:cs="宋体" w:eastAsia="宋体" w:hint="default"/>
        </w:rPr>
        <w:t>4</w:t>
      </w:r>
      <w:r>
        <w:rPr/>
        <w:t>、记账本位币</w:t>
      </w:r>
      <w:r>
        <w:rPr>
          <w:b w:val="0"/>
          <w:bCs w:val="0"/>
        </w:rPr>
      </w:r>
    </w:p>
    <w:p>
      <w:pPr>
        <w:spacing w:line="240" w:lineRule="auto" w:before="9"/>
        <w:rPr>
          <w:rFonts w:ascii="宋体" w:hAnsi="宋体" w:cs="宋体" w:eastAsia="宋体" w:hint="default"/>
          <w:b/>
          <w:bCs/>
          <w:sz w:val="27"/>
          <w:szCs w:val="27"/>
        </w:rPr>
      </w:pPr>
    </w:p>
    <w:p>
      <w:pPr>
        <w:pStyle w:val="BodyText"/>
        <w:spacing w:line="240" w:lineRule="auto"/>
        <w:ind w:left="1493" w:right="0"/>
        <w:jc w:val="left"/>
      </w:pPr>
      <w:r>
        <w:rPr/>
        <w:t>本公司以人民币为记账本位币。</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5、同一控制下和非同一控制下企业合并的会计处理方法" w:id="172"/>
      <w:bookmarkEnd w:id="172"/>
      <w:r>
        <w:rPr>
          <w:b w:val="0"/>
          <w:bCs w:val="0"/>
        </w:rPr>
      </w:r>
      <w:r>
        <w:rPr>
          <w:rFonts w:ascii="宋体" w:hAnsi="宋体" w:cs="宋体" w:eastAsia="宋体" w:hint="default"/>
        </w:rPr>
        <w:t>5</w:t>
      </w:r>
      <w:r>
        <w:rPr/>
        <w:t>、同一控制下和非同一控制下企业合并的会计处理方法</w:t>
      </w:r>
      <w:r>
        <w:rPr>
          <w:b w:val="0"/>
          <w:bCs w:val="0"/>
        </w:rPr>
      </w:r>
    </w:p>
    <w:p>
      <w:pPr>
        <w:spacing w:line="240" w:lineRule="auto" w:before="9"/>
        <w:rPr>
          <w:rFonts w:ascii="宋体" w:hAnsi="宋体" w:cs="宋体" w:eastAsia="宋体" w:hint="default"/>
          <w:b/>
          <w:bCs/>
          <w:sz w:val="27"/>
          <w:szCs w:val="27"/>
        </w:rPr>
      </w:pPr>
    </w:p>
    <w:p>
      <w:pPr>
        <w:pStyle w:val="BodyText"/>
        <w:spacing w:line="316" w:lineRule="auto"/>
        <w:ind w:left="1134" w:right="1032" w:firstLine="360"/>
        <w:jc w:val="left"/>
      </w:pPr>
      <w:r>
        <w:rPr/>
        <w:t>（</w:t>
      </w:r>
      <w:r>
        <w:rPr>
          <w:rFonts w:ascii="宋体" w:hAnsi="宋体" w:cs="宋体" w:eastAsia="宋体" w:hint="default"/>
        </w:rPr>
        <w:t>1</w:t>
      </w:r>
      <w:r>
        <w:rPr/>
        <w:t>）本公司报告期内发生同一控制下企业合并的，采用权益结合法进行会计处理。合并方在企业合并中取得的资产和 </w:t>
      </w:r>
      <w:r>
        <w:rPr>
          <w:spacing w:val="-2"/>
        </w:rPr>
        <w:t>负债，于合并日按照被合并方在最终控制方合并财务报表中的账面价值计量。合并方取得的净资产账面价值与支付的合并对</w:t>
      </w:r>
      <w:r>
        <w:rPr>
          <w:spacing w:val="-64"/>
        </w:rPr>
        <w:t> </w:t>
      </w:r>
      <w:r>
        <w:rPr>
          <w:spacing w:val="-64"/>
        </w:rPr>
      </w:r>
      <w:r>
        <w:rPr>
          <w:spacing w:val="-2"/>
        </w:rPr>
        <w:t>价账面价值（或发行股份面值总额）的差额，调整资本公积；资本公积不足冲减的，调整留存收益。合并方为进行企业合并</w:t>
      </w:r>
      <w:r>
        <w:rPr>
          <w:spacing w:val="-68"/>
        </w:rPr>
        <w:t> </w:t>
      </w:r>
      <w:r>
        <w:rPr>
          <w:spacing w:val="-68"/>
        </w:rPr>
      </w:r>
      <w:r>
        <w:rPr/>
        <w:t>发生的各项直接相关费用，包括为进行企业合并而支付的审计费用、评估费用、法律服务费用等，于发生时计入当期损益。</w:t>
      </w:r>
      <w:r>
        <w:rPr>
          <w:spacing w:val="-85"/>
        </w:rPr>
        <w:t> </w:t>
      </w:r>
      <w:r>
        <w:rPr>
          <w:spacing w:val="-85"/>
        </w:rPr>
      </w:r>
      <w:r>
        <w:rPr>
          <w:spacing w:val="-2"/>
        </w:rPr>
        <w:t>为企业合并发行的债券或承担其他债务支付的手续费、佣金等，计入所发行债券及其他债务的初始计量金额。企业合并中发</w:t>
      </w:r>
      <w:r>
        <w:rPr>
          <w:spacing w:val="-66"/>
        </w:rPr>
        <w:t> </w:t>
      </w:r>
      <w:r>
        <w:rPr>
          <w:spacing w:val="-66"/>
        </w:rPr>
      </w:r>
      <w:r>
        <w:rPr>
          <w:spacing w:val="-2"/>
        </w:rPr>
        <w:t>行权益性证券发生的手续费、佣金等费用，抵减权益性证券溢价收入，溢价收入不足冲减的，冲减留存收益。企业合并形成</w:t>
      </w:r>
      <w:r>
        <w:rPr>
          <w:spacing w:val="-66"/>
        </w:rPr>
        <w:t> </w:t>
      </w:r>
      <w:r>
        <w:rPr>
          <w:spacing w:val="-66"/>
        </w:rPr>
      </w:r>
      <w:r>
        <w:rPr>
          <w:spacing w:val="-2"/>
        </w:rPr>
        <w:t>母子公司关系的，编制合并财务报表，按照本公司制定的“合并财务报表”会计政策执行；合并财务报表比较数据调整的期</w:t>
      </w:r>
      <w:r>
        <w:rPr>
          <w:spacing w:val="-67"/>
        </w:rPr>
        <w:t> </w:t>
      </w:r>
      <w:r>
        <w:rPr>
          <w:spacing w:val="-67"/>
        </w:rPr>
      </w:r>
      <w:r>
        <w:rPr/>
        <w:t>间应不早于合并方、被合并方处于最终控制方的控制之下孰晚的时间。</w:t>
      </w:r>
    </w:p>
    <w:p>
      <w:pPr>
        <w:pStyle w:val="BodyText"/>
        <w:spacing w:line="316" w:lineRule="auto" w:before="19"/>
        <w:ind w:right="1131" w:firstLine="360"/>
        <w:jc w:val="both"/>
      </w:pPr>
      <w:r>
        <w:rPr/>
        <w:t>（</w:t>
      </w:r>
      <w:r>
        <w:rPr>
          <w:rFonts w:ascii="宋体" w:hAnsi="宋体" w:cs="宋体" w:eastAsia="宋体" w:hint="default"/>
        </w:rPr>
        <w:t>2</w:t>
      </w:r>
      <w:r>
        <w:rPr/>
        <w:t>）本公司报告期内发生非同一控制下的企业合并的，采用购买法进行会计处理。区别下列情况确定合并成本：①一 </w:t>
      </w:r>
      <w:r>
        <w:rPr>
          <w:spacing w:val="-2"/>
        </w:rPr>
        <w:t>次交换交易实现的企业合并，合并成本为在购买日为取得对被购买方的控制权而付出的资产、发生或承担的负债以及发行的</w:t>
      </w:r>
      <w:r>
        <w:rPr>
          <w:spacing w:val="-64"/>
        </w:rPr>
        <w:t> </w:t>
      </w:r>
      <w:r>
        <w:rPr>
          <w:spacing w:val="-64"/>
        </w:rPr>
      </w:r>
      <w:r>
        <w:rPr>
          <w:spacing w:val="-2"/>
        </w:rPr>
        <w:t>权益性证券的公允价值。②通过多次交换交易分步实现的企业合并，对于购买日之前持有的被购买方的股权，区分个别财务</w:t>
      </w:r>
      <w:r>
        <w:rPr>
          <w:spacing w:val="-66"/>
        </w:rPr>
        <w:t> </w:t>
      </w:r>
      <w:r>
        <w:rPr>
          <w:spacing w:val="-66"/>
        </w:rPr>
      </w:r>
      <w:r>
        <w:rPr/>
        <w:t>报表和合并财务报表进行相关会计处理：</w:t>
      </w:r>
      <w:r>
        <w:rPr>
          <w:rFonts w:ascii="宋体" w:hAnsi="宋体" w:cs="宋体" w:eastAsia="宋体" w:hint="default"/>
        </w:rPr>
        <w:t>A</w:t>
      </w:r>
      <w:r>
        <w:rPr/>
        <w:t>、在个别财务报表中，按照原持有被购买方的股权投资的账面价值加上新增投资 </w:t>
      </w:r>
      <w:r>
        <w:rPr>
          <w:spacing w:val="-2"/>
        </w:rPr>
        <w:t>成本之和，作为改按成本法核算的初始投资成本；购买日之前持有的股权投资因采用权益法核算而确认的其他综合收益，在</w:t>
      </w:r>
      <w:r>
        <w:rPr>
          <w:spacing w:val="-66"/>
        </w:rPr>
        <w:t> </w:t>
      </w:r>
      <w:r>
        <w:rPr>
          <w:spacing w:val="-66"/>
        </w:rPr>
      </w:r>
      <w:r>
        <w:rPr>
          <w:spacing w:val="-2"/>
        </w:rPr>
        <w:t>处置该项投资时采用与被购买方直接处置相关资产或负债相同的基础进行会计处理。购买日之前持有的股权投资按照《企业</w:t>
      </w:r>
      <w:r>
        <w:rPr>
          <w:spacing w:val="-64"/>
        </w:rPr>
        <w:t> </w:t>
      </w:r>
      <w:r>
        <w:rPr>
          <w:spacing w:val="-64"/>
        </w:rPr>
      </w:r>
      <w:r>
        <w:rPr>
          <w:spacing w:val="-2"/>
        </w:rPr>
        <w:t>会计准则第</w:t>
      </w:r>
      <w:r>
        <w:rPr>
          <w:rFonts w:ascii="宋体" w:hAnsi="宋体" w:cs="宋体" w:eastAsia="宋体" w:hint="default"/>
          <w:spacing w:val="-2"/>
        </w:rPr>
        <w:t>22</w:t>
      </w:r>
      <w:r>
        <w:rPr>
          <w:spacing w:val="-2"/>
        </w:rPr>
        <w:t>号——金融工具确认和计量》的有关规定进行会计处理的，原计入其他综合收益的累计公允价值变动在改按成</w:t>
      </w:r>
    </w:p>
    <w:p>
      <w:pPr>
        <w:spacing w:after="0" w:line="316" w:lineRule="auto"/>
        <w:jc w:val="both"/>
        <w:sectPr>
          <w:pgSz w:w="11910" w:h="16840"/>
          <w:pgMar w:header="877" w:footer="1187" w:top="1100" w:bottom="1380" w:left="0" w:right="0"/>
        </w:sectPr>
      </w:pPr>
    </w:p>
    <w:p>
      <w:pPr>
        <w:spacing w:line="240" w:lineRule="auto" w:before="12"/>
        <w:rPr>
          <w:rFonts w:ascii="宋体" w:hAnsi="宋体" w:cs="宋体" w:eastAsia="宋体" w:hint="default"/>
          <w:sz w:val="21"/>
          <w:szCs w:val="21"/>
        </w:rPr>
      </w:pPr>
    </w:p>
    <w:p>
      <w:pPr>
        <w:pStyle w:val="BodyText"/>
        <w:spacing w:line="316" w:lineRule="auto" w:before="44"/>
        <w:ind w:left="1134" w:right="1132"/>
        <w:jc w:val="both"/>
      </w:pPr>
      <w:r>
        <w:rPr/>
        <w:t>本法核算时转入当期损益。</w:t>
      </w:r>
      <w:r>
        <w:rPr>
          <w:rFonts w:ascii="宋体" w:hAnsi="宋体" w:cs="宋体" w:eastAsia="宋体" w:hint="default"/>
        </w:rPr>
        <w:t>B</w:t>
      </w:r>
      <w:r>
        <w:rPr/>
        <w:t>、在合并财务报表中，对于购买日之前持有的被购买方的股权，按照该股权在购买日的公允价 </w:t>
      </w:r>
      <w:r>
        <w:rPr>
          <w:spacing w:val="-2"/>
        </w:rPr>
        <w:t>值进行重新计量，公允价值与其账面价值的差额计入当期投资收益；购买日之前持有的被购买方的股权涉及权益法核算下的</w:t>
      </w:r>
      <w:r>
        <w:rPr>
          <w:spacing w:val="-64"/>
        </w:rPr>
        <w:t> </w:t>
      </w:r>
      <w:r>
        <w:rPr>
          <w:spacing w:val="-64"/>
        </w:rPr>
      </w:r>
      <w:r>
        <w:rPr>
          <w:spacing w:val="-2"/>
        </w:rPr>
        <w:t>其他综合收益等的，与其相关的其他综合收益等转为购买日所属当期投资收益。本公司在附注中披露其在购买日之前持有的</w:t>
      </w:r>
      <w:r>
        <w:rPr>
          <w:spacing w:val="-64"/>
        </w:rPr>
        <w:t> </w:t>
      </w:r>
      <w:r>
        <w:rPr>
          <w:spacing w:val="-64"/>
        </w:rPr>
      </w:r>
      <w:r>
        <w:rPr>
          <w:spacing w:val="-2"/>
        </w:rPr>
        <w:t>被购买方的股权在购买日的公允价值、按照公允价值重新计量产生的相关利得或损失的金额。③为企业合并发生的审计、法</w:t>
      </w:r>
      <w:r>
        <w:rPr>
          <w:spacing w:val="-66"/>
        </w:rPr>
        <w:t> </w:t>
      </w:r>
      <w:r>
        <w:rPr>
          <w:spacing w:val="-66"/>
        </w:rPr>
      </w:r>
      <w:r>
        <w:rPr>
          <w:spacing w:val="-2"/>
        </w:rPr>
        <w:t>律服务、评估咨询等中介费用以及其他相关管理费用，于发生时计入当期损益；作为合并对价发行的权益性证券或债务性证</w:t>
      </w:r>
      <w:r>
        <w:rPr>
          <w:spacing w:val="-66"/>
        </w:rPr>
        <w:t> </w:t>
      </w:r>
      <w:r>
        <w:rPr>
          <w:spacing w:val="-66"/>
        </w:rPr>
      </w:r>
      <w:r>
        <w:rPr>
          <w:spacing w:val="-2"/>
        </w:rPr>
        <w:t>券的交易费用，计入权益性证券或债务性证券的初始确认金额。④在合并合同或协议中对可能影响合并成本的未来事项作出</w:t>
      </w:r>
      <w:r>
        <w:rPr>
          <w:spacing w:val="-64"/>
        </w:rPr>
        <w:t> </w:t>
      </w:r>
      <w:r>
        <w:rPr>
          <w:spacing w:val="-64"/>
        </w:rPr>
      </w:r>
      <w:r>
        <w:rPr/>
        <w:t>约定的，购买日如果估计未来事项很可能发生并且对合并成本的影响金额能够可靠计量的，将其计入合并成本。</w:t>
      </w:r>
    </w:p>
    <w:p>
      <w:pPr>
        <w:pStyle w:val="BodyText"/>
        <w:spacing w:line="316" w:lineRule="auto" w:before="19"/>
        <w:ind w:right="1043" w:firstLine="360"/>
        <w:jc w:val="both"/>
      </w:pPr>
      <w:r>
        <w:rPr>
          <w:spacing w:val="-4"/>
        </w:rPr>
        <w:t>本公司在购买日对作为企业合并对价付出的资产、发生或承担的负债按照公允价值计量，公允价值与其账面价值的差额，</w:t>
      </w:r>
      <w:r>
        <w:rPr/>
        <w:t> 计入当期损益。</w:t>
      </w:r>
    </w:p>
    <w:p>
      <w:pPr>
        <w:pStyle w:val="BodyText"/>
        <w:spacing w:line="316" w:lineRule="auto" w:before="19"/>
        <w:ind w:right="1131" w:firstLine="360"/>
        <w:jc w:val="both"/>
      </w:pPr>
      <w:r>
        <w:rPr>
          <w:spacing w:val="-2"/>
        </w:rPr>
        <w:t>本公司在购买日对合并成本进行分配，按照规定确认所取得的被购买方各项可辨认资产、负债及或有负债。①对合并成</w:t>
      </w:r>
      <w:r>
        <w:rPr/>
        <w:t> </w:t>
      </w:r>
      <w:r>
        <w:rPr>
          <w:spacing w:val="-2"/>
        </w:rPr>
        <w:t>本大于合并中取得的被购买方可辨认净资产公允价值份额的差额，确认为商誉。②对合并成本小于合并中取得的被购买方可</w:t>
      </w:r>
      <w:r>
        <w:rPr>
          <w:spacing w:val="-64"/>
        </w:rPr>
        <w:t> </w:t>
      </w:r>
      <w:r>
        <w:rPr>
          <w:spacing w:val="-64"/>
        </w:rPr>
      </w:r>
      <w:r>
        <w:rPr>
          <w:spacing w:val="-2"/>
        </w:rPr>
        <w:t>辨认净资产公允价值份额的差额，则对取得的被购买方各项可辨认资产、负债及或有负债的公允价值以及合并成本的计量进</w:t>
      </w:r>
      <w:r>
        <w:rPr>
          <w:spacing w:val="-64"/>
        </w:rPr>
        <w:t> </w:t>
      </w:r>
      <w:r>
        <w:rPr>
          <w:spacing w:val="-64"/>
        </w:rPr>
      </w:r>
      <w:r>
        <w:rPr/>
        <w:t>行复核；经复核后合并成本仍小于合并中取得的被购买方可辨认净资产公允价值份额的，其差额计入当期损益。</w:t>
      </w:r>
    </w:p>
    <w:p>
      <w:pPr>
        <w:pStyle w:val="BodyText"/>
        <w:spacing w:line="316" w:lineRule="auto" w:before="19"/>
        <w:ind w:right="1131" w:firstLine="360"/>
        <w:jc w:val="both"/>
      </w:pPr>
      <w:r>
        <w:rPr>
          <w:spacing w:val="-2"/>
        </w:rPr>
        <w:t>企业合并形成母子公司关系的，母公司设置备查簿，记录企业合并中取得的子公司各项可辨认资产、负债及或有负债等</w:t>
      </w:r>
      <w:r>
        <w:rPr/>
        <w:t> </w:t>
      </w:r>
      <w:r>
        <w:rPr>
          <w:spacing w:val="-2"/>
        </w:rPr>
        <w:t>在购买日的公允价值。编制合并财务报表时，以购买日确定的各项可辨认资产、负债及或有负债的公允价值为基础对子公司</w:t>
      </w:r>
      <w:r>
        <w:rPr>
          <w:spacing w:val="-65"/>
        </w:rPr>
        <w:t> </w:t>
      </w:r>
      <w:r>
        <w:rPr>
          <w:spacing w:val="-65"/>
        </w:rPr>
      </w:r>
      <w:r>
        <w:rPr/>
        <w:t>的财务报表进行调整，按照本公司制定的“合并财务报表”会计政策执行。</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6、合并财务报表的编制方法" w:id="173"/>
      <w:bookmarkEnd w:id="173"/>
      <w:r>
        <w:rPr>
          <w:b w:val="0"/>
          <w:bCs w:val="0"/>
        </w:rPr>
      </w:r>
      <w:r>
        <w:rPr>
          <w:rFonts w:ascii="宋体" w:hAnsi="宋体" w:cs="宋体" w:eastAsia="宋体" w:hint="default"/>
        </w:rPr>
        <w:t>6</w:t>
      </w:r>
      <w:r>
        <w:rPr/>
        <w:t>、合并财务报表的编制方法</w:t>
      </w:r>
      <w:r>
        <w:rPr>
          <w:b w:val="0"/>
          <w:bCs w:val="0"/>
        </w:rPr>
      </w:r>
    </w:p>
    <w:p>
      <w:pPr>
        <w:spacing w:line="240" w:lineRule="auto" w:before="9"/>
        <w:rPr>
          <w:rFonts w:ascii="宋体" w:hAnsi="宋体" w:cs="宋体" w:eastAsia="宋体" w:hint="default"/>
          <w:b/>
          <w:bCs/>
          <w:sz w:val="27"/>
          <w:szCs w:val="27"/>
        </w:rPr>
      </w:pPr>
    </w:p>
    <w:p>
      <w:pPr>
        <w:pStyle w:val="BodyText"/>
        <w:spacing w:line="316" w:lineRule="auto"/>
        <w:ind w:left="1493" w:right="1118"/>
        <w:jc w:val="left"/>
      </w:pPr>
      <w:r>
        <w:rPr/>
        <w:t>（</w:t>
      </w:r>
      <w:r>
        <w:rPr>
          <w:rFonts w:ascii="宋体" w:hAnsi="宋体" w:cs="宋体" w:eastAsia="宋体" w:hint="default"/>
        </w:rPr>
        <w:t>1</w:t>
      </w:r>
      <w:r>
        <w:rPr/>
        <w:t>）合并范围 </w:t>
      </w:r>
      <w:r>
        <w:rPr>
          <w:spacing w:val="-2"/>
        </w:rPr>
        <w:t>合并财务报表的合并范围以控制为基础予以确定，包括本公司及全部子公司截至</w:t>
      </w: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日止的年度财务报表。子</w:t>
      </w:r>
    </w:p>
    <w:p>
      <w:pPr>
        <w:pStyle w:val="BodyText"/>
        <w:spacing w:line="319" w:lineRule="auto" w:before="19"/>
        <w:ind w:left="1134" w:right="1132"/>
        <w:jc w:val="both"/>
      </w:pPr>
      <w:r>
        <w:rPr>
          <w:spacing w:val="-2"/>
        </w:rPr>
        <w:t>公司，是指被本公司控制的主体（含企业、被投资单位中可分割的部分，以及本公司所控制的结构化主体等）。控制，是指</w:t>
      </w:r>
      <w:r>
        <w:rPr>
          <w:spacing w:val="-72"/>
        </w:rPr>
        <w:t> </w:t>
      </w:r>
      <w:r>
        <w:rPr>
          <w:spacing w:val="-72"/>
        </w:rPr>
      </w:r>
      <w:r>
        <w:rPr>
          <w:spacing w:val="-2"/>
        </w:rPr>
        <w:t>投资方拥有对被投资方的权力，通过参与被投资方的相关活动而享有可变回报，并且有能力运用对被投资方的权力影响其回</w:t>
      </w:r>
      <w:r>
        <w:rPr>
          <w:spacing w:val="-64"/>
        </w:rPr>
        <w:t> </w:t>
      </w:r>
      <w:r>
        <w:rPr>
          <w:spacing w:val="-64"/>
        </w:rPr>
      </w:r>
      <w:r>
        <w:rPr/>
        <w:t>报金额。</w:t>
      </w:r>
    </w:p>
    <w:p>
      <w:pPr>
        <w:pStyle w:val="BodyText"/>
        <w:spacing w:line="316" w:lineRule="auto" w:before="17"/>
        <w:ind w:left="1494" w:right="3552"/>
        <w:jc w:val="left"/>
      </w:pPr>
      <w:r>
        <w:rPr/>
        <w:t>（</w:t>
      </w:r>
      <w:r>
        <w:rPr>
          <w:rFonts w:ascii="宋体" w:hAnsi="宋体" w:cs="宋体" w:eastAsia="宋体" w:hint="default"/>
        </w:rPr>
        <w:t>2</w:t>
      </w:r>
      <w:r>
        <w:rPr/>
        <w:t>）合并财务报表编制方法 本公司以自身和其子公司的财务报表为基础，根据其他有关资料，编制合并财务报表。</w:t>
      </w:r>
    </w:p>
    <w:p>
      <w:pPr>
        <w:pStyle w:val="BodyText"/>
        <w:spacing w:line="316" w:lineRule="auto" w:before="19"/>
        <w:ind w:right="1131" w:firstLine="360"/>
        <w:jc w:val="both"/>
      </w:pPr>
      <w:r>
        <w:rPr>
          <w:spacing w:val="-2"/>
        </w:rPr>
        <w:t>本公司编制合并财务报表，将整个企业集团视为一个会计主体，依据相关企业会计准则的确认、计量和列报要求，按照</w:t>
      </w:r>
      <w:r>
        <w:rPr/>
        <w:t> 统一的会计政策，反映企业集团整体财务状况、经营成果和现金流量。</w:t>
      </w:r>
    </w:p>
    <w:p>
      <w:pPr>
        <w:pStyle w:val="BodyText"/>
        <w:spacing w:line="316" w:lineRule="auto" w:before="19"/>
        <w:ind w:right="1132" w:firstLine="360"/>
        <w:jc w:val="both"/>
      </w:pPr>
      <w:r>
        <w:rPr>
          <w:spacing w:val="-2"/>
        </w:rPr>
        <w:t>在编制合并财务报表时，子公司与本公司采用的会计政策或会计期间不一致的，按照本公司的会计政策和会计期间对子</w:t>
      </w:r>
      <w:r>
        <w:rPr/>
        <w:t> </w:t>
      </w:r>
      <w:r>
        <w:rPr>
          <w:spacing w:val="-2"/>
        </w:rPr>
        <w:t>公司财务报表进行必要的调整。对于非同一控制下企业合并取得的子公司，以购买日可辨认净资产公允价值为基础对其财务</w:t>
      </w:r>
      <w:r>
        <w:rPr>
          <w:spacing w:val="-64"/>
        </w:rPr>
        <w:t> </w:t>
      </w:r>
      <w:r>
        <w:rPr>
          <w:spacing w:val="-64"/>
        </w:rPr>
      </w:r>
      <w:r>
        <w:rPr/>
        <w:t>报表进行调整。</w:t>
      </w:r>
    </w:p>
    <w:p>
      <w:pPr>
        <w:pStyle w:val="BodyText"/>
        <w:spacing w:line="316" w:lineRule="auto" w:before="19"/>
        <w:ind w:left="1493" w:right="0"/>
        <w:jc w:val="left"/>
      </w:pPr>
      <w:r>
        <w:rPr/>
        <w:t>（</w:t>
      </w:r>
      <w:r>
        <w:rPr>
          <w:rFonts w:ascii="宋体" w:hAnsi="宋体" w:cs="宋体" w:eastAsia="宋体" w:hint="default"/>
        </w:rPr>
        <w:t>3</w:t>
      </w:r>
      <w:r>
        <w:rPr/>
        <w:t>）少数股东权益和损益的列报 </w:t>
      </w:r>
      <w:r>
        <w:rPr>
          <w:spacing w:val="-2"/>
        </w:rPr>
        <w:t>子公司所有者权益中不属于母公司的份额，作为少数股东权益，在合并资产负债表中所有者权益项目下以“少数股东权</w:t>
      </w:r>
    </w:p>
    <w:p>
      <w:pPr>
        <w:pStyle w:val="BodyText"/>
        <w:spacing w:line="316" w:lineRule="auto" w:before="19"/>
        <w:ind w:left="1493" w:right="1753" w:hanging="360"/>
        <w:jc w:val="left"/>
      </w:pPr>
      <w:r>
        <w:rPr/>
        <w:t>益”项目列示。 子公司当期净损益中属于少数股东权益的份额，在合并利润表中净利润项目下以“少数股东损益”项目列示。</w:t>
      </w:r>
    </w:p>
    <w:p>
      <w:pPr>
        <w:pStyle w:val="BodyText"/>
        <w:spacing w:line="316" w:lineRule="auto" w:before="19"/>
        <w:ind w:left="1494" w:right="0"/>
        <w:jc w:val="left"/>
      </w:pPr>
      <w:r>
        <w:rPr/>
        <w:t>（</w:t>
      </w:r>
      <w:r>
        <w:rPr>
          <w:rFonts w:ascii="宋体" w:hAnsi="宋体" w:cs="宋体" w:eastAsia="宋体" w:hint="default"/>
        </w:rPr>
        <w:t>4</w:t>
      </w:r>
      <w:r>
        <w:rPr/>
        <w:t>）超额亏损的处理 </w:t>
      </w:r>
      <w:r>
        <w:rPr>
          <w:spacing w:val="-2"/>
        </w:rPr>
        <w:t>在合并财务报表中，子公司少数股东分担的当期亏损超过了少数股东在该子公司期初所有者权益中所享有的份额的，其</w:t>
      </w:r>
    </w:p>
    <w:p>
      <w:pPr>
        <w:pStyle w:val="BodyText"/>
        <w:spacing w:line="240" w:lineRule="auto" w:before="19"/>
        <w:ind w:left="1134" w:right="0"/>
        <w:jc w:val="both"/>
      </w:pPr>
      <w:r>
        <w:rPr/>
        <w:t>余额仍冲减少数股东权益。</w:t>
      </w:r>
    </w:p>
    <w:p>
      <w:pPr>
        <w:pStyle w:val="BodyText"/>
        <w:spacing w:line="316" w:lineRule="auto" w:before="76"/>
        <w:ind w:left="1493" w:right="0"/>
        <w:jc w:val="left"/>
      </w:pPr>
      <w:r>
        <w:rPr/>
        <w:t>（</w:t>
      </w:r>
      <w:r>
        <w:rPr>
          <w:rFonts w:ascii="宋体" w:hAnsi="宋体" w:cs="宋体" w:eastAsia="宋体" w:hint="default"/>
        </w:rPr>
        <w:t>5</w:t>
      </w:r>
      <w:r>
        <w:rPr/>
        <w:t>）当期增加减少子公司的合并报表处理 </w:t>
      </w:r>
      <w:r>
        <w:rPr>
          <w:spacing w:val="-2"/>
        </w:rPr>
        <w:t>在报告期内，因同一控制下企业合并增加的子公司，编制合并资产负债表时，调整合并资产负债表的年初余额。因非同</w:t>
      </w:r>
    </w:p>
    <w:p>
      <w:pPr>
        <w:pStyle w:val="BodyText"/>
        <w:spacing w:line="316" w:lineRule="auto" w:before="19"/>
        <w:ind w:left="1134" w:right="1131"/>
        <w:jc w:val="both"/>
      </w:pPr>
      <w:r>
        <w:rPr>
          <w:spacing w:val="-2"/>
        </w:rPr>
        <w:t>一控制下企业合并增加的子公司，编制合并资产负债表时，不调整合并资产负债表的年初余额。在报告期内处置子公司，编</w:t>
      </w:r>
      <w:r>
        <w:rPr>
          <w:spacing w:val="-66"/>
        </w:rPr>
        <w:t> </w:t>
      </w:r>
      <w:r>
        <w:rPr>
          <w:spacing w:val="-66"/>
        </w:rPr>
      </w:r>
      <w:r>
        <w:rPr/>
        <w:t>制合并资产负债表时，不调整合并资产负债表的年初余额。</w:t>
      </w:r>
    </w:p>
    <w:p>
      <w:pPr>
        <w:pStyle w:val="BodyText"/>
        <w:spacing w:line="316" w:lineRule="auto" w:before="19"/>
        <w:ind w:left="1134" w:right="1043" w:firstLine="360"/>
        <w:jc w:val="both"/>
      </w:pPr>
      <w:r>
        <w:rPr>
          <w:spacing w:val="-2"/>
        </w:rPr>
        <w:t>在报告期内，因同一控制下企业合并增加的子公司，将该子公司在合并当期的期初至报告期末的收入、费用、利润纳入</w:t>
      </w:r>
      <w:r>
        <w:rPr/>
        <w:t> </w:t>
      </w:r>
      <w:r>
        <w:rPr>
          <w:spacing w:val="-4"/>
        </w:rPr>
        <w:t>合并利润表，将该子公司合并当期期初至报告期末的现金流量纳入合并现金流量表。因非同一控制下企业合并增加的子公司，</w:t>
      </w:r>
    </w:p>
    <w:p>
      <w:pPr>
        <w:spacing w:after="0" w:line="316" w:lineRule="auto"/>
        <w:jc w:val="both"/>
        <w:sectPr>
          <w:pgSz w:w="11910" w:h="16840"/>
          <w:pgMar w:header="877" w:footer="1187" w:top="1100" w:bottom="1380" w:left="0" w:right="0"/>
        </w:sectPr>
      </w:pPr>
    </w:p>
    <w:p>
      <w:pPr>
        <w:spacing w:line="240" w:lineRule="auto" w:before="12"/>
        <w:rPr>
          <w:rFonts w:ascii="宋体" w:hAnsi="宋体" w:cs="宋体" w:eastAsia="宋体" w:hint="default"/>
          <w:sz w:val="21"/>
          <w:szCs w:val="21"/>
        </w:rPr>
      </w:pPr>
    </w:p>
    <w:p>
      <w:pPr>
        <w:pStyle w:val="BodyText"/>
        <w:spacing w:line="316" w:lineRule="auto" w:before="44"/>
        <w:ind w:right="1132"/>
        <w:jc w:val="both"/>
      </w:pPr>
      <w:r>
        <w:rPr>
          <w:spacing w:val="-2"/>
        </w:rPr>
        <w:t>将该子公司自购买日至报告期末的收入、费用、利润纳入合并利润表，将该子公司购买日至报告期末的现金流量纳入合并现</w:t>
      </w:r>
      <w:r>
        <w:rPr>
          <w:spacing w:val="-66"/>
        </w:rPr>
        <w:t> </w:t>
      </w:r>
      <w:r>
        <w:rPr>
          <w:spacing w:val="-66"/>
        </w:rPr>
      </w:r>
      <w:r>
        <w:rPr>
          <w:spacing w:val="-2"/>
        </w:rPr>
        <w:t>金流量表。在报告期内处置子公司，将该子公司期初至处置日的收入、费用、利润纳入合并利润表，将该子公司期初至处置</w:t>
      </w:r>
      <w:r>
        <w:rPr>
          <w:spacing w:val="-66"/>
        </w:rPr>
        <w:t> </w:t>
      </w:r>
      <w:r>
        <w:rPr>
          <w:spacing w:val="-66"/>
        </w:rPr>
      </w:r>
      <w:r>
        <w:rPr/>
        <w:t>日的现金流量纳入合并现金流量表。</w:t>
      </w:r>
    </w:p>
    <w:p>
      <w:pPr>
        <w:pStyle w:val="BodyText"/>
        <w:spacing w:line="319" w:lineRule="auto" w:before="19"/>
        <w:ind w:right="1033" w:firstLine="360"/>
        <w:jc w:val="left"/>
      </w:pPr>
      <w:r>
        <w:rPr>
          <w:spacing w:val="-2"/>
        </w:rPr>
        <w:t>因处置部分股权投资或其他原因丧失了对原有子公司控制权时，对于处置后的剩余股权投资，按照其在丧失控制权日的</w:t>
      </w:r>
      <w:r>
        <w:rPr/>
        <w:t> </w:t>
      </w:r>
      <w:r>
        <w:rPr>
          <w:spacing w:val="-2"/>
        </w:rPr>
        <w:t>公允价值进行重新计量。处置股权取得的对价与剩余股权公允价值之和，减去按原持股比例计算应享有原有子公司自购买日</w:t>
      </w:r>
      <w:r>
        <w:rPr>
          <w:spacing w:val="-64"/>
        </w:rPr>
        <w:t> </w:t>
      </w:r>
      <w:r>
        <w:rPr>
          <w:spacing w:val="-64"/>
        </w:rPr>
      </w:r>
      <w:r>
        <w:rPr/>
        <w:t>开始持续计算的净资产的份额之间的差额，计入丧失控制权当期的投资收益。与原有子公司股权投资相关的其他综合收益，</w:t>
      </w:r>
      <w:r>
        <w:rPr>
          <w:spacing w:val="-85"/>
        </w:rPr>
        <w:t> </w:t>
      </w:r>
      <w:r>
        <w:rPr>
          <w:spacing w:val="-85"/>
        </w:rPr>
      </w:r>
      <w:r>
        <w:rPr/>
        <w:t>在丧失控制权时转为当期投资收益。</w:t>
      </w:r>
    </w:p>
    <w:p>
      <w:pPr>
        <w:pStyle w:val="BodyText"/>
        <w:spacing w:line="316" w:lineRule="auto" w:before="17"/>
        <w:ind w:right="0" w:firstLine="360"/>
        <w:jc w:val="left"/>
      </w:pPr>
      <w:r>
        <w:rPr>
          <w:spacing w:val="-2"/>
        </w:rPr>
        <w:t>因购买少数股权新取得的长期股权投资与按照新增持股比例计算应享有子公司的可辨认净资产份额之间的差额，以及在</w:t>
      </w:r>
      <w:r>
        <w:rPr/>
        <w:t> 不丧失控制权的情况下因部分处置对子公司的股权投资而取得的处置价款与处置长期股权投资相对应享有子公司净资产份 额的差额，均调整合并资产负债表中的资本公积中的股本溢价，资本公积中的股本溢价不足冲减的，调整留存收益。</w:t>
      </w:r>
    </w:p>
    <w:p>
      <w:pPr>
        <w:pStyle w:val="BodyText"/>
        <w:spacing w:line="316" w:lineRule="auto" w:before="19"/>
        <w:ind w:left="1494" w:right="0"/>
        <w:jc w:val="left"/>
      </w:pPr>
      <w:r>
        <w:rPr/>
        <w:t>（</w:t>
      </w:r>
      <w:r>
        <w:rPr>
          <w:rFonts w:ascii="宋体" w:hAnsi="宋体" w:cs="宋体" w:eastAsia="宋体" w:hint="default"/>
        </w:rPr>
        <w:t>6</w:t>
      </w:r>
      <w:r>
        <w:rPr/>
        <w:t>）分步处置股权至丧失控制权的合并报表处理 </w:t>
      </w:r>
      <w:r>
        <w:rPr>
          <w:spacing w:val="-2"/>
        </w:rPr>
        <w:t>处置对子公司股权投资直至丧失控制权的各项交易属于一揽子交易的，将各项交易作为一项处置子公司并丧失控制权的</w:t>
      </w:r>
    </w:p>
    <w:p>
      <w:pPr>
        <w:pStyle w:val="BodyText"/>
        <w:spacing w:line="316" w:lineRule="auto" w:before="19"/>
        <w:ind w:left="1134" w:right="1131"/>
        <w:jc w:val="both"/>
      </w:pPr>
      <w:r>
        <w:rPr>
          <w:spacing w:val="-2"/>
        </w:rPr>
        <w:t>交易进行会计处理；但是，在丧失控制权之前每一次处置价款与处置投资对应的享有该子公司净资产份额的差额，在合并财</w:t>
      </w:r>
      <w:r>
        <w:rPr>
          <w:spacing w:val="-66"/>
        </w:rPr>
        <w:t> </w:t>
      </w:r>
      <w:r>
        <w:rPr>
          <w:spacing w:val="-66"/>
        </w:rPr>
      </w:r>
      <w:r>
        <w:rPr>
          <w:spacing w:val="-2"/>
        </w:rPr>
        <w:t>务报表中确认为其他综合收益，在丧失控制权时一并转入丧失控制权当期的损益。不属于一揽子交易的，在丧失控制权之前</w:t>
      </w:r>
      <w:r>
        <w:rPr>
          <w:spacing w:val="-66"/>
        </w:rPr>
        <w:t> </w:t>
      </w:r>
      <w:r>
        <w:rPr>
          <w:spacing w:val="-66"/>
        </w:rPr>
      </w:r>
      <w:r>
        <w:rPr>
          <w:spacing w:val="-2"/>
        </w:rPr>
        <w:t>与丧失控制权时，按照前述不丧失控制权的情况下部分处置对子公司的股权投资与丧失对原有子公司控制权时的会计政策实</w:t>
      </w:r>
      <w:r>
        <w:rPr>
          <w:spacing w:val="-64"/>
        </w:rPr>
        <w:t> </w:t>
      </w:r>
      <w:r>
        <w:rPr>
          <w:spacing w:val="-64"/>
        </w:rPr>
      </w:r>
      <w:r>
        <w:rPr/>
        <w:t>施会计处理。</w:t>
      </w:r>
    </w:p>
    <w:p>
      <w:pPr>
        <w:pStyle w:val="BodyText"/>
        <w:spacing w:line="316" w:lineRule="auto" w:before="19"/>
        <w:ind w:left="1134" w:right="1131" w:firstLine="360"/>
        <w:jc w:val="both"/>
      </w:pPr>
      <w:r>
        <w:rPr>
          <w:spacing w:val="-2"/>
        </w:rPr>
        <w:t>处置对子公司股权投资的各项交易的条款、条件以及经济影响符合以下一种或多种情况，表明将多次交易事项作为一揽</w:t>
      </w:r>
      <w:r>
        <w:rPr/>
        <w:t> </w:t>
      </w:r>
      <w:r>
        <w:rPr>
          <w:spacing w:val="-2"/>
        </w:rPr>
        <w:t>子交易进行会计处理：①这些交易是同时或者在考虑了彼此影响的情况下订立的；②这些交易整体才能达成一项完整的商业</w:t>
      </w:r>
      <w:r>
        <w:rPr>
          <w:spacing w:val="-64"/>
        </w:rPr>
        <w:t> </w:t>
      </w:r>
      <w:r>
        <w:rPr>
          <w:spacing w:val="-64"/>
        </w:rPr>
      </w:r>
      <w:r>
        <w:rPr>
          <w:spacing w:val="-2"/>
        </w:rPr>
        <w:t>结果；③一项交易的发生取决于其他至少一项交易的发生；④一项交易单独看是不经济的，但是和其他交易一并考虑时是经</w:t>
      </w:r>
      <w:r>
        <w:rPr>
          <w:spacing w:val="-66"/>
        </w:rPr>
        <w:t> </w:t>
      </w:r>
      <w:r>
        <w:rPr>
          <w:spacing w:val="-66"/>
        </w:rPr>
      </w:r>
      <w:r>
        <w:rPr/>
        <w:t>济的。</w:t>
      </w:r>
    </w:p>
    <w:p>
      <w:pPr>
        <w:pStyle w:val="BodyText"/>
        <w:spacing w:line="240" w:lineRule="auto" w:before="19"/>
        <w:ind w:left="1494" w:right="0"/>
        <w:jc w:val="left"/>
      </w:pPr>
      <w:r>
        <w:rPr/>
        <w:t>个别财务报表分步处置股权至丧失控制权按照处置长期股权投资的会计政策实施会计处理。</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bookmarkStart w:name="7、合营安排分类及共同经营会计处理方法" w:id="174"/>
      <w:bookmarkEnd w:id="174"/>
      <w:r>
        <w:rPr>
          <w:b w:val="0"/>
          <w:bCs w:val="0"/>
        </w:rPr>
      </w:r>
      <w:r>
        <w:rPr>
          <w:rFonts w:ascii="宋体" w:hAnsi="宋体" w:cs="宋体" w:eastAsia="宋体" w:hint="default"/>
        </w:rPr>
        <w:t>7</w:t>
      </w:r>
      <w:r>
        <w:rPr/>
        <w:t>、合营安排分类及共同经营会计处理方法</w:t>
      </w:r>
      <w:r>
        <w:rPr>
          <w:b w:val="0"/>
          <w:bCs w:val="0"/>
        </w:rPr>
      </w:r>
    </w:p>
    <w:p>
      <w:pPr>
        <w:spacing w:line="240" w:lineRule="auto" w:before="9"/>
        <w:rPr>
          <w:rFonts w:ascii="宋体" w:hAnsi="宋体" w:cs="宋体" w:eastAsia="宋体" w:hint="default"/>
          <w:b/>
          <w:bCs/>
          <w:sz w:val="27"/>
          <w:szCs w:val="27"/>
        </w:rPr>
      </w:pPr>
    </w:p>
    <w:p>
      <w:pPr>
        <w:pStyle w:val="BodyText"/>
        <w:spacing w:line="316" w:lineRule="auto"/>
        <w:ind w:left="1494" w:right="0"/>
        <w:jc w:val="left"/>
      </w:pPr>
      <w:r>
        <w:rPr/>
        <w:t>（</w:t>
      </w:r>
      <w:r>
        <w:rPr>
          <w:rFonts w:ascii="宋体" w:hAnsi="宋体" w:cs="宋体" w:eastAsia="宋体" w:hint="default"/>
        </w:rPr>
        <w:t>1</w:t>
      </w:r>
      <w:r>
        <w:rPr/>
        <w:t>）合营安排的分类 </w:t>
      </w:r>
      <w:r>
        <w:rPr>
          <w:spacing w:val="-2"/>
        </w:rPr>
        <w:t>合营安排，是指一项由两个或两个以上的参与方共同控制的安排。本公司将合营安排分为共同经营和合营企业。共同经</w:t>
      </w:r>
    </w:p>
    <w:p>
      <w:pPr>
        <w:pStyle w:val="BodyText"/>
        <w:spacing w:line="316" w:lineRule="auto" w:before="19"/>
        <w:ind w:left="1134" w:right="1133"/>
        <w:jc w:val="both"/>
      </w:pPr>
      <w:r>
        <w:rPr>
          <w:spacing w:val="-2"/>
        </w:rPr>
        <w:t>营，是指合营方享有该安排相关资产且承担该安排相关负债的合营安排。合营企业，是指合营方仅对该安排的净资产享有权</w:t>
      </w:r>
      <w:r>
        <w:rPr>
          <w:spacing w:val="-66"/>
        </w:rPr>
        <w:t> </w:t>
      </w:r>
      <w:r>
        <w:rPr>
          <w:spacing w:val="-66"/>
        </w:rPr>
      </w:r>
      <w:r>
        <w:rPr/>
        <w:t>利的合营安排。</w:t>
      </w:r>
    </w:p>
    <w:p>
      <w:pPr>
        <w:pStyle w:val="BodyText"/>
        <w:spacing w:line="316" w:lineRule="auto" w:before="19"/>
        <w:ind w:right="0" w:firstLine="360"/>
        <w:jc w:val="left"/>
      </w:pPr>
      <w:r>
        <w:rPr/>
        <w:t>未通过单独主体达成的合营安排，划分为共同经营。单独主体，是指具有单独可辨认的财务架构的主体，包括单独的法 人主体和不具备法人主体资格但法律认可的主体。通过单独主体达成的合营安排，通常划分为合营企业，但有确凿证据表明 满足下列任一条件并且符合相关法律法规规定的合营安排应当划分为共同经营：合营安排的法律形式表明，合营方对该安排 中的相关资产和负债分别享有权利和承担义务；合营安排的合同条款约定，合营方对该安排中的相关资产和负债分别享有权 利和承担义务；其他相关事实和情况表明，合营方对该安排中的相关资产和负债分别享有权利和承担义务，如合营方享有与 合营安排相关的几乎所有产出，并且该安排中负债的清偿持续依赖于合营方的支持。不能仅凭合营方对合营安排提供债务担 </w:t>
      </w:r>
      <w:r>
        <w:rPr>
          <w:spacing w:val="-4"/>
        </w:rPr>
        <w:t>保即将其视为合营方承担该安排相关负债。合营方承担向合营安排支付认缴出资义务的，不视为合营方承担该安排相关负债。</w:t>
      </w:r>
      <w:r>
        <w:rPr>
          <w:spacing w:val="-44"/>
        </w:rPr>
        <w:t> </w:t>
      </w:r>
      <w:r>
        <w:rPr>
          <w:spacing w:val="-44"/>
        </w:rPr>
      </w:r>
      <w:r>
        <w:rPr>
          <w:spacing w:val="-2"/>
        </w:rPr>
        <w:t>相关事实和情况变化导致合营方在合营安排中享有的权利和承担的义务发生变化的，本公司对合营安排的分类进行重新评估。</w:t>
      </w:r>
      <w:r>
        <w:rPr>
          <w:spacing w:val="-62"/>
        </w:rPr>
        <w:t> </w:t>
      </w:r>
      <w:r>
        <w:rPr>
          <w:spacing w:val="-62"/>
        </w:rPr>
      </w:r>
      <w:r>
        <w:rPr/>
        <w:t>对于为完成不同活动而设立多项合营安排的一个框架性协议，本公司分别确定各项合营安排的分类。</w:t>
      </w:r>
    </w:p>
    <w:p>
      <w:pPr>
        <w:pStyle w:val="BodyText"/>
        <w:spacing w:line="240" w:lineRule="auto" w:before="19"/>
        <w:ind w:left="1493" w:right="0"/>
        <w:jc w:val="left"/>
      </w:pPr>
      <w:r>
        <w:rPr/>
        <w:t>确定共同控制的依据及对合营企业的计量的会计政策详见本附注五、</w:t>
      </w:r>
      <w:r>
        <w:rPr>
          <w:rFonts w:ascii="宋体" w:hAnsi="宋体" w:cs="宋体" w:eastAsia="宋体" w:hint="default"/>
        </w:rPr>
        <w:t>13</w:t>
      </w:r>
      <w:r>
        <w:rPr/>
        <w:t>。</w:t>
      </w:r>
    </w:p>
    <w:p>
      <w:pPr>
        <w:pStyle w:val="BodyText"/>
        <w:spacing w:line="316" w:lineRule="auto" w:before="76"/>
        <w:ind w:left="1494" w:right="0"/>
        <w:jc w:val="left"/>
      </w:pPr>
      <w:r>
        <w:rPr/>
        <w:t>（</w:t>
      </w:r>
      <w:r>
        <w:rPr>
          <w:rFonts w:ascii="宋体" w:hAnsi="宋体" w:cs="宋体" w:eastAsia="宋体" w:hint="default"/>
        </w:rPr>
        <w:t>2</w:t>
      </w:r>
      <w:r>
        <w:rPr/>
        <w:t>）共同经营的会计处理方法 </w:t>
      </w:r>
      <w:r>
        <w:rPr>
          <w:spacing w:val="-2"/>
        </w:rPr>
        <w:t>本公司确认其与共同经营中利益份额相关的下列项目，并按照相关企业会计准则的规定进行会计处理：确认单独所持有</w:t>
      </w:r>
    </w:p>
    <w:p>
      <w:pPr>
        <w:pStyle w:val="BodyText"/>
        <w:spacing w:line="316" w:lineRule="auto" w:before="19"/>
        <w:ind w:left="1134" w:right="1131"/>
        <w:jc w:val="both"/>
      </w:pPr>
      <w:r>
        <w:rPr>
          <w:spacing w:val="-2"/>
        </w:rPr>
        <w:t>的资产，以及按其份额确认共同持有的资产；确认单独所承担的负债，以及按其份额确认共同承担的负债；确认出售其享有</w:t>
      </w:r>
      <w:r>
        <w:rPr>
          <w:spacing w:val="-66"/>
        </w:rPr>
        <w:t> </w:t>
      </w:r>
      <w:r>
        <w:rPr>
          <w:spacing w:val="-66"/>
        </w:rPr>
      </w:r>
      <w:r>
        <w:rPr>
          <w:spacing w:val="-2"/>
        </w:rPr>
        <w:t>的共同经营产出份额所产生的收入；按其份额确认共同经营因出售产出所产生的收入；确认单独所发生的费用，以及按其份</w:t>
      </w:r>
      <w:r>
        <w:rPr>
          <w:spacing w:val="-66"/>
        </w:rPr>
        <w:t> </w:t>
      </w:r>
      <w:r>
        <w:rPr>
          <w:spacing w:val="-66"/>
        </w:rPr>
      </w:r>
      <w:r>
        <w:rPr/>
        <w:t>额确认共同经营发生的费用。</w:t>
      </w:r>
    </w:p>
    <w:p>
      <w:pPr>
        <w:pStyle w:val="BodyText"/>
        <w:spacing w:line="240" w:lineRule="auto" w:before="19"/>
        <w:ind w:left="1494" w:right="0"/>
        <w:jc w:val="left"/>
      </w:pPr>
      <w:r>
        <w:rPr/>
        <w:t>本公司向共同经营投出或出售资产等（该资产构成业务的除外），在该资产等由共同经营出售给第三方之前，仅确认因</w:t>
      </w:r>
    </w:p>
    <w:p>
      <w:pPr>
        <w:spacing w:after="0" w:line="240" w:lineRule="auto"/>
        <w:jc w:val="left"/>
        <w:sectPr>
          <w:pgSz w:w="11910" w:h="16840"/>
          <w:pgMar w:header="877" w:footer="1187" w:top="1100" w:bottom="1380" w:left="0" w:right="0"/>
        </w:sectPr>
      </w:pPr>
    </w:p>
    <w:p>
      <w:pPr>
        <w:spacing w:line="240" w:lineRule="auto" w:before="12"/>
        <w:rPr>
          <w:rFonts w:ascii="宋体" w:hAnsi="宋体" w:cs="宋体" w:eastAsia="宋体" w:hint="default"/>
          <w:sz w:val="21"/>
          <w:szCs w:val="21"/>
        </w:rPr>
      </w:pPr>
    </w:p>
    <w:p>
      <w:pPr>
        <w:pStyle w:val="BodyText"/>
        <w:spacing w:line="316" w:lineRule="auto" w:before="44"/>
        <w:ind w:right="1131"/>
        <w:jc w:val="both"/>
      </w:pPr>
      <w:r>
        <w:rPr/>
        <w:t>该交易产生的损益中归属于共同经营其他参与方的部分。投出或出售的资产发生符合《企业会计准则第</w:t>
      </w:r>
      <w:r>
        <w:rPr>
          <w:rFonts w:ascii="宋体" w:hAnsi="宋体" w:cs="宋体" w:eastAsia="宋体" w:hint="default"/>
        </w:rPr>
        <w:t>8</w:t>
      </w:r>
      <w:r>
        <w:rPr/>
        <w:t>号——资产减值》 </w:t>
      </w:r>
      <w:r>
        <w:rPr>
          <w:spacing w:val="-2"/>
        </w:rPr>
        <w:t>等规定的资产减值损失的，本公司全额确认该损失。本公司自共同经营购买资产等（该资产构成业务的除外），在将该资产</w:t>
      </w:r>
      <w:r>
        <w:rPr>
          <w:spacing w:val="-66"/>
        </w:rPr>
        <w:t> </w:t>
      </w:r>
      <w:r>
        <w:rPr>
          <w:spacing w:val="-66"/>
        </w:rPr>
      </w:r>
      <w:r>
        <w:rPr>
          <w:spacing w:val="-2"/>
        </w:rPr>
        <w:t>等出售给第三方之前，仅确认因该交易产生的损益中归属于共同经营其他参与方的部分。购入的资产发生符合《企业会计准</w:t>
      </w:r>
      <w:r>
        <w:rPr>
          <w:spacing w:val="-65"/>
        </w:rPr>
        <w:t> </w:t>
      </w:r>
      <w:r>
        <w:rPr>
          <w:spacing w:val="-65"/>
        </w:rPr>
      </w:r>
      <w:r>
        <w:rPr/>
        <w:t>则第</w:t>
      </w:r>
      <w:r>
        <w:rPr>
          <w:rFonts w:ascii="宋体" w:hAnsi="宋体" w:cs="宋体" w:eastAsia="宋体" w:hint="default"/>
        </w:rPr>
        <w:t>8</w:t>
      </w:r>
      <w:r>
        <w:rPr/>
        <w:t>号——资产减值》等规定的资产减值损失的，本公司按其承担的份额确认该部分损失。</w:t>
      </w:r>
    </w:p>
    <w:p>
      <w:pPr>
        <w:pStyle w:val="BodyText"/>
        <w:spacing w:line="316" w:lineRule="auto" w:before="19"/>
        <w:ind w:right="1132" w:firstLine="360"/>
        <w:jc w:val="both"/>
      </w:pPr>
      <w:r>
        <w:rPr>
          <w:spacing w:val="-2"/>
        </w:rPr>
        <w:t>本公司属于对共同经营不享有共同控制的参与方的，如果享有该共同经营相关资产且承担该共同经营相关负债的，按照</w:t>
      </w:r>
      <w:r>
        <w:rPr/>
        <w:t> 上述原则进行会计处理；否则，按照本公司制定的金融工具或长期股权投资计量的会计政策进行会计处理。</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8、现金及现金等价物的确定标准" w:id="175"/>
      <w:bookmarkEnd w:id="175"/>
      <w:r>
        <w:rPr>
          <w:b w:val="0"/>
          <w:bCs w:val="0"/>
        </w:rPr>
      </w:r>
      <w:r>
        <w:rPr>
          <w:rFonts w:ascii="宋体" w:hAnsi="宋体" w:cs="宋体" w:eastAsia="宋体" w:hint="default"/>
        </w:rPr>
        <w:t>8</w:t>
      </w:r>
      <w:r>
        <w:rPr/>
        <w:t>、现金及现金等价物的确定标准</w:t>
      </w:r>
      <w:r>
        <w:rPr>
          <w:b w:val="0"/>
          <w:bCs w:val="0"/>
        </w:rPr>
      </w:r>
    </w:p>
    <w:p>
      <w:pPr>
        <w:spacing w:line="240" w:lineRule="auto" w:before="9"/>
        <w:rPr>
          <w:rFonts w:ascii="宋体" w:hAnsi="宋体" w:cs="宋体" w:eastAsia="宋体" w:hint="default"/>
          <w:b/>
          <w:bCs/>
          <w:sz w:val="27"/>
          <w:szCs w:val="27"/>
        </w:rPr>
      </w:pPr>
    </w:p>
    <w:p>
      <w:pPr>
        <w:pStyle w:val="BodyText"/>
        <w:spacing w:line="316" w:lineRule="auto"/>
        <w:ind w:right="1133" w:firstLine="360"/>
        <w:jc w:val="both"/>
      </w:pPr>
      <w:r>
        <w:rPr>
          <w:spacing w:val="-2"/>
        </w:rPr>
        <w:t>本公司现金包括库存现金、可以随时用于支付的存款；现金等价物包括本公司持有的期限短（一般指从购买日起三个月</w:t>
      </w:r>
      <w:r>
        <w:rPr/>
        <w:t> 内到期）、流动性强、易于转换为已知金额现金、价值变动风险很小的投资。</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9、外币业务和外币报表折算" w:id="176"/>
      <w:bookmarkEnd w:id="176"/>
      <w:r>
        <w:rPr>
          <w:b w:val="0"/>
          <w:bCs w:val="0"/>
        </w:rPr>
      </w:r>
      <w:r>
        <w:rPr>
          <w:rFonts w:ascii="宋体" w:hAnsi="宋体" w:cs="宋体" w:eastAsia="宋体" w:hint="default"/>
        </w:rPr>
        <w:t>9</w:t>
      </w:r>
      <w:r>
        <w:rPr/>
        <w:t>、外币业务和外币报表折算</w:t>
      </w:r>
      <w:r>
        <w:rPr>
          <w:b w:val="0"/>
          <w:bCs w:val="0"/>
        </w:rPr>
      </w:r>
    </w:p>
    <w:p>
      <w:pPr>
        <w:spacing w:line="240" w:lineRule="auto" w:before="9"/>
        <w:rPr>
          <w:rFonts w:ascii="宋体" w:hAnsi="宋体" w:cs="宋体" w:eastAsia="宋体" w:hint="default"/>
          <w:b/>
          <w:bCs/>
          <w:sz w:val="27"/>
          <w:szCs w:val="27"/>
        </w:rPr>
      </w:pPr>
    </w:p>
    <w:p>
      <w:pPr>
        <w:pStyle w:val="BodyText"/>
        <w:spacing w:line="240" w:lineRule="auto"/>
        <w:ind w:left="1493" w:right="0"/>
        <w:jc w:val="left"/>
      </w:pPr>
      <w:r>
        <w:rPr/>
        <w:t>本公司外币交易均按交易发生日的即期汇率折算为记账本位币。</w:t>
      </w:r>
    </w:p>
    <w:p>
      <w:pPr>
        <w:pStyle w:val="BodyText"/>
        <w:spacing w:line="316" w:lineRule="auto" w:before="76"/>
        <w:ind w:left="1494" w:right="0"/>
        <w:jc w:val="left"/>
      </w:pPr>
      <w:r>
        <w:rPr/>
        <w:t>（</w:t>
      </w:r>
      <w:r>
        <w:rPr>
          <w:rFonts w:ascii="宋体" w:hAnsi="宋体" w:cs="宋体" w:eastAsia="宋体" w:hint="default"/>
        </w:rPr>
        <w:t>1</w:t>
      </w:r>
      <w:r>
        <w:rPr/>
        <w:t>）汇兑差额的处理 </w:t>
      </w:r>
      <w:r>
        <w:rPr>
          <w:spacing w:val="-2"/>
        </w:rPr>
        <w:t>在资产负债表日，按照下列规定对外币货币性项目和外币非货币性项目进行处理：外币货币性项目，采用资产负债表日</w:t>
      </w:r>
    </w:p>
    <w:p>
      <w:pPr>
        <w:pStyle w:val="BodyText"/>
        <w:spacing w:line="316" w:lineRule="auto" w:before="19"/>
        <w:ind w:left="1134" w:right="0"/>
        <w:jc w:val="left"/>
      </w:pPr>
      <w:r>
        <w:rPr>
          <w:spacing w:val="-4"/>
        </w:rPr>
        <w:t>即期汇率折算。因资产负债表日即期汇率与初始确认时或前一资产负债表日即期汇率不同而产生的汇兑差额，计入当期损益；</w:t>
      </w:r>
      <w:r>
        <w:rPr>
          <w:spacing w:val="-44"/>
        </w:rPr>
        <w:t> </w:t>
      </w:r>
      <w:r>
        <w:rPr>
          <w:spacing w:val="-44"/>
        </w:rPr>
      </w:r>
      <w:r>
        <w:rPr>
          <w:spacing w:val="-2"/>
        </w:rPr>
        <w:t>以历史成本计量的外币非货币性项目，仍采用交易发生日的即期汇率折算，不改变其记账本位币金额；以公允价值计量的外</w:t>
      </w:r>
      <w:r>
        <w:rPr>
          <w:spacing w:val="-66"/>
        </w:rPr>
        <w:t> </w:t>
      </w:r>
      <w:r>
        <w:rPr>
          <w:spacing w:val="-66"/>
        </w:rPr>
      </w:r>
      <w:r>
        <w:rPr>
          <w:spacing w:val="-2"/>
        </w:rPr>
        <w:t>币非货币性项目，采用公允价值确定日的即期汇率折算，折算后的记账本位币金额与原记账本位币金额的差额，作为公允价</w:t>
      </w:r>
      <w:r>
        <w:rPr>
          <w:spacing w:val="-65"/>
        </w:rPr>
        <w:t> </w:t>
      </w:r>
      <w:r>
        <w:rPr>
          <w:spacing w:val="-65"/>
        </w:rPr>
      </w:r>
      <w:r>
        <w:rPr>
          <w:spacing w:val="-2"/>
        </w:rPr>
        <w:t>值变动（含汇率变动）处理，计入当期损益；在资本化期间内，外币专门借款本金及利息的汇兑差额，予以资本化，计入符</w:t>
      </w:r>
      <w:r>
        <w:rPr>
          <w:spacing w:val="-72"/>
        </w:rPr>
        <w:t> </w:t>
      </w:r>
      <w:r>
        <w:rPr>
          <w:spacing w:val="-72"/>
        </w:rPr>
      </w:r>
      <w:r>
        <w:rPr/>
        <w:t>合资本化条件的资产的成本。</w:t>
      </w:r>
    </w:p>
    <w:p>
      <w:pPr>
        <w:pStyle w:val="BodyText"/>
        <w:spacing w:line="316" w:lineRule="auto" w:before="19"/>
        <w:ind w:left="1494" w:right="0"/>
        <w:jc w:val="left"/>
      </w:pPr>
      <w:r>
        <w:rPr/>
        <w:t>（</w:t>
      </w:r>
      <w:r>
        <w:rPr>
          <w:rFonts w:ascii="宋体" w:hAnsi="宋体" w:cs="宋体" w:eastAsia="宋体" w:hint="default"/>
        </w:rPr>
        <w:t>2</w:t>
      </w:r>
      <w:r>
        <w:rPr/>
        <w:t>）外币财务报表的折算 </w:t>
      </w:r>
      <w:r>
        <w:rPr>
          <w:spacing w:val="-2"/>
        </w:rPr>
        <w:t>本公司对境外经营的财务报表进行折算时，遵循下列规定：资产负债表中的资产和负债项目，采用资产负债表日的即期</w:t>
      </w:r>
    </w:p>
    <w:p>
      <w:pPr>
        <w:pStyle w:val="BodyText"/>
        <w:spacing w:line="316" w:lineRule="auto" w:before="19"/>
        <w:ind w:right="1033"/>
        <w:jc w:val="left"/>
      </w:pPr>
      <w:r>
        <w:rPr/>
        <w:t>汇率折算，所有者权益项目除“未分配利润”项目外，其他项目采用发生时的即期汇率折算；利润表中的收入和费用项目，</w:t>
      </w:r>
      <w:r>
        <w:rPr>
          <w:spacing w:val="-85"/>
        </w:rPr>
        <w:t> </w:t>
      </w:r>
      <w:r>
        <w:rPr>
          <w:spacing w:val="-85"/>
        </w:rPr>
      </w:r>
      <w:r>
        <w:rPr>
          <w:spacing w:val="-2"/>
        </w:rPr>
        <w:t>采用交易发生日的即期汇率折算。按照上述折算产生的外币财务报表折算差额，确认为其他综合收益。比较财务报表的折算</w:t>
      </w:r>
      <w:r>
        <w:rPr>
          <w:spacing w:val="-66"/>
        </w:rPr>
        <w:t> </w:t>
      </w:r>
      <w:r>
        <w:rPr>
          <w:spacing w:val="-66"/>
        </w:rPr>
      </w:r>
      <w:r>
        <w:rPr/>
        <w:t>比照上述规定处理。</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10、金融工具" w:id="177"/>
      <w:bookmarkEnd w:id="177"/>
      <w:r>
        <w:rPr>
          <w:b w:val="0"/>
          <w:bCs w:val="0"/>
        </w:rPr>
      </w:r>
      <w:r>
        <w:rPr>
          <w:rFonts w:ascii="宋体" w:hAnsi="宋体" w:cs="宋体" w:eastAsia="宋体" w:hint="default"/>
        </w:rPr>
        <w:t>10</w:t>
      </w:r>
      <w:r>
        <w:rPr/>
        <w:t>、金融工具</w:t>
      </w:r>
      <w:r>
        <w:rPr>
          <w:b w:val="0"/>
          <w:bCs w:val="0"/>
        </w:rPr>
      </w:r>
    </w:p>
    <w:p>
      <w:pPr>
        <w:spacing w:line="240" w:lineRule="auto" w:before="9"/>
        <w:rPr>
          <w:rFonts w:ascii="宋体" w:hAnsi="宋体" w:cs="宋体" w:eastAsia="宋体" w:hint="default"/>
          <w:b/>
          <w:bCs/>
          <w:sz w:val="27"/>
          <w:szCs w:val="27"/>
        </w:rPr>
      </w:pPr>
    </w:p>
    <w:p>
      <w:pPr>
        <w:pStyle w:val="BodyText"/>
        <w:spacing w:line="316" w:lineRule="auto"/>
        <w:ind w:left="1494" w:right="4992"/>
        <w:jc w:val="left"/>
      </w:pPr>
      <w:r>
        <w:rPr/>
        <w:t>（</w:t>
      </w:r>
      <w:r>
        <w:rPr>
          <w:rFonts w:ascii="宋体" w:hAnsi="宋体" w:cs="宋体" w:eastAsia="宋体" w:hint="default"/>
        </w:rPr>
        <w:t>1</w:t>
      </w:r>
      <w:r>
        <w:rPr/>
        <w:t>）金融工具的确认 本公司成为金融工具合同的一方时，确认一项金融资产或金融负债。</w:t>
      </w:r>
    </w:p>
    <w:p>
      <w:pPr>
        <w:pStyle w:val="BodyText"/>
        <w:spacing w:line="240" w:lineRule="auto" w:before="19"/>
        <w:ind w:left="1493" w:right="0"/>
        <w:jc w:val="left"/>
      </w:pPr>
      <w:r>
        <w:rPr/>
        <w:t>（</w:t>
      </w:r>
      <w:r>
        <w:rPr>
          <w:rFonts w:ascii="宋体" w:hAnsi="宋体" w:cs="宋体" w:eastAsia="宋体" w:hint="default"/>
        </w:rPr>
        <w:t>2</w:t>
      </w:r>
      <w:r>
        <w:rPr/>
        <w:t>）金融资产的分类和计量</w:t>
      </w:r>
    </w:p>
    <w:p>
      <w:pPr>
        <w:pStyle w:val="BodyText"/>
        <w:spacing w:line="316" w:lineRule="auto" w:before="76"/>
        <w:ind w:left="1134" w:right="1132" w:firstLine="360"/>
        <w:jc w:val="both"/>
      </w:pPr>
      <w:r>
        <w:rPr>
          <w:spacing w:val="-2"/>
        </w:rPr>
        <w:t>①本公司基于风险管理、投资策略及持有金融资产的目的等原因，将持有的金融资产划分为以公允价值计量且其变动计</w:t>
      </w:r>
      <w:r>
        <w:rPr/>
        <w:t> 入当期损益的金融资产、持有至到期投资、贷款和应收款项、可供出售金融资产。</w:t>
      </w:r>
    </w:p>
    <w:p>
      <w:pPr>
        <w:pStyle w:val="BodyText"/>
        <w:spacing w:line="316" w:lineRule="auto" w:before="19"/>
        <w:ind w:left="1494" w:right="0"/>
        <w:jc w:val="left"/>
      </w:pPr>
      <w:r>
        <w:rPr>
          <w:rFonts w:ascii="宋体" w:hAnsi="宋体" w:cs="宋体" w:eastAsia="宋体" w:hint="default"/>
        </w:rPr>
        <w:t>A</w:t>
      </w:r>
      <w:r>
        <w:rPr/>
        <w:t>、以公允价值计量且其变动计入当期损益的金融资产 </w:t>
      </w:r>
      <w:r>
        <w:rPr>
          <w:spacing w:val="-2"/>
        </w:rPr>
        <w:t>以公允价值计量且其变动计入当期损益的金融资产，包括交易性金融资产和初始确认时指定为以公允价值计量且其变动</w:t>
      </w:r>
    </w:p>
    <w:p>
      <w:pPr>
        <w:pStyle w:val="BodyText"/>
        <w:spacing w:line="316" w:lineRule="auto" w:before="19"/>
        <w:ind w:left="1494" w:right="0" w:hanging="360"/>
        <w:jc w:val="left"/>
      </w:pPr>
      <w:r>
        <w:rPr/>
        <w:t>计入当期损益的金融资产。 </w:t>
      </w:r>
      <w:r>
        <w:rPr>
          <w:spacing w:val="-2"/>
        </w:rPr>
        <w:t>交易性金融资产是指满足下列条件之一的金融资产：取得该金融资产的目的是为了在短期内出售；属于进行集中管理的</w:t>
      </w:r>
    </w:p>
    <w:p>
      <w:pPr>
        <w:pStyle w:val="BodyText"/>
        <w:spacing w:line="319" w:lineRule="auto" w:before="19"/>
        <w:ind w:left="1134" w:right="1131"/>
        <w:jc w:val="both"/>
      </w:pPr>
      <w:r>
        <w:rPr>
          <w:spacing w:val="-2"/>
        </w:rPr>
        <w:t>可辨认金融工具组合的一部分，且有客观证据表明企业近期采用短期获利方式对该组合进行管理；属于衍生工具，但是，被</w:t>
      </w:r>
      <w:r>
        <w:rPr>
          <w:spacing w:val="-66"/>
        </w:rPr>
        <w:t> </w:t>
      </w:r>
      <w:r>
        <w:rPr>
          <w:spacing w:val="-66"/>
        </w:rPr>
      </w:r>
      <w:r>
        <w:rPr>
          <w:spacing w:val="-2"/>
        </w:rPr>
        <w:t>指定且为有效套期工具的衍生工具、属于财务担保合同的衍生工具、与在活跃市场中没有报价且其公允价值不能可靠计量的</w:t>
      </w:r>
      <w:r>
        <w:rPr>
          <w:spacing w:val="-64"/>
        </w:rPr>
        <w:t> </w:t>
      </w:r>
      <w:r>
        <w:rPr>
          <w:spacing w:val="-64"/>
        </w:rPr>
      </w:r>
      <w:r>
        <w:rPr/>
        <w:t>权益工具投资挂钩并须通过交付该权益工具结算的衍生工具除外。</w:t>
      </w:r>
    </w:p>
    <w:p>
      <w:pPr>
        <w:pStyle w:val="BodyText"/>
        <w:spacing w:line="316" w:lineRule="auto" w:before="17"/>
        <w:ind w:left="1134" w:right="1131" w:firstLine="360"/>
        <w:jc w:val="both"/>
      </w:pPr>
      <w:r>
        <w:rPr>
          <w:spacing w:val="-2"/>
        </w:rPr>
        <w:t>只有符合以下条件之一，金融资产才可在初始计量时指定为以公允价值计量且变动计入当期损益的金融资产：该项指定</w:t>
      </w:r>
      <w:r>
        <w:rPr/>
        <w:t> </w:t>
      </w:r>
      <w:r>
        <w:rPr>
          <w:spacing w:val="-2"/>
        </w:rPr>
        <w:t>可以消除或明显减少由于金融工具计量基础不同所导致的相关利得或损失在确认或计量方面不一致的情况；风险管理或投资</w:t>
      </w:r>
      <w:r>
        <w:rPr>
          <w:spacing w:val="-64"/>
        </w:rPr>
        <w:t> </w:t>
      </w:r>
      <w:r>
        <w:rPr>
          <w:spacing w:val="-64"/>
        </w:rPr>
      </w:r>
      <w:r>
        <w:rPr>
          <w:spacing w:val="-2"/>
        </w:rPr>
        <w:t>策略的正式书面文件已载明，该金融工具组合以公允价值为基础进行管理、评价并向关键管理人员报告；包含一项或多项嵌</w:t>
      </w:r>
    </w:p>
    <w:p>
      <w:pPr>
        <w:spacing w:after="0" w:line="316" w:lineRule="auto"/>
        <w:jc w:val="both"/>
        <w:sectPr>
          <w:pgSz w:w="11910" w:h="16840"/>
          <w:pgMar w:header="877" w:footer="1187" w:top="1100" w:bottom="1380" w:left="0" w:right="0"/>
        </w:sectPr>
      </w:pPr>
    </w:p>
    <w:p>
      <w:pPr>
        <w:spacing w:line="240" w:lineRule="auto" w:before="12"/>
        <w:rPr>
          <w:rFonts w:ascii="宋体" w:hAnsi="宋体" w:cs="宋体" w:eastAsia="宋体" w:hint="default"/>
          <w:sz w:val="21"/>
          <w:szCs w:val="21"/>
        </w:rPr>
      </w:pPr>
    </w:p>
    <w:p>
      <w:pPr>
        <w:pStyle w:val="BodyText"/>
        <w:spacing w:line="316" w:lineRule="auto" w:before="44"/>
        <w:ind w:right="0"/>
        <w:jc w:val="left"/>
      </w:pPr>
      <w:r>
        <w:rPr>
          <w:spacing w:val="-2"/>
        </w:rPr>
        <w:t>入衍生工具的混合工具，除非嵌入衍生工具对混合工具的现金流量没有重大改变，或所嵌入的衍生工具明显不应当从相关混</w:t>
      </w:r>
      <w:r>
        <w:rPr>
          <w:spacing w:val="-64"/>
        </w:rPr>
        <w:t> </w:t>
      </w:r>
      <w:r>
        <w:rPr>
          <w:spacing w:val="-64"/>
        </w:rPr>
      </w:r>
      <w:r>
        <w:rPr/>
        <w:t>合工具中分拆；包含需要分拆但无法在取得时或后续的资产负债表日对其进行单独计量的嵌入衍生工具的混合工具。</w:t>
      </w:r>
    </w:p>
    <w:p>
      <w:pPr>
        <w:pStyle w:val="BodyText"/>
        <w:spacing w:line="316" w:lineRule="auto" w:before="19"/>
        <w:ind w:right="1118" w:firstLine="360"/>
        <w:jc w:val="left"/>
      </w:pPr>
      <w:r>
        <w:rPr>
          <w:spacing w:val="-2"/>
        </w:rPr>
        <w:t>在活跃市场中没有报价、公允价值不能可靠计量的权益工具投资，不得指定为以公允价值计量且其变动计入当期损益的</w:t>
      </w:r>
      <w:r>
        <w:rPr/>
        <w:t> 金融资产。</w:t>
      </w:r>
    </w:p>
    <w:p>
      <w:pPr>
        <w:pStyle w:val="BodyText"/>
        <w:spacing w:line="316" w:lineRule="auto" w:before="19"/>
        <w:ind w:left="1494" w:right="1117"/>
        <w:jc w:val="left"/>
      </w:pPr>
      <w:r>
        <w:rPr>
          <w:rFonts w:ascii="宋体" w:hAnsi="宋体" w:cs="宋体" w:eastAsia="宋体" w:hint="default"/>
        </w:rPr>
        <w:t>B</w:t>
      </w:r>
      <w:r>
        <w:rPr/>
        <w:t>、持有至到期投资 </w:t>
      </w:r>
      <w:r>
        <w:rPr>
          <w:spacing w:val="-5"/>
        </w:rPr>
        <w:t>持有至到期投资，是指到期日固定、回收金额固定或可确定，且本公司有明确意图和能力持有至到期的非衍生金融资产。</w:t>
      </w:r>
      <w:r>
        <w:rPr/>
        <w:t> </w:t>
      </w:r>
      <w:r>
        <w:rPr>
          <w:rFonts w:ascii="宋体" w:hAnsi="宋体" w:cs="宋体" w:eastAsia="宋体" w:hint="default"/>
        </w:rPr>
        <w:t>C</w:t>
      </w:r>
      <w:r>
        <w:rPr/>
        <w:t>、贷款和应收款项</w:t>
      </w:r>
    </w:p>
    <w:p>
      <w:pPr>
        <w:pStyle w:val="BodyText"/>
        <w:spacing w:line="316" w:lineRule="auto" w:before="19"/>
        <w:ind w:left="1493" w:right="3193"/>
        <w:jc w:val="left"/>
      </w:pPr>
      <w:r>
        <w:rPr/>
        <w:t>贷款和应收款项，是指在活跃市场中没有报价、回收金额固定或可确定的非衍生金融资产。 </w:t>
      </w:r>
      <w:r>
        <w:rPr>
          <w:rFonts w:ascii="宋体" w:hAnsi="宋体" w:cs="宋体" w:eastAsia="宋体" w:hint="default"/>
        </w:rPr>
        <w:t>D</w:t>
      </w:r>
      <w:r>
        <w:rPr/>
        <w:t>、可供出售金融资产</w:t>
      </w:r>
    </w:p>
    <w:p>
      <w:pPr>
        <w:pStyle w:val="BodyText"/>
        <w:spacing w:line="316" w:lineRule="auto" w:before="19"/>
        <w:ind w:left="1494" w:right="1032"/>
        <w:jc w:val="left"/>
      </w:pPr>
      <w:r>
        <w:rPr/>
        <w:t>可供出售金融资产，是指初始确认时即指定为可供出售的非衍生金融资产，以及除上述金融资产类别以外的金融资产。</w:t>
      </w:r>
      <w:r>
        <w:rPr>
          <w:spacing w:val="-85"/>
        </w:rPr>
        <w:t> </w:t>
      </w:r>
      <w:r>
        <w:rPr>
          <w:spacing w:val="-85"/>
        </w:rPr>
      </w:r>
      <w:r>
        <w:rPr>
          <w:spacing w:val="-2"/>
        </w:rPr>
        <w:t>本公司在初始确认时将某金融资产划分为以公允价值计量且其变动计入当期损益的金融资产后，不能重分类为其他类金</w:t>
      </w:r>
    </w:p>
    <w:p>
      <w:pPr>
        <w:pStyle w:val="BodyText"/>
        <w:spacing w:line="240" w:lineRule="auto" w:before="19"/>
        <w:ind w:left="1134" w:right="0"/>
        <w:jc w:val="left"/>
      </w:pPr>
      <w:r>
        <w:rPr/>
        <w:t>融资产；其他类金融资产也不能重分类为以公允价值计量且其变动计入当期损益的金融资产。</w:t>
      </w:r>
    </w:p>
    <w:p>
      <w:pPr>
        <w:pStyle w:val="BodyText"/>
        <w:spacing w:line="316" w:lineRule="auto" w:before="76"/>
        <w:ind w:left="1134" w:right="0" w:firstLine="360"/>
        <w:jc w:val="left"/>
      </w:pPr>
      <w:r>
        <w:rPr>
          <w:spacing w:val="-2"/>
        </w:rPr>
        <w:t>②金融资产在初始确认时以公允价值计量。对于以公允价值计量且其变动计入当期损益的金融资产，相关交易费用直接</w:t>
      </w:r>
      <w:r>
        <w:rPr/>
        <w:t> 计入当期损益；对于其他类别的金融资产，相关交易费用计入初始确认金额。</w:t>
      </w:r>
    </w:p>
    <w:p>
      <w:pPr>
        <w:pStyle w:val="BodyText"/>
        <w:spacing w:line="316" w:lineRule="auto" w:before="19"/>
        <w:ind w:left="1494" w:right="0"/>
        <w:jc w:val="left"/>
      </w:pPr>
      <w:r>
        <w:rPr/>
        <w:t>③金融资产的后续计量 </w:t>
      </w:r>
      <w:r>
        <w:rPr>
          <w:rFonts w:ascii="宋体" w:hAnsi="宋体" w:cs="宋体" w:eastAsia="宋体" w:hint="default"/>
          <w:spacing w:val="-4"/>
        </w:rPr>
        <w:t>A</w:t>
      </w:r>
      <w:r>
        <w:rPr>
          <w:spacing w:val="-4"/>
        </w:rPr>
        <w:t>、以公允价值计量且其变动计入当期损益的金融资产，采用公允价值进行后续计量，公允价值变动形成的利得或损失，</w:t>
      </w:r>
    </w:p>
    <w:p>
      <w:pPr>
        <w:pStyle w:val="BodyText"/>
        <w:spacing w:line="316" w:lineRule="auto" w:before="19"/>
        <w:ind w:left="1493" w:right="1123" w:hanging="360"/>
        <w:jc w:val="left"/>
      </w:pPr>
      <w:r>
        <w:rPr/>
        <w:t>计入当期损益。 </w:t>
      </w:r>
      <w:r>
        <w:rPr>
          <w:rFonts w:ascii="宋体" w:hAnsi="宋体" w:cs="宋体" w:eastAsia="宋体" w:hint="default"/>
        </w:rPr>
        <w:t>B</w:t>
      </w:r>
      <w:r>
        <w:rPr/>
        <w:t>、持有至到期投资，采用实际利率法，按摊余成本进行后续计量，终止确认、减值以及摊销形成的利得或损失，计入</w:t>
      </w:r>
    </w:p>
    <w:p>
      <w:pPr>
        <w:pStyle w:val="BodyText"/>
        <w:spacing w:line="240" w:lineRule="auto" w:before="19"/>
        <w:ind w:left="1134" w:right="0"/>
        <w:jc w:val="left"/>
      </w:pPr>
      <w:r>
        <w:rPr/>
        <w:t>当期损益。</w:t>
      </w:r>
    </w:p>
    <w:p>
      <w:pPr>
        <w:pStyle w:val="BodyText"/>
        <w:spacing w:line="316" w:lineRule="auto" w:before="76"/>
        <w:ind w:left="1134" w:right="1122" w:firstLine="360"/>
        <w:jc w:val="left"/>
      </w:pPr>
      <w:r>
        <w:rPr>
          <w:rFonts w:ascii="宋体" w:hAnsi="宋体" w:cs="宋体" w:eastAsia="宋体" w:hint="default"/>
        </w:rPr>
        <w:t>C</w:t>
      </w:r>
      <w:r>
        <w:rPr/>
        <w:t>、贷款和应收款项，采用实际利率法，按摊余成本进行后续计量，终止确认、减值以及摊销形成的利得或损失，计入 当期损益。</w:t>
      </w:r>
    </w:p>
    <w:p>
      <w:pPr>
        <w:pStyle w:val="BodyText"/>
        <w:spacing w:line="319" w:lineRule="auto" w:before="19"/>
        <w:ind w:left="1134" w:right="1032" w:firstLine="360"/>
        <w:jc w:val="left"/>
      </w:pPr>
      <w:r>
        <w:rPr>
          <w:rFonts w:ascii="宋体" w:hAnsi="宋体" w:cs="宋体" w:eastAsia="宋体" w:hint="default"/>
        </w:rPr>
        <w:t>D</w:t>
      </w:r>
      <w:r>
        <w:rPr/>
        <w:t>、可供出售金融资产，采用公允价值进行后续计量，公允价值变动计入其他综合收益，在该可供出售金融资产发生减 </w:t>
      </w:r>
      <w:r>
        <w:rPr>
          <w:spacing w:val="-2"/>
        </w:rPr>
        <w:t>值或终止确认时转出，计入当期损益。可供出售金融资产持有期间实现的利息或现金股利，计入当期损益。在活跃市场中没</w:t>
      </w:r>
      <w:r>
        <w:rPr>
          <w:spacing w:val="-66"/>
        </w:rPr>
        <w:t> </w:t>
      </w:r>
      <w:r>
        <w:rPr>
          <w:spacing w:val="-66"/>
        </w:rPr>
      </w:r>
      <w:r>
        <w:rPr/>
        <w:t>有报价且其公允价值不能可靠计量的权益工具投资，以及与该权益工具挂钩并须通过交付该权益工具结算的衍生金融资产，</w:t>
      </w:r>
      <w:r>
        <w:rPr>
          <w:spacing w:val="-85"/>
        </w:rPr>
        <w:t> </w:t>
      </w:r>
      <w:r>
        <w:rPr>
          <w:spacing w:val="-85"/>
        </w:rPr>
      </w:r>
      <w:r>
        <w:rPr/>
        <w:t>按照成本计量。</w:t>
      </w:r>
    </w:p>
    <w:p>
      <w:pPr>
        <w:pStyle w:val="BodyText"/>
        <w:spacing w:line="316" w:lineRule="auto" w:before="17"/>
        <w:ind w:left="1493" w:right="1123"/>
        <w:jc w:val="left"/>
      </w:pPr>
      <w:r>
        <w:rPr/>
        <w:t>④金融资产的减值准备 </w:t>
      </w:r>
      <w:r>
        <w:rPr>
          <w:rFonts w:ascii="宋体" w:hAnsi="宋体" w:cs="宋体" w:eastAsia="宋体" w:hint="default"/>
        </w:rPr>
        <w:t>A</w:t>
      </w:r>
      <w:r>
        <w:rPr/>
        <w:t>、本公司在期末对以公允价值计量且其变动计入当期损益的金融资产以外的金融资产的账面价值进行检查，有客观证</w:t>
      </w:r>
    </w:p>
    <w:p>
      <w:pPr>
        <w:pStyle w:val="BodyText"/>
        <w:spacing w:line="316" w:lineRule="auto" w:before="19"/>
        <w:ind w:left="1493" w:right="3823" w:hanging="360"/>
        <w:jc w:val="left"/>
      </w:pPr>
      <w:r>
        <w:rPr/>
        <w:t>据表明该金融资产发生减值的，确认减值损失，计提减值准备。 </w:t>
      </w:r>
      <w:r>
        <w:rPr>
          <w:rFonts w:ascii="宋体" w:hAnsi="宋体" w:cs="宋体" w:eastAsia="宋体" w:hint="default"/>
        </w:rPr>
        <w:t>B</w:t>
      </w:r>
      <w:r>
        <w:rPr/>
        <w:t>、本公司确定金融资产发生减值的客观证据包括下列各项： </w:t>
      </w:r>
      <w:r>
        <w:rPr>
          <w:rFonts w:ascii="宋体" w:hAnsi="宋体" w:cs="宋体" w:eastAsia="宋体" w:hint="default"/>
        </w:rPr>
        <w:t>a</w:t>
      </w:r>
      <w:r>
        <w:rPr/>
        <w:t>）发行方或债务人发生严重财务困难； </w:t>
      </w:r>
      <w:r>
        <w:rPr>
          <w:rFonts w:ascii="宋体" w:hAnsi="宋体" w:cs="宋体" w:eastAsia="宋体" w:hint="default"/>
        </w:rPr>
        <w:t>b</w:t>
      </w:r>
      <w:r>
        <w:rPr/>
        <w:t>）债务人违反了合同条款，如偿付利息或本金发生违约或逾期等； </w:t>
      </w:r>
      <w:r>
        <w:rPr>
          <w:rFonts w:ascii="宋体" w:hAnsi="宋体" w:cs="宋体" w:eastAsia="宋体" w:hint="default"/>
        </w:rPr>
        <w:t>c</w:t>
      </w:r>
      <w:r>
        <w:rPr/>
        <w:t>）债权人出于经济或法律等方面因素的考虑，对发生财务困难的债务人作出让步； </w:t>
      </w:r>
      <w:r>
        <w:rPr>
          <w:rFonts w:ascii="宋体" w:hAnsi="宋体" w:cs="宋体" w:eastAsia="宋体" w:hint="default"/>
        </w:rPr>
        <w:t>d</w:t>
      </w:r>
      <w:r>
        <w:rPr/>
        <w:t>）债务人很可能倒闭或进行其他财务重组； </w:t>
      </w:r>
      <w:r>
        <w:rPr>
          <w:rFonts w:ascii="宋体" w:hAnsi="宋体" w:cs="宋体" w:eastAsia="宋体" w:hint="default"/>
        </w:rPr>
        <w:t>e</w:t>
      </w:r>
      <w:r>
        <w:rPr/>
        <w:t>）因发行方发生重大财务困难，该金融资产无法在活跃市场继续交易；</w:t>
      </w:r>
    </w:p>
    <w:p>
      <w:pPr>
        <w:pStyle w:val="BodyText"/>
        <w:spacing w:line="316" w:lineRule="auto" w:before="19"/>
        <w:ind w:left="1134" w:right="1132" w:firstLine="360"/>
        <w:jc w:val="both"/>
      </w:pPr>
      <w:r>
        <w:rPr>
          <w:rFonts w:ascii="宋体" w:hAnsi="宋体" w:cs="宋体" w:eastAsia="宋体" w:hint="default"/>
        </w:rPr>
        <w:t>f</w:t>
      </w:r>
      <w:r>
        <w:rPr/>
        <w:t>）无法辨认一组金融资产中的某项资产的现金流量是否已经减少，但根据公开的数据对其进行总体评价后发现，该组 </w:t>
      </w:r>
      <w:r>
        <w:rPr>
          <w:spacing w:val="-2"/>
        </w:rPr>
        <w:t>金融资产自初始确认以来的预计未来现金流量确已减少且可计量，如该组金融资产的债务人支付能力逐步恶化，或债务人所</w:t>
      </w:r>
      <w:r>
        <w:rPr>
          <w:spacing w:val="-64"/>
        </w:rPr>
        <w:t> </w:t>
      </w:r>
      <w:r>
        <w:rPr>
          <w:spacing w:val="-64"/>
        </w:rPr>
      </w:r>
      <w:r>
        <w:rPr/>
        <w:t>在国家或地区失业率提高、担保物在其所在地区的价格明显下降、所处行业不景气等；</w:t>
      </w:r>
    </w:p>
    <w:p>
      <w:pPr>
        <w:pStyle w:val="BodyText"/>
        <w:spacing w:line="316" w:lineRule="auto" w:before="19"/>
        <w:ind w:left="1493" w:right="1123"/>
        <w:jc w:val="left"/>
      </w:pPr>
      <w:r>
        <w:rPr>
          <w:rFonts w:ascii="宋体" w:hAnsi="宋体" w:cs="宋体" w:eastAsia="宋体" w:hint="default"/>
        </w:rPr>
        <w:t>g</w:t>
      </w:r>
      <w:r>
        <w:rPr/>
        <w:t>）债务人经营所处的技术、市场、经济或法律环境等发生重大不利变化，使权益工具投资人可能无法收回投资成本； </w:t>
      </w:r>
      <w:r>
        <w:rPr>
          <w:rFonts w:ascii="宋体" w:hAnsi="宋体" w:cs="宋体" w:eastAsia="宋体" w:hint="default"/>
        </w:rPr>
        <w:t>h</w:t>
      </w:r>
      <w:r>
        <w:rPr/>
        <w:t>）权益工具投资的公允价值发生严重或非暂时性下跌；</w:t>
      </w:r>
    </w:p>
    <w:p>
      <w:pPr>
        <w:pStyle w:val="BodyText"/>
        <w:spacing w:line="319" w:lineRule="auto" w:before="19"/>
        <w:ind w:left="1494" w:right="6162"/>
        <w:jc w:val="left"/>
      </w:pPr>
      <w:r>
        <w:rPr>
          <w:rFonts w:ascii="宋体" w:hAnsi="宋体" w:cs="宋体" w:eastAsia="宋体" w:hint="default"/>
        </w:rPr>
        <w:t>i</w:t>
      </w:r>
      <w:r>
        <w:rPr/>
        <w:t>）其他表明金融资产发生减值的客观证据。 </w:t>
      </w:r>
      <w:r>
        <w:rPr>
          <w:rFonts w:ascii="宋体" w:hAnsi="宋体" w:cs="宋体" w:eastAsia="宋体" w:hint="default"/>
        </w:rPr>
        <w:t>C</w:t>
      </w:r>
      <w:r>
        <w:rPr/>
        <w:t>、金融资产减值损失的计量 </w:t>
      </w:r>
      <w:r>
        <w:rPr>
          <w:rFonts w:ascii="宋体" w:hAnsi="宋体" w:cs="宋体" w:eastAsia="宋体" w:hint="default"/>
        </w:rPr>
        <w:t>a</w:t>
      </w:r>
      <w:r>
        <w:rPr/>
        <w:t>）持有至到期投资、贷款和应收款项减值损失的计量</w:t>
      </w:r>
    </w:p>
    <w:p>
      <w:pPr>
        <w:pStyle w:val="BodyText"/>
        <w:spacing w:line="316" w:lineRule="auto" w:before="17"/>
        <w:ind w:left="1134" w:right="0" w:firstLine="360"/>
        <w:jc w:val="left"/>
      </w:pPr>
      <w:r>
        <w:rPr>
          <w:spacing w:val="-2"/>
        </w:rPr>
        <w:t>持有至到期投资、贷款和应收款项（以摊余成本后续计量的金融资产）的减值准备，按该金融资产预计未来现金流量现</w:t>
      </w:r>
      <w:r>
        <w:rPr/>
        <w:t> 值低于其账面价值的差额计提，计入当期损益。</w:t>
      </w:r>
    </w:p>
    <w:p>
      <w:pPr>
        <w:spacing w:after="0" w:line="316" w:lineRule="auto"/>
        <w:jc w:val="left"/>
        <w:sectPr>
          <w:pgSz w:w="11910" w:h="16840"/>
          <w:pgMar w:header="877" w:footer="1187" w:top="1100" w:bottom="1380" w:left="0" w:right="0"/>
        </w:sectPr>
      </w:pPr>
    </w:p>
    <w:p>
      <w:pPr>
        <w:spacing w:line="240" w:lineRule="auto" w:before="12"/>
        <w:rPr>
          <w:rFonts w:ascii="宋体" w:hAnsi="宋体" w:cs="宋体" w:eastAsia="宋体" w:hint="default"/>
          <w:sz w:val="21"/>
          <w:szCs w:val="21"/>
        </w:rPr>
      </w:pPr>
    </w:p>
    <w:p>
      <w:pPr>
        <w:pStyle w:val="BodyText"/>
        <w:spacing w:line="316" w:lineRule="auto" w:before="44"/>
        <w:ind w:right="1132" w:firstLine="360"/>
        <w:jc w:val="both"/>
      </w:pPr>
      <w:r>
        <w:rPr>
          <w:spacing w:val="-2"/>
        </w:rPr>
        <w:t>本公司对单项金额重大的金融资产单独进行减值测试，对单项金额不重大的金融资产，单独或包括在具有类似信用风险</w:t>
      </w:r>
      <w:r>
        <w:rPr/>
        <w:t> </w:t>
      </w:r>
      <w:r>
        <w:rPr>
          <w:spacing w:val="-2"/>
        </w:rPr>
        <w:t>特征的金融资产组合中进行减值测试。单独测试未发生减值的金融资产，无论单项金额重大与否，仍将包括在具有类似信用</w:t>
      </w:r>
      <w:r>
        <w:rPr>
          <w:spacing w:val="-66"/>
        </w:rPr>
        <w:t> </w:t>
      </w:r>
      <w:r>
        <w:rPr>
          <w:spacing w:val="-66"/>
        </w:rPr>
      </w:r>
      <w:r>
        <w:rPr>
          <w:spacing w:val="-2"/>
        </w:rPr>
        <w:t>风险特征的金融资产组合中再进行减值测试。已单独确认减值损失的金融资产，不包括在具有类似信用风险特征的金融资产</w:t>
      </w:r>
      <w:r>
        <w:rPr>
          <w:spacing w:val="-64"/>
        </w:rPr>
        <w:t> </w:t>
      </w:r>
      <w:r>
        <w:rPr>
          <w:spacing w:val="-64"/>
        </w:rPr>
      </w:r>
      <w:r>
        <w:rPr/>
        <w:t>组合中进行减值测试。</w:t>
      </w:r>
    </w:p>
    <w:p>
      <w:pPr>
        <w:pStyle w:val="BodyText"/>
        <w:spacing w:line="316" w:lineRule="auto" w:before="19"/>
        <w:ind w:right="1131" w:firstLine="360"/>
        <w:jc w:val="both"/>
      </w:pPr>
      <w:r>
        <w:rPr>
          <w:spacing w:val="-2"/>
        </w:rPr>
        <w:t>本公司对以摊余成本计量的金融资产确认资产减值损失后，如有客观证据表明该金融资产价值已经恢复，且客观上与确</w:t>
      </w:r>
      <w:r>
        <w:rPr/>
        <w:t> 认该损失后发生的事项有关，原确认的减值损失予以转回，计入当期损益。</w:t>
      </w:r>
    </w:p>
    <w:p>
      <w:pPr>
        <w:pStyle w:val="BodyText"/>
        <w:spacing w:line="316" w:lineRule="auto" w:before="19"/>
        <w:ind w:left="1494" w:right="0"/>
        <w:jc w:val="left"/>
      </w:pPr>
      <w:r>
        <w:rPr>
          <w:rFonts w:ascii="宋体" w:hAnsi="宋体" w:cs="宋体" w:eastAsia="宋体" w:hint="default"/>
        </w:rPr>
        <w:t>b</w:t>
      </w:r>
      <w:r>
        <w:rPr/>
        <w:t>）可供出售金融资产 </w:t>
      </w:r>
      <w:r>
        <w:rPr>
          <w:spacing w:val="-2"/>
        </w:rPr>
        <w:t>本公司对可供出售金融资产按单项投资进行减值测试。资产负债表日，判断可供出售金融资产的公允价值是否严重或非</w:t>
      </w:r>
    </w:p>
    <w:p>
      <w:pPr>
        <w:pStyle w:val="BodyText"/>
        <w:spacing w:line="316" w:lineRule="auto" w:before="19"/>
        <w:ind w:right="1133"/>
        <w:jc w:val="both"/>
      </w:pPr>
      <w:r>
        <w:rPr/>
        <w:t>暂时性下跌：如果单项可供出售金融资产的公允价值跌幅超过成本</w:t>
      </w:r>
      <w:r>
        <w:rPr>
          <w:rFonts w:ascii="宋体" w:hAnsi="宋体" w:cs="宋体" w:eastAsia="宋体" w:hint="default"/>
        </w:rPr>
        <w:t>50%</w:t>
      </w:r>
      <w:r>
        <w:rPr/>
        <w:t>，或者持续下跌时间达一年以上，则认定该可供出售 </w:t>
      </w:r>
      <w:r>
        <w:rPr>
          <w:spacing w:val="-2"/>
        </w:rPr>
        <w:t>金融资产已发生减值，按成本与公允价值的差额计提减值准备，确认减值损失。可供出售金融资产的期末成本为取得时按照</w:t>
      </w:r>
      <w:r>
        <w:rPr>
          <w:spacing w:val="-66"/>
        </w:rPr>
        <w:t> </w:t>
      </w:r>
      <w:r>
        <w:rPr>
          <w:spacing w:val="-66"/>
        </w:rPr>
      </w:r>
      <w:r>
        <w:rPr/>
        <w:t>投资成本进行初始计量、出售时按加权平均法所计算的摊余成本。</w:t>
      </w:r>
    </w:p>
    <w:p>
      <w:pPr>
        <w:pStyle w:val="BodyText"/>
        <w:spacing w:line="316" w:lineRule="auto" w:before="19"/>
        <w:ind w:left="1134" w:right="1132" w:firstLine="360"/>
        <w:jc w:val="both"/>
      </w:pPr>
      <w:r>
        <w:rPr>
          <w:spacing w:val="-2"/>
        </w:rPr>
        <w:t>可供出售金融资产的公允价值发生非暂时性下跌时，即使该金融资产没有终止确认，原直接计入其他综合收益的因公允</w:t>
      </w:r>
      <w:r>
        <w:rPr/>
        <w:t> 价值下降形成的累计损失，亦予以转出，计入当期损益。</w:t>
      </w:r>
    </w:p>
    <w:p>
      <w:pPr>
        <w:pStyle w:val="BodyText"/>
        <w:spacing w:line="316" w:lineRule="auto" w:before="19"/>
        <w:ind w:left="1134" w:right="1131" w:firstLine="360"/>
        <w:jc w:val="both"/>
      </w:pPr>
      <w:r>
        <w:rPr>
          <w:spacing w:val="-2"/>
        </w:rPr>
        <w:t>在活跃市场中没有报价且其公允价值不能可靠计量的可供出售权益工具投资，或与该权益工具挂钩并须通过交付该权益</w:t>
      </w:r>
      <w:r>
        <w:rPr/>
        <w:t> </w:t>
      </w:r>
      <w:r>
        <w:rPr>
          <w:spacing w:val="-2"/>
        </w:rPr>
        <w:t>工具结算的衍生金融资产发生减值时，本公司将该权益工具投资或衍生金融资产的账面价值，与按照类似金融资产当时市场</w:t>
      </w:r>
      <w:r>
        <w:rPr>
          <w:spacing w:val="-64"/>
        </w:rPr>
        <w:t> </w:t>
      </w:r>
      <w:r>
        <w:rPr>
          <w:spacing w:val="-64"/>
        </w:rPr>
      </w:r>
      <w:r>
        <w:rPr/>
        <w:t>收益率对未来现金流量折现确定的现值之间的差额，确认为减值损失，计入当期损益。</w:t>
      </w:r>
    </w:p>
    <w:p>
      <w:pPr>
        <w:pStyle w:val="BodyText"/>
        <w:spacing w:line="316" w:lineRule="auto" w:before="19"/>
        <w:ind w:right="1131" w:firstLine="360"/>
        <w:jc w:val="both"/>
      </w:pPr>
      <w:r>
        <w:rPr>
          <w:spacing w:val="-2"/>
        </w:rPr>
        <w:t>对可供出售债务工具确认资产减值损失后，如有客观证据表明该金融资产价值已经恢复，且客观上与确认损失后发生的</w:t>
      </w:r>
      <w:r>
        <w:rPr/>
        <w:t> 事项有关，原确认的减值损失予以转回，计入当期损益。</w:t>
      </w:r>
    </w:p>
    <w:p>
      <w:pPr>
        <w:pStyle w:val="BodyText"/>
        <w:spacing w:line="316" w:lineRule="auto" w:before="19"/>
        <w:ind w:left="1134" w:right="1133" w:firstLine="360"/>
        <w:jc w:val="both"/>
      </w:pPr>
      <w:r>
        <w:rPr>
          <w:spacing w:val="-2"/>
        </w:rPr>
        <w:t>可供出售权益工具投资发生的减值损失，不得通过损益转回。同时，在活跃市场中没有报价且其公允价值不能可靠计量</w:t>
      </w:r>
      <w:r>
        <w:rPr/>
        <w:t> 的权益工具投资或与该权益工具挂钩并须通过交付该权益工具结算的衍生金融资产发生的减值损失，不予转回。</w:t>
      </w:r>
    </w:p>
    <w:p>
      <w:pPr>
        <w:pStyle w:val="BodyText"/>
        <w:spacing w:line="240" w:lineRule="auto" w:before="19"/>
        <w:ind w:left="1493" w:right="0"/>
        <w:jc w:val="left"/>
      </w:pPr>
      <w:r>
        <w:rPr/>
        <w:t>（</w:t>
      </w:r>
      <w:r>
        <w:rPr>
          <w:rFonts w:ascii="宋体" w:hAnsi="宋体" w:cs="宋体" w:eastAsia="宋体" w:hint="default"/>
        </w:rPr>
        <w:t>3</w:t>
      </w:r>
      <w:r>
        <w:rPr/>
        <w:t>）金融负债的分类和计量</w:t>
      </w:r>
    </w:p>
    <w:p>
      <w:pPr>
        <w:pStyle w:val="BodyText"/>
        <w:spacing w:line="319" w:lineRule="auto" w:before="76"/>
        <w:ind w:left="1493" w:right="0"/>
        <w:jc w:val="left"/>
      </w:pPr>
      <w:r>
        <w:rPr/>
        <w:t>①本公司将持有的金融负债分为以公允价值计量且其变动计入当期损益的金融负债和其他金融负债。 </w:t>
      </w:r>
      <w:r>
        <w:rPr>
          <w:spacing w:val="-2"/>
        </w:rPr>
        <w:t>以公允价值计量且其变动计入当期损益的金融负债，包括交易性金融负债和初始确认时指定为以公允价值计量且其变动</w:t>
      </w:r>
    </w:p>
    <w:p>
      <w:pPr>
        <w:pStyle w:val="BodyText"/>
        <w:spacing w:line="316" w:lineRule="auto" w:before="17"/>
        <w:ind w:left="1493" w:right="0" w:hanging="360"/>
        <w:jc w:val="left"/>
      </w:pPr>
      <w:r>
        <w:rPr/>
        <w:t>计入当期损益的金融负债。 </w:t>
      </w:r>
      <w:r>
        <w:rPr>
          <w:spacing w:val="-2"/>
        </w:rPr>
        <w:t>交易性金融负债是指满足下列条件之一的金融负债：承担该金融负债的目的是为了在近期内回购；属于进行集中管理的</w:t>
      </w:r>
    </w:p>
    <w:p>
      <w:pPr>
        <w:pStyle w:val="BodyText"/>
        <w:spacing w:line="316" w:lineRule="auto" w:before="19"/>
        <w:ind w:right="1131"/>
        <w:jc w:val="both"/>
      </w:pPr>
      <w:r>
        <w:rPr>
          <w:spacing w:val="-2"/>
        </w:rPr>
        <w:t>可辨认金融工具组合的一部分，且有客观证据表明企业近期采用短期获利方式对该组合进行管理；属于衍生工具，但是，被</w:t>
      </w:r>
      <w:r>
        <w:rPr>
          <w:spacing w:val="-66"/>
        </w:rPr>
        <w:t> </w:t>
      </w:r>
      <w:r>
        <w:rPr>
          <w:spacing w:val="-66"/>
        </w:rPr>
      </w:r>
      <w:r>
        <w:rPr>
          <w:spacing w:val="-2"/>
        </w:rPr>
        <w:t>指定且为有效套期工具的衍生工具、属于财务担保合同的衍生工具、与在活跃市场中没有报价且其公允价值不能可靠计量的</w:t>
      </w:r>
      <w:r>
        <w:rPr>
          <w:spacing w:val="-64"/>
        </w:rPr>
        <w:t> </w:t>
      </w:r>
      <w:r>
        <w:rPr>
          <w:spacing w:val="-64"/>
        </w:rPr>
      </w:r>
      <w:r>
        <w:rPr/>
        <w:t>权益工具投资挂钩并须通过交付该权益工具结算的衍生工具除外。</w:t>
      </w:r>
    </w:p>
    <w:p>
      <w:pPr>
        <w:pStyle w:val="BodyText"/>
        <w:spacing w:line="316" w:lineRule="auto" w:before="19"/>
        <w:ind w:left="1134" w:right="1131" w:firstLine="360"/>
        <w:jc w:val="both"/>
      </w:pPr>
      <w:r>
        <w:rPr>
          <w:spacing w:val="-2"/>
        </w:rPr>
        <w:t>只有符合以下条件之一，金融负债才可在初始计量时指定为以公允价值计量且变动计入当期损益的金融负债：该项指定</w:t>
      </w:r>
      <w:r>
        <w:rPr/>
        <w:t> </w:t>
      </w:r>
      <w:r>
        <w:rPr>
          <w:spacing w:val="-2"/>
        </w:rPr>
        <w:t>可以消除或明显减少由于金融工具计量基础不同所导致的相关利得或损失在确认或计量方面不一致的情况；风险管理或投资</w:t>
      </w:r>
      <w:r>
        <w:rPr>
          <w:spacing w:val="-64"/>
        </w:rPr>
        <w:t> </w:t>
      </w:r>
      <w:r>
        <w:rPr>
          <w:spacing w:val="-64"/>
        </w:rPr>
      </w:r>
      <w:r>
        <w:rPr>
          <w:spacing w:val="-2"/>
        </w:rPr>
        <w:t>策略的正式书面文件已载明，该金融工具组合以公允价值为基础进行管理、评价并向关键管理人员报告；包含一项或多项嵌</w:t>
      </w:r>
      <w:r>
        <w:rPr>
          <w:spacing w:val="-66"/>
        </w:rPr>
        <w:t> </w:t>
      </w:r>
      <w:r>
        <w:rPr>
          <w:spacing w:val="-66"/>
        </w:rPr>
      </w:r>
      <w:r>
        <w:rPr>
          <w:spacing w:val="-2"/>
        </w:rPr>
        <w:t>入衍生工具的混合工具，除非嵌入衍生工具对混合工具的现金流量没有重大改变，或所嵌入的衍生工具明显不应当从相关混</w:t>
      </w:r>
      <w:r>
        <w:rPr>
          <w:spacing w:val="-64"/>
        </w:rPr>
        <w:t> </w:t>
      </w:r>
      <w:r>
        <w:rPr>
          <w:spacing w:val="-64"/>
        </w:rPr>
      </w:r>
      <w:r>
        <w:rPr/>
        <w:t>合工具中分拆；包含需要分拆但无法在取得时或后续的资产负债表日对其进行单独计量的嵌入衍生工具的混合工具。</w:t>
      </w:r>
    </w:p>
    <w:p>
      <w:pPr>
        <w:pStyle w:val="BodyText"/>
        <w:spacing w:line="316" w:lineRule="auto" w:before="19"/>
        <w:ind w:right="1131" w:firstLine="360"/>
        <w:jc w:val="both"/>
      </w:pPr>
      <w:r>
        <w:rPr>
          <w:spacing w:val="-2"/>
        </w:rPr>
        <w:t>本公司在初始确认时将某金融负债划分为以公允价值计量且其变动计入当期损益的金融负债后，不能重分类为其他类金</w:t>
      </w:r>
      <w:r>
        <w:rPr/>
        <w:t> 融负债；其他类金融负债也不能重分类为以公允价值计量且其变动计入当期损益的金融负债。</w:t>
      </w:r>
    </w:p>
    <w:p>
      <w:pPr>
        <w:pStyle w:val="BodyText"/>
        <w:spacing w:line="316" w:lineRule="auto" w:before="19"/>
        <w:ind w:right="1132" w:firstLine="360"/>
        <w:jc w:val="both"/>
      </w:pPr>
      <w:r>
        <w:rPr>
          <w:spacing w:val="-2"/>
        </w:rPr>
        <w:t>②金融负债在初始确认时以公允价值计量。对于以公允价值计量且其变动计入当期损益的金融负债，相关交易费用直接</w:t>
      </w:r>
      <w:r>
        <w:rPr/>
        <w:t> 计入当期损益；对于其他金融负债，相关交易费用计入初始确认金额。</w:t>
      </w:r>
    </w:p>
    <w:p>
      <w:pPr>
        <w:pStyle w:val="BodyText"/>
        <w:spacing w:line="316" w:lineRule="auto" w:before="19"/>
        <w:ind w:left="1493" w:right="0"/>
        <w:jc w:val="left"/>
      </w:pPr>
      <w:r>
        <w:rPr/>
        <w:t>③金融负债的后续计量 </w:t>
      </w:r>
      <w:r>
        <w:rPr>
          <w:rFonts w:ascii="宋体" w:hAnsi="宋体" w:cs="宋体" w:eastAsia="宋体" w:hint="default"/>
          <w:spacing w:val="-4"/>
        </w:rPr>
        <w:t>A</w:t>
      </w:r>
      <w:r>
        <w:rPr>
          <w:spacing w:val="-4"/>
        </w:rPr>
        <w:t>、以公允价值计量且其变动计入当期损益的金融负债，采用公允价值进行后续计量，公允价值变动形成的利得或损失，</w:t>
      </w:r>
    </w:p>
    <w:p>
      <w:pPr>
        <w:pStyle w:val="BodyText"/>
        <w:spacing w:line="319" w:lineRule="auto" w:before="19"/>
        <w:ind w:left="1493" w:right="5263" w:hanging="360"/>
        <w:jc w:val="left"/>
      </w:pPr>
      <w:r>
        <w:rPr/>
        <w:t>计入当期损益。 </w:t>
      </w:r>
      <w:r>
        <w:rPr>
          <w:rFonts w:ascii="宋体" w:hAnsi="宋体" w:cs="宋体" w:eastAsia="宋体" w:hint="default"/>
        </w:rPr>
        <w:t>B</w:t>
      </w:r>
      <w:r>
        <w:rPr/>
        <w:t>、其他金融负债，采用实际利率法，按摊余成本进行后续计量。</w:t>
      </w:r>
    </w:p>
    <w:p>
      <w:pPr>
        <w:pStyle w:val="BodyText"/>
        <w:spacing w:line="316" w:lineRule="auto" w:before="17"/>
        <w:ind w:left="1493" w:right="0"/>
        <w:jc w:val="left"/>
      </w:pPr>
      <w:r>
        <w:rPr/>
        <w:t>（</w:t>
      </w:r>
      <w:r>
        <w:rPr>
          <w:rFonts w:ascii="宋体" w:hAnsi="宋体" w:cs="宋体" w:eastAsia="宋体" w:hint="default"/>
        </w:rPr>
        <w:t>4</w:t>
      </w:r>
      <w:r>
        <w:rPr/>
        <w:t>）金融资产转移确认依据和计量 </w:t>
      </w:r>
      <w:r>
        <w:rPr>
          <w:spacing w:val="-2"/>
        </w:rPr>
        <w:t>本公司在已将金融资产所有权上几乎所有的风险和报酬转移给转入方时终止对该项金融资产的确认。在金融资产整体转</w:t>
      </w:r>
    </w:p>
    <w:p>
      <w:pPr>
        <w:pStyle w:val="BodyText"/>
        <w:spacing w:line="240" w:lineRule="auto" w:before="19"/>
        <w:ind w:right="0"/>
        <w:jc w:val="both"/>
      </w:pPr>
      <w:r>
        <w:rPr/>
        <w:t>移满足终止确认条件的，将下列两项的差额计入当期损益：</w:t>
      </w:r>
    </w:p>
    <w:p>
      <w:pPr>
        <w:spacing w:after="0" w:line="240" w:lineRule="auto"/>
        <w:jc w:val="both"/>
        <w:sectPr>
          <w:pgSz w:w="11910" w:h="16840"/>
          <w:pgMar w:header="877" w:footer="1187" w:top="1100" w:bottom="1380" w:left="0" w:right="0"/>
        </w:sectPr>
      </w:pPr>
    </w:p>
    <w:p>
      <w:pPr>
        <w:spacing w:line="240" w:lineRule="auto" w:before="12"/>
        <w:rPr>
          <w:rFonts w:ascii="宋体" w:hAnsi="宋体" w:cs="宋体" w:eastAsia="宋体" w:hint="default"/>
          <w:sz w:val="21"/>
          <w:szCs w:val="21"/>
        </w:rPr>
      </w:pPr>
    </w:p>
    <w:p>
      <w:pPr>
        <w:pStyle w:val="BodyText"/>
        <w:spacing w:line="240" w:lineRule="auto" w:before="44"/>
        <w:ind w:left="1493" w:right="0"/>
        <w:jc w:val="left"/>
      </w:pPr>
      <w:r>
        <w:rPr/>
        <w:t>①所转移金融资产的账面价值；</w:t>
      </w:r>
    </w:p>
    <w:p>
      <w:pPr>
        <w:pStyle w:val="BodyText"/>
        <w:spacing w:line="316" w:lineRule="auto" w:before="76"/>
        <w:ind w:right="1118" w:firstLine="360"/>
        <w:jc w:val="left"/>
      </w:pPr>
      <w:r>
        <w:rPr>
          <w:spacing w:val="-2"/>
        </w:rPr>
        <w:t>②因转移而收到的对价，与原计入其他综合收益的公允价值变动累计额（涉及转移的金融资产为可供出售金融资产的情</w:t>
      </w:r>
      <w:r>
        <w:rPr/>
        <w:t> 形）之和。</w:t>
      </w:r>
    </w:p>
    <w:p>
      <w:pPr>
        <w:pStyle w:val="BodyText"/>
        <w:spacing w:line="319" w:lineRule="auto" w:before="19"/>
        <w:ind w:right="0" w:firstLine="360"/>
        <w:jc w:val="left"/>
      </w:pPr>
      <w:r>
        <w:rPr>
          <w:spacing w:val="-2"/>
        </w:rPr>
        <w:t>本公司的金融资产部分转移满足终止确认条件的，将所转移金融资产整体的账面价值，在终止确认部分和未终止确认部</w:t>
      </w:r>
      <w:r>
        <w:rPr/>
        <w:t> 分之间，按照各自的相对公允价值进行分摊，并将下列两项金额的差额计入当期损益：</w:t>
      </w:r>
    </w:p>
    <w:p>
      <w:pPr>
        <w:pStyle w:val="BodyText"/>
        <w:spacing w:line="240" w:lineRule="auto" w:before="17"/>
        <w:ind w:left="1493" w:right="0"/>
        <w:jc w:val="left"/>
      </w:pPr>
      <w:r>
        <w:rPr/>
        <w:t>①终止确认部分的账面价值；</w:t>
      </w:r>
    </w:p>
    <w:p>
      <w:pPr>
        <w:pStyle w:val="BodyText"/>
        <w:spacing w:line="316" w:lineRule="auto" w:before="76"/>
        <w:ind w:right="0" w:firstLine="360"/>
        <w:jc w:val="left"/>
      </w:pPr>
      <w:r>
        <w:rPr>
          <w:spacing w:val="-2"/>
        </w:rPr>
        <w:t>②终止确认部分的对价，与原计入其他综合收益的公允价值变动累计额中对应终止确认部分的金额（涉及转移的金融资</w:t>
      </w:r>
      <w:r>
        <w:rPr/>
        <w:t> 产为可供出售金融资产的情形）之和。</w:t>
      </w:r>
    </w:p>
    <w:p>
      <w:pPr>
        <w:pStyle w:val="BodyText"/>
        <w:spacing w:line="316" w:lineRule="auto" w:before="19"/>
        <w:ind w:right="0" w:firstLine="360"/>
        <w:jc w:val="left"/>
      </w:pPr>
      <w:r>
        <w:rPr>
          <w:spacing w:val="-2"/>
        </w:rPr>
        <w:t>原计入其他综合收益的公允价值变动累计额中对应终止确认部分的金额，按照金融资产终止确认部分和未终止确认部分</w:t>
      </w:r>
      <w:r>
        <w:rPr/>
        <w:t> 的相对公允价值，对该累计额进行分摊后确定。</w:t>
      </w:r>
    </w:p>
    <w:p>
      <w:pPr>
        <w:pStyle w:val="BodyText"/>
        <w:spacing w:line="316" w:lineRule="auto" w:before="19"/>
        <w:ind w:left="1493" w:right="0"/>
        <w:jc w:val="left"/>
      </w:pPr>
      <w:r>
        <w:rPr/>
        <w:t>金融资产转移不满足终止确认条件的，继续确认所转移金融资产整体，并将所收到的对价确认为一项金融资产。 </w:t>
      </w:r>
      <w:r>
        <w:rPr>
          <w:spacing w:val="-2"/>
        </w:rPr>
        <w:t>对于继续涉入条件下的金融资产转移，本公司根据继续涉入所转移金融资产的程度确认有关金融资产和金融负债，以充</w:t>
      </w:r>
    </w:p>
    <w:p>
      <w:pPr>
        <w:pStyle w:val="BodyText"/>
        <w:spacing w:line="240" w:lineRule="auto" w:before="19"/>
        <w:ind w:right="0"/>
        <w:jc w:val="left"/>
      </w:pPr>
      <w:r>
        <w:rPr/>
        <w:t>分反映本公司所保留的权利和承担的义务。</w:t>
      </w:r>
    </w:p>
    <w:p>
      <w:pPr>
        <w:pStyle w:val="BodyText"/>
        <w:spacing w:line="316" w:lineRule="auto" w:before="76"/>
        <w:ind w:left="1494" w:right="1032"/>
        <w:jc w:val="left"/>
      </w:pPr>
      <w:r>
        <w:rPr/>
        <w:t>（</w:t>
      </w:r>
      <w:r>
        <w:rPr>
          <w:rFonts w:ascii="宋体" w:hAnsi="宋体" w:cs="宋体" w:eastAsia="宋体" w:hint="default"/>
        </w:rPr>
        <w:t>5</w:t>
      </w:r>
      <w:r>
        <w:rPr/>
        <w:t>）金融负债的终止确认 本公司金融负债的现时义务全部或部分已经解除的，终止确认该金融负债或其一部分。本公司与债权人之间签订协议，</w:t>
      </w:r>
    </w:p>
    <w:p>
      <w:pPr>
        <w:pStyle w:val="BodyText"/>
        <w:spacing w:line="316" w:lineRule="auto" w:before="19"/>
        <w:ind w:left="1134" w:right="0"/>
        <w:jc w:val="left"/>
      </w:pPr>
      <w:r>
        <w:rPr>
          <w:spacing w:val="-4"/>
        </w:rPr>
        <w:t>以承担新金融负债方式替换现存金融负债，且新金融负债与现存金融负债的合同条款实质上不同的，终止确认现存金融负债，</w:t>
      </w:r>
      <w:r>
        <w:rPr>
          <w:spacing w:val="-44"/>
        </w:rPr>
        <w:t> </w:t>
      </w:r>
      <w:r>
        <w:rPr>
          <w:spacing w:val="-44"/>
        </w:rPr>
      </w:r>
      <w:r>
        <w:rPr/>
        <w:t>并同时确认新金融负债。</w:t>
      </w:r>
    </w:p>
    <w:p>
      <w:pPr>
        <w:pStyle w:val="BodyText"/>
        <w:spacing w:line="316" w:lineRule="auto" w:before="19"/>
        <w:ind w:right="1123" w:firstLine="360"/>
        <w:jc w:val="left"/>
      </w:pPr>
      <w:r>
        <w:rPr/>
        <w:t>金融负债全部或部分终止确认的，将终止确认部分的账面价值与支付的对价</w:t>
      </w:r>
      <w:r>
        <w:rPr>
          <w:rFonts w:ascii="宋体" w:hAnsi="宋体" w:cs="宋体" w:eastAsia="宋体" w:hint="default"/>
        </w:rPr>
        <w:t>(</w:t>
      </w:r>
      <w:r>
        <w:rPr/>
        <w:t>包括转出的非现金资产或承担的新金融负 债</w:t>
      </w:r>
      <w:r>
        <w:rPr>
          <w:rFonts w:ascii="宋体" w:hAnsi="宋体" w:cs="宋体" w:eastAsia="宋体" w:hint="default"/>
        </w:rPr>
        <w:t>)</w:t>
      </w:r>
      <w:r>
        <w:rPr/>
        <w:t>之间的差额，计入当期损益。</w:t>
      </w:r>
    </w:p>
    <w:p>
      <w:pPr>
        <w:pStyle w:val="BodyText"/>
        <w:spacing w:line="360" w:lineRule="auto" w:before="19"/>
        <w:ind w:left="1493" w:right="0"/>
        <w:jc w:val="left"/>
      </w:pPr>
      <w:r>
        <w:rPr/>
        <w:t>（</w:t>
      </w:r>
      <w:r>
        <w:rPr>
          <w:rFonts w:ascii="宋体" w:hAnsi="宋体" w:cs="宋体" w:eastAsia="宋体" w:hint="default"/>
        </w:rPr>
        <w:t>6</w:t>
      </w:r>
      <w:r>
        <w:rPr/>
        <w:t>）金融资产和金融负债的抵销 </w:t>
      </w:r>
      <w:r>
        <w:rPr>
          <w:spacing w:val="-2"/>
        </w:rPr>
        <w:t>金融资产和金融负债在资产负债表内分别列示，不相互抵销。但同时满足下列条件的，以相互抵销后的净额在资产负债</w:t>
      </w:r>
    </w:p>
    <w:p>
      <w:pPr>
        <w:pStyle w:val="BodyText"/>
        <w:spacing w:line="221" w:lineRule="exact"/>
        <w:ind w:right="0"/>
        <w:jc w:val="left"/>
      </w:pPr>
      <w:r>
        <w:rPr/>
        <w:t>表内列示：本公司具有抵销已确认金额的法定权利，且该种法定权利是当前可执行的；本公司计划以净额结算，或同时变现</w:t>
      </w:r>
    </w:p>
    <w:p>
      <w:pPr>
        <w:pStyle w:val="BodyText"/>
        <w:spacing w:line="240" w:lineRule="auto" w:before="78"/>
        <w:ind w:right="0"/>
        <w:jc w:val="left"/>
      </w:pPr>
      <w:r>
        <w:rPr/>
        <w:t>该金融资产和清偿该金融负债</w:t>
      </w:r>
      <w:r>
        <w:rPr>
          <w:spacing w:val="-87"/>
        </w:rPr>
        <w:t>。</w:t>
      </w:r>
      <w:r>
        <w:rPr/>
        <w:t>不满足终止确认条件的金融资产转移</w:t>
      </w:r>
      <w:r>
        <w:rPr>
          <w:spacing w:val="-87"/>
        </w:rPr>
        <w:t>，</w:t>
      </w:r>
      <w:r>
        <w:rPr/>
        <w:t>转出方不得将已转移的金融资产和相关负债进行抵销。</w:t>
      </w:r>
    </w:p>
    <w:p>
      <w:pPr>
        <w:spacing w:line="240" w:lineRule="auto" w:before="11"/>
        <w:rPr>
          <w:rFonts w:ascii="宋体" w:hAnsi="宋体" w:cs="宋体" w:eastAsia="宋体" w:hint="default"/>
          <w:sz w:val="26"/>
          <w:szCs w:val="26"/>
        </w:rPr>
      </w:pPr>
    </w:p>
    <w:p>
      <w:pPr>
        <w:pStyle w:val="Heading3"/>
        <w:spacing w:line="240" w:lineRule="auto"/>
        <w:ind w:left="1134" w:right="0"/>
        <w:jc w:val="left"/>
        <w:rPr>
          <w:b w:val="0"/>
          <w:bCs w:val="0"/>
        </w:rPr>
      </w:pPr>
      <w:bookmarkStart w:name="11、应收款项" w:id="178"/>
      <w:bookmarkEnd w:id="178"/>
      <w:r>
        <w:rPr>
          <w:b w:val="0"/>
          <w:bCs w:val="0"/>
        </w:rPr>
      </w:r>
      <w:r>
        <w:rPr>
          <w:rFonts w:ascii="宋体" w:hAnsi="宋体" w:cs="宋体" w:eastAsia="宋体" w:hint="default"/>
        </w:rPr>
        <w:t>11</w:t>
      </w:r>
      <w:r>
        <w:rPr/>
        <w:t>、应收款项</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left="1134" w:right="0"/>
        <w:jc w:val="left"/>
        <w:rPr>
          <w:b w:val="0"/>
          <w:bCs w:val="0"/>
        </w:rPr>
      </w:pPr>
      <w:bookmarkStart w:name="（1）单项金额重大并单独计提坏账准备的应收款项" w:id="179"/>
      <w:bookmarkEnd w:id="179"/>
      <w:r>
        <w:rPr>
          <w:b w:val="0"/>
          <w:bCs w:val="0"/>
        </w:rPr>
      </w:r>
      <w:r>
        <w:rPr/>
        <w:t>（</w:t>
      </w:r>
      <w:r>
        <w:rPr>
          <w:rFonts w:ascii="宋体" w:hAnsi="宋体" w:cs="宋体" w:eastAsia="宋体" w:hint="default"/>
        </w:rPr>
        <w:t>1</w:t>
      </w:r>
      <w:r>
        <w:rPr/>
        <w:t>）单项金额重大并单独计提坏账准备的应收款项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3"/>
          <w:szCs w:val="13"/>
        </w:rPr>
      </w:pPr>
    </w:p>
    <w:p>
      <w:pPr>
        <w:pStyle w:val="BodyText"/>
        <w:spacing w:line="240" w:lineRule="auto"/>
        <w:ind w:left="0" w:right="1140"/>
        <w:jc w:val="right"/>
      </w:pPr>
      <w:r>
        <w:rPr/>
        <w:pict>
          <v:shape style="position:absolute;margin-left:56.459999pt;margin-top:-69.948273pt;width:479.2pt;height:118.75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5"/>
                    <w:gridCol w:w="4784"/>
                  </w:tblGrid>
                  <w:tr>
                    <w:trPr>
                      <w:trHeight w:val="1026"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应收账款期末单项金额达到</w:t>
                        </w:r>
                        <w:r>
                          <w:rPr>
                            <w:rFonts w:ascii="宋体" w:hAnsi="宋体" w:cs="宋体" w:eastAsia="宋体" w:hint="default"/>
                            <w:spacing w:val="-46"/>
                            <w:sz w:val="18"/>
                            <w:szCs w:val="18"/>
                          </w:rPr>
                          <w:t> </w:t>
                        </w:r>
                        <w:r>
                          <w:rPr>
                            <w:rFonts w:ascii="宋体" w:hAnsi="宋体" w:cs="宋体" w:eastAsia="宋体" w:hint="default"/>
                            <w:sz w:val="18"/>
                            <w:szCs w:val="18"/>
                          </w:rPr>
                          <w:t>300</w:t>
                        </w:r>
                        <w:r>
                          <w:rPr>
                            <w:rFonts w:ascii="宋体" w:hAnsi="宋体" w:cs="宋体" w:eastAsia="宋体" w:hint="default"/>
                            <w:spacing w:val="-46"/>
                            <w:sz w:val="18"/>
                            <w:szCs w:val="18"/>
                          </w:rPr>
                          <w:t> </w:t>
                        </w:r>
                        <w:r>
                          <w:rPr>
                            <w:rFonts w:ascii="宋体" w:hAnsi="宋体" w:cs="宋体" w:eastAsia="宋体" w:hint="default"/>
                            <w:sz w:val="18"/>
                            <w:szCs w:val="18"/>
                          </w:rPr>
                          <w:t>万元（含</w:t>
                        </w:r>
                        <w:r>
                          <w:rPr>
                            <w:rFonts w:ascii="宋体" w:hAnsi="宋体" w:cs="宋体" w:eastAsia="宋体" w:hint="default"/>
                            <w:spacing w:val="-46"/>
                            <w:sz w:val="18"/>
                            <w:szCs w:val="18"/>
                          </w:rPr>
                          <w:t> </w:t>
                        </w:r>
                        <w:r>
                          <w:rPr>
                            <w:rFonts w:ascii="宋体" w:hAnsi="宋体" w:cs="宋体" w:eastAsia="宋体" w:hint="default"/>
                            <w:sz w:val="18"/>
                            <w:szCs w:val="18"/>
                          </w:rPr>
                          <w:t>300</w:t>
                        </w:r>
                        <w:r>
                          <w:rPr>
                            <w:rFonts w:ascii="宋体" w:hAnsi="宋体" w:cs="宋体" w:eastAsia="宋体" w:hint="default"/>
                            <w:spacing w:val="-46"/>
                            <w:sz w:val="18"/>
                            <w:szCs w:val="18"/>
                          </w:rPr>
                          <w:t> </w:t>
                        </w:r>
                        <w:r>
                          <w:rPr>
                            <w:rFonts w:ascii="宋体" w:hAnsi="宋体" w:cs="宋体" w:eastAsia="宋体" w:hint="default"/>
                            <w:sz w:val="18"/>
                            <w:szCs w:val="18"/>
                          </w:rPr>
                          <w:t>万元）以上、</w:t>
                        </w:r>
                      </w:p>
                      <w:p>
                        <w:pPr>
                          <w:pStyle w:val="TableParagraph"/>
                          <w:spacing w:line="319" w:lineRule="auto" w:before="75"/>
                          <w:ind w:left="22" w:right="71"/>
                          <w:jc w:val="left"/>
                          <w:rPr>
                            <w:rFonts w:ascii="宋体" w:hAnsi="宋体" w:cs="宋体" w:eastAsia="宋体" w:hint="default"/>
                            <w:sz w:val="18"/>
                            <w:szCs w:val="18"/>
                          </w:rPr>
                        </w:pPr>
                        <w:r>
                          <w:rPr>
                            <w:rFonts w:ascii="宋体" w:hAnsi="宋体" w:cs="宋体" w:eastAsia="宋体" w:hint="default"/>
                            <w:sz w:val="18"/>
                            <w:szCs w:val="18"/>
                          </w:rPr>
                          <w:t>其他应收款期末单项金额达到</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万元（含</w:t>
                        </w:r>
                        <w:r>
                          <w:rPr>
                            <w:rFonts w:ascii="宋体" w:hAnsi="宋体" w:cs="宋体" w:eastAsia="宋体" w:hint="default"/>
                            <w:spacing w:val="-45"/>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万元）以上的 为单项金额重大的应收款项。</w:t>
                        </w:r>
                      </w:p>
                    </w:tc>
                  </w:tr>
                  <w:tr>
                    <w:trPr>
                      <w:trHeight w:val="1339"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9"/>
                          <w:jc w:val="both"/>
                          <w:rPr>
                            <w:rFonts w:ascii="宋体" w:hAnsi="宋体" w:cs="宋体" w:eastAsia="宋体" w:hint="default"/>
                            <w:sz w:val="18"/>
                            <w:szCs w:val="18"/>
                          </w:rPr>
                        </w:pPr>
                        <w:r>
                          <w:rPr>
                            <w:rFonts w:ascii="宋体" w:hAnsi="宋体" w:cs="宋体" w:eastAsia="宋体" w:hint="default"/>
                            <w:sz w:val="18"/>
                            <w:szCs w:val="18"/>
                          </w:rPr>
                          <w:t>本公司对单项金额重大的应收款项单独进行减值测试，如有 </w:t>
                        </w:r>
                        <w:r>
                          <w:rPr>
                            <w:rFonts w:ascii="宋体" w:hAnsi="宋体" w:cs="宋体" w:eastAsia="宋体" w:hint="default"/>
                            <w:spacing w:val="-2"/>
                            <w:sz w:val="18"/>
                            <w:szCs w:val="18"/>
                          </w:rPr>
                          <w:t>客观证据表明其已发生减值，确认减值损失，计提坏账准备</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单独测试未发生减值的应收款项，包括在具有类似信用风险 特征的应收款项组合中再进行减值测试。</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3"/>
        <w:spacing w:line="240" w:lineRule="auto" w:before="35"/>
        <w:ind w:left="1134" w:right="0"/>
        <w:jc w:val="left"/>
        <w:rPr>
          <w:b w:val="0"/>
          <w:bCs w:val="0"/>
        </w:rPr>
      </w:pPr>
      <w:bookmarkStart w:name="（2）按信用风险特征组合计提坏账准备的应收款项" w:id="180"/>
      <w:bookmarkEnd w:id="180"/>
      <w:r>
        <w:rPr>
          <w:b w:val="0"/>
          <w:bCs w:val="0"/>
        </w:rPr>
      </w:r>
      <w:r>
        <w:rPr/>
        <w:t>（</w:t>
      </w:r>
      <w:r>
        <w:rPr>
          <w:rFonts w:ascii="宋体" w:hAnsi="宋体" w:cs="宋体" w:eastAsia="宋体" w:hint="default"/>
        </w:rPr>
        <w:t>2</w:t>
      </w:r>
      <w:r>
        <w:rPr/>
        <w:t>）按信用风险特征组合计提坏账准备的应收款项</w:t>
      </w:r>
      <w:r>
        <w:rPr>
          <w:b w:val="0"/>
          <w:bCs w:val="0"/>
        </w:rPr>
      </w:r>
    </w:p>
    <w:p>
      <w:pPr>
        <w:spacing w:line="240" w:lineRule="auto" w:before="12"/>
        <w:rPr>
          <w:rFonts w:ascii="宋体" w:hAnsi="宋体" w:cs="宋体" w:eastAsia="宋体" w:hint="default"/>
          <w:b/>
          <w:bCs/>
          <w:sz w:val="26"/>
          <w:szCs w:val="26"/>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spacing w:line="240" w:lineRule="auto" w:before="9"/>
        <w:rPr>
          <w:rFonts w:ascii="宋体" w:hAnsi="宋体" w:cs="宋体" w:eastAsia="宋体" w:hint="default"/>
          <w:b/>
          <w:bCs/>
          <w:sz w:val="6"/>
          <w:szCs w:val="6"/>
        </w:rPr>
      </w:pPr>
    </w:p>
    <w:p>
      <w:pPr>
        <w:pStyle w:val="BodyText"/>
        <w:spacing w:line="240" w:lineRule="auto" w:before="44"/>
        <w:ind w:left="1134" w:right="0"/>
        <w:jc w:val="left"/>
      </w:pPr>
      <w:r>
        <w:rPr/>
        <w:t>组合中，采用账龄分析法计提坏账准备的：</w:t>
      </w:r>
    </w:p>
    <w:p>
      <w:pPr>
        <w:spacing w:after="0" w:line="240" w:lineRule="auto"/>
        <w:jc w:val="left"/>
        <w:sectPr>
          <w:pgSz w:w="11910" w:h="16840"/>
          <w:pgMar w:header="877" w:footer="1187" w:top="1100" w:bottom="1380" w:left="0" w:right="0"/>
        </w:sectPr>
      </w:pPr>
    </w:p>
    <w:p>
      <w:pPr>
        <w:spacing w:line="240" w:lineRule="auto" w:before="13"/>
        <w:rPr>
          <w:rFonts w:ascii="宋体" w:hAnsi="宋体" w:cs="宋体" w:eastAsia="宋体" w:hint="default"/>
          <w:sz w:val="21"/>
          <w:szCs w:val="21"/>
        </w:rPr>
      </w:pPr>
    </w:p>
    <w:p>
      <w:pPr>
        <w:pStyle w:val="BodyText"/>
        <w:spacing w:line="240" w:lineRule="auto" w:before="44"/>
        <w:ind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10.00%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100.00%</w:t>
            </w:r>
          </w:p>
        </w:tc>
      </w:tr>
    </w:tbl>
    <w:p>
      <w:pPr>
        <w:spacing w:line="240" w:lineRule="auto" w:before="9"/>
        <w:rPr>
          <w:rFonts w:ascii="宋体" w:hAnsi="宋体" w:cs="宋体" w:eastAsia="宋体" w:hint="default"/>
          <w:sz w:val="6"/>
          <w:szCs w:val="6"/>
        </w:rPr>
      </w:pPr>
    </w:p>
    <w:p>
      <w:pPr>
        <w:pStyle w:val="BodyText"/>
        <w:spacing w:line="240" w:lineRule="auto" w:before="44"/>
        <w:ind w:left="1134" w:right="0"/>
        <w:jc w:val="left"/>
      </w:pPr>
      <w:r>
        <w:rPr/>
        <w:t>组合中，采用余额百分比法计提坏账准备的：</w:t>
      </w:r>
    </w:p>
    <w:p>
      <w:pPr>
        <w:pStyle w:val="BodyText"/>
        <w:spacing w:line="439" w:lineRule="auto" w:before="116"/>
        <w:ind w:left="1134" w:right="7512"/>
        <w:jc w:val="left"/>
      </w:pPr>
      <w:r>
        <w:rPr/>
        <w:t>□ 适用 √ 不适用 组合中，采用其他方法计提坏账准备的：</w:t>
      </w:r>
    </w:p>
    <w:p>
      <w:pPr>
        <w:pStyle w:val="BodyText"/>
        <w:spacing w:line="203" w:lineRule="exact"/>
        <w:ind w:left="1134" w:right="0"/>
        <w:jc w:val="left"/>
      </w:pPr>
      <w:r>
        <w:rPr/>
        <w:t>√ 适用 □ 不适用</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单项金额不重大但单独计提坏账准备的应收款项" w:id="181"/>
      <w:bookmarkEnd w:id="181"/>
      <w:r>
        <w:rPr>
          <w:b w:val="0"/>
          <w:bCs w:val="0"/>
        </w:rPr>
      </w:r>
      <w:r>
        <w:rPr/>
        <w:t>（</w:t>
      </w:r>
      <w:r>
        <w:rPr>
          <w:rFonts w:ascii="宋体" w:hAnsi="宋体" w:cs="宋体" w:eastAsia="宋体" w:hint="default"/>
        </w:rPr>
        <w:t>3</w:t>
      </w:r>
      <w:r>
        <w:rPr/>
        <w:t>）单项金额不重大但单独计提坏账准备的应收款项</w:t>
      </w:r>
      <w:r>
        <w:rPr>
          <w:b w:val="0"/>
          <w:bCs w:val="0"/>
        </w:rPr>
      </w:r>
    </w:p>
    <w:p>
      <w:pPr>
        <w:spacing w:line="240" w:lineRule="auto" w:before="12"/>
        <w:rPr>
          <w:rFonts w:ascii="宋体" w:hAnsi="宋体" w:cs="宋体" w:eastAsia="宋体" w:hint="default"/>
          <w:b/>
          <w:bCs/>
          <w:sz w:val="26"/>
          <w:szCs w:val="26"/>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有客观证据表明单项金额虽不重大，但因其发生了特殊减值 的应收款项应进行单项减值测试。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结合现时情况分析法确定坏账准备计提的比例。</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12、存货" w:id="182"/>
      <w:bookmarkEnd w:id="182"/>
      <w:r>
        <w:rPr>
          <w:b w:val="0"/>
          <w:bCs w:val="0"/>
        </w:rPr>
      </w:r>
      <w:r>
        <w:rPr>
          <w:rFonts w:ascii="宋体" w:hAnsi="宋体" w:cs="宋体" w:eastAsia="宋体" w:hint="default"/>
        </w:rPr>
        <w:t>12</w:t>
      </w:r>
      <w:r>
        <w:rPr/>
        <w:t>、存货</w:t>
      </w:r>
      <w:r>
        <w:rPr>
          <w:b w:val="0"/>
          <w:bCs w:val="0"/>
        </w:rPr>
      </w:r>
    </w:p>
    <w:p>
      <w:pPr>
        <w:spacing w:line="240" w:lineRule="auto" w:before="9"/>
        <w:rPr>
          <w:rFonts w:ascii="宋体" w:hAnsi="宋体" w:cs="宋体" w:eastAsia="宋体" w:hint="default"/>
          <w:b/>
          <w:bCs/>
          <w:sz w:val="27"/>
          <w:szCs w:val="27"/>
        </w:rPr>
      </w:pPr>
    </w:p>
    <w:p>
      <w:pPr>
        <w:pStyle w:val="BodyText"/>
        <w:spacing w:line="319" w:lineRule="auto"/>
        <w:ind w:left="1134" w:right="1130" w:firstLine="360"/>
        <w:jc w:val="both"/>
      </w:pPr>
      <w:r>
        <w:rPr/>
        <w:t>（</w:t>
      </w:r>
      <w:r>
        <w:rPr>
          <w:rFonts w:ascii="宋体" w:hAnsi="宋体" w:cs="宋体" w:eastAsia="宋体" w:hint="default"/>
        </w:rPr>
        <w:t>1</w:t>
      </w:r>
      <w:r>
        <w:rPr/>
        <w:t>）存货分类：本公司存货包括在日常活动中持有以备出售的产成品或商品、处于生产过程中的在产品、在生产过程 </w:t>
      </w:r>
      <w:r>
        <w:rPr>
          <w:spacing w:val="-2"/>
        </w:rPr>
        <w:t>或提供劳务过程中耗用的材料和物料等。具体划分为原材料、委托加工物资、在产品、半成品、库存商品、发出商品和劳务</w:t>
      </w:r>
      <w:r>
        <w:rPr>
          <w:spacing w:val="-67"/>
        </w:rPr>
        <w:t> </w:t>
      </w:r>
      <w:r>
        <w:rPr>
          <w:spacing w:val="-67"/>
        </w:rPr>
      </w:r>
      <w:r>
        <w:rPr/>
        <w:t>成本等。</w:t>
      </w:r>
    </w:p>
    <w:p>
      <w:pPr>
        <w:pStyle w:val="BodyText"/>
        <w:spacing w:line="240" w:lineRule="auto" w:before="58"/>
        <w:ind w:left="1494" w:right="0"/>
        <w:jc w:val="left"/>
      </w:pPr>
      <w:r>
        <w:rPr/>
        <w:t>（</w:t>
      </w:r>
      <w:r>
        <w:rPr>
          <w:rFonts w:ascii="宋体" w:hAnsi="宋体" w:cs="宋体" w:eastAsia="宋体" w:hint="default"/>
        </w:rPr>
        <w:t>2</w:t>
      </w:r>
      <w:r>
        <w:rPr/>
        <w:t>）存货的确认：本公司存货同时满足下列条件的，予以确认：</w:t>
      </w:r>
    </w:p>
    <w:p>
      <w:pPr>
        <w:pStyle w:val="BodyText"/>
        <w:spacing w:line="240" w:lineRule="auto" w:before="116"/>
        <w:ind w:left="1493" w:right="0"/>
        <w:jc w:val="left"/>
      </w:pPr>
      <w:r>
        <w:rPr/>
        <w:t>①与该存货有关的经济利益很可能流入企业；</w:t>
      </w:r>
    </w:p>
    <w:p>
      <w:pPr>
        <w:pStyle w:val="BodyText"/>
        <w:spacing w:line="240" w:lineRule="auto" w:before="116"/>
        <w:ind w:left="1493" w:right="0"/>
        <w:jc w:val="left"/>
      </w:pPr>
      <w:r>
        <w:rPr/>
        <w:t>②该存货的成本能够可靠地计量。</w:t>
      </w:r>
    </w:p>
    <w:p>
      <w:pPr>
        <w:pStyle w:val="BodyText"/>
        <w:spacing w:line="319" w:lineRule="auto" w:before="116"/>
        <w:ind w:left="1134" w:right="1122" w:firstLine="360"/>
        <w:jc w:val="left"/>
      </w:pPr>
      <w:r>
        <w:rPr/>
        <w:t>（</w:t>
      </w:r>
      <w:r>
        <w:rPr>
          <w:rFonts w:ascii="宋体" w:hAnsi="宋体" w:cs="宋体" w:eastAsia="宋体" w:hint="default"/>
        </w:rPr>
        <w:t>3</w:t>
      </w:r>
      <w:r>
        <w:rPr/>
        <w:t>）存货取得和发出的计价方法：本公司取得的存货按成本进行初始计量，发出按移动加权平均法确定发出存货的实 际成本。</w:t>
      </w:r>
    </w:p>
    <w:p>
      <w:pPr>
        <w:pStyle w:val="BodyText"/>
        <w:spacing w:line="240" w:lineRule="auto" w:before="56"/>
        <w:ind w:left="1494" w:right="0"/>
        <w:jc w:val="left"/>
      </w:pPr>
      <w:r>
        <w:rPr/>
        <w:t>（</w:t>
      </w:r>
      <w:r>
        <w:rPr>
          <w:rFonts w:ascii="宋体" w:hAnsi="宋体" w:cs="宋体" w:eastAsia="宋体" w:hint="default"/>
        </w:rPr>
        <w:t>4</w:t>
      </w:r>
      <w:r>
        <w:rPr/>
        <w:t>）低值易耗品和包装物的摊销方法：低值易耗品和包装物在领用时根据实际情况采用一次摊销法进行摊销。</w:t>
      </w:r>
    </w:p>
    <w:p>
      <w:pPr>
        <w:pStyle w:val="BodyText"/>
        <w:spacing w:line="319" w:lineRule="auto" w:before="115"/>
        <w:ind w:left="1134" w:right="1122" w:firstLine="360"/>
        <w:jc w:val="left"/>
      </w:pPr>
      <w:r>
        <w:rPr/>
        <w:t>（</w:t>
      </w:r>
      <w:r>
        <w:rPr>
          <w:rFonts w:ascii="宋体" w:hAnsi="宋体" w:cs="宋体" w:eastAsia="宋体" w:hint="default"/>
        </w:rPr>
        <w:t>5</w:t>
      </w:r>
      <w:r>
        <w:rPr/>
        <w:t>）期末存货的计量：资产负债表日，存货按成本与可变现净值孰低计量，存货成本高于其可变现净值的，计提存货 跌价准备，计入当期损益。</w:t>
      </w:r>
    </w:p>
    <w:p>
      <w:pPr>
        <w:pStyle w:val="BodyText"/>
        <w:spacing w:line="357" w:lineRule="auto" w:before="58"/>
        <w:ind w:left="1493" w:right="0"/>
        <w:jc w:val="left"/>
      </w:pPr>
      <w:r>
        <w:rPr/>
        <w:t>①可变现净值的确定方法： 确定存货的可变现净值，以取得的确凿证据为基础，并且考虑持有存货的目的、资产负债表日后事项的影响等因素。 </w:t>
      </w:r>
      <w:r>
        <w:rPr>
          <w:spacing w:val="-2"/>
        </w:rPr>
        <w:t>为生产而持有的材料等，用其生产的产成品的可变现净值高于成本的，该材料仍然按照成本计量；材料价格的下降表明</w:t>
      </w:r>
    </w:p>
    <w:p>
      <w:pPr>
        <w:pStyle w:val="BodyText"/>
        <w:spacing w:line="225" w:lineRule="exact"/>
        <w:ind w:right="0"/>
        <w:jc w:val="left"/>
      </w:pPr>
      <w:r>
        <w:rPr/>
        <w:t>产成品的可变现净值低于成本的，该材料按照可变现净值计量。</w:t>
      </w:r>
    </w:p>
    <w:p>
      <w:pPr>
        <w:spacing w:after="0" w:line="225" w:lineRule="exact"/>
        <w:jc w:val="left"/>
        <w:sectPr>
          <w:footerReference w:type="default" r:id="rId39"/>
          <w:pgSz w:w="11910" w:h="16840"/>
          <w:pgMar w:footer="1499" w:header="877" w:top="1100" w:bottom="1680" w:left="0" w:right="0"/>
          <w:pgNumType w:start="89"/>
        </w:sectPr>
      </w:pPr>
    </w:p>
    <w:p>
      <w:pPr>
        <w:spacing w:line="240" w:lineRule="auto" w:before="13"/>
        <w:rPr>
          <w:rFonts w:ascii="宋体" w:hAnsi="宋体" w:cs="宋体" w:eastAsia="宋体" w:hint="default"/>
          <w:sz w:val="21"/>
          <w:szCs w:val="21"/>
        </w:rPr>
      </w:pPr>
    </w:p>
    <w:p>
      <w:pPr>
        <w:pStyle w:val="BodyText"/>
        <w:spacing w:line="240" w:lineRule="auto" w:before="44"/>
        <w:ind w:left="1493" w:right="0"/>
        <w:jc w:val="left"/>
      </w:pPr>
      <w:r>
        <w:rPr/>
        <w:t>持有存货的数量多于销售合同订购数量的，超出部分的存货的可变现净值以一般销售价格为基础计算。</w:t>
      </w:r>
    </w:p>
    <w:p>
      <w:pPr>
        <w:pStyle w:val="BodyText"/>
        <w:spacing w:line="360" w:lineRule="auto" w:before="116"/>
        <w:ind w:left="1493" w:right="4993"/>
        <w:jc w:val="left"/>
      </w:pPr>
      <w:r>
        <w:rPr/>
        <w:t>②存货跌价准备通常按照单个存货项目计提。 对于数量繁多、单价较低的存货，按照存货类别计提存货跌价准备。</w:t>
      </w:r>
    </w:p>
    <w:p>
      <w:pPr>
        <w:pStyle w:val="BodyText"/>
        <w:spacing w:line="319" w:lineRule="auto" w:before="25"/>
        <w:ind w:right="0" w:firstLine="360"/>
        <w:jc w:val="left"/>
      </w:pPr>
      <w:r>
        <w:rPr>
          <w:spacing w:val="-2"/>
        </w:rPr>
        <w:t>与在同一地区生产和销售的产品系列相关、具有相同或类似最终用途或目的，且难以与其他项目分开计量的存货，合并</w:t>
      </w:r>
      <w:r>
        <w:rPr/>
        <w:t> 计提存货跌价准备。</w:t>
      </w:r>
    </w:p>
    <w:p>
      <w:pPr>
        <w:pStyle w:val="BodyText"/>
        <w:spacing w:line="240" w:lineRule="auto" w:before="56"/>
        <w:ind w:left="1493" w:right="0"/>
        <w:jc w:val="left"/>
      </w:pPr>
      <w:r>
        <w:rPr/>
        <w:t>（</w:t>
      </w:r>
      <w:r>
        <w:rPr>
          <w:rFonts w:ascii="宋体" w:hAnsi="宋体" w:cs="宋体" w:eastAsia="宋体" w:hint="default"/>
        </w:rPr>
        <w:t>6</w:t>
      </w:r>
      <w:r>
        <w:rPr/>
        <w:t>）存货的盘存制度：本公司采用永续盘存制。</w:t>
      </w:r>
    </w:p>
    <w:p>
      <w:pPr>
        <w:spacing w:line="240" w:lineRule="auto" w:before="11"/>
        <w:rPr>
          <w:rFonts w:ascii="宋体" w:hAnsi="宋体" w:cs="宋体" w:eastAsia="宋体" w:hint="default"/>
          <w:sz w:val="26"/>
          <w:szCs w:val="26"/>
        </w:rPr>
      </w:pPr>
    </w:p>
    <w:p>
      <w:pPr>
        <w:pStyle w:val="Heading3"/>
        <w:spacing w:line="240" w:lineRule="auto"/>
        <w:ind w:left="1134" w:right="0"/>
        <w:jc w:val="left"/>
        <w:rPr>
          <w:b w:val="0"/>
          <w:bCs w:val="0"/>
        </w:rPr>
      </w:pPr>
      <w:bookmarkStart w:name="13、长期股权投资" w:id="183"/>
      <w:bookmarkEnd w:id="183"/>
      <w:r>
        <w:rPr>
          <w:b w:val="0"/>
          <w:bCs w:val="0"/>
        </w:rPr>
      </w:r>
      <w:r>
        <w:rPr>
          <w:rFonts w:ascii="宋体" w:hAnsi="宋体" w:cs="宋体" w:eastAsia="宋体" w:hint="default"/>
        </w:rPr>
        <w:t>13</w:t>
      </w:r>
      <w:r>
        <w:rPr/>
        <w:t>、长期股权投资</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1494" w:right="0"/>
        <w:jc w:val="left"/>
      </w:pPr>
      <w:r>
        <w:rPr/>
        <w:t>长期股权投资包括对子公司、合营企业和联营企业的权益性投资。</w:t>
      </w:r>
    </w:p>
    <w:p>
      <w:pPr>
        <w:pStyle w:val="BodyText"/>
        <w:spacing w:line="357" w:lineRule="auto" w:before="117"/>
        <w:ind w:left="1493" w:right="5893"/>
        <w:jc w:val="left"/>
      </w:pPr>
      <w:r>
        <w:rPr/>
        <w:t>（</w:t>
      </w:r>
      <w:r>
        <w:rPr>
          <w:rFonts w:ascii="宋体" w:hAnsi="宋体" w:cs="宋体" w:eastAsia="宋体" w:hint="default"/>
        </w:rPr>
        <w:t>1</w:t>
      </w:r>
      <w:r>
        <w:rPr/>
        <w:t>）初始计量 本公司分别下列两种情况对长期股权投资进行初始计量：</w:t>
      </w:r>
    </w:p>
    <w:p>
      <w:pPr>
        <w:pStyle w:val="BodyText"/>
        <w:spacing w:line="357" w:lineRule="auto" w:before="28"/>
        <w:ind w:left="1493" w:right="1123"/>
        <w:jc w:val="left"/>
      </w:pPr>
      <w:r>
        <w:rPr/>
        <w:t>①企业合并形成的长期股权投资，按照下列规定确定其初始投资成本： </w:t>
      </w:r>
      <w:r>
        <w:rPr>
          <w:rFonts w:ascii="宋体" w:hAnsi="宋体" w:cs="宋体" w:eastAsia="宋体" w:hint="default"/>
        </w:rPr>
        <w:t>A</w:t>
      </w:r>
      <w:r>
        <w:rPr/>
        <w:t>、同一控制下的企业合并中，合并方以支付现金、转让非现金资产或承担债务方式作为合并对价的，在合并日按照被</w:t>
      </w:r>
    </w:p>
    <w:p>
      <w:pPr>
        <w:pStyle w:val="BodyText"/>
        <w:spacing w:line="224" w:lineRule="exact"/>
        <w:ind w:left="1134" w:right="0"/>
        <w:jc w:val="left"/>
      </w:pPr>
      <w:r>
        <w:rPr/>
        <w:t>合并方所有者权益在最终控制方合并财务报表中的账面价值的份额作为长期股权投资的初始投资成本</w:t>
      </w:r>
      <w:r>
        <w:rPr>
          <w:spacing w:val="-82"/>
        </w:rPr>
        <w:t>。</w:t>
      </w:r>
      <w:r>
        <w:rPr/>
        <w:t>长期股权投资初始投</w:t>
      </w:r>
    </w:p>
    <w:p>
      <w:pPr>
        <w:pStyle w:val="BodyText"/>
        <w:spacing w:line="319" w:lineRule="auto" w:before="76"/>
        <w:ind w:left="1134" w:right="1131"/>
        <w:jc w:val="both"/>
      </w:pPr>
      <w:r>
        <w:rPr>
          <w:spacing w:val="-2"/>
        </w:rPr>
        <w:t>资成本与支付的现金、转让的非现金资产以及所承担债务账面价值之间的差额，调整资本公积；资本公积不足冲减的，调整</w:t>
      </w:r>
      <w:r>
        <w:rPr>
          <w:spacing w:val="-66"/>
        </w:rPr>
        <w:t> </w:t>
      </w:r>
      <w:r>
        <w:rPr>
          <w:spacing w:val="-66"/>
        </w:rPr>
      </w:r>
      <w:r>
        <w:rPr>
          <w:spacing w:val="-5"/>
        </w:rPr>
        <w:t>留存收益。为进行企业合并发生的各项直接相关费用，包括为进行企业合并而支付的审计费用、评估费用、法律服务费用等，</w:t>
      </w:r>
      <w:r>
        <w:rPr>
          <w:spacing w:val="-82"/>
        </w:rPr>
        <w:t> </w:t>
      </w:r>
      <w:r>
        <w:rPr>
          <w:spacing w:val="-82"/>
        </w:rPr>
      </w:r>
      <w:r>
        <w:rPr/>
        <w:t>于发生时计入当期损益。</w:t>
      </w:r>
    </w:p>
    <w:p>
      <w:pPr>
        <w:pStyle w:val="BodyText"/>
        <w:spacing w:line="319" w:lineRule="auto" w:before="55"/>
        <w:ind w:left="1134" w:right="1131" w:firstLine="360"/>
        <w:jc w:val="both"/>
      </w:pPr>
      <w:r>
        <w:rPr>
          <w:spacing w:val="-2"/>
        </w:rPr>
        <w:t>合并方以发行权益性证券作为合并对价的，在合并日按照被合并方所有者权益在最终控制方合并财务报表中的账面价值</w:t>
      </w:r>
      <w:r>
        <w:rPr/>
        <w:t> </w:t>
      </w:r>
      <w:r>
        <w:rPr>
          <w:spacing w:val="-2"/>
        </w:rPr>
        <w:t>的份额作为长期股权投资的初始投资成本。按照发行股份的面值总额作为股本，长期股权投资初始投资成本与所发行股份面</w:t>
      </w:r>
      <w:r>
        <w:rPr>
          <w:spacing w:val="-64"/>
        </w:rPr>
        <w:t> </w:t>
      </w:r>
      <w:r>
        <w:rPr>
          <w:spacing w:val="-64"/>
        </w:rPr>
      </w:r>
      <w:r>
        <w:rPr>
          <w:spacing w:val="-2"/>
        </w:rPr>
        <w:t>值总额之间的差额，调整资本公积；资本公积不足冲减的，调整留存收益。合并中发行权益性证券发生的手续费、佣金等费</w:t>
      </w:r>
      <w:r>
        <w:rPr>
          <w:spacing w:val="-66"/>
        </w:rPr>
        <w:t> </w:t>
      </w:r>
      <w:r>
        <w:rPr>
          <w:spacing w:val="-66"/>
        </w:rPr>
      </w:r>
      <w:r>
        <w:rPr/>
        <w:t>用，抵减权益性证券溢价收入，溢价收入不足冲减的，冲减留存收益。</w:t>
      </w:r>
    </w:p>
    <w:p>
      <w:pPr>
        <w:pStyle w:val="BodyText"/>
        <w:spacing w:line="357" w:lineRule="auto" w:before="56"/>
        <w:ind w:left="1493" w:right="1123"/>
        <w:jc w:val="left"/>
      </w:pPr>
      <w:r>
        <w:rPr>
          <w:rFonts w:ascii="宋体" w:hAnsi="宋体" w:cs="宋体" w:eastAsia="宋体" w:hint="default"/>
        </w:rPr>
        <w:t>B</w:t>
      </w:r>
      <w:r>
        <w:rPr/>
        <w:t>、非同一控制下的企业合并中，本公司区别下列情况确定合并成本： </w:t>
      </w:r>
      <w:r>
        <w:rPr>
          <w:rFonts w:ascii="宋体" w:hAnsi="宋体" w:cs="宋体" w:eastAsia="宋体" w:hint="default"/>
        </w:rPr>
        <w:t>a</w:t>
      </w:r>
      <w:r>
        <w:rPr/>
        <w:t>）一次交换交易实现的企业合并，合并成本为在购买日为取得对被购买方的控制权而付出的资产、发生或承担的负债</w:t>
      </w:r>
    </w:p>
    <w:p>
      <w:pPr>
        <w:pStyle w:val="BodyText"/>
        <w:spacing w:line="357" w:lineRule="auto"/>
        <w:ind w:left="1494" w:right="1122" w:hanging="360"/>
        <w:jc w:val="left"/>
      </w:pPr>
      <w:r>
        <w:rPr/>
        <w:t>以及发行的权益性证券的公允价值； </w:t>
      </w:r>
      <w:r>
        <w:rPr>
          <w:rFonts w:ascii="宋体" w:hAnsi="宋体" w:cs="宋体" w:eastAsia="宋体" w:hint="default"/>
        </w:rPr>
        <w:t>b</w:t>
      </w:r>
      <w:r>
        <w:rPr/>
        <w:t>）通过多次交换交易分步实现的企业合并，以购买日之前所持被购买方的股权投资的账面价值与购买日新增投资成本</w:t>
      </w:r>
    </w:p>
    <w:p>
      <w:pPr>
        <w:pStyle w:val="BodyText"/>
        <w:spacing w:line="357" w:lineRule="auto"/>
        <w:ind w:left="1494" w:right="1122" w:hanging="360"/>
        <w:jc w:val="left"/>
      </w:pPr>
      <w:r>
        <w:rPr/>
        <w:t>之和，作为该项投资的初始投资成本； </w:t>
      </w:r>
      <w:r>
        <w:rPr>
          <w:rFonts w:ascii="宋体" w:hAnsi="宋体" w:cs="宋体" w:eastAsia="宋体" w:hint="default"/>
        </w:rPr>
        <w:t>c</w:t>
      </w:r>
      <w:r>
        <w:rPr/>
        <w:t>）为企业合并发生的审计、法律服务、评估咨询等中介费用以及其他相关管理费用，于发生时计入当期损益；作为合</w:t>
      </w:r>
    </w:p>
    <w:p>
      <w:pPr>
        <w:pStyle w:val="BodyText"/>
        <w:spacing w:line="357" w:lineRule="auto"/>
        <w:ind w:left="1493" w:right="1123" w:hanging="360"/>
        <w:jc w:val="left"/>
      </w:pPr>
      <w:r>
        <w:rPr/>
        <w:t>并对价发行的权益性证券或债务性证券的交易费用，计入权益性证券或债务性证券的初始确认金额； </w:t>
      </w:r>
      <w:r>
        <w:rPr>
          <w:rFonts w:ascii="宋体" w:hAnsi="宋体" w:cs="宋体" w:eastAsia="宋体" w:hint="default"/>
        </w:rPr>
        <w:t>d</w:t>
      </w:r>
      <w:r>
        <w:rPr/>
        <w:t>）在合并合同或协议中对可能影响合并成本的未来事项作出约定的，购买日如果估计未来事项很可能发生并且对合并</w:t>
      </w:r>
    </w:p>
    <w:p>
      <w:pPr>
        <w:pStyle w:val="BodyText"/>
        <w:spacing w:line="225" w:lineRule="exact"/>
        <w:ind w:left="1134" w:right="0"/>
        <w:jc w:val="left"/>
      </w:pPr>
      <w:r>
        <w:rPr/>
        <w:t>成本的影响金额能够可靠计量的，将其计入合并成本。</w:t>
      </w:r>
    </w:p>
    <w:p>
      <w:pPr>
        <w:pStyle w:val="BodyText"/>
        <w:spacing w:line="357" w:lineRule="auto" w:before="116"/>
        <w:ind w:left="1493" w:right="1123"/>
        <w:jc w:val="left"/>
      </w:pPr>
      <w:r>
        <w:rPr/>
        <w:t>②除企业合并形成的长期股权投资以外，其他方式取得的长期股权投资，按照下列规定确定其初始投资成本： </w:t>
      </w:r>
      <w:r>
        <w:rPr>
          <w:rFonts w:ascii="宋体" w:hAnsi="宋体" w:cs="宋体" w:eastAsia="宋体" w:hint="default"/>
        </w:rPr>
        <w:t>A</w:t>
      </w:r>
      <w:r>
        <w:rPr/>
        <w:t>、以支付现金取得的长期股权投资，按照实际支付的购买价款作为初始投资成本。初始投资成本包括与取得长期股权</w:t>
      </w:r>
    </w:p>
    <w:p>
      <w:pPr>
        <w:pStyle w:val="BodyText"/>
        <w:spacing w:line="357" w:lineRule="auto"/>
        <w:ind w:left="1494" w:right="1122" w:hanging="360"/>
        <w:jc w:val="left"/>
      </w:pPr>
      <w:r>
        <w:rPr/>
        <w:t>投资直接相关的费用、税金及其他必要支出。 </w:t>
      </w:r>
      <w:r>
        <w:rPr>
          <w:rFonts w:ascii="宋体" w:hAnsi="宋体" w:cs="宋体" w:eastAsia="宋体" w:hint="default"/>
        </w:rPr>
        <w:t>B</w:t>
      </w:r>
      <w:r>
        <w:rPr/>
        <w:t>、以发行权益性证券取得的长期股权投资，按照发行权益性证券的公允价值作为初始投资成本，但不包括应自被投资</w:t>
      </w:r>
    </w:p>
    <w:p>
      <w:pPr>
        <w:pStyle w:val="BodyText"/>
        <w:spacing w:line="224" w:lineRule="exact"/>
        <w:ind w:left="1134" w:right="0"/>
        <w:jc w:val="left"/>
      </w:pPr>
      <w:r>
        <w:rPr/>
        <w:t>单位收取的已宣告但尚未发放的现金股利或利润</w:t>
      </w:r>
      <w:r>
        <w:rPr>
          <w:spacing w:val="-87"/>
        </w:rPr>
        <w:t>。</w:t>
      </w:r>
      <w:r>
        <w:rPr/>
        <w:t>发行或取得自身权益工具时发生的交易费用</w:t>
      </w:r>
      <w:r>
        <w:rPr>
          <w:spacing w:val="-87"/>
        </w:rPr>
        <w:t>，</w:t>
      </w:r>
      <w:r>
        <w:rPr/>
        <w:t>可直接归属于权益性交易的，</w:t>
      </w:r>
    </w:p>
    <w:p>
      <w:pPr>
        <w:pStyle w:val="BodyText"/>
        <w:spacing w:line="240" w:lineRule="auto" w:before="77"/>
        <w:ind w:left="1134" w:right="0"/>
        <w:jc w:val="left"/>
      </w:pPr>
      <w:r>
        <w:rPr/>
        <w:t>从权益中扣减。</w:t>
      </w:r>
    </w:p>
    <w:p>
      <w:pPr>
        <w:pStyle w:val="BodyText"/>
        <w:spacing w:line="357" w:lineRule="auto" w:before="116"/>
        <w:ind w:left="1493" w:right="1132"/>
        <w:jc w:val="left"/>
      </w:pPr>
      <w:r>
        <w:rPr>
          <w:rFonts w:ascii="宋体" w:hAnsi="宋体" w:cs="宋体" w:eastAsia="宋体" w:hint="default"/>
          <w:spacing w:val="-4"/>
        </w:rPr>
        <w:t>C</w:t>
      </w:r>
      <w:r>
        <w:rPr>
          <w:spacing w:val="-4"/>
        </w:rPr>
        <w:t>、通过非货币性资产交换取得的长期股权投资，其初始投资成本按照《企业会计准则第</w:t>
      </w:r>
      <w:r>
        <w:rPr>
          <w:rFonts w:ascii="宋体" w:hAnsi="宋体" w:cs="宋体" w:eastAsia="宋体" w:hint="default"/>
          <w:spacing w:val="-4"/>
        </w:rPr>
        <w:t>7</w:t>
      </w:r>
      <w:r>
        <w:rPr>
          <w:spacing w:val="-4"/>
        </w:rPr>
        <w:t>号</w:t>
      </w:r>
      <w:r>
        <w:rPr>
          <w:rFonts w:ascii="宋体" w:hAnsi="宋体" w:cs="宋体" w:eastAsia="宋体" w:hint="default"/>
          <w:spacing w:val="-4"/>
        </w:rPr>
        <w:t>-</w:t>
      </w:r>
      <w:r>
        <w:rPr>
          <w:spacing w:val="-4"/>
        </w:rPr>
        <w:t>非货币性资产交换》确定。</w:t>
      </w:r>
      <w:r>
        <w:rPr>
          <w:spacing w:val="-49"/>
        </w:rPr>
        <w:t> </w:t>
      </w:r>
      <w:r>
        <w:rPr>
          <w:spacing w:val="-49"/>
        </w:rPr>
      </w:r>
      <w:r>
        <w:rPr>
          <w:rFonts w:ascii="宋体" w:hAnsi="宋体" w:cs="宋体" w:eastAsia="宋体" w:hint="default"/>
        </w:rPr>
        <w:t>D</w:t>
      </w:r>
      <w:r>
        <w:rPr/>
        <w:t>、通过债务重组取得的长期股权投资，其初始投资成本按照《企业会计准则第</w:t>
      </w:r>
      <w:r>
        <w:rPr>
          <w:rFonts w:ascii="宋体" w:hAnsi="宋体" w:cs="宋体" w:eastAsia="宋体" w:hint="default"/>
        </w:rPr>
        <w:t>12</w:t>
      </w:r>
      <w:r>
        <w:rPr/>
        <w:t>号</w:t>
      </w:r>
      <w:r>
        <w:rPr>
          <w:rFonts w:ascii="宋体" w:hAnsi="宋体" w:cs="宋体" w:eastAsia="宋体" w:hint="default"/>
        </w:rPr>
        <w:t>-</w:t>
      </w:r>
      <w:r>
        <w:rPr/>
        <w:t>债务重组》确定。</w:t>
      </w:r>
    </w:p>
    <w:p>
      <w:pPr>
        <w:pStyle w:val="BodyText"/>
        <w:spacing w:line="319" w:lineRule="auto" w:before="28"/>
        <w:ind w:right="0" w:firstLine="360"/>
        <w:jc w:val="left"/>
      </w:pPr>
      <w:r>
        <w:rPr>
          <w:spacing w:val="-2"/>
        </w:rPr>
        <w:t>③无论是以何种方式取得长期股权投资，取得投资时，对于支付的对价中包含的应享有被投资单位已经宣告但尚未发放</w:t>
      </w:r>
      <w:r>
        <w:rPr/>
        <w:t> 的现金股利或利润都作为应收项目单独核算，不构成取得长期股权投资的初始投资成本。</w:t>
      </w:r>
    </w:p>
    <w:p>
      <w:pPr>
        <w:pStyle w:val="BodyText"/>
        <w:spacing w:line="240" w:lineRule="auto" w:before="56"/>
        <w:ind w:left="1493" w:right="0"/>
        <w:jc w:val="left"/>
      </w:pPr>
      <w:r>
        <w:rPr/>
        <w:t>（</w:t>
      </w:r>
      <w:r>
        <w:rPr>
          <w:rFonts w:ascii="宋体" w:hAnsi="宋体" w:cs="宋体" w:eastAsia="宋体" w:hint="default"/>
        </w:rPr>
        <w:t>2</w:t>
      </w:r>
      <w:r>
        <w:rPr/>
        <w:t>）后续计量</w:t>
      </w:r>
    </w:p>
    <w:p>
      <w:pPr>
        <w:spacing w:after="0" w:line="240" w:lineRule="auto"/>
        <w:jc w:val="left"/>
        <w:sectPr>
          <w:footerReference w:type="default" r:id="rId40"/>
          <w:pgSz w:w="11910" w:h="16840"/>
          <w:pgMar w:footer="1187" w:header="877" w:top="1100" w:bottom="1380" w:left="0" w:right="0"/>
          <w:pgNumType w:start="90"/>
        </w:sectPr>
      </w:pPr>
    </w:p>
    <w:p>
      <w:pPr>
        <w:spacing w:line="240" w:lineRule="auto" w:before="12"/>
        <w:rPr>
          <w:rFonts w:ascii="宋体" w:hAnsi="宋体" w:cs="宋体" w:eastAsia="宋体" w:hint="default"/>
          <w:sz w:val="21"/>
          <w:szCs w:val="21"/>
        </w:rPr>
      </w:pPr>
    </w:p>
    <w:p>
      <w:pPr>
        <w:pStyle w:val="BodyText"/>
        <w:spacing w:line="319" w:lineRule="auto" w:before="44"/>
        <w:ind w:right="1132" w:firstLine="360"/>
        <w:jc w:val="both"/>
      </w:pPr>
      <w:r>
        <w:rPr>
          <w:spacing w:val="-2"/>
        </w:rPr>
        <w:t>能够对被投资单位实施控制的长期股权投资，在个别财务报表中采用成本法核算。对被投资单位具有共同控制或重大影</w:t>
      </w:r>
      <w:r>
        <w:rPr/>
        <w:t> 响的长期股权投资，采用权益法核算。</w:t>
      </w:r>
    </w:p>
    <w:p>
      <w:pPr>
        <w:pStyle w:val="BodyText"/>
        <w:spacing w:line="319" w:lineRule="auto" w:before="55"/>
        <w:ind w:right="1132" w:firstLine="360"/>
        <w:jc w:val="both"/>
      </w:pPr>
      <w:r>
        <w:rPr>
          <w:spacing w:val="-2"/>
        </w:rPr>
        <w:t>①采用成本法核算的长期股权投资按照初始投资成本计价。追加或收回投资调整长期股权投资的成本。被投资单位宣告</w:t>
      </w:r>
      <w:r>
        <w:rPr/>
        <w:t> 分派的现金股利或利润，确认为当期投资收益。</w:t>
      </w:r>
    </w:p>
    <w:p>
      <w:pPr>
        <w:pStyle w:val="BodyText"/>
        <w:spacing w:line="319" w:lineRule="auto" w:before="57"/>
        <w:ind w:right="0" w:firstLine="360"/>
        <w:jc w:val="left"/>
      </w:pPr>
      <w:r>
        <w:rPr/>
        <w:t>②采用权益法核算的长期股权投资，其初始投资成本大于投资时应享有被投资单位可辨认净资产公允价值份额的，不调 </w:t>
      </w:r>
      <w:r>
        <w:rPr>
          <w:spacing w:val="-2"/>
        </w:rPr>
        <w:t>整长期股权投资的初始投资成本；长期股权投资的初始投资成本小于投资时应享有被投资单位可辨认净资产公允价值份额的，</w:t>
      </w:r>
      <w:r>
        <w:rPr>
          <w:spacing w:val="-62"/>
        </w:rPr>
        <w:t> </w:t>
      </w:r>
      <w:r>
        <w:rPr>
          <w:spacing w:val="-62"/>
        </w:rPr>
      </w:r>
      <w:r>
        <w:rPr/>
        <w:t>其差额计入当期损益，同时调整长期股权投资的成本。</w:t>
      </w:r>
    </w:p>
    <w:p>
      <w:pPr>
        <w:pStyle w:val="BodyText"/>
        <w:spacing w:line="319" w:lineRule="auto" w:before="55"/>
        <w:ind w:left="1134" w:right="1132" w:firstLine="360"/>
        <w:jc w:val="both"/>
      </w:pPr>
      <w:r>
        <w:rPr>
          <w:spacing w:val="-2"/>
        </w:rPr>
        <w:t>取得长期股权投资后，按照应享有或应分担的被投资单位实现的净损益和其他综合收益的份额，分别确认投资收益和其</w:t>
      </w:r>
      <w:r>
        <w:rPr/>
        <w:t> </w:t>
      </w:r>
      <w:r>
        <w:rPr>
          <w:spacing w:val="-2"/>
        </w:rPr>
        <w:t>他综合收益，同时调整长期股权投资的账面价值；按照被投资单位宣告分派的利润或现金股利计算应享有的部分，相应减少</w:t>
      </w:r>
      <w:r>
        <w:rPr>
          <w:spacing w:val="-66"/>
        </w:rPr>
        <w:t> </w:t>
      </w:r>
      <w:r>
        <w:rPr>
          <w:spacing w:val="-66"/>
        </w:rPr>
      </w:r>
      <w:r>
        <w:rPr>
          <w:spacing w:val="-2"/>
        </w:rPr>
        <w:t>长期股权投资的账面价值；对于被投资单位除净损益、其他综合收益和利润分配以外所有者权益的其他变动，调整长期股权</w:t>
      </w:r>
      <w:r>
        <w:rPr>
          <w:spacing w:val="-66"/>
        </w:rPr>
        <w:t> </w:t>
      </w:r>
      <w:r>
        <w:rPr>
          <w:spacing w:val="-66"/>
        </w:rPr>
      </w:r>
      <w:r>
        <w:rPr>
          <w:spacing w:val="-2"/>
        </w:rPr>
        <w:t>投资的账面价值并计入所有者权益。在确认应享有被投资单位净损益的份额时，以取得投资时被投资单位可辨认净资产的公</w:t>
      </w:r>
      <w:r>
        <w:rPr>
          <w:spacing w:val="-64"/>
        </w:rPr>
        <w:t> </w:t>
      </w:r>
      <w:r>
        <w:rPr>
          <w:spacing w:val="-64"/>
        </w:rPr>
      </w:r>
      <w:r>
        <w:rPr>
          <w:spacing w:val="-2"/>
        </w:rPr>
        <w:t>允价值为基础，对被投资单位的净利润进行调整后确认。被投资单位采用的会计政策及会计期间与本公司不一致的，按照本</w:t>
      </w:r>
      <w:r>
        <w:rPr>
          <w:spacing w:val="-66"/>
        </w:rPr>
        <w:t> </w:t>
      </w:r>
      <w:r>
        <w:rPr>
          <w:spacing w:val="-66"/>
        </w:rPr>
      </w:r>
      <w:r>
        <w:rPr>
          <w:spacing w:val="-2"/>
        </w:rPr>
        <w:t>公司的会计政策及会计期间对被投资单位的财务报表进行调整，并据以确认投资收益和其他综合收益等。确认被投资单位发</w:t>
      </w:r>
      <w:r>
        <w:rPr>
          <w:spacing w:val="-64"/>
        </w:rPr>
        <w:t> </w:t>
      </w:r>
      <w:r>
        <w:rPr>
          <w:spacing w:val="-64"/>
        </w:rPr>
      </w:r>
      <w:r>
        <w:rPr>
          <w:spacing w:val="-2"/>
        </w:rPr>
        <w:t>生的净亏损，以长期股权投资的账面价值以及其他实质上构成对被投资单位净投资的长期权益减记至零为限，本公司负有承</w:t>
      </w:r>
      <w:r>
        <w:rPr>
          <w:spacing w:val="-64"/>
        </w:rPr>
        <w:t> </w:t>
      </w:r>
      <w:r>
        <w:rPr>
          <w:spacing w:val="-64"/>
        </w:rPr>
      </w:r>
      <w:r>
        <w:rPr>
          <w:spacing w:val="-2"/>
        </w:rPr>
        <w:t>担额外损失义务的除外。被投资单位以后实现净利润的，本公司在其收益分享额弥补未确认的亏损分担额后，恢复确认收益</w:t>
      </w:r>
      <w:r>
        <w:rPr>
          <w:spacing w:val="-66"/>
        </w:rPr>
        <w:t> </w:t>
      </w:r>
      <w:r>
        <w:rPr>
          <w:spacing w:val="-66"/>
        </w:rPr>
      </w:r>
      <w:r>
        <w:rPr/>
        <w:t>分享额。</w:t>
      </w:r>
    </w:p>
    <w:p>
      <w:pPr>
        <w:pStyle w:val="BodyText"/>
        <w:spacing w:line="319" w:lineRule="auto" w:before="55"/>
        <w:ind w:left="1134" w:right="1132" w:firstLine="360"/>
        <w:jc w:val="both"/>
      </w:pPr>
      <w:r>
        <w:rPr>
          <w:spacing w:val="-2"/>
        </w:rPr>
        <w:t>计算确认应享有或应分担被投资单位的净损益时，与联营企业、合营企业之间发生的未实现内部交易损益按照应享有的</w:t>
      </w:r>
      <w:r>
        <w:rPr/>
        <w:t> </w:t>
      </w:r>
      <w:r>
        <w:rPr>
          <w:spacing w:val="-2"/>
        </w:rPr>
        <w:t>比例计算归属于本公司的部分，予以抵销，在此基础上确认投资收益。本公司与被投资单位发生的未实现内部交易损失属于</w:t>
      </w:r>
      <w:r>
        <w:rPr>
          <w:spacing w:val="-66"/>
        </w:rPr>
        <w:t> </w:t>
      </w:r>
      <w:r>
        <w:rPr>
          <w:spacing w:val="-66"/>
        </w:rPr>
      </w:r>
      <w:r>
        <w:rPr/>
        <w:t>资产减值损失的，予以全额确认。</w:t>
      </w:r>
    </w:p>
    <w:p>
      <w:pPr>
        <w:pStyle w:val="BodyText"/>
        <w:spacing w:line="319" w:lineRule="auto" w:before="56"/>
        <w:ind w:right="1132" w:firstLine="360"/>
        <w:jc w:val="both"/>
      </w:pPr>
      <w:r>
        <w:rPr>
          <w:spacing w:val="-2"/>
        </w:rPr>
        <w:t>本公司对联营企业的权益性投资，其中一部分通过风险投资机构、共同基金、信托公司或包括投连险基金在内的类似主</w:t>
      </w:r>
      <w:r>
        <w:rPr/>
        <w:t> </w:t>
      </w:r>
      <w:r>
        <w:rPr>
          <w:spacing w:val="-2"/>
        </w:rPr>
        <w:t>体间接持有的，无论以上主体是否对这部分投资具有重大影响，本公司都按照《企业会计准则第</w:t>
      </w:r>
      <w:r>
        <w:rPr>
          <w:rFonts w:ascii="宋体" w:hAnsi="宋体" w:cs="宋体" w:eastAsia="宋体" w:hint="default"/>
          <w:spacing w:val="-2"/>
        </w:rPr>
        <w:t>22</w:t>
      </w:r>
      <w:r>
        <w:rPr>
          <w:spacing w:val="-2"/>
        </w:rPr>
        <w:t>号——金融工具确认和计</w:t>
      </w:r>
      <w:r>
        <w:rPr>
          <w:spacing w:val="-64"/>
        </w:rPr>
        <w:t> </w:t>
      </w:r>
      <w:r>
        <w:rPr/>
        <w:t>量》的有关规定，对间接持有的该部分投资选择以公允价值计量且其变动计入损益，并对其余部分采用权益法核算。</w:t>
      </w:r>
    </w:p>
    <w:p>
      <w:pPr>
        <w:pStyle w:val="BodyText"/>
        <w:spacing w:line="319" w:lineRule="auto" w:before="55"/>
        <w:ind w:right="1131" w:firstLine="360"/>
        <w:jc w:val="both"/>
      </w:pPr>
      <w:r>
        <w:rPr>
          <w:spacing w:val="-2"/>
        </w:rPr>
        <w:t>③本公司处置长期股权投资，其账面价值与实际取得价款的差额，计入当期损益。采用权益法核算的长期股权投资，在</w:t>
      </w:r>
      <w:r>
        <w:rPr/>
        <w:t> </w:t>
      </w:r>
      <w:r>
        <w:rPr>
          <w:spacing w:val="-2"/>
        </w:rPr>
        <w:t>处置该项投资时，采用与被投资单位直接处置相关资产或负债相同的基础，按相应比例对原计入其他综合收益的部分进行会</w:t>
      </w:r>
      <w:r>
        <w:rPr>
          <w:spacing w:val="-64"/>
        </w:rPr>
        <w:t> </w:t>
      </w:r>
      <w:r>
        <w:rPr>
          <w:spacing w:val="-64"/>
        </w:rPr>
      </w:r>
      <w:r>
        <w:rPr/>
        <w:t>计处理。</w:t>
      </w:r>
    </w:p>
    <w:p>
      <w:pPr>
        <w:pStyle w:val="BodyText"/>
        <w:spacing w:line="316" w:lineRule="auto" w:before="55"/>
        <w:ind w:left="1134" w:right="1131" w:firstLine="360"/>
        <w:jc w:val="both"/>
      </w:pPr>
      <w:r>
        <w:rPr>
          <w:spacing w:val="-2"/>
        </w:rPr>
        <w:t>④本集团因其他投资方对其子公司增资而导致本集团持股比例下降，从而丧失控制权但能实施共同控制或施加重大影响</w:t>
      </w:r>
      <w:r>
        <w:rPr/>
        <w:t> </w:t>
      </w:r>
      <w:r>
        <w:rPr>
          <w:spacing w:val="-2"/>
        </w:rPr>
        <w:t>的，在个别财务报表中，对该项长期股权投资从成本法转为权益法核算。首先，按照新的持股比例确认本投资方应享有的原</w:t>
      </w:r>
      <w:r>
        <w:rPr>
          <w:spacing w:val="-66"/>
        </w:rPr>
        <w:t> </w:t>
      </w:r>
      <w:r>
        <w:rPr>
          <w:spacing w:val="-66"/>
        </w:rPr>
      </w:r>
      <w:r>
        <w:rPr>
          <w:spacing w:val="-2"/>
        </w:rPr>
        <w:t>子公司因增资扩股而增加净资产的份额，与应结转持股比例下降部分所对应的长期股权投资原账面价值之间的差额计入当期</w:t>
      </w:r>
      <w:r>
        <w:rPr>
          <w:spacing w:val="-64"/>
        </w:rPr>
        <w:t> </w:t>
      </w:r>
      <w:r>
        <w:rPr>
          <w:spacing w:val="-64"/>
        </w:rPr>
      </w:r>
      <w:r>
        <w:rPr/>
        <w:t>损益；然后，按照新的持股比例视同自取得投资时即采用权益法核算进行调整。</w:t>
      </w:r>
    </w:p>
    <w:p>
      <w:pPr>
        <w:pStyle w:val="BodyText"/>
        <w:spacing w:line="357" w:lineRule="auto" w:before="59"/>
        <w:ind w:left="1494" w:right="0"/>
        <w:jc w:val="left"/>
      </w:pPr>
      <w:r>
        <w:rPr/>
        <w:t>（</w:t>
      </w:r>
      <w:r>
        <w:rPr>
          <w:rFonts w:ascii="宋体" w:hAnsi="宋体" w:cs="宋体" w:eastAsia="宋体" w:hint="default"/>
        </w:rPr>
        <w:t>3</w:t>
      </w:r>
      <w:r>
        <w:rPr/>
        <w:t>）确定对被投资单位具有共同控制、重大影响的依据 </w:t>
      </w:r>
      <w:r>
        <w:rPr>
          <w:spacing w:val="-2"/>
        </w:rPr>
        <w:t>共同控制，是指按照相关约定对某项安排所共有的控制，并且该安排的相关活动必须经过分享控制权的参与方一致同意</w:t>
      </w:r>
    </w:p>
    <w:p>
      <w:pPr>
        <w:pStyle w:val="BodyText"/>
        <w:spacing w:line="224" w:lineRule="exact"/>
        <w:ind w:left="1134" w:right="0"/>
        <w:jc w:val="left"/>
      </w:pPr>
      <w:r>
        <w:rPr/>
        <w:t>后才能决策。相关活动，是指对某项安排的回报产生重大影响的活动。重大影响，是指投资方对被投资单位的财务和经营政</w:t>
      </w:r>
    </w:p>
    <w:p>
      <w:pPr>
        <w:pStyle w:val="BodyText"/>
        <w:spacing w:line="240" w:lineRule="auto" w:before="77"/>
        <w:ind w:left="1134" w:right="0"/>
        <w:jc w:val="left"/>
      </w:pPr>
      <w:r>
        <w:rPr/>
        <w:t>策有参与决策的权力，但并不能够控制或者与其他方一起共同控制这些政策的制定。</w:t>
      </w:r>
    </w:p>
    <w:p>
      <w:pPr>
        <w:pStyle w:val="BodyText"/>
        <w:spacing w:line="360" w:lineRule="auto" w:before="116"/>
        <w:ind w:left="1493" w:right="2653"/>
        <w:jc w:val="left"/>
      </w:pPr>
      <w:r>
        <w:rPr/>
        <w:t>（</w:t>
      </w:r>
      <w:r>
        <w:rPr>
          <w:rFonts w:ascii="宋体" w:hAnsi="宋体" w:cs="宋体" w:eastAsia="宋体" w:hint="default"/>
        </w:rPr>
        <w:t>4</w:t>
      </w:r>
      <w:r>
        <w:rPr/>
        <w:t>）减值测试方法及减值准备计提方法 长期股权投资的减值测试方法及减值准备计提方法按照本公司制定的“资产减值”会计政策执行。</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14、固定资产" w:id="184"/>
      <w:bookmarkEnd w:id="184"/>
      <w:r>
        <w:rPr>
          <w:b w:val="0"/>
          <w:bCs w:val="0"/>
        </w:rPr>
      </w:r>
      <w:r>
        <w:rPr>
          <w:rFonts w:ascii="宋体" w:hAnsi="宋体" w:cs="宋体" w:eastAsia="宋体" w:hint="default"/>
        </w:rPr>
        <w:t>14</w:t>
      </w:r>
      <w:r>
        <w:rPr/>
        <w:t>、固定资产</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bookmarkStart w:name="（1）确认条件" w:id="185"/>
      <w:bookmarkEnd w:id="185"/>
      <w:r>
        <w:rPr>
          <w:b w:val="0"/>
          <w:bCs w:val="0"/>
        </w:rPr>
      </w:r>
      <w:r>
        <w:rPr/>
        <w:t>（</w:t>
      </w:r>
      <w:r>
        <w:rPr>
          <w:rFonts w:ascii="宋体" w:hAnsi="宋体" w:cs="宋体" w:eastAsia="宋体" w:hint="default"/>
        </w:rPr>
        <w:t>1</w:t>
      </w:r>
      <w:r>
        <w:rPr/>
        <w:t>）确认条件</w:t>
      </w:r>
      <w:r>
        <w:rPr>
          <w:b w:val="0"/>
          <w:bCs w:val="0"/>
        </w:rPr>
      </w:r>
    </w:p>
    <w:p>
      <w:pPr>
        <w:spacing w:line="240" w:lineRule="auto" w:before="10"/>
        <w:rPr>
          <w:rFonts w:ascii="宋体" w:hAnsi="宋体" w:cs="宋体" w:eastAsia="宋体" w:hint="default"/>
          <w:b/>
          <w:bCs/>
          <w:sz w:val="27"/>
          <w:szCs w:val="27"/>
        </w:rPr>
      </w:pPr>
    </w:p>
    <w:p>
      <w:pPr>
        <w:pStyle w:val="BodyText"/>
        <w:spacing w:line="319" w:lineRule="auto"/>
        <w:ind w:right="1132" w:firstLine="360"/>
        <w:jc w:val="both"/>
      </w:pPr>
      <w:r>
        <w:rPr>
          <w:spacing w:val="-2"/>
        </w:rPr>
        <w:t>本公司固定资产是指为生产商品、提供劳务、出租或经营管理而持有的使用寿命超过一个会计年度的有形资产。固定资</w:t>
      </w:r>
      <w:r>
        <w:rPr/>
        <w:t> </w:t>
      </w:r>
      <w:r>
        <w:rPr>
          <w:spacing w:val="-2"/>
        </w:rPr>
        <w:t>产在同时满足下列条件时，按照成本进行初始计量：①与该固定资产有关的经济利益很可能流入企业；②该固定资产的成本</w:t>
      </w:r>
      <w:r>
        <w:rPr>
          <w:spacing w:val="-67"/>
        </w:rPr>
        <w:t> </w:t>
      </w:r>
      <w:r>
        <w:rPr>
          <w:spacing w:val="-67"/>
        </w:rPr>
      </w:r>
      <w:r>
        <w:rPr/>
        <w:t>能够可靠地计量。</w:t>
      </w:r>
    </w:p>
    <w:p>
      <w:pPr>
        <w:spacing w:after="0" w:line="319" w:lineRule="auto"/>
        <w:jc w:val="both"/>
        <w:sectPr>
          <w:footerReference w:type="default" r:id="rId41"/>
          <w:pgSz w:w="11910" w:h="16840"/>
          <w:pgMar w:footer="1187" w:header="877" w:top="1100" w:bottom="1380" w:left="0" w:right="0"/>
          <w:pgNumType w:start="91"/>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2）折旧方法" w:id="186"/>
      <w:bookmarkEnd w:id="186"/>
      <w:r>
        <w:rPr>
          <w:b w:val="0"/>
          <w:bCs w:val="0"/>
        </w:rPr>
      </w:r>
      <w:r>
        <w:rPr/>
        <w:t>（</w:t>
      </w:r>
      <w:r>
        <w:rPr>
          <w:rFonts w:ascii="宋体" w:hAnsi="宋体" w:cs="宋体" w:eastAsia="宋体" w:hint="default"/>
        </w:rPr>
        <w:t>2</w:t>
      </w:r>
      <w:r>
        <w:rPr/>
        <w:t>）折旧方法</w:t>
      </w:r>
      <w:r>
        <w:rPr>
          <w:b w:val="0"/>
          <w:bCs w:val="0"/>
        </w:rPr>
      </w:r>
    </w:p>
    <w:p>
      <w:pPr>
        <w:spacing w:line="240" w:lineRule="auto" w:before="13"/>
        <w:rPr>
          <w:rFonts w:ascii="宋体" w:hAnsi="宋体" w:cs="宋体" w:eastAsia="宋体" w:hint="default"/>
          <w:b/>
          <w:bCs/>
          <w:sz w:val="26"/>
          <w:szCs w:val="26"/>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5-35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2.71%-19%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9.5%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通用设备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3-10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9.5%-31.67%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专用设备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3-10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9.5%-31.67%</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3）融资租入固定资产的认定依据、计价和折旧方法" w:id="187"/>
      <w:bookmarkEnd w:id="187"/>
      <w:r>
        <w:rPr>
          <w:b w:val="0"/>
          <w:bCs w:val="0"/>
        </w:rPr>
      </w:r>
      <w:r>
        <w:rPr/>
        <w:t>（</w:t>
      </w:r>
      <w:r>
        <w:rPr>
          <w:rFonts w:ascii="宋体" w:hAnsi="宋体" w:cs="宋体" w:eastAsia="宋体" w:hint="default"/>
        </w:rPr>
        <w:t>3</w:t>
      </w:r>
      <w:r>
        <w:rPr/>
        <w:t>）融资租入固定资产的认定依据、计价和折旧方法</w:t>
      </w:r>
      <w:r>
        <w:rPr>
          <w:b w:val="0"/>
          <w:bCs w:val="0"/>
        </w:rPr>
      </w:r>
    </w:p>
    <w:p>
      <w:pPr>
        <w:spacing w:line="240" w:lineRule="auto" w:before="9"/>
        <w:rPr>
          <w:rFonts w:ascii="宋体" w:hAnsi="宋体" w:cs="宋体" w:eastAsia="宋体" w:hint="default"/>
          <w:b/>
          <w:bCs/>
          <w:sz w:val="27"/>
          <w:szCs w:val="27"/>
        </w:rPr>
      </w:pPr>
    </w:p>
    <w:p>
      <w:pPr>
        <w:pStyle w:val="BodyText"/>
        <w:spacing w:line="319" w:lineRule="auto"/>
        <w:ind w:right="1132" w:firstLine="360"/>
        <w:jc w:val="both"/>
      </w:pPr>
      <w:r>
        <w:rPr/>
        <w:t>本公司在租入的固定资产实质上转移了与资产有关的全部风险和报酬时确认该项固定资产的租赁为融资租赁。</w:t>
      </w:r>
      <w:r>
        <w:rPr>
          <w:spacing w:val="1"/>
        </w:rPr>
        <w:t> </w:t>
      </w:r>
      <w:r>
        <w:rPr/>
        <w:t>融资租</w:t>
      </w:r>
      <w:r>
        <w:rPr/>
        <w:t> 赁取得的固定资产的成本，按租赁开始日租赁资产公允价值与最低租赁付款额现值两者中较低者确定。</w:t>
      </w:r>
      <w:r>
        <w:rPr>
          <w:spacing w:val="1"/>
        </w:rPr>
        <w:t> </w:t>
      </w:r>
      <w:r>
        <w:rPr/>
        <w:t>融资租入的固定资</w:t>
      </w:r>
      <w:r>
        <w:rPr/>
        <w:t> </w:t>
      </w:r>
      <w:r>
        <w:rPr>
          <w:spacing w:val="-2"/>
        </w:rPr>
        <w:t>产采用与自有应计折旧资产相一致的折旧政策。能够合理确定租赁期届满时取得租赁资产所有权的，在租赁资产尚可使用年</w:t>
      </w:r>
      <w:r>
        <w:rPr>
          <w:spacing w:val="-64"/>
        </w:rPr>
        <w:t> </w:t>
      </w:r>
      <w:r>
        <w:rPr>
          <w:spacing w:val="-64"/>
        </w:rPr>
      </w:r>
      <w:r>
        <w:rPr>
          <w:spacing w:val="-2"/>
        </w:rPr>
        <w:t>限内计提折旧；无法合理确定租赁期届满时能够取得租赁资产所有权的，在租赁期与租赁资产尚可使用年限两者中较短的期</w:t>
      </w:r>
      <w:r>
        <w:rPr>
          <w:spacing w:val="-64"/>
        </w:rPr>
        <w:t> </w:t>
      </w:r>
      <w:r>
        <w:rPr>
          <w:spacing w:val="-64"/>
        </w:rPr>
      </w:r>
      <w:r>
        <w:rPr/>
        <w:t>间内计提折旧。</w:t>
      </w:r>
    </w:p>
    <w:p>
      <w:pPr>
        <w:spacing w:line="240" w:lineRule="auto" w:before="4"/>
        <w:rPr>
          <w:rFonts w:ascii="宋体" w:hAnsi="宋体" w:cs="宋体" w:eastAsia="宋体" w:hint="default"/>
          <w:sz w:val="22"/>
          <w:szCs w:val="22"/>
        </w:rPr>
      </w:pPr>
    </w:p>
    <w:p>
      <w:pPr>
        <w:pStyle w:val="Heading3"/>
        <w:spacing w:line="240" w:lineRule="auto"/>
        <w:ind w:left="1134" w:right="0"/>
        <w:jc w:val="left"/>
        <w:rPr>
          <w:b w:val="0"/>
          <w:bCs w:val="0"/>
        </w:rPr>
      </w:pPr>
      <w:bookmarkStart w:name="15、在建工程" w:id="188"/>
      <w:bookmarkEnd w:id="188"/>
      <w:r>
        <w:rPr>
          <w:b w:val="0"/>
          <w:bCs w:val="0"/>
        </w:rPr>
      </w:r>
      <w:r>
        <w:rPr>
          <w:rFonts w:ascii="宋体" w:hAnsi="宋体" w:cs="宋体" w:eastAsia="宋体" w:hint="default"/>
        </w:rPr>
        <w:t>15</w:t>
      </w:r>
      <w:r>
        <w:rPr/>
        <w:t>、在建工程</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1494" w:right="0"/>
        <w:jc w:val="left"/>
      </w:pPr>
      <w:r>
        <w:rPr/>
        <w:t>（</w:t>
      </w:r>
      <w:r>
        <w:rPr>
          <w:rFonts w:ascii="宋体" w:hAnsi="宋体" w:cs="宋体" w:eastAsia="宋体" w:hint="default"/>
        </w:rPr>
        <w:t>1</w:t>
      </w:r>
      <w:r>
        <w:rPr/>
        <w:t>）在建工程的计价：按实际发生的支出确定工程成本。在建工程成本还包括应当资本化的借款费用和汇兑损益。</w:t>
      </w:r>
    </w:p>
    <w:p>
      <w:pPr>
        <w:pStyle w:val="BodyText"/>
        <w:spacing w:line="319" w:lineRule="auto" w:before="115"/>
        <w:ind w:left="1134" w:right="1131" w:firstLine="360"/>
        <w:jc w:val="both"/>
      </w:pPr>
      <w:r>
        <w:rPr/>
        <w:t>（</w:t>
      </w:r>
      <w:r>
        <w:rPr>
          <w:rFonts w:ascii="宋体" w:hAnsi="宋体" w:cs="宋体" w:eastAsia="宋体" w:hint="default"/>
        </w:rPr>
        <w:t>2</w:t>
      </w:r>
      <w:r>
        <w:rPr/>
        <w:t>）本公司在在建工程达到预定可使用状态时，将在建工程转入固定资产。所建造的已达到预定可使用状态、但尚未 </w:t>
      </w:r>
      <w:r>
        <w:rPr>
          <w:spacing w:val="-2"/>
        </w:rPr>
        <w:t>办理竣工决算的固定资产，按照估计价值确认为固定资产，并计提折旧；待办理了竣工决算手续后，再按实际成本调整原来</w:t>
      </w:r>
      <w:r>
        <w:rPr>
          <w:spacing w:val="-66"/>
        </w:rPr>
        <w:t> </w:t>
      </w:r>
      <w:r>
        <w:rPr>
          <w:spacing w:val="-66"/>
        </w:rPr>
      </w:r>
      <w:r>
        <w:rPr/>
        <w:t>的暂估价值，但不调整原已计提的折旧额。</w:t>
      </w:r>
    </w:p>
    <w:p>
      <w:pPr>
        <w:pStyle w:val="BodyText"/>
        <w:spacing w:line="240" w:lineRule="auto" w:before="56"/>
        <w:ind w:left="1494" w:right="0"/>
        <w:jc w:val="left"/>
      </w:pPr>
      <w:r>
        <w:rPr/>
        <w:t>（</w:t>
      </w:r>
      <w:r>
        <w:rPr>
          <w:rFonts w:ascii="宋体" w:hAnsi="宋体" w:cs="宋体" w:eastAsia="宋体" w:hint="default"/>
        </w:rPr>
        <w:t>3</w:t>
      </w:r>
      <w:r>
        <w:rPr/>
        <w:t>）在建工程的减值，按照本公司制定的“资产减值”会计政策执行。</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6、借款费用" w:id="189"/>
      <w:bookmarkEnd w:id="189"/>
      <w:r>
        <w:rPr>
          <w:b w:val="0"/>
          <w:bCs w:val="0"/>
        </w:rPr>
      </w:r>
      <w:r>
        <w:rPr>
          <w:rFonts w:ascii="宋体" w:hAnsi="宋体" w:cs="宋体" w:eastAsia="宋体" w:hint="default"/>
        </w:rPr>
        <w:t>16</w:t>
      </w:r>
      <w:r>
        <w:rPr/>
        <w:t>、借款费用</w:t>
      </w:r>
      <w:r>
        <w:rPr>
          <w:b w:val="0"/>
          <w:bCs w:val="0"/>
        </w:rPr>
      </w:r>
    </w:p>
    <w:p>
      <w:pPr>
        <w:spacing w:line="240" w:lineRule="auto" w:before="11"/>
        <w:rPr>
          <w:rFonts w:ascii="宋体" w:hAnsi="宋体" w:cs="宋体" w:eastAsia="宋体" w:hint="default"/>
          <w:b/>
          <w:bCs/>
          <w:sz w:val="27"/>
          <w:szCs w:val="27"/>
        </w:rPr>
      </w:pPr>
    </w:p>
    <w:p>
      <w:pPr>
        <w:pStyle w:val="BodyText"/>
        <w:spacing w:line="357" w:lineRule="auto"/>
        <w:ind w:left="1494" w:right="0"/>
        <w:jc w:val="left"/>
      </w:pPr>
      <w:r>
        <w:rPr/>
        <w:t>（</w:t>
      </w:r>
      <w:r>
        <w:rPr>
          <w:rFonts w:ascii="宋体" w:hAnsi="宋体" w:cs="宋体" w:eastAsia="宋体" w:hint="default"/>
        </w:rPr>
        <w:t>1</w:t>
      </w:r>
      <w:r>
        <w:rPr/>
        <w:t>）借款费用资本化的确认原则和资本化期间 </w:t>
      </w:r>
      <w:r>
        <w:rPr>
          <w:spacing w:val="-2"/>
        </w:rPr>
        <w:t>本公司发生的借款费用，可直接归属于符合资本化条件的资产的购建或生产的，在同时满足下列条件时予以资本化，计</w:t>
      </w:r>
    </w:p>
    <w:p>
      <w:pPr>
        <w:pStyle w:val="BodyText"/>
        <w:spacing w:line="225" w:lineRule="exact"/>
        <w:ind w:left="1134" w:right="0"/>
        <w:jc w:val="left"/>
      </w:pPr>
      <w:r>
        <w:rPr/>
        <w:t>入相关资产成本：</w:t>
      </w:r>
    </w:p>
    <w:p>
      <w:pPr>
        <w:pStyle w:val="BodyText"/>
        <w:spacing w:line="240" w:lineRule="auto" w:before="116"/>
        <w:ind w:left="1493" w:right="0"/>
        <w:jc w:val="left"/>
      </w:pPr>
      <w:r>
        <w:rPr/>
        <w:t>① 资产支出已经发生；</w:t>
      </w:r>
    </w:p>
    <w:p>
      <w:pPr>
        <w:pStyle w:val="BodyText"/>
        <w:spacing w:line="240" w:lineRule="auto" w:before="116"/>
        <w:ind w:left="1494" w:right="0"/>
        <w:jc w:val="left"/>
      </w:pPr>
      <w:r>
        <w:rPr/>
        <w:t>② 借款费用已经发生；</w:t>
      </w:r>
    </w:p>
    <w:p>
      <w:pPr>
        <w:pStyle w:val="BodyText"/>
        <w:spacing w:line="357" w:lineRule="auto" w:before="117"/>
        <w:ind w:left="1493" w:right="0"/>
        <w:jc w:val="left"/>
      </w:pPr>
      <w:r>
        <w:rPr/>
        <w:t>③ 为使资产达到预定可使用或者可销售状态所必要的购建或者生产活动已经开始。 不符合资本化条件的借款费用，在发生时根据其发生额确认为费用，计入当期的损益。 </w:t>
      </w:r>
      <w:r>
        <w:rPr>
          <w:spacing w:val="-4"/>
        </w:rPr>
        <w:t>符合资本化条件的资产在购建或者生产过程中发生非正常中断、且中断时间连续超过</w:t>
      </w:r>
      <w:r>
        <w:rPr>
          <w:rFonts w:ascii="宋体" w:hAnsi="宋体" w:cs="宋体" w:eastAsia="宋体" w:hint="default"/>
          <w:spacing w:val="-4"/>
        </w:rPr>
        <w:t>3</w:t>
      </w:r>
      <w:r>
        <w:rPr>
          <w:spacing w:val="-4"/>
        </w:rPr>
        <w:t>个月的，暂停借款费用的资本化。</w:t>
      </w:r>
    </w:p>
    <w:p>
      <w:pPr>
        <w:pStyle w:val="BodyText"/>
        <w:spacing w:line="224" w:lineRule="exact"/>
        <w:ind w:right="0"/>
        <w:jc w:val="left"/>
      </w:pPr>
      <w:r>
        <w:rPr/>
        <w:t>在中断期间发生的借款费用确认为费用，计入当期损益，直至资产的购建或者生产活动重新开始。如果中断是所购建或者生</w:t>
      </w:r>
    </w:p>
    <w:p>
      <w:pPr>
        <w:pStyle w:val="BodyText"/>
        <w:spacing w:line="357" w:lineRule="auto" w:before="77"/>
        <w:ind w:left="1493" w:right="0" w:hanging="360"/>
        <w:jc w:val="left"/>
      </w:pPr>
      <w:r>
        <w:rPr/>
        <w:t>产的符合资本化条件的资产达到预定可使用或者可销售状态必要的程序，借款费用的资本化继续进行。 </w:t>
      </w:r>
      <w:r>
        <w:rPr>
          <w:spacing w:val="-2"/>
        </w:rPr>
        <w:t>购建或者生产符合资本化条件的资产达到预定可使用或者可销售状态时，借款费用停止资本化。以后发生的借款费用于</w:t>
      </w:r>
    </w:p>
    <w:p>
      <w:pPr>
        <w:pStyle w:val="BodyText"/>
        <w:spacing w:line="357" w:lineRule="auto"/>
        <w:ind w:left="1493" w:right="0" w:hanging="360"/>
        <w:jc w:val="left"/>
      </w:pPr>
      <w:r>
        <w:rPr/>
        <w:t>发生当期确认为费用。 </w:t>
      </w:r>
      <w:r>
        <w:rPr>
          <w:spacing w:val="-2"/>
        </w:rPr>
        <w:t>符合资本化条件的资产指需要经过相当长时间的购建或者生产活动才能达到预定可使用或可销售状态的固定资产、投资</w:t>
      </w:r>
    </w:p>
    <w:p>
      <w:pPr>
        <w:pStyle w:val="BodyText"/>
        <w:spacing w:line="225" w:lineRule="exact"/>
        <w:ind w:right="0"/>
        <w:jc w:val="left"/>
      </w:pPr>
      <w:r>
        <w:rPr/>
        <w:t>性房地产和存货等资产。</w:t>
      </w:r>
    </w:p>
    <w:p>
      <w:pPr>
        <w:pStyle w:val="BodyText"/>
        <w:spacing w:line="357" w:lineRule="auto" w:before="116"/>
        <w:ind w:left="1493" w:right="0"/>
        <w:jc w:val="left"/>
      </w:pPr>
      <w:r>
        <w:rPr/>
        <w:t>（</w:t>
      </w:r>
      <w:r>
        <w:rPr>
          <w:rFonts w:ascii="宋体" w:hAnsi="宋体" w:cs="宋体" w:eastAsia="宋体" w:hint="default"/>
        </w:rPr>
        <w:t>2</w:t>
      </w:r>
      <w:r>
        <w:rPr/>
        <w:t>）借款费用资本化金额的计算方法 </w:t>
      </w:r>
      <w:r>
        <w:rPr>
          <w:spacing w:val="-2"/>
        </w:rPr>
        <w:t>为购建或者生产符合资本化条件的资产而借入专门借款的，以专门借款当期实际发生的利息费用，减去将尚未动用的借</w:t>
      </w:r>
    </w:p>
    <w:p>
      <w:pPr>
        <w:spacing w:after="0" w:line="357" w:lineRule="auto"/>
        <w:jc w:val="left"/>
        <w:sectPr>
          <w:pgSz w:w="11910" w:h="16840"/>
          <w:pgMar w:header="877" w:footer="1187" w:top="1100" w:bottom="1380" w:left="0" w:right="0"/>
        </w:sectPr>
      </w:pPr>
    </w:p>
    <w:p>
      <w:pPr>
        <w:spacing w:line="240" w:lineRule="auto" w:before="13"/>
        <w:rPr>
          <w:rFonts w:ascii="宋体" w:hAnsi="宋体" w:cs="宋体" w:eastAsia="宋体" w:hint="default"/>
          <w:sz w:val="21"/>
          <w:szCs w:val="21"/>
        </w:rPr>
      </w:pPr>
    </w:p>
    <w:p>
      <w:pPr>
        <w:pStyle w:val="BodyText"/>
        <w:spacing w:line="357" w:lineRule="auto" w:before="44"/>
        <w:ind w:left="1493" w:right="0" w:hanging="360"/>
        <w:jc w:val="left"/>
      </w:pPr>
      <w:r>
        <w:rPr/>
        <w:t>款资金存入银行取得的利息收入或进行暂时性投资取得的投资收益后的金额确定。 </w:t>
      </w:r>
      <w:r>
        <w:rPr>
          <w:spacing w:val="-2"/>
        </w:rPr>
        <w:t>为购建或者生产符合资本化条件的资产而占用了一般借款的，根据累计资产支出超过专门借款部分的资产支出加权平均</w:t>
      </w:r>
    </w:p>
    <w:p>
      <w:pPr>
        <w:pStyle w:val="BodyText"/>
        <w:spacing w:line="224" w:lineRule="exact"/>
        <w:ind w:right="0"/>
        <w:jc w:val="left"/>
      </w:pPr>
      <w:r>
        <w:rPr/>
        <w:t>数乘以所占用一般借款的资本化率，计算确定一般借款应予资本化的利息金额。资本化率根据一般借款加权平均利率计算确</w:t>
      </w:r>
    </w:p>
    <w:p>
      <w:pPr>
        <w:pStyle w:val="BodyText"/>
        <w:spacing w:line="240" w:lineRule="auto" w:before="77"/>
        <w:ind w:right="0"/>
        <w:jc w:val="left"/>
      </w:pPr>
      <w:r>
        <w:rPr/>
        <w:t>定。</w:t>
      </w:r>
    </w:p>
    <w:p>
      <w:pPr>
        <w:pStyle w:val="BodyText"/>
        <w:spacing w:line="240" w:lineRule="auto" w:before="117"/>
        <w:ind w:left="1494" w:right="0"/>
        <w:jc w:val="left"/>
      </w:pPr>
      <w:r>
        <w:rPr/>
        <w:t>资本化期间内，外币专门借款的汇兑差额全部予以资本化；外币一般借款的汇兑差额计入当期损益。</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7、无形资产" w:id="190"/>
      <w:bookmarkEnd w:id="190"/>
      <w:r>
        <w:rPr>
          <w:b w:val="0"/>
          <w:bCs w:val="0"/>
        </w:rPr>
      </w:r>
      <w:r>
        <w:rPr>
          <w:rFonts w:ascii="宋体" w:hAnsi="宋体" w:cs="宋体" w:eastAsia="宋体" w:hint="default"/>
        </w:rPr>
        <w:t>17</w:t>
      </w:r>
      <w:r>
        <w:rPr/>
        <w:t>、无形资产</w:t>
      </w:r>
      <w:r>
        <w:rPr>
          <w:b w:val="0"/>
          <w:bCs w:val="0"/>
        </w:rPr>
      </w:r>
    </w:p>
    <w:p>
      <w:pPr>
        <w:spacing w:line="240" w:lineRule="auto" w:before="12"/>
        <w:rPr>
          <w:rFonts w:ascii="宋体" w:hAnsi="宋体" w:cs="宋体" w:eastAsia="宋体" w:hint="default"/>
          <w:b/>
          <w:bCs/>
          <w:sz w:val="27"/>
          <w:szCs w:val="27"/>
        </w:rPr>
      </w:pPr>
    </w:p>
    <w:p>
      <w:pPr>
        <w:pStyle w:val="BodyText"/>
        <w:spacing w:line="357" w:lineRule="auto"/>
        <w:ind w:left="1493" w:right="3733"/>
        <w:jc w:val="left"/>
      </w:pPr>
      <w:r>
        <w:rPr/>
        <w:t>（</w:t>
      </w:r>
      <w:r>
        <w:rPr>
          <w:rFonts w:ascii="宋体" w:hAnsi="宋体" w:cs="宋体" w:eastAsia="宋体" w:hint="default"/>
        </w:rPr>
        <w:t>1</w:t>
      </w:r>
      <w:r>
        <w:rPr/>
        <w:t>）计价方法、使用寿命、减值测试 本公司无形资产是指本公司所拥有或者控制的没有实物形态的可辨认非货币性资产。</w:t>
      </w:r>
    </w:p>
    <w:p>
      <w:pPr>
        <w:pStyle w:val="BodyText"/>
        <w:spacing w:line="357" w:lineRule="auto" w:before="28"/>
        <w:ind w:left="1494" w:right="6252"/>
        <w:jc w:val="left"/>
      </w:pPr>
      <w:r>
        <w:rPr/>
        <w:t>①无形资产的确认 本公司在同时满足下列条件时，予以确认无形资产： </w:t>
      </w:r>
      <w:r>
        <w:rPr>
          <w:rFonts w:ascii="宋体" w:hAnsi="宋体" w:cs="宋体" w:eastAsia="宋体" w:hint="default"/>
        </w:rPr>
        <w:t>A</w:t>
      </w:r>
      <w:r>
        <w:rPr/>
        <w:t>、与该无形资产有关的经济利益很可能流入企业； </w:t>
      </w:r>
      <w:r>
        <w:rPr>
          <w:rFonts w:ascii="宋体" w:hAnsi="宋体" w:cs="宋体" w:eastAsia="宋体" w:hint="default"/>
        </w:rPr>
        <w:t>B</w:t>
      </w:r>
      <w:r>
        <w:rPr/>
        <w:t>、该无形资产的成本能够可靠地计量。</w:t>
      </w:r>
    </w:p>
    <w:p>
      <w:pPr>
        <w:pStyle w:val="BodyText"/>
        <w:spacing w:line="357" w:lineRule="auto" w:before="29"/>
        <w:ind w:left="1494" w:right="6882"/>
        <w:jc w:val="left"/>
      </w:pPr>
      <w:r>
        <w:rPr/>
        <w:t>②无形资产的计量 </w:t>
      </w:r>
      <w:r>
        <w:rPr>
          <w:rFonts w:ascii="宋体" w:hAnsi="宋体" w:cs="宋体" w:eastAsia="宋体" w:hint="default"/>
        </w:rPr>
        <w:t>A</w:t>
      </w:r>
      <w:r>
        <w:rPr/>
        <w:t>、本公司无形资产按照成本进行初始计量。 </w:t>
      </w:r>
      <w:r>
        <w:rPr>
          <w:rFonts w:ascii="宋体" w:hAnsi="宋体" w:cs="宋体" w:eastAsia="宋体" w:hint="default"/>
        </w:rPr>
        <w:t>B</w:t>
      </w:r>
      <w:r>
        <w:rPr/>
        <w:t>、无形资产的后续计量</w:t>
      </w:r>
    </w:p>
    <w:p>
      <w:pPr>
        <w:pStyle w:val="BodyText"/>
        <w:spacing w:line="319" w:lineRule="auto" w:before="28"/>
        <w:ind w:left="1134" w:right="0" w:firstLine="360"/>
        <w:jc w:val="left"/>
      </w:pPr>
      <w:r>
        <w:rPr>
          <w:spacing w:val="-2"/>
        </w:rPr>
        <w:t>对于使用寿命有限的无形资产在取得时判定其使用寿命并在以后期间在使用寿命内采用直线法，摊销金额按受益项目计</w:t>
      </w:r>
      <w:r>
        <w:rPr/>
        <w:t> 入相关成本、费用核算。使用寿命不确定的无形资产不摊销。</w:t>
      </w:r>
    </w:p>
    <w:p>
      <w:pPr>
        <w:pStyle w:val="BodyText"/>
        <w:spacing w:line="319" w:lineRule="auto" w:before="55"/>
        <w:ind w:left="1134" w:right="1131" w:firstLine="360"/>
        <w:jc w:val="both"/>
      </w:pPr>
      <w:r>
        <w:rPr>
          <w:spacing w:val="-2"/>
        </w:rPr>
        <w:t>期末，对使用寿命有限的无形资产的使用寿命和摊销方法进行复核，如发生变更则作为会计估计变更处理。此外，还对</w:t>
      </w:r>
      <w:r>
        <w:rPr/>
        <w:t> </w:t>
      </w:r>
      <w:r>
        <w:rPr>
          <w:spacing w:val="-2"/>
        </w:rPr>
        <w:t>使用寿命不确定的无形资产的使用寿命进行复核，如果有证据表明该无形资产为企业带来经济利益的期限是可预见的，则估</w:t>
      </w:r>
      <w:r>
        <w:rPr>
          <w:spacing w:val="-64"/>
        </w:rPr>
        <w:t> </w:t>
      </w:r>
      <w:r>
        <w:rPr>
          <w:spacing w:val="-64"/>
        </w:rPr>
      </w:r>
      <w:r>
        <w:rPr/>
        <w:t>计其使用寿命并按照使用寿命有限的无形资产的摊销政策进行摊销。</w:t>
      </w:r>
    </w:p>
    <w:p>
      <w:pPr>
        <w:pStyle w:val="BodyText"/>
        <w:spacing w:line="240" w:lineRule="auto" w:before="56"/>
        <w:ind w:left="1494" w:right="0"/>
        <w:jc w:val="left"/>
      </w:pPr>
      <w:r>
        <w:rPr/>
        <w:t>无形资产的减值，按照本公司制定的“资产减值”会计政策执行。</w:t>
      </w:r>
    </w:p>
    <w:p>
      <w:pPr>
        <w:pStyle w:val="BodyText"/>
        <w:spacing w:line="357" w:lineRule="auto" w:before="117"/>
        <w:ind w:left="1493" w:right="0"/>
        <w:jc w:val="left"/>
      </w:pPr>
      <w:r>
        <w:rPr/>
        <w:t>（</w:t>
      </w:r>
      <w:r>
        <w:rPr>
          <w:rFonts w:ascii="宋体" w:hAnsi="宋体" w:cs="宋体" w:eastAsia="宋体" w:hint="default"/>
        </w:rPr>
        <w:t>2</w:t>
      </w:r>
      <w:r>
        <w:rPr/>
        <w:t>）内部研究开发支出会计政策 </w:t>
      </w:r>
      <w:r>
        <w:rPr>
          <w:spacing w:val="-2"/>
        </w:rPr>
        <w:t>本公司内部研究开发项目的支出分为研究阶段支出与开发阶段支出。研究是指为获取并理解新的科学或技术知识而进行</w:t>
      </w:r>
    </w:p>
    <w:p>
      <w:pPr>
        <w:pStyle w:val="BodyText"/>
        <w:spacing w:line="224" w:lineRule="exact"/>
        <w:ind w:right="0"/>
        <w:jc w:val="left"/>
      </w:pPr>
      <w:r>
        <w:rPr/>
        <w:t>的独创性的有计划调查。开发是指在进行商业性生产或使用前，将研究成果或其他知识应用于某项计划或设计，以生产出新</w:t>
      </w:r>
    </w:p>
    <w:p>
      <w:pPr>
        <w:pStyle w:val="BodyText"/>
        <w:spacing w:line="357" w:lineRule="auto" w:before="77"/>
        <w:ind w:left="1493" w:right="6973" w:hanging="360"/>
        <w:jc w:val="left"/>
      </w:pPr>
      <w:r>
        <w:rPr/>
        <w:t>的或具有实质性改进的材料、装置、产品等。 研究阶段的支出，于发生时计入当期损益。</w:t>
      </w:r>
    </w:p>
    <w:p>
      <w:pPr>
        <w:pStyle w:val="BodyText"/>
        <w:spacing w:line="357" w:lineRule="auto" w:before="29"/>
        <w:ind w:left="1493" w:right="1753"/>
        <w:jc w:val="left"/>
      </w:pPr>
      <w:r>
        <w:rPr/>
        <w:t>开发阶段的支出同时满足下列条件的，确认为无形资产，不能满足下述条件的开发阶段的支出计入当期损益： </w:t>
      </w:r>
      <w:r>
        <w:rPr>
          <w:rFonts w:ascii="宋体" w:hAnsi="宋体" w:cs="宋体" w:eastAsia="宋体" w:hint="default"/>
        </w:rPr>
        <w:t>A</w:t>
      </w:r>
      <w:r>
        <w:rPr/>
        <w:t>、完成该无形资产以使其能够使用或出售在技术上具有可行性； </w:t>
      </w:r>
      <w:r>
        <w:rPr>
          <w:rFonts w:ascii="宋体" w:hAnsi="宋体" w:cs="宋体" w:eastAsia="宋体" w:hint="default"/>
        </w:rPr>
        <w:t>B</w:t>
      </w:r>
      <w:r>
        <w:rPr/>
        <w:t>、具有完成该无形资产并使用或出售的意图；</w:t>
      </w:r>
    </w:p>
    <w:p>
      <w:pPr>
        <w:pStyle w:val="BodyText"/>
        <w:spacing w:line="319" w:lineRule="auto" w:before="28"/>
        <w:ind w:left="1134" w:right="1122" w:firstLine="360"/>
        <w:jc w:val="left"/>
      </w:pPr>
      <w:r>
        <w:rPr>
          <w:rFonts w:ascii="宋体" w:hAnsi="宋体" w:cs="宋体" w:eastAsia="宋体" w:hint="default"/>
        </w:rPr>
        <w:t>C</w:t>
      </w:r>
      <w:r>
        <w:rPr/>
        <w:t>、无形资产产生经济利益的方式，包括能够证明运用该无形资产生产的产品存在市场或无形资产自身存在市场，无形 资产将在内部使用的，能够证明其有用性；</w:t>
      </w:r>
    </w:p>
    <w:p>
      <w:pPr>
        <w:pStyle w:val="BodyText"/>
        <w:spacing w:line="360" w:lineRule="auto" w:before="56"/>
        <w:ind w:left="1493" w:right="1843"/>
        <w:jc w:val="left"/>
      </w:pPr>
      <w:r>
        <w:rPr>
          <w:rFonts w:ascii="宋体" w:hAnsi="宋体" w:cs="宋体" w:eastAsia="宋体" w:hint="default"/>
        </w:rPr>
        <w:t>D</w:t>
      </w:r>
      <w:r>
        <w:rPr/>
        <w:t>、有足够的技术、财务资源和其他资源支持，以完成该无形资产的开发，并有能力使用或出售该无形资产； </w:t>
      </w:r>
      <w:r>
        <w:rPr>
          <w:rFonts w:ascii="宋体" w:hAnsi="宋体" w:cs="宋体" w:eastAsia="宋体" w:hint="default"/>
        </w:rPr>
        <w:t>E</w:t>
      </w:r>
      <w:r>
        <w:rPr/>
        <w:t>、归属于该无形资产开发阶段的支出能够可靠地计量。 无法区分研究阶段支出和开发阶段支出的，将发生的研发支出全部计入当期损益。</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bookmarkStart w:name="18、长期资产减值" w:id="191"/>
      <w:bookmarkEnd w:id="191"/>
      <w:r>
        <w:rPr>
          <w:b w:val="0"/>
          <w:bCs w:val="0"/>
        </w:rPr>
      </w:r>
      <w:r>
        <w:rPr>
          <w:rFonts w:ascii="宋体" w:hAnsi="宋体" w:cs="宋体" w:eastAsia="宋体" w:hint="default"/>
        </w:rPr>
        <w:t>18</w:t>
      </w:r>
      <w:r>
        <w:rPr/>
        <w:t>、长期资产减值</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1493" w:right="0"/>
        <w:jc w:val="left"/>
      </w:pPr>
      <w:r>
        <w:rPr/>
        <w:t>当存在下列迹象的，表明资产可能发生了减值：</w:t>
      </w:r>
    </w:p>
    <w:p>
      <w:pPr>
        <w:pStyle w:val="BodyText"/>
        <w:spacing w:line="240" w:lineRule="auto" w:before="116"/>
        <w:ind w:left="1494" w:right="0"/>
        <w:jc w:val="left"/>
      </w:pPr>
      <w:r>
        <w:rPr/>
        <w:t>（</w:t>
      </w:r>
      <w:r>
        <w:rPr>
          <w:rFonts w:ascii="宋体" w:hAnsi="宋体" w:cs="宋体" w:eastAsia="宋体" w:hint="default"/>
        </w:rPr>
        <w:t>1</w:t>
      </w:r>
      <w:r>
        <w:rPr/>
        <w:t>）资产的市价当期大幅度下跌，其跌幅明显高于因时间的推移或者正常使用而预计的下跌。</w:t>
      </w:r>
    </w:p>
    <w:p>
      <w:pPr>
        <w:spacing w:after="0" w:line="240" w:lineRule="auto"/>
        <w:jc w:val="left"/>
        <w:sectPr>
          <w:pgSz w:w="11910" w:h="16840"/>
          <w:pgMar w:header="877" w:footer="1187" w:top="1100" w:bottom="1380" w:left="0" w:right="0"/>
        </w:sectPr>
      </w:pPr>
    </w:p>
    <w:p>
      <w:pPr>
        <w:spacing w:line="240" w:lineRule="auto" w:before="12"/>
        <w:rPr>
          <w:rFonts w:ascii="宋体" w:hAnsi="宋体" w:cs="宋体" w:eastAsia="宋体" w:hint="default"/>
          <w:sz w:val="21"/>
          <w:szCs w:val="21"/>
        </w:rPr>
      </w:pPr>
    </w:p>
    <w:p>
      <w:pPr>
        <w:pStyle w:val="BodyText"/>
        <w:spacing w:line="319" w:lineRule="auto" w:before="44"/>
        <w:ind w:left="1134" w:right="1122" w:firstLine="360"/>
        <w:jc w:val="left"/>
      </w:pPr>
      <w:r>
        <w:rPr/>
        <w:t>（</w:t>
      </w:r>
      <w:r>
        <w:rPr>
          <w:rFonts w:ascii="宋体" w:hAnsi="宋体" w:cs="宋体" w:eastAsia="宋体" w:hint="default"/>
        </w:rPr>
        <w:t>2</w:t>
      </w:r>
      <w:r>
        <w:rPr/>
        <w:t>）本公司经营所处的经济、技术或法律等环境以及资产所处的市场在当期或将在近期发生重大变化，从而对本公司 产生不利影响。</w:t>
      </w:r>
    </w:p>
    <w:p>
      <w:pPr>
        <w:pStyle w:val="BodyText"/>
        <w:spacing w:line="319" w:lineRule="auto" w:before="55"/>
        <w:ind w:left="1134" w:right="0" w:firstLine="360"/>
        <w:jc w:val="left"/>
      </w:pPr>
      <w:r>
        <w:rPr>
          <w:spacing w:val="-4"/>
        </w:rPr>
        <w:t>（</w:t>
      </w:r>
      <w:r>
        <w:rPr>
          <w:rFonts w:ascii="宋体" w:hAnsi="宋体" w:cs="宋体" w:eastAsia="宋体" w:hint="default"/>
          <w:spacing w:val="-4"/>
        </w:rPr>
        <w:t>3</w:t>
      </w:r>
      <w:r>
        <w:rPr>
          <w:spacing w:val="-4"/>
        </w:rPr>
        <w:t>）市场利率或者其他市场投资回报率在当期已经提高，从而影响企业用来计算资产预计未来现金流量现值的折现率，</w:t>
      </w:r>
      <w:r>
        <w:rPr/>
        <w:t> 导致资产可收回金额大幅度降低。</w:t>
      </w:r>
    </w:p>
    <w:p>
      <w:pPr>
        <w:pStyle w:val="BodyText"/>
        <w:spacing w:line="240" w:lineRule="auto" w:before="58"/>
        <w:ind w:left="1494" w:right="0"/>
        <w:jc w:val="left"/>
      </w:pPr>
      <w:r>
        <w:rPr/>
        <w:t>（</w:t>
      </w:r>
      <w:r>
        <w:rPr>
          <w:rFonts w:ascii="宋体" w:hAnsi="宋体" w:cs="宋体" w:eastAsia="宋体" w:hint="default"/>
        </w:rPr>
        <w:t>4</w:t>
      </w:r>
      <w:r>
        <w:rPr/>
        <w:t>）有证据表明资产已经陈旧过时或其实体已经损坏。</w:t>
      </w:r>
    </w:p>
    <w:p>
      <w:pPr>
        <w:pStyle w:val="BodyText"/>
        <w:spacing w:line="240" w:lineRule="auto" w:before="116"/>
        <w:ind w:left="1494" w:right="0"/>
        <w:jc w:val="left"/>
      </w:pPr>
      <w:r>
        <w:rPr/>
        <w:t>（</w:t>
      </w:r>
      <w:r>
        <w:rPr>
          <w:rFonts w:ascii="宋体" w:hAnsi="宋体" w:cs="宋体" w:eastAsia="宋体" w:hint="default"/>
        </w:rPr>
        <w:t>5</w:t>
      </w:r>
      <w:r>
        <w:rPr/>
        <w:t>）资产已经或者将被闲置、终止使用或者计划提前处置。</w:t>
      </w:r>
    </w:p>
    <w:p>
      <w:pPr>
        <w:pStyle w:val="BodyText"/>
        <w:spacing w:line="319" w:lineRule="auto" w:before="115"/>
        <w:ind w:left="1134" w:right="1122" w:firstLine="360"/>
        <w:jc w:val="left"/>
      </w:pPr>
      <w:r>
        <w:rPr/>
        <w:t>（</w:t>
      </w:r>
      <w:r>
        <w:rPr>
          <w:rFonts w:ascii="宋体" w:hAnsi="宋体" w:cs="宋体" w:eastAsia="宋体" w:hint="default"/>
        </w:rPr>
        <w:t>6</w:t>
      </w:r>
      <w:r>
        <w:rPr/>
        <w:t>）本公司内部报告的证据表明资产的经济绩效已经低于或者将低于预期，如资产所创造的净现金流量或者实现的营 业利润（或者损失）远远低于预计金额等。</w:t>
      </w:r>
    </w:p>
    <w:p>
      <w:pPr>
        <w:pStyle w:val="BodyText"/>
        <w:spacing w:line="357" w:lineRule="auto" w:before="58"/>
        <w:ind w:left="1494" w:right="0"/>
        <w:jc w:val="left"/>
      </w:pPr>
      <w:r>
        <w:rPr/>
        <w:t>（</w:t>
      </w:r>
      <w:r>
        <w:rPr>
          <w:rFonts w:ascii="宋体" w:hAnsi="宋体" w:cs="宋体" w:eastAsia="宋体" w:hint="default"/>
        </w:rPr>
        <w:t>7</w:t>
      </w:r>
      <w:r>
        <w:rPr/>
        <w:t>）其他表明资产可能已经发生减值的迹象。 </w:t>
      </w:r>
      <w:r>
        <w:rPr>
          <w:spacing w:val="-2"/>
        </w:rPr>
        <w:t>本公司在资产负债表日对长期股权投资、固定资产、工程物资、在建工程、无形资产（使用寿命不确定的除外）等适用</w:t>
      </w:r>
    </w:p>
    <w:p>
      <w:pPr>
        <w:pStyle w:val="BodyText"/>
        <w:spacing w:line="224" w:lineRule="exact"/>
        <w:ind w:right="0"/>
        <w:jc w:val="left"/>
      </w:pPr>
      <w:r>
        <w:rPr/>
        <w:t>《企业会计准则第</w:t>
      </w:r>
      <w:r>
        <w:rPr>
          <w:rFonts w:ascii="宋体" w:hAnsi="宋体" w:cs="宋体" w:eastAsia="宋体" w:hint="default"/>
        </w:rPr>
        <w:t>8</w:t>
      </w:r>
      <w:r>
        <w:rPr/>
        <w:t>号——资产减值》的各项资产进行判断，当存在减值迹象时对其进行减值测试</w:t>
      </w:r>
      <w:r>
        <w:rPr>
          <w:rFonts w:ascii="宋体" w:hAnsi="宋体" w:cs="宋体" w:eastAsia="宋体" w:hint="default"/>
        </w:rPr>
        <w:t>-</w:t>
      </w:r>
      <w:r>
        <w:rPr/>
        <w:t>估计其可收回金额。可收</w:t>
      </w:r>
    </w:p>
    <w:p>
      <w:pPr>
        <w:pStyle w:val="BodyText"/>
        <w:spacing w:line="319" w:lineRule="auto" w:before="76"/>
        <w:ind w:right="1131"/>
        <w:jc w:val="both"/>
      </w:pPr>
      <w:r>
        <w:rPr>
          <w:spacing w:val="-2"/>
        </w:rPr>
        <w:t>回金额以资产的公允价值减去处置费用后的净额与资产预计未来现金流量的现值两者之间较高者确定。资产的可收回金额低</w:t>
      </w:r>
      <w:r>
        <w:rPr>
          <w:spacing w:val="-64"/>
        </w:rPr>
        <w:t> </w:t>
      </w:r>
      <w:r>
        <w:rPr>
          <w:spacing w:val="-64"/>
        </w:rPr>
      </w:r>
      <w:r>
        <w:rPr>
          <w:spacing w:val="-2"/>
        </w:rPr>
        <w:t>于其账面价值的，将资产的账面价值减记至可收回金额，减记的金额确认为资产减值损失，计入当期损益，同时计提相应的</w:t>
      </w:r>
      <w:r>
        <w:rPr>
          <w:spacing w:val="-66"/>
        </w:rPr>
        <w:t> </w:t>
      </w:r>
      <w:r>
        <w:rPr>
          <w:spacing w:val="-66"/>
        </w:rPr>
      </w:r>
      <w:r>
        <w:rPr/>
        <w:t>资产减值准备。</w:t>
      </w:r>
    </w:p>
    <w:p>
      <w:pPr>
        <w:pStyle w:val="BodyText"/>
        <w:spacing w:line="319" w:lineRule="auto" w:before="55"/>
        <w:ind w:right="0" w:firstLine="360"/>
        <w:jc w:val="left"/>
      </w:pPr>
      <w:r>
        <w:rPr>
          <w:spacing w:val="-2"/>
        </w:rPr>
        <w:t>有迹象表明一项资产可能发生减值的，本公司通常以单项资产为基础估计其可收回金额。当难以对单项资产的可收回金</w:t>
      </w:r>
      <w:r>
        <w:rPr/>
        <w:t> 额进行估计的，以该资产所属的资产组为基础确定资产组的可收回金额。</w:t>
      </w:r>
    </w:p>
    <w:p>
      <w:pPr>
        <w:pStyle w:val="BodyText"/>
        <w:spacing w:line="319" w:lineRule="auto" w:before="56"/>
        <w:ind w:right="0" w:firstLine="360"/>
        <w:jc w:val="left"/>
      </w:pPr>
      <w:r>
        <w:rPr>
          <w:spacing w:val="-2"/>
        </w:rPr>
        <w:t>资产组是本公司可以认定的最小资产组合，其产生的现金流入基本上独立于其他资产或者资产组。资产组由创造现金流</w:t>
      </w:r>
      <w:r>
        <w:rPr/>
        <w:t> 入相关的资产组成。资产组的认定，以资产组产生的主要现金流入是否独立于其他资产或者资产组的现金流入为依据。</w:t>
      </w:r>
    </w:p>
    <w:p>
      <w:pPr>
        <w:pStyle w:val="BodyText"/>
        <w:spacing w:line="319" w:lineRule="auto" w:before="55"/>
        <w:ind w:right="0" w:firstLine="360"/>
        <w:jc w:val="left"/>
      </w:pPr>
      <w:r>
        <w:rPr>
          <w:spacing w:val="-2"/>
        </w:rPr>
        <w:t>本公司对因企业合并所形成的商誉和使用寿命不确定的无形资产，无论是否存在减值迹象，每年都进行减值测试。商誉</w:t>
      </w:r>
      <w:r>
        <w:rPr/>
        <w:t> 的减值测试结合与其相关的资产组或者资产组组合进行。</w:t>
      </w:r>
    </w:p>
    <w:p>
      <w:pPr>
        <w:pStyle w:val="BodyText"/>
        <w:spacing w:line="240" w:lineRule="auto" w:before="56"/>
        <w:ind w:left="1494" w:right="0"/>
        <w:jc w:val="left"/>
      </w:pPr>
      <w:r>
        <w:rPr/>
        <w:t>资产减值损失一经确认，在以后会计期间不予转回。</w:t>
      </w:r>
    </w:p>
    <w:p>
      <w:pPr>
        <w:spacing w:line="240" w:lineRule="auto" w:before="11"/>
        <w:rPr>
          <w:rFonts w:ascii="宋体" w:hAnsi="宋体" w:cs="宋体" w:eastAsia="宋体" w:hint="default"/>
          <w:sz w:val="26"/>
          <w:szCs w:val="26"/>
        </w:rPr>
      </w:pPr>
    </w:p>
    <w:p>
      <w:pPr>
        <w:pStyle w:val="Heading3"/>
        <w:spacing w:line="240" w:lineRule="auto"/>
        <w:ind w:left="1134" w:right="0"/>
        <w:jc w:val="left"/>
        <w:rPr>
          <w:b w:val="0"/>
          <w:bCs w:val="0"/>
        </w:rPr>
      </w:pPr>
      <w:bookmarkStart w:name="19、长期待摊费用" w:id="192"/>
      <w:bookmarkEnd w:id="192"/>
      <w:r>
        <w:rPr>
          <w:b w:val="0"/>
          <w:bCs w:val="0"/>
        </w:rPr>
      </w:r>
      <w:r>
        <w:rPr>
          <w:rFonts w:ascii="宋体" w:hAnsi="宋体" w:cs="宋体" w:eastAsia="宋体" w:hint="default"/>
        </w:rPr>
        <w:t>19</w:t>
      </w:r>
      <w:r>
        <w:rPr/>
        <w:t>、长期待摊费用</w:t>
      </w:r>
      <w:r>
        <w:rPr>
          <w:b w:val="0"/>
          <w:bCs w:val="0"/>
        </w:rPr>
      </w:r>
    </w:p>
    <w:p>
      <w:pPr>
        <w:spacing w:line="240" w:lineRule="auto" w:before="9"/>
        <w:rPr>
          <w:rFonts w:ascii="宋体" w:hAnsi="宋体" w:cs="宋体" w:eastAsia="宋体" w:hint="default"/>
          <w:b/>
          <w:bCs/>
          <w:sz w:val="27"/>
          <w:szCs w:val="27"/>
        </w:rPr>
      </w:pPr>
    </w:p>
    <w:p>
      <w:pPr>
        <w:pStyle w:val="BodyText"/>
        <w:spacing w:line="319" w:lineRule="auto"/>
        <w:ind w:left="1134" w:right="1212" w:firstLine="360"/>
        <w:jc w:val="left"/>
      </w:pPr>
      <w:r>
        <w:rPr/>
        <w:t>本公司将已经发生的但应由本年和以后各期负担的摊销期限在一年以上的经营租赁方式租入的固定资产改良支出等各 项费用确认为长期待摊费用，并按项目受益期采用直线法平均摊销。</w:t>
      </w:r>
    </w:p>
    <w:p>
      <w:pPr>
        <w:spacing w:line="240" w:lineRule="auto" w:before="4"/>
        <w:rPr>
          <w:rFonts w:ascii="宋体" w:hAnsi="宋体" w:cs="宋体" w:eastAsia="宋体" w:hint="default"/>
          <w:sz w:val="22"/>
          <w:szCs w:val="22"/>
        </w:rPr>
      </w:pPr>
    </w:p>
    <w:p>
      <w:pPr>
        <w:pStyle w:val="Heading3"/>
        <w:spacing w:line="240" w:lineRule="auto"/>
        <w:ind w:left="1134" w:right="0"/>
        <w:jc w:val="left"/>
        <w:rPr>
          <w:b w:val="0"/>
          <w:bCs w:val="0"/>
        </w:rPr>
      </w:pPr>
      <w:bookmarkStart w:name="20、职工薪酬" w:id="193"/>
      <w:bookmarkEnd w:id="193"/>
      <w:r>
        <w:rPr>
          <w:b w:val="0"/>
          <w:bCs w:val="0"/>
        </w:rPr>
      </w:r>
      <w:r>
        <w:rPr>
          <w:rFonts w:ascii="宋体" w:hAnsi="宋体" w:cs="宋体" w:eastAsia="宋体" w:hint="default"/>
        </w:rPr>
        <w:t>20</w:t>
      </w:r>
      <w:r>
        <w:rPr/>
        <w:t>、职工薪酬</w:t>
      </w:r>
      <w:r>
        <w:rPr>
          <w:b w:val="0"/>
          <w:bCs w:val="0"/>
        </w:rPr>
      </w:r>
    </w:p>
    <w:p>
      <w:pPr>
        <w:spacing w:line="240" w:lineRule="auto" w:before="11"/>
        <w:rPr>
          <w:rFonts w:ascii="宋体" w:hAnsi="宋体" w:cs="宋体" w:eastAsia="宋体" w:hint="default"/>
          <w:b/>
          <w:bCs/>
          <w:sz w:val="27"/>
          <w:szCs w:val="27"/>
        </w:rPr>
      </w:pPr>
    </w:p>
    <w:p>
      <w:pPr>
        <w:pStyle w:val="BodyText"/>
        <w:spacing w:line="357" w:lineRule="auto"/>
        <w:ind w:left="1494" w:right="0"/>
        <w:jc w:val="left"/>
      </w:pPr>
      <w:r>
        <w:rPr/>
        <w:t>（</w:t>
      </w:r>
      <w:r>
        <w:rPr>
          <w:rFonts w:ascii="宋体" w:hAnsi="宋体" w:cs="宋体" w:eastAsia="宋体" w:hint="default"/>
        </w:rPr>
        <w:t>1</w:t>
      </w:r>
      <w:r>
        <w:rPr/>
        <w:t>）短期薪酬的会计处理方法 </w:t>
      </w:r>
      <w:r>
        <w:rPr>
          <w:spacing w:val="-4"/>
        </w:rPr>
        <w:t>职工薪酬，是指本公司为获得职工提供的服务或解除劳动关系而给予的各种形式的报酬或补偿。职工薪酬包括短期薪酬、</w:t>
      </w:r>
    </w:p>
    <w:p>
      <w:pPr>
        <w:pStyle w:val="BodyText"/>
        <w:spacing w:line="224" w:lineRule="exact"/>
        <w:ind w:left="1134" w:right="0"/>
        <w:jc w:val="left"/>
      </w:pPr>
      <w:r>
        <w:rPr/>
        <w:t>离职后福利、辞退福利和其他长期职工福利。本集团提供给职工配偶、子女、受赡养人、已故员工遗属及其他受益人等的福</w:t>
      </w:r>
    </w:p>
    <w:p>
      <w:pPr>
        <w:pStyle w:val="BodyText"/>
        <w:spacing w:line="316" w:lineRule="auto" w:before="76"/>
        <w:ind w:left="1134" w:right="1133"/>
        <w:jc w:val="both"/>
      </w:pPr>
      <w:r>
        <w:rPr>
          <w:spacing w:val="-2"/>
        </w:rPr>
        <w:t>利，也属于职工薪酬。本公司在职工为其提供服务的会计期间，将实际发生的短期薪酬确认为负债，并计入当期损益，其他</w:t>
      </w:r>
      <w:r>
        <w:rPr>
          <w:spacing w:val="-66"/>
        </w:rPr>
        <w:t> </w:t>
      </w:r>
      <w:r>
        <w:rPr>
          <w:spacing w:val="-66"/>
        </w:rPr>
      </w:r>
      <w:r>
        <w:rPr/>
        <w:t>会计准则要求或允许计入资产成本的除外。</w:t>
      </w:r>
    </w:p>
    <w:p>
      <w:pPr>
        <w:pStyle w:val="BodyText"/>
        <w:spacing w:line="357" w:lineRule="auto" w:before="59"/>
        <w:ind w:left="1493" w:right="0"/>
        <w:jc w:val="left"/>
      </w:pPr>
      <w:r>
        <w:rPr/>
        <w:t>（</w:t>
      </w:r>
      <w:r>
        <w:rPr>
          <w:rFonts w:ascii="宋体" w:hAnsi="宋体" w:cs="宋体" w:eastAsia="宋体" w:hint="default"/>
        </w:rPr>
        <w:t>2</w:t>
      </w:r>
      <w:r>
        <w:rPr/>
        <w:t>）离职后福利的会计处理方法 </w:t>
      </w:r>
      <w:r>
        <w:rPr>
          <w:spacing w:val="-2"/>
        </w:rPr>
        <w:t>本公司将离职后福利计划分类为设定提存计划和设定受益计划。离职后福利计划，是指本公司与职工就离职后福利达成</w:t>
      </w:r>
    </w:p>
    <w:p>
      <w:pPr>
        <w:pStyle w:val="BodyText"/>
        <w:spacing w:line="224" w:lineRule="exact"/>
        <w:ind w:right="0"/>
        <w:jc w:val="left"/>
      </w:pPr>
      <w:r>
        <w:rPr/>
        <w:t>的协议，或者本公司为向职工提供离职后福利制定的规章或办法等。其中，设定提存计划，是指向独立的基金缴存固定费用</w:t>
      </w:r>
    </w:p>
    <w:p>
      <w:pPr>
        <w:pStyle w:val="BodyText"/>
        <w:spacing w:line="357" w:lineRule="auto" w:before="77"/>
        <w:ind w:left="1493" w:right="1118" w:hanging="360"/>
        <w:jc w:val="left"/>
      </w:pPr>
      <w:r>
        <w:rPr/>
        <w:t>后，本公司不再承担进一步支付义务的离职后福利计划；设定受益计划，是指除设定提存计划以外的离职后福利计划。 </w:t>
      </w:r>
      <w:r>
        <w:rPr>
          <w:rFonts w:ascii="宋体" w:hAnsi="宋体" w:cs="宋体" w:eastAsia="宋体" w:hint="default"/>
        </w:rPr>
        <w:t>A</w:t>
      </w:r>
      <w:r>
        <w:rPr/>
        <w:t>、设定提存计划 </w:t>
      </w:r>
      <w:r>
        <w:rPr>
          <w:spacing w:val="-2"/>
        </w:rPr>
        <w:t>本公司在职工为其提供服务的会计期间，将根据设定提存计划计算的应缴存金额确认为负债，并计入当期损益或相关资</w:t>
      </w:r>
    </w:p>
    <w:p>
      <w:pPr>
        <w:pStyle w:val="BodyText"/>
        <w:spacing w:line="225" w:lineRule="exact"/>
        <w:ind w:left="1134" w:right="0"/>
        <w:jc w:val="left"/>
      </w:pPr>
      <w:r>
        <w:rPr/>
        <w:t>产成本。</w:t>
      </w:r>
    </w:p>
    <w:p>
      <w:pPr>
        <w:pStyle w:val="BodyText"/>
        <w:spacing w:line="240" w:lineRule="auto" w:before="116"/>
        <w:ind w:left="1494" w:right="0"/>
        <w:jc w:val="left"/>
      </w:pPr>
      <w:r>
        <w:rPr>
          <w:rFonts w:ascii="宋体" w:hAnsi="宋体" w:cs="宋体" w:eastAsia="宋体" w:hint="default"/>
        </w:rPr>
        <w:t>B</w:t>
      </w:r>
      <w:r>
        <w:rPr/>
        <w:t>、设定受益计划</w:t>
      </w:r>
    </w:p>
    <w:p>
      <w:pPr>
        <w:spacing w:after="0" w:line="240" w:lineRule="auto"/>
        <w:jc w:val="left"/>
        <w:sectPr>
          <w:pgSz w:w="11910" w:h="16840"/>
          <w:pgMar w:header="877" w:footer="1187" w:top="1100" w:bottom="1380" w:left="0" w:right="0"/>
        </w:sectPr>
      </w:pPr>
    </w:p>
    <w:p>
      <w:pPr>
        <w:spacing w:line="240" w:lineRule="auto" w:before="13"/>
        <w:rPr>
          <w:rFonts w:ascii="宋体" w:hAnsi="宋体" w:cs="宋体" w:eastAsia="宋体" w:hint="default"/>
          <w:sz w:val="21"/>
          <w:szCs w:val="21"/>
        </w:rPr>
      </w:pPr>
    </w:p>
    <w:p>
      <w:pPr>
        <w:pStyle w:val="BodyText"/>
        <w:spacing w:line="240" w:lineRule="auto" w:before="44"/>
        <w:ind w:left="1493" w:right="0"/>
        <w:jc w:val="left"/>
      </w:pPr>
      <w:r>
        <w:rPr/>
        <w:t>本公司尚未运作设定受益计划或符合设定受益计划条件的其他长期职工福利。</w:t>
      </w:r>
    </w:p>
    <w:p>
      <w:pPr>
        <w:pStyle w:val="BodyText"/>
        <w:spacing w:line="357" w:lineRule="auto" w:before="116"/>
        <w:ind w:left="1494" w:right="0"/>
        <w:jc w:val="left"/>
      </w:pPr>
      <w:r>
        <w:rPr/>
        <w:t>（</w:t>
      </w:r>
      <w:r>
        <w:rPr>
          <w:rFonts w:ascii="宋体" w:hAnsi="宋体" w:cs="宋体" w:eastAsia="宋体" w:hint="default"/>
        </w:rPr>
        <w:t>3</w:t>
      </w:r>
      <w:r>
        <w:rPr/>
        <w:t>）辞退福利的会计处理方法 </w:t>
      </w:r>
      <w:r>
        <w:rPr>
          <w:spacing w:val="-2"/>
        </w:rPr>
        <w:t>本公司向职工提供辞退福利的，在下列两者孰早日确认辞退福利产生的职工薪酬负债，并计入当期损益：本公司不能单</w:t>
      </w:r>
    </w:p>
    <w:p>
      <w:pPr>
        <w:pStyle w:val="BodyText"/>
        <w:spacing w:line="225" w:lineRule="exact"/>
        <w:ind w:left="1134" w:right="0"/>
        <w:jc w:val="left"/>
      </w:pPr>
      <w:r>
        <w:rPr/>
        <w:t>方面撤回因解除劳动关系计划或裁减建议所提供的辞退福利时</w:t>
      </w:r>
      <w:r>
        <w:rPr>
          <w:spacing w:val="-82"/>
        </w:rPr>
        <w:t>；</w:t>
      </w:r>
      <w:r>
        <w:rPr/>
        <w:t>本公司确认与涉及支付辞退福利的重组相关的成本或费用时。</w:t>
      </w:r>
    </w:p>
    <w:p>
      <w:pPr>
        <w:pStyle w:val="BodyText"/>
        <w:spacing w:line="357" w:lineRule="auto" w:before="116"/>
        <w:ind w:left="1493" w:right="0"/>
        <w:jc w:val="left"/>
      </w:pPr>
      <w:r>
        <w:rPr/>
        <w:t>（</w:t>
      </w:r>
      <w:r>
        <w:rPr>
          <w:rFonts w:ascii="宋体" w:hAnsi="宋体" w:cs="宋体" w:eastAsia="宋体" w:hint="default"/>
        </w:rPr>
        <w:t>4</w:t>
      </w:r>
      <w:r>
        <w:rPr/>
        <w:t>）其他长期职工福利的会计处理方法 </w:t>
      </w:r>
      <w:r>
        <w:rPr>
          <w:spacing w:val="-2"/>
        </w:rPr>
        <w:t>本公司向职工提供的其他长期职工福利，符合设定提存计划条件的，按照上述设定提存计划的会计政策进行处理；除此</w:t>
      </w:r>
    </w:p>
    <w:p>
      <w:pPr>
        <w:pStyle w:val="BodyText"/>
        <w:spacing w:line="225" w:lineRule="exact"/>
        <w:ind w:right="0"/>
        <w:jc w:val="left"/>
      </w:pPr>
      <w:r>
        <w:rPr/>
        <w:t>以外的，按照上述设定受益计划的会计政策确认和计量其他长期职工福利净负债或净资产。</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1、预计负债" w:id="194"/>
      <w:bookmarkEnd w:id="194"/>
      <w:r>
        <w:rPr>
          <w:b w:val="0"/>
          <w:bCs w:val="0"/>
        </w:rPr>
      </w:r>
      <w:r>
        <w:rPr>
          <w:rFonts w:ascii="宋体" w:hAnsi="宋体" w:cs="宋体" w:eastAsia="宋体" w:hint="default"/>
        </w:rPr>
        <w:t>21</w:t>
      </w:r>
      <w:r>
        <w:rPr/>
        <w:t>、预计负债</w:t>
      </w:r>
      <w:r>
        <w:rPr>
          <w:b w:val="0"/>
          <w:bCs w:val="0"/>
        </w:rPr>
      </w:r>
    </w:p>
    <w:p>
      <w:pPr>
        <w:spacing w:line="240" w:lineRule="auto" w:before="11"/>
        <w:rPr>
          <w:rFonts w:ascii="宋体" w:hAnsi="宋体" w:cs="宋体" w:eastAsia="宋体" w:hint="default"/>
          <w:b/>
          <w:bCs/>
          <w:sz w:val="27"/>
          <w:szCs w:val="27"/>
        </w:rPr>
      </w:pPr>
    </w:p>
    <w:p>
      <w:pPr>
        <w:pStyle w:val="BodyText"/>
        <w:spacing w:line="360" w:lineRule="auto"/>
        <w:ind w:left="1494" w:right="4452"/>
        <w:jc w:val="left"/>
      </w:pPr>
      <w:r>
        <w:rPr/>
        <w:t>（</w:t>
      </w:r>
      <w:r>
        <w:rPr>
          <w:rFonts w:ascii="宋体" w:hAnsi="宋体" w:cs="宋体" w:eastAsia="宋体" w:hint="default"/>
        </w:rPr>
        <w:t>1</w:t>
      </w:r>
      <w:r>
        <w:rPr/>
        <w:t>）预计负债的确认标准 本公司规定与或有事项相关的义务同时满足下列条件的，确认为预计负债：</w:t>
      </w:r>
    </w:p>
    <w:p>
      <w:pPr>
        <w:pStyle w:val="BodyText"/>
        <w:spacing w:line="240" w:lineRule="auto" w:before="26"/>
        <w:ind w:left="1493" w:right="0"/>
        <w:jc w:val="left"/>
      </w:pPr>
      <w:r>
        <w:rPr/>
        <w:t>①该义务是企业承担的现时义务；</w:t>
      </w:r>
    </w:p>
    <w:p>
      <w:pPr>
        <w:pStyle w:val="BodyText"/>
        <w:spacing w:line="240" w:lineRule="auto" w:before="116"/>
        <w:ind w:left="1493" w:right="0"/>
        <w:jc w:val="left"/>
      </w:pPr>
      <w:r>
        <w:rPr/>
        <w:t>②履行该义务很可能导致经济利益流出企业；</w:t>
      </w:r>
    </w:p>
    <w:p>
      <w:pPr>
        <w:pStyle w:val="BodyText"/>
        <w:spacing w:line="240" w:lineRule="auto" w:before="117"/>
        <w:ind w:left="1493" w:right="0"/>
        <w:jc w:val="left"/>
      </w:pPr>
      <w:r>
        <w:rPr/>
        <w:t>③该义务的金额能够可靠地计量。</w:t>
      </w:r>
    </w:p>
    <w:p>
      <w:pPr>
        <w:pStyle w:val="BodyText"/>
        <w:spacing w:line="357" w:lineRule="auto" w:before="116"/>
        <w:ind w:left="1494" w:right="0"/>
        <w:jc w:val="left"/>
      </w:pPr>
      <w:r>
        <w:rPr/>
        <w:t>（</w:t>
      </w:r>
      <w:r>
        <w:rPr>
          <w:rFonts w:ascii="宋体" w:hAnsi="宋体" w:cs="宋体" w:eastAsia="宋体" w:hint="default"/>
        </w:rPr>
        <w:t>2</w:t>
      </w:r>
      <w:r>
        <w:rPr/>
        <w:t>）预计负债的计量方法 </w:t>
      </w:r>
      <w:r>
        <w:rPr>
          <w:spacing w:val="-2"/>
        </w:rPr>
        <w:t>预计负债按照履行相关现时义务所需支出的最佳估计数进行初始计量。所需支出存在一个连续范围，且该范围内各种结</w:t>
      </w:r>
    </w:p>
    <w:p>
      <w:pPr>
        <w:pStyle w:val="BodyText"/>
        <w:spacing w:line="225" w:lineRule="exact"/>
        <w:ind w:left="1134" w:right="0"/>
        <w:jc w:val="left"/>
      </w:pPr>
      <w:r>
        <w:rPr/>
        <w:t>果发生的可能性相同的，最佳估计数按照该范围内的中间值确定。在其他情况下，最佳估计数分别下列情况处理：</w:t>
      </w:r>
    </w:p>
    <w:p>
      <w:pPr>
        <w:pStyle w:val="BodyText"/>
        <w:spacing w:line="240" w:lineRule="auto" w:before="117"/>
        <w:ind w:left="1493" w:right="0"/>
        <w:jc w:val="left"/>
      </w:pPr>
      <w:r>
        <w:rPr/>
        <w:t>①或有事项涉及单个项目的，按照最可能发生金额确定。</w:t>
      </w:r>
    </w:p>
    <w:p>
      <w:pPr>
        <w:pStyle w:val="BodyText"/>
        <w:spacing w:line="357" w:lineRule="auto" w:before="116"/>
        <w:ind w:left="1493" w:right="1033"/>
        <w:jc w:val="left"/>
      </w:pPr>
      <w:r>
        <w:rPr/>
        <w:t>②或有事项涉及多个项目的，按照各种可能结果及相关概率计算确定。 在确定最佳估计数时，综合考虑与或有事项有关的风险、不确定性和货币时间价值等因素。货币时间价值影响重大的，</w:t>
      </w:r>
    </w:p>
    <w:p>
      <w:pPr>
        <w:pStyle w:val="BodyText"/>
        <w:spacing w:line="357" w:lineRule="auto"/>
        <w:ind w:left="1584" w:right="1122" w:hanging="450"/>
        <w:jc w:val="left"/>
      </w:pPr>
      <w:r>
        <w:rPr/>
        <w:t>通过对相关未来现金流出进行折现后确定最佳估计数。 本公司清偿预计负债所需支出全部或部分预期由第三方补偿的，补偿金额只有在基本确定能够收到时才能作为资产单</w:t>
      </w:r>
    </w:p>
    <w:p>
      <w:pPr>
        <w:pStyle w:val="BodyText"/>
        <w:spacing w:line="357" w:lineRule="auto"/>
        <w:ind w:left="1494" w:right="1032" w:hanging="360"/>
        <w:jc w:val="left"/>
      </w:pPr>
      <w:r>
        <w:rPr/>
        <w:t>独确认。确认的补偿金额不超过预计负债的账面价值。 本公司在资产负债表日对预计负债的账面价值进行复核。有确凿证据表明该账面价值不能真实反映当前最佳估计数的，</w:t>
      </w:r>
    </w:p>
    <w:p>
      <w:pPr>
        <w:pStyle w:val="BodyText"/>
        <w:spacing w:line="225" w:lineRule="exact"/>
        <w:ind w:left="1134" w:right="0"/>
        <w:jc w:val="left"/>
      </w:pPr>
      <w:r>
        <w:rPr/>
        <w:t>按照当前最佳估计数对该账面价值进行调整。</w:t>
      </w:r>
    </w:p>
    <w:p>
      <w:pPr>
        <w:spacing w:line="240" w:lineRule="auto" w:before="10"/>
        <w:rPr>
          <w:rFonts w:ascii="宋体" w:hAnsi="宋体" w:cs="宋体" w:eastAsia="宋体" w:hint="default"/>
          <w:sz w:val="26"/>
          <w:szCs w:val="26"/>
        </w:rPr>
      </w:pPr>
    </w:p>
    <w:p>
      <w:pPr>
        <w:pStyle w:val="Heading3"/>
        <w:spacing w:line="240" w:lineRule="auto"/>
        <w:ind w:left="1134" w:right="0"/>
        <w:jc w:val="left"/>
        <w:rPr>
          <w:b w:val="0"/>
          <w:bCs w:val="0"/>
        </w:rPr>
      </w:pPr>
      <w:bookmarkStart w:name="22、收入" w:id="195"/>
      <w:bookmarkEnd w:id="195"/>
      <w:r>
        <w:rPr>
          <w:b w:val="0"/>
          <w:bCs w:val="0"/>
        </w:rPr>
      </w:r>
      <w:r>
        <w:rPr>
          <w:rFonts w:ascii="宋体" w:hAnsi="宋体" w:cs="宋体" w:eastAsia="宋体" w:hint="default"/>
        </w:rPr>
        <w:t>22</w:t>
      </w:r>
      <w:r>
        <w:rPr/>
        <w:t>、收入</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1494" w:right="0"/>
        <w:jc w:val="left"/>
      </w:pPr>
      <w:r>
        <w:rPr/>
        <w:t>本公司的收入包括商品收入、技术服务及开发收入、系统集成收入、让渡资产使用权收入。</w:t>
      </w:r>
    </w:p>
    <w:p>
      <w:pPr>
        <w:pStyle w:val="BodyText"/>
        <w:spacing w:line="357" w:lineRule="auto" w:before="116"/>
        <w:ind w:left="1494" w:right="0"/>
        <w:jc w:val="left"/>
      </w:pPr>
      <w:r>
        <w:rPr/>
        <w:t>（</w:t>
      </w:r>
      <w:r>
        <w:rPr>
          <w:rFonts w:ascii="宋体" w:hAnsi="宋体" w:cs="宋体" w:eastAsia="宋体" w:hint="default"/>
        </w:rPr>
        <w:t>1</w:t>
      </w:r>
      <w:r>
        <w:rPr/>
        <w:t>）销售商品收入 </w:t>
      </w:r>
      <w:r>
        <w:rPr>
          <w:spacing w:val="-2"/>
        </w:rPr>
        <w:t>本公司在已将商品所有权上的主要风险和报酬转移给购货方，既没有保留通常与所有权相联系的继续管理权，也没有对</w:t>
      </w:r>
    </w:p>
    <w:p>
      <w:pPr>
        <w:pStyle w:val="BodyText"/>
        <w:spacing w:line="224" w:lineRule="exact"/>
        <w:ind w:left="1134" w:right="0"/>
        <w:jc w:val="left"/>
      </w:pPr>
      <w:r>
        <w:rPr/>
        <w:t>已售出的商品实施有效控制，收入的金额、相关的已发生或将发生的成本能够可靠地计量，相关的经济利益很可能流入企业</w:t>
      </w:r>
    </w:p>
    <w:p>
      <w:pPr>
        <w:pStyle w:val="BodyText"/>
        <w:spacing w:line="357" w:lineRule="auto" w:before="77"/>
        <w:ind w:left="1494" w:right="3372" w:hanging="360"/>
        <w:jc w:val="left"/>
      </w:pPr>
      <w:r>
        <w:rPr/>
        <w:t>时，确认销售商品收入。 公司销售的各类智能卡产品，在货物发给客户且收到客户签收回执后，即确认销售收入。</w:t>
      </w:r>
    </w:p>
    <w:p>
      <w:pPr>
        <w:pStyle w:val="BodyText"/>
        <w:spacing w:line="240" w:lineRule="auto" w:before="28"/>
        <w:ind w:left="1493" w:right="0"/>
        <w:jc w:val="left"/>
      </w:pPr>
      <w:r>
        <w:rPr/>
        <w:t>（</w:t>
      </w:r>
      <w:r>
        <w:rPr>
          <w:rFonts w:ascii="宋体" w:hAnsi="宋体" w:cs="宋体" w:eastAsia="宋体" w:hint="default"/>
        </w:rPr>
        <w:t>2</w:t>
      </w:r>
      <w:r>
        <w:rPr/>
        <w:t>）技术服务及开发收入</w:t>
      </w:r>
    </w:p>
    <w:p>
      <w:pPr>
        <w:pStyle w:val="BodyText"/>
        <w:spacing w:line="357" w:lineRule="auto" w:before="117"/>
        <w:ind w:left="1493" w:right="0"/>
        <w:jc w:val="left"/>
      </w:pPr>
      <w:r>
        <w:rPr/>
        <w:t>①技术服务收入 </w:t>
      </w:r>
      <w:r>
        <w:rPr>
          <w:spacing w:val="-2"/>
        </w:rPr>
        <w:t>技术服务收入指公司提供的与公司软件开发或者系统集成服务相关的系统维护、版本升级、技术支持、售后服务等有偿</w:t>
      </w:r>
    </w:p>
    <w:p>
      <w:pPr>
        <w:pStyle w:val="BodyText"/>
        <w:spacing w:line="224" w:lineRule="exact"/>
        <w:ind w:right="0"/>
        <w:jc w:val="left"/>
      </w:pPr>
      <w:r>
        <w:rPr/>
        <w:t>服务。在本公司已经提供服务，收到价款或取得收款的依据，且与提供服务相关的成本能够可靠地计量，相关的经济利益能</w:t>
      </w:r>
    </w:p>
    <w:p>
      <w:pPr>
        <w:pStyle w:val="BodyText"/>
        <w:spacing w:line="357" w:lineRule="auto" w:before="77"/>
        <w:ind w:left="1493" w:right="1123" w:hanging="360"/>
        <w:jc w:val="left"/>
      </w:pPr>
      <w:r>
        <w:rPr/>
        <w:t>够流入时，确认技术服务收入。公司已经提供服务的判断依据为： </w:t>
      </w:r>
      <w:r>
        <w:rPr>
          <w:rFonts w:ascii="宋体" w:hAnsi="宋体" w:cs="宋体" w:eastAsia="宋体" w:hint="default"/>
        </w:rPr>
        <w:t>a</w:t>
      </w:r>
      <w:r>
        <w:rPr/>
        <w:t>、合同规定存在服务期的，按至资产负债表日期间占服务总期间的比例确认已提供的服务； </w:t>
      </w:r>
      <w:r>
        <w:rPr>
          <w:rFonts w:ascii="宋体" w:hAnsi="宋体" w:cs="宋体" w:eastAsia="宋体" w:hint="default"/>
        </w:rPr>
        <w:t>b</w:t>
      </w:r>
      <w:r>
        <w:rPr/>
        <w:t>、合同规定不存在服务期的，提供的服务在同一会计年度开始并完成的，服务视为一次提供；服务的开始和完成分属</w:t>
      </w:r>
    </w:p>
    <w:p>
      <w:pPr>
        <w:spacing w:after="0" w:line="357" w:lineRule="auto"/>
        <w:jc w:val="left"/>
        <w:sectPr>
          <w:pgSz w:w="11910" w:h="16840"/>
          <w:pgMar w:header="877" w:footer="1187" w:top="1100" w:bottom="1380" w:left="0" w:right="0"/>
        </w:sectPr>
      </w:pPr>
    </w:p>
    <w:p>
      <w:pPr>
        <w:spacing w:line="240" w:lineRule="auto" w:before="12"/>
        <w:rPr>
          <w:rFonts w:ascii="宋体" w:hAnsi="宋体" w:cs="宋体" w:eastAsia="宋体" w:hint="default"/>
          <w:sz w:val="21"/>
          <w:szCs w:val="21"/>
        </w:rPr>
      </w:pPr>
    </w:p>
    <w:p>
      <w:pPr>
        <w:pStyle w:val="BodyText"/>
        <w:spacing w:line="319" w:lineRule="auto" w:before="44"/>
        <w:ind w:right="0"/>
        <w:jc w:val="left"/>
      </w:pPr>
      <w:r>
        <w:rPr>
          <w:spacing w:val="-2"/>
        </w:rPr>
        <w:t>不同会计年度的，合同明确规定需要客户分阶段验收的，按验收进度确认收入；合同没有规定分阶段验收的，在项目完成并</w:t>
      </w:r>
      <w:r>
        <w:rPr>
          <w:spacing w:val="-66"/>
        </w:rPr>
        <w:t> </w:t>
      </w:r>
      <w:r>
        <w:rPr>
          <w:spacing w:val="-66"/>
        </w:rPr>
      </w:r>
      <w:r>
        <w:rPr/>
        <w:t>经验收后一次确认收入。</w:t>
      </w:r>
    </w:p>
    <w:p>
      <w:pPr>
        <w:pStyle w:val="BodyText"/>
        <w:spacing w:line="357" w:lineRule="auto" w:before="56"/>
        <w:ind w:left="1493" w:right="0"/>
        <w:jc w:val="left"/>
      </w:pPr>
      <w:r>
        <w:rPr/>
        <w:t>②技术开发收入 </w:t>
      </w:r>
      <w:r>
        <w:rPr>
          <w:spacing w:val="-2"/>
        </w:rPr>
        <w:t>技术开发是指根据与客户签订的技术开发合同，对用户的需求进行充分调查和理解，并根据用户的实际需求进行专门的</w:t>
      </w:r>
    </w:p>
    <w:p>
      <w:pPr>
        <w:pStyle w:val="BodyText"/>
        <w:spacing w:line="224" w:lineRule="exact"/>
        <w:ind w:right="0"/>
        <w:jc w:val="left"/>
      </w:pPr>
      <w:r>
        <w:rPr/>
        <w:t>软件设计与开发。在同一会计年度提供的技术开发服务，在项目实施完成并经客户验收确认后确认收入；若技术开发的开始</w:t>
      </w:r>
    </w:p>
    <w:p>
      <w:pPr>
        <w:pStyle w:val="BodyText"/>
        <w:spacing w:line="319" w:lineRule="auto" w:before="76"/>
        <w:ind w:right="0"/>
        <w:jc w:val="left"/>
      </w:pPr>
      <w:r>
        <w:rPr>
          <w:spacing w:val="-2"/>
        </w:rPr>
        <w:t>和完成分属不同会计年度，合同规定分阶段验收的，根据客户分阶段验收的情况确认收入。合同未规定分阶段验收的，在项</w:t>
      </w:r>
      <w:r>
        <w:rPr>
          <w:spacing w:val="-66"/>
        </w:rPr>
        <w:t> </w:t>
      </w:r>
      <w:r>
        <w:rPr>
          <w:spacing w:val="-66"/>
        </w:rPr>
      </w:r>
      <w:r>
        <w:rPr/>
        <w:t>目完成并经验收后一次确认收入。</w:t>
      </w:r>
    </w:p>
    <w:p>
      <w:pPr>
        <w:pStyle w:val="BodyText"/>
        <w:spacing w:line="357" w:lineRule="auto" w:before="56"/>
        <w:ind w:left="1493" w:right="0"/>
        <w:jc w:val="left"/>
      </w:pPr>
      <w:r>
        <w:rPr/>
        <w:t>③增值服务收入 </w:t>
      </w:r>
      <w:r>
        <w:rPr>
          <w:spacing w:val="-2"/>
        </w:rPr>
        <w:t>增值服务是指公司作为内容提供商，通过通信运营商提供的有偿通信通道，向用户提供特定信息的服务。在服务已经提</w:t>
      </w:r>
    </w:p>
    <w:p>
      <w:pPr>
        <w:pStyle w:val="BodyText"/>
        <w:spacing w:line="225" w:lineRule="exact"/>
        <w:ind w:right="0"/>
        <w:jc w:val="left"/>
      </w:pPr>
      <w:r>
        <w:rPr/>
        <w:t>供，运营商计费系统的统计数据经双方确认后，按照合同规定的分成比例确认收入。</w:t>
      </w:r>
    </w:p>
    <w:p>
      <w:pPr>
        <w:pStyle w:val="BodyText"/>
        <w:spacing w:line="357" w:lineRule="auto" w:before="117"/>
        <w:ind w:left="1494" w:right="0"/>
        <w:jc w:val="left"/>
      </w:pPr>
      <w:r>
        <w:rPr/>
        <w:t>（</w:t>
      </w:r>
      <w:r>
        <w:rPr>
          <w:rFonts w:ascii="宋体" w:hAnsi="宋体" w:cs="宋体" w:eastAsia="宋体" w:hint="default"/>
        </w:rPr>
        <w:t>3</w:t>
      </w:r>
      <w:r>
        <w:rPr/>
        <w:t>）系统集成收入 </w:t>
      </w:r>
      <w:r>
        <w:rPr>
          <w:spacing w:val="-4"/>
        </w:rPr>
        <w:t>系统集成是指公司根据特定客户的需求，将各种软硬件协调组织成一个应用系统的服务。系统集成业务满足下列条件的，</w:t>
      </w:r>
    </w:p>
    <w:p>
      <w:pPr>
        <w:pStyle w:val="BodyText"/>
        <w:spacing w:line="225" w:lineRule="exact"/>
        <w:ind w:left="1134" w:right="0"/>
        <w:jc w:val="left"/>
      </w:pPr>
      <w:r>
        <w:rPr/>
        <w:t>予以确认收入：</w:t>
      </w:r>
    </w:p>
    <w:p>
      <w:pPr>
        <w:pStyle w:val="BodyText"/>
        <w:spacing w:line="319" w:lineRule="auto" w:before="115"/>
        <w:ind w:right="1131" w:firstLine="360"/>
        <w:jc w:val="both"/>
      </w:pPr>
      <w:r>
        <w:rPr>
          <w:spacing w:val="-2"/>
        </w:rPr>
        <w:t>①项目所涉及软硬件产品所有权上的主要风险和报酬已转移给买方，其中软件产品已授权给购买方使用即视为软件产品</w:t>
      </w:r>
      <w:r>
        <w:rPr/>
        <w:t> 使用权上的主要风险和报酬已转移</w:t>
      </w:r>
      <w:r>
        <w:rPr>
          <w:rFonts w:ascii="宋体" w:hAnsi="宋体" w:cs="宋体" w:eastAsia="宋体" w:hint="default"/>
        </w:rPr>
        <w:t>.</w:t>
      </w:r>
      <w:r>
        <w:rPr/>
        <w:t>具体判断标准为软硬件产品已交付买方并经验收确认，需要安装调试的已安装调试并经 客户验收。</w:t>
      </w:r>
    </w:p>
    <w:p>
      <w:pPr>
        <w:pStyle w:val="BodyText"/>
        <w:spacing w:line="240" w:lineRule="auto" w:before="58"/>
        <w:ind w:left="1494" w:right="0"/>
        <w:jc w:val="left"/>
      </w:pPr>
      <w:r>
        <w:rPr/>
        <w:t>②公司不再保留与售出软硬件产品相联系的继续管理权和控制权；</w:t>
      </w:r>
    </w:p>
    <w:p>
      <w:pPr>
        <w:pStyle w:val="BodyText"/>
        <w:spacing w:line="240" w:lineRule="auto" w:before="116"/>
        <w:ind w:left="1493" w:right="0"/>
        <w:jc w:val="left"/>
      </w:pPr>
      <w:r>
        <w:rPr/>
        <w:t>③收入的金额能够可靠的计量；</w:t>
      </w:r>
    </w:p>
    <w:p>
      <w:pPr>
        <w:pStyle w:val="BodyText"/>
        <w:spacing w:line="240" w:lineRule="auto" w:before="116"/>
        <w:ind w:left="1493" w:right="0"/>
        <w:jc w:val="left"/>
      </w:pPr>
      <w:r>
        <w:rPr/>
        <w:t>④相关的经济利益很可能流入企业；</w:t>
      </w:r>
    </w:p>
    <w:p>
      <w:pPr>
        <w:pStyle w:val="BodyText"/>
        <w:spacing w:line="240" w:lineRule="auto" w:before="117"/>
        <w:ind w:left="1493" w:right="0"/>
        <w:jc w:val="left"/>
      </w:pPr>
      <w:r>
        <w:rPr/>
        <w:t>⑤相关的已发生或将发生的成本能够可靠的计量；</w:t>
      </w:r>
    </w:p>
    <w:p>
      <w:pPr>
        <w:pStyle w:val="BodyText"/>
        <w:spacing w:line="357" w:lineRule="auto" w:before="116"/>
        <w:ind w:left="1494" w:right="6252"/>
        <w:jc w:val="left"/>
      </w:pPr>
      <w:r>
        <w:rPr/>
        <w:t>（</w:t>
      </w:r>
      <w:r>
        <w:rPr>
          <w:rFonts w:ascii="宋体" w:hAnsi="宋体" w:cs="宋体" w:eastAsia="宋体" w:hint="default"/>
        </w:rPr>
        <w:t>4</w:t>
      </w:r>
      <w:r>
        <w:rPr/>
        <w:t>）让渡资产使用权收入 让渡资产使用权收入包括利息收入、使用费收入等。</w:t>
      </w:r>
    </w:p>
    <w:p>
      <w:pPr>
        <w:pStyle w:val="BodyText"/>
        <w:spacing w:line="240" w:lineRule="auto" w:before="29"/>
        <w:ind w:left="1494" w:right="0"/>
        <w:jc w:val="left"/>
      </w:pPr>
      <w:r>
        <w:rPr/>
        <w:t>本公司在收入的金额能够可靠地计量，相关的经济利益很可能流入企业时，确认让渡资产使用权收入。</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3、政府补助" w:id="196"/>
      <w:bookmarkEnd w:id="196"/>
      <w:r>
        <w:rPr>
          <w:b w:val="0"/>
          <w:bCs w:val="0"/>
        </w:rPr>
      </w:r>
      <w:r>
        <w:rPr>
          <w:rFonts w:ascii="宋体" w:hAnsi="宋体" w:cs="宋体" w:eastAsia="宋体" w:hint="default"/>
        </w:rPr>
        <w:t>23</w:t>
      </w:r>
      <w:r>
        <w:rPr/>
        <w:t>、政府补助</w:t>
      </w:r>
      <w:r>
        <w:rPr>
          <w:b w:val="0"/>
          <w:bCs w:val="0"/>
        </w:rPr>
      </w:r>
    </w:p>
    <w:p>
      <w:pPr>
        <w:spacing w:line="240" w:lineRule="auto" w:before="12"/>
        <w:rPr>
          <w:rFonts w:ascii="宋体" w:hAnsi="宋体" w:cs="宋体" w:eastAsia="宋体" w:hint="default"/>
          <w:b/>
          <w:bCs/>
          <w:sz w:val="27"/>
          <w:szCs w:val="27"/>
        </w:rPr>
      </w:pPr>
    </w:p>
    <w:p>
      <w:pPr>
        <w:pStyle w:val="BodyText"/>
        <w:spacing w:line="357" w:lineRule="auto"/>
        <w:ind w:left="1493" w:right="1033"/>
        <w:jc w:val="left"/>
      </w:pPr>
      <w:r>
        <w:rPr/>
        <w:t>（</w:t>
      </w:r>
      <w:r>
        <w:rPr>
          <w:rFonts w:ascii="宋体" w:hAnsi="宋体" w:cs="宋体" w:eastAsia="宋体" w:hint="default"/>
        </w:rPr>
        <w:t>1</w:t>
      </w:r>
      <w:r>
        <w:rPr/>
        <w:t>）与资产相关的政府补助判断依据及会计处理方法 与资产相关的政府补助，是指本公司取得的、用于购建或以其他方式形成长期资产的政府补助。 与资产相关的政府补助，取得时确认为递延收益，自相关资产达到预定可使用状态时，在该资产使用寿命内平均分配，</w:t>
      </w:r>
    </w:p>
    <w:p>
      <w:pPr>
        <w:pStyle w:val="BodyText"/>
        <w:spacing w:line="224" w:lineRule="exact"/>
        <w:ind w:right="0"/>
        <w:jc w:val="left"/>
      </w:pPr>
      <w:r>
        <w:rPr/>
        <w:t>分次计入以后各期的损益。相关资产在使用寿命结束前被出售、转让、报废或发生毁损的，将尚未分配的递延收益余额一次</w:t>
      </w:r>
    </w:p>
    <w:p>
      <w:pPr>
        <w:pStyle w:val="BodyText"/>
        <w:spacing w:line="240" w:lineRule="auto" w:before="77"/>
        <w:ind w:right="0"/>
        <w:jc w:val="left"/>
      </w:pPr>
      <w:r>
        <w:rPr/>
        <w:t>性转入资产处置当期的损益。</w:t>
      </w:r>
    </w:p>
    <w:p>
      <w:pPr>
        <w:pStyle w:val="BodyText"/>
        <w:spacing w:line="357" w:lineRule="auto" w:before="117"/>
        <w:ind w:left="1494" w:right="0"/>
        <w:jc w:val="left"/>
      </w:pPr>
      <w:r>
        <w:rPr/>
        <w:t>（</w:t>
      </w:r>
      <w:r>
        <w:rPr>
          <w:rFonts w:ascii="宋体" w:hAnsi="宋体" w:cs="宋体" w:eastAsia="宋体" w:hint="default"/>
        </w:rPr>
        <w:t>2</w:t>
      </w:r>
      <w:r>
        <w:rPr/>
        <w:t>）与收益相关的政府补助判断依据及会计处理方法 </w:t>
      </w:r>
      <w:r>
        <w:rPr>
          <w:spacing w:val="-2"/>
        </w:rPr>
        <w:t>与收益相关的政府补助，是指除与资产相关的政府补助之外的政府补助。如果政府补助文件未明确确定补助对象，除有</w:t>
      </w:r>
    </w:p>
    <w:p>
      <w:pPr>
        <w:pStyle w:val="BodyText"/>
        <w:spacing w:line="357" w:lineRule="auto"/>
        <w:ind w:left="1493" w:right="0" w:hanging="360"/>
        <w:jc w:val="left"/>
      </w:pPr>
      <w:r>
        <w:rPr/>
        <w:t>确凿证据证明属于与资产相关的政府补助外，本公司将其划分为与收益相关的政府补助。 </w:t>
      </w:r>
      <w:r>
        <w:rPr>
          <w:spacing w:val="-2"/>
        </w:rPr>
        <w:t>与收益相关的政府补助，用于补偿以后期间的相关费用或损失的，取得时确认为递延收益，在确认相关费用的期间计入</w:t>
      </w:r>
    </w:p>
    <w:p>
      <w:pPr>
        <w:pStyle w:val="BodyText"/>
        <w:spacing w:line="225" w:lineRule="exact"/>
        <w:ind w:right="0"/>
        <w:jc w:val="left"/>
      </w:pPr>
      <w:r>
        <w:rPr/>
        <w:t>当期损益；用于补偿已发生的相关费用或损失的，取得时直接计入当期损益。</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4、递延所得税资产/递延所得税负债" w:id="197"/>
      <w:bookmarkEnd w:id="197"/>
      <w:r>
        <w:rPr>
          <w:b w:val="0"/>
          <w:bCs w:val="0"/>
        </w:rPr>
      </w:r>
      <w:r>
        <w:rPr>
          <w:rFonts w:ascii="宋体" w:hAnsi="宋体" w:cs="宋体" w:eastAsia="宋体" w:hint="default"/>
        </w:rPr>
        <w:t>24</w:t>
      </w:r>
      <w:r>
        <w:rPr/>
        <w:t>、递延所得税资产</w:t>
      </w:r>
      <w:r>
        <w:rPr>
          <w:rFonts w:ascii="宋体" w:hAnsi="宋体" w:cs="宋体" w:eastAsia="宋体" w:hint="default"/>
        </w:rPr>
        <w:t>/</w:t>
      </w:r>
      <w:r>
        <w:rPr/>
        <w:t>递延所得税负债</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1493" w:right="0"/>
        <w:jc w:val="left"/>
      </w:pPr>
      <w:r>
        <w:rPr/>
        <w:t>本公司采用资产负债表债务法进行所得税会计处理。</w:t>
      </w:r>
    </w:p>
    <w:p>
      <w:pPr>
        <w:pStyle w:val="BodyText"/>
        <w:spacing w:line="240" w:lineRule="auto" w:before="117"/>
        <w:ind w:left="1493" w:right="0"/>
        <w:jc w:val="left"/>
      </w:pPr>
      <w:r>
        <w:rPr/>
        <w:t>（</w:t>
      </w:r>
      <w:r>
        <w:rPr>
          <w:rFonts w:ascii="宋体" w:hAnsi="宋体" w:cs="宋体" w:eastAsia="宋体" w:hint="default"/>
        </w:rPr>
        <w:t>1</w:t>
      </w:r>
      <w:r>
        <w:rPr/>
        <w:t>）递延所得税资产</w:t>
      </w:r>
    </w:p>
    <w:p>
      <w:pPr>
        <w:pStyle w:val="BodyText"/>
        <w:spacing w:line="240" w:lineRule="auto" w:before="115"/>
        <w:ind w:left="1494" w:right="0"/>
        <w:jc w:val="left"/>
      </w:pPr>
      <w:r>
        <w:rPr/>
        <w:t>①资产、负债的账面价值与其计税基础存在可抵扣暂时性差异的，以未来期间很可能取得的用以抵扣可抵扣暂时性差异</w:t>
      </w:r>
    </w:p>
    <w:p>
      <w:pPr>
        <w:spacing w:after="0" w:line="240" w:lineRule="auto"/>
        <w:jc w:val="left"/>
        <w:sectPr>
          <w:footerReference w:type="default" r:id="rId42"/>
          <w:pgSz w:w="11910" w:h="16840"/>
          <w:pgMar w:footer="1187" w:header="877" w:top="1100" w:bottom="1380" w:left="0" w:right="0"/>
          <w:pgNumType w:start="96"/>
        </w:sectPr>
      </w:pPr>
    </w:p>
    <w:p>
      <w:pPr>
        <w:spacing w:line="240" w:lineRule="auto" w:before="12"/>
        <w:rPr>
          <w:rFonts w:ascii="宋体" w:hAnsi="宋体" w:cs="宋体" w:eastAsia="宋体" w:hint="default"/>
          <w:sz w:val="21"/>
          <w:szCs w:val="21"/>
        </w:rPr>
      </w:pPr>
    </w:p>
    <w:p>
      <w:pPr>
        <w:pStyle w:val="BodyText"/>
        <w:spacing w:line="319" w:lineRule="auto" w:before="44"/>
        <w:ind w:right="1132"/>
        <w:jc w:val="both"/>
      </w:pPr>
      <w:r>
        <w:rPr>
          <w:spacing w:val="-2"/>
        </w:rPr>
        <w:t>的应纳税所得额为限，按照预期收回该资产或清偿该负债期间的适用税率，计算确认由可抵扣暂时性差异产生的递延所得税</w:t>
      </w:r>
      <w:r>
        <w:rPr>
          <w:spacing w:val="-64"/>
        </w:rPr>
        <w:t> </w:t>
      </w:r>
      <w:r>
        <w:rPr>
          <w:spacing w:val="-64"/>
        </w:rPr>
      </w:r>
      <w:r>
        <w:rPr/>
        <w:t>资产。</w:t>
      </w:r>
    </w:p>
    <w:p>
      <w:pPr>
        <w:pStyle w:val="BodyText"/>
        <w:spacing w:line="319" w:lineRule="auto" w:before="55"/>
        <w:ind w:right="0" w:firstLine="360"/>
        <w:jc w:val="left"/>
      </w:pPr>
      <w:r>
        <w:rPr>
          <w:spacing w:val="-2"/>
        </w:rPr>
        <w:t>②资产负债表日，有确凿证据表明未来期间很可能获得足够的应纳税所得额用来抵扣可抵扣暂时性差异的，确认以前期</w:t>
      </w:r>
      <w:r>
        <w:rPr/>
        <w:t> 间未确认的递延所得税资产。</w:t>
      </w:r>
    </w:p>
    <w:p>
      <w:pPr>
        <w:pStyle w:val="BodyText"/>
        <w:spacing w:line="319" w:lineRule="auto" w:before="57"/>
        <w:ind w:right="0" w:firstLine="360"/>
        <w:jc w:val="left"/>
      </w:pPr>
      <w:r>
        <w:rPr>
          <w:spacing w:val="-2"/>
        </w:rPr>
        <w:t>③资产负债表日，对递延所得税资产的账面价值进行复核。如果未来期间很可能无法获得足够的应纳税所得额用以抵扣</w:t>
      </w:r>
      <w:r>
        <w:rPr/>
        <w:t> 递延所得税资产的利益，减记递延所得税资产的账面价值。在很可能获得足够的应纳税所得额时，转回减记的金额。</w:t>
      </w:r>
    </w:p>
    <w:p>
      <w:pPr>
        <w:pStyle w:val="BodyText"/>
        <w:spacing w:line="357" w:lineRule="auto" w:before="56"/>
        <w:ind w:left="1494" w:right="0"/>
        <w:jc w:val="left"/>
      </w:pPr>
      <w:r>
        <w:rPr/>
        <w:t>（</w:t>
      </w:r>
      <w:r>
        <w:rPr>
          <w:rFonts w:ascii="宋体" w:hAnsi="宋体" w:cs="宋体" w:eastAsia="宋体" w:hint="default"/>
        </w:rPr>
        <w:t>2</w:t>
      </w:r>
      <w:r>
        <w:rPr/>
        <w:t>）递延所得税负债 </w:t>
      </w:r>
      <w:r>
        <w:rPr>
          <w:spacing w:val="-2"/>
        </w:rPr>
        <w:t>资产、负债的账面价值与其计税基础存在应纳税暂时性差异的，按照预期收回该资产或清偿该负债期间的适用税率，确</w:t>
      </w:r>
    </w:p>
    <w:p>
      <w:pPr>
        <w:pStyle w:val="BodyText"/>
        <w:spacing w:line="225" w:lineRule="exact"/>
        <w:ind w:left="1134" w:right="0"/>
        <w:jc w:val="both"/>
      </w:pPr>
      <w:r>
        <w:rPr/>
        <w:t>认由应纳税暂时性差异产生的递延所得税负债。</w:t>
      </w:r>
    </w:p>
    <w:p>
      <w:pPr>
        <w:spacing w:line="240" w:lineRule="auto" w:before="11"/>
        <w:rPr>
          <w:rFonts w:ascii="宋体" w:hAnsi="宋体" w:cs="宋体" w:eastAsia="宋体" w:hint="default"/>
          <w:sz w:val="26"/>
          <w:szCs w:val="26"/>
        </w:rPr>
      </w:pPr>
    </w:p>
    <w:p>
      <w:pPr>
        <w:pStyle w:val="Heading3"/>
        <w:spacing w:line="240" w:lineRule="auto"/>
        <w:ind w:left="1134" w:right="0"/>
        <w:jc w:val="both"/>
        <w:rPr>
          <w:b w:val="0"/>
          <w:bCs w:val="0"/>
        </w:rPr>
      </w:pPr>
      <w:bookmarkStart w:name="25、租赁" w:id="198"/>
      <w:bookmarkEnd w:id="198"/>
      <w:r>
        <w:rPr>
          <w:b w:val="0"/>
          <w:bCs w:val="0"/>
        </w:rPr>
      </w:r>
      <w:r>
        <w:rPr>
          <w:rFonts w:ascii="宋体" w:hAnsi="宋体" w:cs="宋体" w:eastAsia="宋体" w:hint="default"/>
        </w:rPr>
        <w:t>25</w:t>
      </w:r>
      <w:r>
        <w:rPr/>
        <w:t>、租赁</w:t>
      </w:r>
      <w:r>
        <w:rPr>
          <w:b w:val="0"/>
          <w:bCs w:val="0"/>
        </w:rPr>
      </w:r>
    </w:p>
    <w:p>
      <w:pPr>
        <w:spacing w:line="240" w:lineRule="auto" w:before="11"/>
        <w:rPr>
          <w:rFonts w:ascii="宋体" w:hAnsi="宋体" w:cs="宋体" w:eastAsia="宋体" w:hint="default"/>
          <w:b/>
          <w:bCs/>
          <w:sz w:val="27"/>
          <w:szCs w:val="27"/>
        </w:rPr>
      </w:pPr>
    </w:p>
    <w:p>
      <w:pPr>
        <w:pStyle w:val="BodyText"/>
        <w:spacing w:line="357" w:lineRule="auto"/>
        <w:ind w:left="1494" w:right="0"/>
        <w:jc w:val="left"/>
      </w:pPr>
      <w:r>
        <w:rPr/>
        <w:t>（</w:t>
      </w:r>
      <w:r>
        <w:rPr>
          <w:rFonts w:ascii="宋体" w:hAnsi="宋体" w:cs="宋体" w:eastAsia="宋体" w:hint="default"/>
        </w:rPr>
        <w:t>1</w:t>
      </w:r>
      <w:r>
        <w:rPr/>
        <w:t>）经营租赁的会计处理方法 </w:t>
      </w:r>
      <w:r>
        <w:rPr>
          <w:spacing w:val="-2"/>
        </w:rPr>
        <w:t>本公司作为承租人，对于经营租赁的租金，在租赁期内各个期间按照直线法计入相关资产成本或当期损益；发生的初始</w:t>
      </w:r>
    </w:p>
    <w:p>
      <w:pPr>
        <w:pStyle w:val="BodyText"/>
        <w:spacing w:line="357" w:lineRule="auto"/>
        <w:ind w:left="1494" w:right="0" w:hanging="360"/>
        <w:jc w:val="left"/>
      </w:pPr>
      <w:r>
        <w:rPr/>
        <w:t>直接费用，计入当期损益；或有租金在实际发生时计入当期损益。 </w:t>
      </w:r>
      <w:r>
        <w:rPr>
          <w:spacing w:val="-2"/>
        </w:rPr>
        <w:t>本公司作为出租人，按资产的性质将用作经营租赁的资产包括在资产负债表中的相关项目内；对于经营租赁的租金，在</w:t>
      </w:r>
    </w:p>
    <w:p>
      <w:pPr>
        <w:pStyle w:val="BodyText"/>
        <w:spacing w:line="224" w:lineRule="exact"/>
        <w:ind w:left="1134" w:right="0"/>
        <w:jc w:val="both"/>
      </w:pPr>
      <w:r>
        <w:rPr/>
        <w:t>租赁期内各个期间按照直线法确认为当期损益；发生的初始直接费用，计入当期损益；对于经营租赁资产中的固定资产，采</w:t>
      </w:r>
    </w:p>
    <w:p>
      <w:pPr>
        <w:pStyle w:val="BodyText"/>
        <w:spacing w:line="319" w:lineRule="auto" w:before="76"/>
        <w:ind w:left="1134" w:right="1133"/>
        <w:jc w:val="both"/>
      </w:pPr>
      <w:r>
        <w:rPr>
          <w:spacing w:val="-2"/>
        </w:rPr>
        <w:t>用类似资产的折旧政策计提折旧；对于其他经营租赁资产，采用系统合理的方法进行摊销；或有租金在实际发生时计入当期</w:t>
      </w:r>
      <w:r>
        <w:rPr>
          <w:spacing w:val="-66"/>
        </w:rPr>
        <w:t> </w:t>
      </w:r>
      <w:r>
        <w:rPr>
          <w:spacing w:val="-66"/>
        </w:rPr>
      </w:r>
      <w:r>
        <w:rPr/>
        <w:t>损益。</w:t>
      </w:r>
    </w:p>
    <w:p>
      <w:pPr>
        <w:pStyle w:val="BodyText"/>
        <w:spacing w:line="357" w:lineRule="auto" w:before="56"/>
        <w:ind w:left="1494" w:right="0"/>
        <w:jc w:val="left"/>
      </w:pPr>
      <w:r>
        <w:rPr/>
        <w:t>（</w:t>
      </w:r>
      <w:r>
        <w:rPr>
          <w:rFonts w:ascii="宋体" w:hAnsi="宋体" w:cs="宋体" w:eastAsia="宋体" w:hint="default"/>
        </w:rPr>
        <w:t>2</w:t>
      </w:r>
      <w:r>
        <w:rPr/>
        <w:t>）融资租赁的会计处理方法 </w:t>
      </w:r>
      <w:r>
        <w:rPr>
          <w:spacing w:val="-2"/>
        </w:rPr>
        <w:t>本公司作为承租人，在租赁期开始日将租赁开始日租赁资产公允价值与最低租赁付款额现值两者中较低者作为租入资产</w:t>
      </w:r>
    </w:p>
    <w:p>
      <w:pPr>
        <w:pStyle w:val="BodyText"/>
        <w:spacing w:line="224" w:lineRule="exact"/>
        <w:ind w:left="1134" w:right="0"/>
        <w:jc w:val="both"/>
      </w:pPr>
      <w:r>
        <w:rPr/>
        <w:t>的入账价值，将最低租赁付款额作为长期应付款的入账价值，其差额作为未确认融资费用；在租赁谈判和签订租赁合同过程</w:t>
      </w:r>
    </w:p>
    <w:p>
      <w:pPr>
        <w:pStyle w:val="BodyText"/>
        <w:spacing w:line="319" w:lineRule="auto" w:before="76"/>
        <w:ind w:left="1134" w:right="1129"/>
        <w:jc w:val="both"/>
      </w:pPr>
      <w:r>
        <w:rPr>
          <w:spacing w:val="-2"/>
        </w:rPr>
        <w:t>中发生的，可归属于租赁项目的手续费、律师费、差旅费、印花税等初始直接费用，计入租入资产价值；未确认融资费用在</w:t>
      </w:r>
      <w:r>
        <w:rPr>
          <w:spacing w:val="-68"/>
        </w:rPr>
        <w:t> </w:t>
      </w:r>
      <w:r>
        <w:rPr>
          <w:spacing w:val="-68"/>
        </w:rPr>
      </w:r>
      <w:r>
        <w:rPr/>
        <w:t>租赁期内各个期间进行分摊，采用实际利率法计算确认当期的融资费用；或有租金在实际发生时计入当期损益。</w:t>
      </w:r>
    </w:p>
    <w:p>
      <w:pPr>
        <w:pStyle w:val="BodyText"/>
        <w:spacing w:line="319" w:lineRule="auto" w:before="55"/>
        <w:ind w:right="0" w:firstLine="360"/>
        <w:jc w:val="left"/>
      </w:pPr>
      <w:r>
        <w:rPr>
          <w:spacing w:val="-2"/>
        </w:rPr>
        <w:t>在计算最低租赁付款额的现值时，能够取得出租人租赁内含利率的，采用租赁内含利率作为折现率；否则，采用租赁合</w:t>
      </w:r>
      <w:r>
        <w:rPr/>
        <w:t> </w:t>
      </w:r>
      <w:r>
        <w:rPr>
          <w:spacing w:val="-4"/>
        </w:rPr>
        <w:t>同规定的利率作为折现率。无法取得出租人的租赁内含利率且租赁合同没有规定利率的，采用同期银行贷款利率作为折现率。</w:t>
      </w:r>
    </w:p>
    <w:p>
      <w:pPr>
        <w:pStyle w:val="BodyText"/>
        <w:spacing w:line="319" w:lineRule="auto" w:before="55"/>
        <w:ind w:left="1134" w:right="1032" w:firstLine="360"/>
        <w:jc w:val="left"/>
      </w:pPr>
      <w:r>
        <w:rPr/>
        <w:t>本公司采用与自有固定资产相一致的折旧政策计提租赁资产折旧。能够合理确定租赁期届满时取得租赁资产所有权的， </w:t>
      </w:r>
      <w:r>
        <w:rPr>
          <w:spacing w:val="-2"/>
        </w:rPr>
        <w:t>在租赁资产使用寿命内计提折旧。无法合理确定租赁期届满时能够取得租赁资产所有权的，在租赁期与租赁资产使用寿命两</w:t>
      </w:r>
      <w:r>
        <w:rPr>
          <w:spacing w:val="-64"/>
        </w:rPr>
        <w:t> </w:t>
      </w:r>
      <w:r>
        <w:rPr>
          <w:spacing w:val="-64"/>
        </w:rPr>
      </w:r>
      <w:r>
        <w:rPr/>
        <w:t>者中较短的期间内计提折旧。</w:t>
      </w:r>
    </w:p>
    <w:p>
      <w:pPr>
        <w:pStyle w:val="BodyText"/>
        <w:spacing w:line="319" w:lineRule="auto" w:before="56"/>
        <w:ind w:left="1134" w:right="712" w:firstLine="360"/>
        <w:jc w:val="left"/>
      </w:pPr>
      <w:r>
        <w:rPr>
          <w:spacing w:val="-2"/>
        </w:rPr>
        <w:t>本公司作为出租人，在租赁期开始日将租赁开始日最低租赁收款额与初始直接费用之和作为应收融资租赁款的入账价值，</w:t>
      </w:r>
      <w:r>
        <w:rPr/>
        <w:t> 同时记录未担保余值；将最低租赁收款额、初始直接费用及未担保余值之和与其现值之和的差额确认为未实现融资收益；未 实现融资收益在租赁期内各个期间进行分配；采用实际利率法计算确认当期的融资收入；或有租金在实际发生时计入当期损 益。</w:t>
      </w:r>
    </w:p>
    <w:p>
      <w:pPr>
        <w:spacing w:line="240" w:lineRule="auto" w:before="3"/>
        <w:rPr>
          <w:rFonts w:ascii="宋体" w:hAnsi="宋体" w:cs="宋体" w:eastAsia="宋体" w:hint="default"/>
          <w:sz w:val="22"/>
          <w:szCs w:val="22"/>
        </w:rPr>
      </w:pPr>
    </w:p>
    <w:p>
      <w:pPr>
        <w:pStyle w:val="Heading3"/>
        <w:spacing w:line="240" w:lineRule="auto"/>
        <w:ind w:left="1134" w:right="0"/>
        <w:jc w:val="both"/>
        <w:rPr>
          <w:b w:val="0"/>
          <w:bCs w:val="0"/>
        </w:rPr>
      </w:pPr>
      <w:bookmarkStart w:name="26、其他重要的会计政策和会计估计" w:id="199"/>
      <w:bookmarkEnd w:id="199"/>
      <w:r>
        <w:rPr>
          <w:b w:val="0"/>
          <w:bCs w:val="0"/>
        </w:rPr>
      </w:r>
      <w:r>
        <w:rPr>
          <w:rFonts w:ascii="宋体" w:hAnsi="宋体" w:cs="宋体" w:eastAsia="宋体" w:hint="default"/>
        </w:rPr>
        <w:t>26</w:t>
      </w:r>
      <w:r>
        <w:rPr/>
        <w:t>、其他重要的会计政策和会计估计</w:t>
      </w:r>
      <w:r>
        <w:rPr>
          <w:b w:val="0"/>
          <w:bCs w:val="0"/>
        </w:rPr>
      </w:r>
    </w:p>
    <w:p>
      <w:pPr>
        <w:spacing w:line="240" w:lineRule="auto" w:before="12"/>
        <w:rPr>
          <w:rFonts w:ascii="宋体" w:hAnsi="宋体" w:cs="宋体" w:eastAsia="宋体" w:hint="default"/>
          <w:b/>
          <w:bCs/>
          <w:sz w:val="27"/>
          <w:szCs w:val="27"/>
        </w:rPr>
      </w:pPr>
    </w:p>
    <w:p>
      <w:pPr>
        <w:pStyle w:val="BodyText"/>
        <w:spacing w:line="357" w:lineRule="auto"/>
        <w:ind w:left="1494" w:right="0"/>
        <w:jc w:val="left"/>
      </w:pPr>
      <w:r>
        <w:rPr/>
        <w:t>（</w:t>
      </w:r>
      <w:r>
        <w:rPr>
          <w:rFonts w:ascii="宋体" w:hAnsi="宋体" w:cs="宋体" w:eastAsia="宋体" w:hint="default"/>
        </w:rPr>
        <w:t>1</w:t>
      </w:r>
      <w:r>
        <w:rPr/>
        <w:t>）公允价值计量 </w:t>
      </w:r>
      <w:r>
        <w:rPr>
          <w:spacing w:val="-2"/>
        </w:rPr>
        <w:t>公允价值，是指市场参与者在计量日发生的有序交易中，出售一项资产所能收到或者转移一项负债所需支付的价格。本</w:t>
      </w:r>
    </w:p>
    <w:p>
      <w:pPr>
        <w:pStyle w:val="BodyText"/>
        <w:spacing w:line="224" w:lineRule="exact"/>
        <w:ind w:left="1134" w:right="0"/>
        <w:jc w:val="both"/>
      </w:pPr>
      <w:r>
        <w:rPr/>
        <w:t>公司以公允价值计量相关资产或负债，考虑该资产或负债的特征；假定市场参与者在计量日出售资产或者转移负债的交易，</w:t>
      </w:r>
    </w:p>
    <w:p>
      <w:pPr>
        <w:pStyle w:val="BodyText"/>
        <w:spacing w:line="319" w:lineRule="auto" w:before="77"/>
        <w:ind w:left="1134" w:right="1132"/>
        <w:jc w:val="both"/>
      </w:pPr>
      <w:r>
        <w:rPr>
          <w:spacing w:val="-2"/>
        </w:rPr>
        <w:t>是在当前市场条件下的有序交易；假定出售资产或者转移负债的有序交易在相关资产或负债的主要市场进行；不存在主要市</w:t>
      </w:r>
      <w:r>
        <w:rPr>
          <w:spacing w:val="-64"/>
        </w:rPr>
        <w:t> </w:t>
      </w:r>
      <w:r>
        <w:rPr>
          <w:spacing w:val="-64"/>
        </w:rPr>
      </w:r>
      <w:r>
        <w:rPr>
          <w:spacing w:val="-2"/>
        </w:rPr>
        <w:t>场的，假定该交易在相关资产或负债的最有利市场进行。本公司采用市场参与者在对该资产或负债定价时为实现其经济利益</w:t>
      </w:r>
      <w:r>
        <w:rPr>
          <w:spacing w:val="-64"/>
        </w:rPr>
        <w:t> </w:t>
      </w:r>
      <w:r>
        <w:rPr>
          <w:spacing w:val="-64"/>
        </w:rPr>
      </w:r>
      <w:r>
        <w:rPr/>
        <w:t>最大化所使用的假设。</w:t>
      </w:r>
    </w:p>
    <w:p>
      <w:pPr>
        <w:pStyle w:val="BodyText"/>
        <w:spacing w:line="240" w:lineRule="auto" w:before="55"/>
        <w:ind w:left="1494" w:right="0"/>
        <w:jc w:val="left"/>
      </w:pPr>
      <w:r>
        <w:rPr/>
        <w:t>本公司根据交易性质和相关资产或负债的特征等，判断初始确认时的公允价值是否与其交易价格相等；交易价格与公允</w:t>
      </w:r>
    </w:p>
    <w:p>
      <w:pPr>
        <w:spacing w:after="0" w:line="240" w:lineRule="auto"/>
        <w:jc w:val="left"/>
        <w:sectPr>
          <w:footerReference w:type="default" r:id="rId43"/>
          <w:pgSz w:w="11910" w:h="16840"/>
          <w:pgMar w:footer="1187" w:header="877" w:top="1100" w:bottom="1380" w:left="0" w:right="0"/>
          <w:pgNumType w:start="97"/>
        </w:sectPr>
      </w:pPr>
    </w:p>
    <w:p>
      <w:pPr>
        <w:spacing w:line="240" w:lineRule="auto" w:before="13"/>
        <w:rPr>
          <w:rFonts w:ascii="宋体" w:hAnsi="宋体" w:cs="宋体" w:eastAsia="宋体" w:hint="default"/>
          <w:sz w:val="21"/>
          <w:szCs w:val="21"/>
        </w:rPr>
      </w:pPr>
    </w:p>
    <w:p>
      <w:pPr>
        <w:pStyle w:val="BodyText"/>
        <w:spacing w:line="357" w:lineRule="auto" w:before="44"/>
        <w:ind w:left="1493" w:right="0" w:hanging="360"/>
        <w:jc w:val="left"/>
      </w:pPr>
      <w:r>
        <w:rPr/>
        <w:t>价值不相等的，将相关利得或损失计入当期损益，但相关会计准则另有规定的除外。 </w:t>
      </w:r>
      <w:r>
        <w:rPr>
          <w:spacing w:val="-2"/>
        </w:rPr>
        <w:t>本公司采用在当前情况下适用并且有足够可利用数据和其他信息支持的估值技术，使用的估值技术主要包括市场法、收</w:t>
      </w:r>
    </w:p>
    <w:p>
      <w:pPr>
        <w:pStyle w:val="BodyText"/>
        <w:spacing w:line="224" w:lineRule="exact"/>
        <w:ind w:right="0"/>
        <w:jc w:val="left"/>
      </w:pPr>
      <w:r>
        <w:rPr/>
        <w:t>益法和成本法。在估值技术的应用中，优先使用相关可观察输入值，只有在相关可观察输入值无法取得或取得不切实可行的</w:t>
      </w:r>
    </w:p>
    <w:p>
      <w:pPr>
        <w:pStyle w:val="BodyText"/>
        <w:spacing w:line="357" w:lineRule="auto" w:before="77"/>
        <w:ind w:left="1493" w:right="0" w:hanging="360"/>
        <w:jc w:val="left"/>
      </w:pPr>
      <w:r>
        <w:rPr/>
        <w:t>情况下，才可以使用不可观察输入值。 </w:t>
      </w:r>
      <w:r>
        <w:rPr>
          <w:spacing w:val="-2"/>
        </w:rPr>
        <w:t>本公司公允价值计量所使用的输入值划分为三个层次，并首先使用第一层次输入值，其次使用第二层次输入值，最后使</w:t>
      </w:r>
    </w:p>
    <w:p>
      <w:pPr>
        <w:pStyle w:val="BodyText"/>
        <w:spacing w:line="224" w:lineRule="exact"/>
        <w:ind w:right="0"/>
        <w:jc w:val="left"/>
      </w:pPr>
      <w:r>
        <w:rPr/>
        <w:t>用第三层次输入值。第一层次输入值是在计量日能够取得的相同资产或负债在活跃市场上未经调整的报价；第二层次输入值</w:t>
      </w:r>
    </w:p>
    <w:p>
      <w:pPr>
        <w:pStyle w:val="BodyText"/>
        <w:spacing w:line="357" w:lineRule="auto" w:before="77"/>
        <w:ind w:left="1493" w:right="1033" w:hanging="360"/>
        <w:jc w:val="left"/>
      </w:pPr>
      <w:r>
        <w:rPr/>
        <w:t>是除第一层次输入值外相关资产或负债直接或间接可观察的输入值；第三层次输入值是相关资产或负债的不可观察输入值。</w:t>
      </w:r>
      <w:r>
        <w:rPr>
          <w:spacing w:val="-85"/>
        </w:rPr>
        <w:t> </w:t>
      </w:r>
      <w:r>
        <w:rPr>
          <w:spacing w:val="-85"/>
        </w:rPr>
      </w:r>
      <w:r>
        <w:rPr>
          <w:spacing w:val="-2"/>
        </w:rPr>
        <w:t>本公司以公允价值计量非金融资产，考虑市场参与者将该资产用于最佳用途产生经济利益的能力，或者将该资产出售给</w:t>
      </w:r>
    </w:p>
    <w:p>
      <w:pPr>
        <w:pStyle w:val="BodyText"/>
        <w:spacing w:line="224" w:lineRule="exact"/>
        <w:ind w:right="0"/>
        <w:jc w:val="left"/>
      </w:pPr>
      <w:r>
        <w:rPr/>
        <w:t>能够用于最佳用途的其他市场参与者产生经济利益的能力。以公允价值计量负债，假定在计量日将该负债转移给其他市场参</w:t>
      </w:r>
    </w:p>
    <w:p>
      <w:pPr>
        <w:pStyle w:val="BodyText"/>
        <w:spacing w:line="319" w:lineRule="auto" w:before="76"/>
        <w:ind w:right="1131"/>
        <w:jc w:val="both"/>
      </w:pPr>
      <w:r>
        <w:rPr>
          <w:spacing w:val="-2"/>
        </w:rPr>
        <w:t>与者，而且该负债在转移后继续存在，并由作为受让方的市场参与者履行义务。以公允价值计量自身权益工具，假定在计量</w:t>
      </w:r>
      <w:r>
        <w:rPr>
          <w:spacing w:val="-66"/>
        </w:rPr>
        <w:t> </w:t>
      </w:r>
      <w:r>
        <w:rPr>
          <w:spacing w:val="-66"/>
        </w:rPr>
      </w:r>
      <w:r>
        <w:rPr>
          <w:spacing w:val="-2"/>
        </w:rPr>
        <w:t>日将该自身权益工具转移给其他市场参与者，而且该自身权益工具在转移后继续存在，并由作为受让方的市场参与者取得与</w:t>
      </w:r>
      <w:r>
        <w:rPr>
          <w:spacing w:val="-64"/>
        </w:rPr>
        <w:t> </w:t>
      </w:r>
      <w:r>
        <w:rPr>
          <w:spacing w:val="-64"/>
        </w:rPr>
      </w:r>
      <w:r>
        <w:rPr/>
        <w:t>该工具相关的权利、承担相应的义务。</w:t>
      </w:r>
    </w:p>
    <w:p>
      <w:pPr>
        <w:pStyle w:val="BodyText"/>
        <w:spacing w:line="357" w:lineRule="auto" w:before="56"/>
        <w:ind w:left="1493" w:right="1118"/>
        <w:jc w:val="left"/>
      </w:pPr>
      <w:r>
        <w:rPr/>
        <w:t>（</w:t>
      </w:r>
      <w:r>
        <w:rPr>
          <w:rFonts w:ascii="宋体" w:hAnsi="宋体" w:cs="宋体" w:eastAsia="宋体" w:hint="default"/>
        </w:rPr>
        <w:t>2</w:t>
      </w:r>
      <w:r>
        <w:rPr/>
        <w:t>）终止经营 </w:t>
      </w:r>
      <w:r>
        <w:rPr>
          <w:spacing w:val="-2"/>
        </w:rPr>
        <w:t>终止经营，是指满足下列条件之一的已被本公司处置或被本公司划归为持有待售的、在经营和编制财务报表时能够单独</w:t>
      </w:r>
    </w:p>
    <w:p>
      <w:pPr>
        <w:pStyle w:val="BodyText"/>
        <w:spacing w:line="224" w:lineRule="exact"/>
        <w:ind w:right="0"/>
        <w:jc w:val="left"/>
      </w:pPr>
      <w:r>
        <w:rPr/>
        <w:t>区分的组成部分：该组成部分代表一项独立的主要业务或一个主要经营地区；该组成部分是拟对一项独立的主要业务或一个</w:t>
      </w:r>
    </w:p>
    <w:p>
      <w:pPr>
        <w:pStyle w:val="BodyText"/>
        <w:spacing w:line="240" w:lineRule="auto" w:before="77"/>
        <w:ind w:right="0"/>
        <w:jc w:val="left"/>
      </w:pPr>
      <w:r>
        <w:rPr/>
        <w:t>主要经营地区进行处置计划的一部分；该组成部分是仅仅为了再出售而取得的子公司。</w:t>
      </w:r>
    </w:p>
    <w:p>
      <w:pPr>
        <w:pStyle w:val="BodyText"/>
        <w:spacing w:line="357" w:lineRule="auto" w:before="116"/>
        <w:ind w:left="1493" w:right="1118"/>
        <w:jc w:val="left"/>
      </w:pPr>
      <w:r>
        <w:rPr/>
        <w:t>（</w:t>
      </w:r>
      <w:r>
        <w:rPr>
          <w:rFonts w:ascii="宋体" w:hAnsi="宋体" w:cs="宋体" w:eastAsia="宋体" w:hint="default"/>
        </w:rPr>
        <w:t>3</w:t>
      </w:r>
      <w:r>
        <w:rPr/>
        <w:t>）分部报告 </w:t>
      </w:r>
      <w:r>
        <w:rPr>
          <w:spacing w:val="-2"/>
        </w:rPr>
        <w:t>本公司以内部组织结构、管理要求、内部报告制度为依据确定经营分部，以经营分部为基础确定报告分部并披露分部信</w:t>
      </w:r>
    </w:p>
    <w:p>
      <w:pPr>
        <w:pStyle w:val="BodyText"/>
        <w:spacing w:line="225" w:lineRule="exact"/>
        <w:ind w:right="0"/>
        <w:jc w:val="left"/>
      </w:pPr>
      <w:r>
        <w:rPr/>
        <w:t>息。</w:t>
      </w:r>
    </w:p>
    <w:p>
      <w:pPr>
        <w:pStyle w:val="BodyText"/>
        <w:spacing w:line="319" w:lineRule="auto" w:before="116"/>
        <w:ind w:right="1033" w:firstLine="360"/>
        <w:jc w:val="left"/>
      </w:pPr>
      <w:r>
        <w:rPr/>
        <w:t>经营分部是指本公司内同时满足下列条件的组成部分：（</w:t>
      </w:r>
      <w:r>
        <w:rPr>
          <w:rFonts w:ascii="宋体" w:hAnsi="宋体" w:cs="宋体" w:eastAsia="宋体" w:hint="default"/>
        </w:rPr>
        <w:t>1</w:t>
      </w:r>
      <w:r>
        <w:rPr/>
        <w:t>）该组成部分能够在日常活动中产生收入、发生费用；（</w:t>
      </w:r>
      <w:r>
        <w:rPr>
          <w:rFonts w:ascii="宋体" w:hAnsi="宋体" w:cs="宋体" w:eastAsia="宋体" w:hint="default"/>
        </w:rPr>
        <w:t>2</w:t>
      </w:r>
      <w:r>
        <w:rPr/>
        <w:t>） 本公司管理层能够定期评价该组成部分的经营成果，以决定向其配置资源、评价其业绩；（</w:t>
      </w:r>
      <w:r>
        <w:rPr>
          <w:rFonts w:ascii="宋体" w:hAnsi="宋体" w:cs="宋体" w:eastAsia="宋体" w:hint="default"/>
        </w:rPr>
        <w:t>3</w:t>
      </w:r>
      <w:r>
        <w:rPr/>
        <w:t>）本公司能够取得该组成部分 </w:t>
      </w:r>
      <w:r>
        <w:rPr>
          <w:spacing w:val="-2"/>
        </w:rPr>
        <w:t>的财务状况、经营成果和现金流量等有关会计信息。两个或多个经营分部具有相似的经济特征，并且满足一定条件的，则可</w:t>
      </w:r>
      <w:r>
        <w:rPr>
          <w:spacing w:val="-66"/>
        </w:rPr>
        <w:t> </w:t>
      </w:r>
      <w:r>
        <w:rPr>
          <w:spacing w:val="-66"/>
        </w:rPr>
      </w:r>
      <w:r>
        <w:rPr/>
        <w:t>合并为一个经营分部。</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bookmarkStart w:name="27、重要会计政策和会计估计变更" w:id="200"/>
      <w:bookmarkEnd w:id="200"/>
      <w:r>
        <w:rPr>
          <w:b w:val="0"/>
          <w:bCs w:val="0"/>
        </w:rPr>
      </w:r>
      <w:r>
        <w:rPr>
          <w:rFonts w:ascii="宋体" w:hAnsi="宋体" w:cs="宋体" w:eastAsia="宋体" w:hint="default"/>
        </w:rPr>
        <w:t>27</w:t>
      </w:r>
      <w:r>
        <w:rPr/>
        <w:t>、重要会计政策和会计估计变更</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bookmarkStart w:name="（1）重要会计政策变更" w:id="201"/>
      <w:bookmarkEnd w:id="201"/>
      <w:r>
        <w:rPr>
          <w:b w:val="0"/>
          <w:bCs w:val="0"/>
        </w:rPr>
      </w:r>
      <w:r>
        <w:rPr/>
        <w:t>（</w:t>
      </w:r>
      <w:r>
        <w:rPr>
          <w:rFonts w:ascii="宋体" w:hAnsi="宋体" w:cs="宋体" w:eastAsia="宋体" w:hint="default"/>
        </w:rPr>
        <w:t>1</w:t>
      </w:r>
      <w:r>
        <w:rPr/>
        <w:t>）重要会计政策变更</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left="1134" w:right="0"/>
        <w:jc w:val="left"/>
        <w:rPr>
          <w:b w:val="0"/>
          <w:bCs w:val="0"/>
        </w:rPr>
      </w:pPr>
      <w:bookmarkStart w:name="（2）重要会计估计变更" w:id="202"/>
      <w:bookmarkEnd w:id="202"/>
      <w:r>
        <w:rPr>
          <w:b w:val="0"/>
          <w:bCs w:val="0"/>
        </w:rPr>
      </w:r>
      <w:r>
        <w:rPr/>
        <w:t>（</w:t>
      </w:r>
      <w:r>
        <w:rPr>
          <w:rFonts w:ascii="宋体" w:hAnsi="宋体" w:cs="宋体" w:eastAsia="宋体" w:hint="default"/>
        </w:rPr>
        <w:t>2</w:t>
      </w:r>
      <w:r>
        <w:rPr/>
        <w:t>）重要会计估计变更</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1134"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left="1134" w:right="0"/>
        <w:jc w:val="left"/>
        <w:rPr>
          <w:b w:val="0"/>
          <w:bCs w:val="0"/>
        </w:rPr>
      </w:pPr>
      <w:bookmarkStart w:name="六、税项" w:id="203"/>
      <w:bookmarkEnd w:id="203"/>
      <w:r>
        <w:rPr>
          <w:b w:val="0"/>
          <w:bCs w:val="0"/>
        </w:rPr>
      </w:r>
      <w:r>
        <w:rPr/>
        <w:t>六、税项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4" w:right="0"/>
        <w:jc w:val="left"/>
        <w:rPr>
          <w:b w:val="0"/>
          <w:bCs w:val="0"/>
        </w:rPr>
      </w:pPr>
      <w:bookmarkStart w:name="1、主要税种及税率" w:id="204"/>
      <w:bookmarkEnd w:id="204"/>
      <w:r>
        <w:rPr>
          <w:b w:val="0"/>
          <w:bCs w:val="0"/>
        </w:rPr>
      </w:r>
      <w:r>
        <w:rPr>
          <w:rFonts w:ascii="宋体" w:hAnsi="宋体" w:cs="宋体" w:eastAsia="宋体" w:hint="default"/>
        </w:rPr>
        <w:t>1</w:t>
      </w:r>
      <w:r>
        <w:rPr/>
        <w:t>、主要税种及税率</w:t>
      </w:r>
      <w:r>
        <w:rPr>
          <w:b w:val="0"/>
          <w:bCs w:val="0"/>
        </w:rPr>
      </w:r>
    </w:p>
    <w:p>
      <w:pPr>
        <w:spacing w:line="240" w:lineRule="auto" w:before="12"/>
        <w:rPr>
          <w:rFonts w:ascii="宋体" w:hAnsi="宋体" w:cs="宋体" w:eastAsia="宋体" w:hint="default"/>
          <w:b/>
          <w:bCs/>
          <w:sz w:val="26"/>
          <w:szCs w:val="26"/>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026"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按税法规定计算的销售货物和应税劳务 收入为基础计算的销项税额扣除允许抵 扣的进项税后的余额缴纳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0%</w:t>
            </w:r>
            <w:r>
              <w:rPr>
                <w:rFonts w:ascii="宋体" w:hAnsi="宋体" w:cs="宋体" w:eastAsia="宋体" w:hint="default"/>
                <w:sz w:val="18"/>
                <w:szCs w:val="18"/>
              </w:rPr>
              <w:t>，</w:t>
            </w:r>
            <w:r>
              <w:rPr>
                <w:rFonts w:ascii="宋体" w:hAnsi="宋体" w:cs="宋体" w:eastAsia="宋体" w:hint="default"/>
                <w:sz w:val="18"/>
                <w:szCs w:val="18"/>
              </w:rPr>
              <w:t>6%</w:t>
            </w:r>
            <w:r>
              <w:rPr>
                <w:rFonts w:ascii="宋体" w:hAnsi="宋体" w:cs="宋体" w:eastAsia="宋体" w:hint="default"/>
                <w:sz w:val="18"/>
                <w:szCs w:val="18"/>
              </w:rPr>
              <w:t>，</w:t>
            </w:r>
            <w:r>
              <w:rPr>
                <w:rFonts w:ascii="宋体" w:hAnsi="宋体" w:cs="宋体" w:eastAsia="宋体" w:hint="default"/>
                <w:sz w:val="18"/>
                <w:szCs w:val="18"/>
              </w:rPr>
              <w:t>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87" w:top="1100" w:bottom="1380" w:left="0" w:right="0"/>
        </w:sectPr>
      </w:pPr>
    </w:p>
    <w:p>
      <w:pPr>
        <w:spacing w:line="240" w:lineRule="auto" w:before="6"/>
        <w:rPr>
          <w:rFonts w:ascii="宋体" w:hAnsi="宋体" w:cs="宋体" w:eastAsia="宋体" w:hint="default"/>
          <w:b/>
          <w:bCs/>
          <w:sz w:val="24"/>
          <w:szCs w:val="24"/>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堤防维护费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2%</w:t>
            </w:r>
          </w:p>
        </w:tc>
      </w:tr>
    </w:tbl>
    <w:p>
      <w:pPr>
        <w:spacing w:line="240" w:lineRule="auto" w:before="9"/>
        <w:rPr>
          <w:rFonts w:ascii="宋体" w:hAnsi="宋体" w:cs="宋体" w:eastAsia="宋体" w:hint="default"/>
          <w:b/>
          <w:bCs/>
          <w:sz w:val="6"/>
          <w:szCs w:val="6"/>
        </w:rPr>
      </w:pPr>
    </w:p>
    <w:p>
      <w:pPr>
        <w:pStyle w:val="BodyText"/>
        <w:spacing w:line="240" w:lineRule="auto" w:before="44"/>
        <w:ind w:left="1134" w:right="0"/>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武汉天喻信息产业股份有限公司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武汉天喻通讯技术有限公司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武汉擎动网络科技有限公司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15%</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税收优惠" w:id="205"/>
      <w:bookmarkEnd w:id="205"/>
      <w:r>
        <w:rPr>
          <w:b w:val="0"/>
          <w:bCs w:val="0"/>
        </w:rPr>
      </w:r>
      <w:r>
        <w:rPr>
          <w:rFonts w:ascii="宋体" w:hAnsi="宋体" w:cs="宋体" w:eastAsia="宋体" w:hint="default"/>
        </w:rPr>
        <w:t>2</w:t>
      </w:r>
      <w:r>
        <w:rPr/>
        <w:t>、税收优惠</w:t>
      </w:r>
      <w:r>
        <w:rPr>
          <w:b w:val="0"/>
          <w:bCs w:val="0"/>
        </w:rPr>
      </w:r>
    </w:p>
    <w:p>
      <w:pPr>
        <w:spacing w:line="240" w:lineRule="auto" w:before="9"/>
        <w:rPr>
          <w:rFonts w:ascii="宋体" w:hAnsi="宋体" w:cs="宋体" w:eastAsia="宋体" w:hint="default"/>
          <w:b/>
          <w:bCs/>
          <w:sz w:val="27"/>
          <w:szCs w:val="27"/>
        </w:rPr>
      </w:pPr>
    </w:p>
    <w:p>
      <w:pPr>
        <w:pStyle w:val="BodyText"/>
        <w:spacing w:line="316" w:lineRule="auto"/>
        <w:ind w:left="1493" w:right="1123"/>
        <w:jc w:val="left"/>
      </w:pPr>
      <w:r>
        <w:rPr/>
        <w:t>（</w:t>
      </w:r>
      <w:r>
        <w:rPr>
          <w:rFonts w:ascii="宋体" w:hAnsi="宋体" w:cs="宋体" w:eastAsia="宋体" w:hint="default"/>
        </w:rPr>
        <w:t>1</w:t>
      </w:r>
      <w:r>
        <w:rPr/>
        <w:t>）所得税优惠政策 公司</w:t>
      </w:r>
      <w:r>
        <w:rPr>
          <w:rFonts w:ascii="宋体" w:hAnsi="宋体" w:cs="宋体" w:eastAsia="宋体" w:hint="default"/>
        </w:rPr>
        <w:t>2014</w:t>
      </w:r>
      <w:r>
        <w:rPr/>
        <w:t>年被认定为高新技术企业，证书号为</w:t>
      </w:r>
      <w:r>
        <w:rPr>
          <w:rFonts w:ascii="宋体" w:hAnsi="宋体" w:cs="宋体" w:eastAsia="宋体" w:hint="default"/>
        </w:rPr>
        <w:t>GR201442000582</w:t>
      </w:r>
      <w:r>
        <w:rPr/>
        <w:t>，有效期</w:t>
      </w:r>
      <w:r>
        <w:rPr>
          <w:rFonts w:ascii="宋体" w:hAnsi="宋体" w:cs="宋体" w:eastAsia="宋体" w:hint="default"/>
        </w:rPr>
        <w:t>3</w:t>
      </w:r>
      <w:r>
        <w:rPr/>
        <w:t>年，企业所得税率按</w:t>
      </w:r>
      <w:r>
        <w:rPr>
          <w:rFonts w:ascii="宋体" w:hAnsi="宋体" w:cs="宋体" w:eastAsia="宋体" w:hint="default"/>
        </w:rPr>
        <w:t>15%</w:t>
      </w:r>
      <w:r>
        <w:rPr/>
        <w:t>的优惠税率征收。 子公司天喻通讯</w:t>
      </w:r>
      <w:r>
        <w:rPr>
          <w:rFonts w:ascii="宋体" w:hAnsi="宋体" w:cs="宋体" w:eastAsia="宋体" w:hint="default"/>
        </w:rPr>
        <w:t>2010</w:t>
      </w:r>
      <w:r>
        <w:rPr/>
        <w:t>年</w:t>
      </w:r>
      <w:r>
        <w:rPr>
          <w:rFonts w:ascii="宋体" w:hAnsi="宋体" w:cs="宋体" w:eastAsia="宋体" w:hint="default"/>
        </w:rPr>
        <w:t>5</w:t>
      </w:r>
      <w:r>
        <w:rPr/>
        <w:t>月</w:t>
      </w:r>
      <w:r>
        <w:rPr>
          <w:rFonts w:ascii="宋体" w:hAnsi="宋体" w:cs="宋体" w:eastAsia="宋体" w:hint="default"/>
        </w:rPr>
        <w:t>31</w:t>
      </w:r>
      <w:r>
        <w:rPr/>
        <w:t>日被认定为新办软件企业，享受自获利年度起第一年至第二年免征企业所得税，第三年至</w:t>
      </w:r>
    </w:p>
    <w:p>
      <w:pPr>
        <w:pStyle w:val="BodyText"/>
        <w:spacing w:line="316" w:lineRule="auto" w:before="19"/>
        <w:ind w:right="0"/>
        <w:jc w:val="left"/>
      </w:pPr>
      <w:r>
        <w:rPr>
          <w:spacing w:val="-2"/>
        </w:rPr>
        <w:t>第五年按照</w:t>
      </w:r>
      <w:r>
        <w:rPr>
          <w:rFonts w:ascii="宋体" w:hAnsi="宋体" w:cs="宋体" w:eastAsia="宋体" w:hint="default"/>
          <w:spacing w:val="-2"/>
        </w:rPr>
        <w:t>25%</w:t>
      </w:r>
      <w:r>
        <w:rPr>
          <w:spacing w:val="-2"/>
        </w:rPr>
        <w:t>的法定税率减半征收企业所得税的优惠。</w:t>
      </w:r>
      <w:r>
        <w:rPr>
          <w:rFonts w:ascii="宋体" w:hAnsi="宋体" w:cs="宋体" w:eastAsia="宋体" w:hint="default"/>
          <w:spacing w:val="-2"/>
        </w:rPr>
        <w:t>2015</w:t>
      </w:r>
      <w:r>
        <w:rPr>
          <w:spacing w:val="-2"/>
        </w:rPr>
        <w:t>年又被认定为高新技术企业，证书号</w:t>
      </w:r>
      <w:r>
        <w:rPr>
          <w:rFonts w:ascii="宋体" w:hAnsi="宋体" w:cs="宋体" w:eastAsia="宋体" w:hint="default"/>
          <w:spacing w:val="-2"/>
        </w:rPr>
        <w:t>GF201542000053</w:t>
      </w:r>
      <w:r>
        <w:rPr>
          <w:spacing w:val="-2"/>
        </w:rPr>
        <w:t>，有效期</w:t>
      </w:r>
      <w:r>
        <w:rPr>
          <w:rFonts w:ascii="宋体" w:hAnsi="宋体" w:cs="宋体" w:eastAsia="宋体" w:hint="default"/>
          <w:spacing w:val="-2"/>
        </w:rPr>
        <w:t>3</w:t>
      </w:r>
      <w:r>
        <w:rPr>
          <w:rFonts w:ascii="宋体" w:hAnsi="宋体" w:cs="宋体" w:eastAsia="宋体" w:hint="default"/>
          <w:spacing w:val="-44"/>
        </w:rPr>
        <w:t> </w:t>
      </w:r>
      <w:r>
        <w:rPr/>
        <w:t>年。天喻通讯</w:t>
      </w:r>
      <w:r>
        <w:rPr>
          <w:rFonts w:ascii="宋体" w:hAnsi="宋体" w:cs="宋体" w:eastAsia="宋体" w:hint="default"/>
        </w:rPr>
        <w:t>2015</w:t>
      </w:r>
      <w:r>
        <w:rPr/>
        <w:t>年企业所得税按</w:t>
      </w:r>
      <w:r>
        <w:rPr>
          <w:rFonts w:ascii="宋体" w:hAnsi="宋体" w:cs="宋体" w:eastAsia="宋体" w:hint="default"/>
        </w:rPr>
        <w:t>15%</w:t>
      </w:r>
      <w:r>
        <w:rPr/>
        <w:t>执行。</w:t>
      </w:r>
    </w:p>
    <w:p>
      <w:pPr>
        <w:pStyle w:val="BodyText"/>
        <w:spacing w:line="240" w:lineRule="auto" w:before="19"/>
        <w:ind w:left="1493" w:right="0"/>
        <w:jc w:val="left"/>
      </w:pPr>
      <w:r>
        <w:rPr/>
        <w:t>子公司擎动网络</w:t>
      </w:r>
      <w:r>
        <w:rPr>
          <w:rFonts w:ascii="宋体" w:hAnsi="宋体" w:cs="宋体" w:eastAsia="宋体" w:hint="default"/>
        </w:rPr>
        <w:t>2013</w:t>
      </w:r>
      <w:r>
        <w:rPr/>
        <w:t>年被认定为高新技术企业</w:t>
      </w:r>
      <w:r>
        <w:rPr>
          <w:spacing w:val="-88"/>
        </w:rPr>
        <w:t>，</w:t>
      </w:r>
      <w:r>
        <w:rPr/>
        <w:t>证书号</w:t>
      </w:r>
      <w:r>
        <w:rPr>
          <w:rFonts w:ascii="宋体" w:hAnsi="宋体" w:cs="宋体" w:eastAsia="宋体" w:hint="default"/>
        </w:rPr>
        <w:t>GR201342000449</w:t>
      </w:r>
      <w:r>
        <w:rPr>
          <w:spacing w:val="-88"/>
        </w:rPr>
        <w:t>，</w:t>
      </w:r>
      <w:r>
        <w:rPr/>
        <w:t>有效期</w:t>
      </w:r>
      <w:r>
        <w:rPr>
          <w:rFonts w:ascii="宋体" w:hAnsi="宋体" w:cs="宋体" w:eastAsia="宋体" w:hint="default"/>
        </w:rPr>
        <w:t>3</w:t>
      </w:r>
      <w:r>
        <w:rPr/>
        <w:t>年</w:t>
      </w:r>
      <w:r>
        <w:rPr>
          <w:spacing w:val="-88"/>
        </w:rPr>
        <w:t>，</w:t>
      </w:r>
      <w:r>
        <w:rPr/>
        <w:t>企业所得税按</w:t>
      </w:r>
      <w:r>
        <w:rPr>
          <w:rFonts w:ascii="宋体" w:hAnsi="宋体" w:cs="宋体" w:eastAsia="宋体" w:hint="default"/>
        </w:rPr>
        <w:t>15%</w:t>
      </w:r>
      <w:r>
        <w:rPr/>
        <w:t>的优惠税率征收。</w:t>
      </w:r>
    </w:p>
    <w:p>
      <w:pPr>
        <w:pStyle w:val="BodyText"/>
        <w:spacing w:line="316" w:lineRule="auto" w:before="76"/>
        <w:ind w:left="1494" w:right="0"/>
        <w:jc w:val="left"/>
      </w:pPr>
      <w:r>
        <w:rPr/>
        <w:t>（</w:t>
      </w:r>
      <w:r>
        <w:rPr>
          <w:rFonts w:ascii="宋体" w:hAnsi="宋体" w:cs="宋体" w:eastAsia="宋体" w:hint="default"/>
        </w:rPr>
        <w:t>2</w:t>
      </w:r>
      <w:r>
        <w:rPr/>
        <w:t>）堤防维护费优惠政策 </w:t>
      </w:r>
      <w:r>
        <w:rPr>
          <w:spacing w:val="-2"/>
        </w:rPr>
        <w:t>根据武地税函〔</w:t>
      </w:r>
      <w:r>
        <w:rPr>
          <w:rFonts w:ascii="宋体" w:hAnsi="宋体" w:cs="宋体" w:eastAsia="宋体" w:hint="default"/>
          <w:spacing w:val="-2"/>
        </w:rPr>
        <w:t>2014</w:t>
      </w:r>
      <w:r>
        <w:rPr>
          <w:spacing w:val="-2"/>
        </w:rPr>
        <w:t>〕</w:t>
      </w:r>
      <w:r>
        <w:rPr>
          <w:rFonts w:ascii="宋体" w:hAnsi="宋体" w:cs="宋体" w:eastAsia="宋体" w:hint="default"/>
          <w:spacing w:val="-2"/>
        </w:rPr>
        <w:t>79</w:t>
      </w:r>
      <w:r>
        <w:rPr>
          <w:spacing w:val="-2"/>
        </w:rPr>
        <w:t>号文件的规定，公司及子公司天喻信通自</w:t>
      </w:r>
      <w:r>
        <w:rPr>
          <w:rFonts w:ascii="宋体" w:hAnsi="宋体" w:cs="宋体" w:eastAsia="宋体" w:hint="default"/>
          <w:spacing w:val="-2"/>
        </w:rPr>
        <w:t>2014</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1</w:t>
      </w:r>
      <w:r>
        <w:rPr>
          <w:spacing w:val="-2"/>
        </w:rPr>
        <w:t>日至</w:t>
      </w: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日期间堤防维护费享受</w:t>
      </w:r>
    </w:p>
    <w:p>
      <w:pPr>
        <w:pStyle w:val="BodyText"/>
        <w:spacing w:line="316" w:lineRule="auto" w:before="19"/>
        <w:ind w:right="0"/>
        <w:jc w:val="left"/>
      </w:pPr>
      <w:r>
        <w:rPr>
          <w:spacing w:val="-2"/>
        </w:rPr>
        <w:t>税收优惠政策，即</w:t>
      </w:r>
      <w:r>
        <w:rPr>
          <w:rFonts w:ascii="宋体" w:hAnsi="宋体" w:cs="宋体" w:eastAsia="宋体" w:hint="default"/>
          <w:spacing w:val="-2"/>
        </w:rPr>
        <w:t>2014</w:t>
      </w:r>
      <w:r>
        <w:rPr>
          <w:spacing w:val="-2"/>
        </w:rPr>
        <w:t>年</w:t>
      </w:r>
      <w:r>
        <w:rPr>
          <w:rFonts w:ascii="宋体" w:hAnsi="宋体" w:cs="宋体" w:eastAsia="宋体" w:hint="default"/>
          <w:spacing w:val="-2"/>
        </w:rPr>
        <w:t>6-12</w:t>
      </w:r>
      <w:r>
        <w:rPr>
          <w:spacing w:val="-2"/>
        </w:rPr>
        <w:t>月减半征收，</w:t>
      </w:r>
      <w:r>
        <w:rPr>
          <w:rFonts w:ascii="宋体" w:hAnsi="宋体" w:cs="宋体" w:eastAsia="宋体" w:hint="default"/>
          <w:spacing w:val="-2"/>
        </w:rPr>
        <w:t>2015</w:t>
      </w:r>
      <w:r>
        <w:rPr>
          <w:spacing w:val="-2"/>
        </w:rPr>
        <w:t>年全免。根据湖北省财政厅、湖北省物价局和湖北省地方税务局联合下发的</w:t>
      </w:r>
      <w:r>
        <w:rPr>
          <w:spacing w:val="-54"/>
        </w:rPr>
        <w:t> </w:t>
      </w:r>
      <w:r>
        <w:rPr>
          <w:spacing w:val="-54"/>
        </w:rPr>
      </w:r>
      <w:r>
        <w:rPr/>
        <w:t>鄂财综发〔</w:t>
      </w:r>
      <w:r>
        <w:rPr>
          <w:rFonts w:ascii="宋体" w:hAnsi="宋体" w:cs="宋体" w:eastAsia="宋体" w:hint="default"/>
        </w:rPr>
        <w:t>2015</w:t>
      </w:r>
      <w:r>
        <w:rPr/>
        <w:t>〕</w:t>
      </w:r>
      <w:r>
        <w:rPr>
          <w:rFonts w:ascii="宋体" w:hAnsi="宋体" w:cs="宋体" w:eastAsia="宋体" w:hint="default"/>
        </w:rPr>
        <w:t>39</w:t>
      </w:r>
      <w:r>
        <w:rPr/>
        <w:t>号文件的规定，从</w:t>
      </w:r>
      <w:r>
        <w:rPr>
          <w:rFonts w:ascii="宋体" w:hAnsi="宋体" w:cs="宋体" w:eastAsia="宋体" w:hint="default"/>
        </w:rPr>
        <w:t>2015</w:t>
      </w:r>
      <w:r>
        <w:rPr/>
        <w:t>年</w:t>
      </w:r>
      <w:r>
        <w:rPr>
          <w:rFonts w:ascii="宋体" w:hAnsi="宋体" w:cs="宋体" w:eastAsia="宋体" w:hint="default"/>
        </w:rPr>
        <w:t>10</w:t>
      </w:r>
      <w:r>
        <w:rPr/>
        <w:t>月</w:t>
      </w:r>
      <w:r>
        <w:rPr>
          <w:rFonts w:ascii="宋体" w:hAnsi="宋体" w:cs="宋体" w:eastAsia="宋体" w:hint="default"/>
        </w:rPr>
        <w:t>1</w:t>
      </w:r>
      <w:r>
        <w:rPr/>
        <w:t>日起，暂停征收堤防维护费。</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七、合并财务报表项目注释" w:id="206"/>
      <w:bookmarkEnd w:id="206"/>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货币资金" w:id="207"/>
      <w:bookmarkEnd w:id="207"/>
      <w:r>
        <w:rPr>
          <w:b w:val="0"/>
          <w:bCs w:val="0"/>
        </w:rPr>
      </w:r>
      <w:r>
        <w:rPr>
          <w:rFonts w:ascii="宋体" w:hAnsi="宋体" w:cs="宋体" w:eastAsia="宋体" w:hint="default"/>
        </w:rPr>
        <w:t>1</w:t>
      </w:r>
      <w:r>
        <w:rPr/>
        <w:t>、货币资金</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0" w:right="131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2,986.70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7,754.00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391,706,702.30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589,343,324.67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14,820,888.80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84,342,228.61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406,530,577.80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673,693,307.28</w:t>
            </w:r>
          </w:p>
        </w:tc>
      </w:tr>
    </w:tbl>
    <w:p>
      <w:pPr>
        <w:spacing w:line="240" w:lineRule="auto" w:before="5"/>
        <w:rPr>
          <w:rFonts w:ascii="宋体" w:hAnsi="宋体" w:cs="宋体" w:eastAsia="宋体" w:hint="default"/>
          <w:sz w:val="9"/>
          <w:szCs w:val="9"/>
        </w:rPr>
      </w:pPr>
    </w:p>
    <w:p>
      <w:pPr>
        <w:pStyle w:val="BodyText"/>
        <w:spacing w:line="240" w:lineRule="auto" w:before="44"/>
        <w:ind w:left="1494" w:right="0"/>
        <w:jc w:val="left"/>
      </w:pPr>
      <w:r>
        <w:rPr/>
        <w:t>报告期末，货币资金较期初减少</w:t>
      </w:r>
      <w:r>
        <w:rPr>
          <w:rFonts w:ascii="宋体" w:hAnsi="宋体" w:cs="宋体" w:eastAsia="宋体" w:hint="default"/>
        </w:rPr>
        <w:t>39.66%</w:t>
      </w:r>
      <w:r>
        <w:rPr/>
        <w:t>，主要由于公司偿还了到期的短期借款。</w:t>
      </w:r>
    </w:p>
    <w:p>
      <w:pPr>
        <w:spacing w:after="0" w:line="240" w:lineRule="auto"/>
        <w:jc w:val="left"/>
        <w:sectPr>
          <w:pgSz w:w="11910" w:h="16840"/>
          <w:pgMar w:header="877" w:footer="1187" w:top="1100" w:bottom="1380" w:left="0" w:right="0"/>
        </w:sectPr>
      </w:pPr>
    </w:p>
    <w:p>
      <w:pPr>
        <w:spacing w:line="240" w:lineRule="auto" w:before="10"/>
        <w:rPr>
          <w:rFonts w:ascii="宋体" w:hAnsi="宋体" w:cs="宋体" w:eastAsia="宋体" w:hint="default"/>
          <w:sz w:val="20"/>
          <w:szCs w:val="20"/>
        </w:rPr>
      </w:pPr>
    </w:p>
    <w:p>
      <w:pPr>
        <w:pStyle w:val="Heading3"/>
        <w:spacing w:line="240" w:lineRule="auto" w:before="35"/>
        <w:ind w:left="1134" w:right="0"/>
        <w:jc w:val="left"/>
        <w:rPr>
          <w:b w:val="0"/>
          <w:bCs w:val="0"/>
        </w:rPr>
      </w:pPr>
      <w:bookmarkStart w:name="2、应收票据" w:id="208"/>
      <w:bookmarkEnd w:id="208"/>
      <w:r>
        <w:rPr>
          <w:b w:val="0"/>
          <w:bCs w:val="0"/>
        </w:rPr>
      </w:r>
      <w:r>
        <w:rPr>
          <w:rFonts w:ascii="宋体" w:hAnsi="宋体" w:cs="宋体" w:eastAsia="宋体" w:hint="default"/>
        </w:rPr>
        <w:t>2</w:t>
      </w:r>
      <w:r>
        <w:rPr/>
        <w:t>、应收票据</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3,857,400.00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6,030,240.00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3,857,400.00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6,030,240.00</w:t>
            </w:r>
          </w:p>
        </w:tc>
      </w:tr>
    </w:tbl>
    <w:p>
      <w:pPr>
        <w:spacing w:line="240" w:lineRule="auto" w:before="4"/>
        <w:rPr>
          <w:rFonts w:ascii="宋体" w:hAnsi="宋体" w:cs="宋体" w:eastAsia="宋体" w:hint="default"/>
          <w:sz w:val="9"/>
          <w:szCs w:val="9"/>
        </w:rPr>
      </w:pPr>
    </w:p>
    <w:p>
      <w:pPr>
        <w:pStyle w:val="BodyText"/>
        <w:spacing w:line="240" w:lineRule="auto" w:before="44"/>
        <w:ind w:left="1494" w:right="0"/>
        <w:jc w:val="left"/>
      </w:pPr>
      <w:r>
        <w:rPr/>
        <w:t>应收票据期末余额较期初减少</w:t>
      </w:r>
      <w:r>
        <w:rPr>
          <w:rFonts w:ascii="宋体" w:hAnsi="宋体" w:cs="宋体" w:eastAsia="宋体" w:hint="default"/>
        </w:rPr>
        <w:t>36.03%</w:t>
      </w:r>
      <w:r>
        <w:rPr/>
        <w:t>，主要由于期末票据结算量减少。</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应收账款" w:id="209"/>
      <w:bookmarkEnd w:id="209"/>
      <w:r>
        <w:rPr>
          <w:b w:val="0"/>
          <w:bCs w:val="0"/>
        </w:rPr>
      </w:r>
      <w:r>
        <w:rPr>
          <w:rFonts w:ascii="宋体" w:hAnsi="宋体" w:cs="宋体" w:eastAsia="宋体" w:hint="default"/>
        </w:rPr>
        <w:t>3</w:t>
      </w:r>
      <w:r>
        <w:rPr/>
        <w:t>、应收账款</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bookmarkStart w:name="（1）应收账款分类披露" w:id="210"/>
      <w:bookmarkEnd w:id="210"/>
      <w:r>
        <w:rPr>
          <w:b w:val="0"/>
          <w:bCs w:val="0"/>
        </w:rPr>
      </w:r>
      <w:r>
        <w:rPr/>
        <w:t>（</w:t>
      </w:r>
      <w:r>
        <w:rPr>
          <w:rFonts w:ascii="宋体" w:hAnsi="宋体" w:cs="宋体" w:eastAsia="宋体" w:hint="default"/>
        </w:rPr>
        <w:t>1</w:t>
      </w:r>
      <w:r>
        <w:rPr/>
        <w:t>）应收账款分类披露</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851"/>
        <w:gridCol w:w="1134"/>
        <w:gridCol w:w="605"/>
        <w:gridCol w:w="1149"/>
        <w:gridCol w:w="515"/>
        <w:gridCol w:w="1151"/>
        <w:gridCol w:w="1176"/>
        <w:gridCol w:w="616"/>
        <w:gridCol w:w="1036"/>
        <w:gridCol w:w="518"/>
        <w:gridCol w:w="1162"/>
      </w:tblGrid>
      <w:tr>
        <w:trPr>
          <w:trHeight w:val="402" w:hRule="exact"/>
        </w:trPr>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3"/>
              <w:ind w:left="270" w:right="0"/>
              <w:jc w:val="left"/>
              <w:rPr>
                <w:rFonts w:ascii="宋体" w:hAnsi="宋体" w:cs="宋体" w:eastAsia="宋体" w:hint="default"/>
                <w:sz w:val="15"/>
                <w:szCs w:val="15"/>
              </w:rPr>
            </w:pPr>
            <w:r>
              <w:rPr>
                <w:rFonts w:ascii="宋体" w:hAnsi="宋体" w:cs="宋体" w:eastAsia="宋体" w:hint="default"/>
                <w:sz w:val="15"/>
                <w:szCs w:val="15"/>
              </w:rPr>
              <w:t>类别</w:t>
            </w:r>
          </w:p>
        </w:tc>
        <w:tc>
          <w:tcPr>
            <w:tcW w:w="455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450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402" w:hRule="exact"/>
        </w:trPr>
        <w:tc>
          <w:tcPr>
            <w:tcW w:w="851" w:type="dxa"/>
            <w:vMerge/>
            <w:tcBorders>
              <w:left w:val="single" w:sz="4" w:space="0" w:color="000000"/>
              <w:right w:val="single" w:sz="4" w:space="0" w:color="000000"/>
            </w:tcBorders>
          </w:tcPr>
          <w:p>
            <w:pPr/>
          </w:p>
        </w:tc>
        <w:tc>
          <w:tcPr>
            <w:tcW w:w="17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64"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6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26"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1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70" w:right="0"/>
              <w:jc w:val="left"/>
              <w:rPr>
                <w:rFonts w:ascii="宋体" w:hAnsi="宋体" w:cs="宋体" w:eastAsia="宋体" w:hint="default"/>
                <w:sz w:val="15"/>
                <w:szCs w:val="15"/>
              </w:rPr>
            </w:pPr>
            <w:r>
              <w:rPr>
                <w:rFonts w:ascii="宋体" w:hAnsi="宋体" w:cs="宋体" w:eastAsia="宋体" w:hint="default"/>
                <w:sz w:val="15"/>
                <w:szCs w:val="15"/>
              </w:rPr>
              <w:t>账面价值</w:t>
            </w:r>
          </w:p>
        </w:tc>
        <w:tc>
          <w:tcPr>
            <w:tcW w:w="1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91"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5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71"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1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75" w:right="0"/>
              <w:jc w:val="left"/>
              <w:rPr>
                <w:rFonts w:ascii="宋体" w:hAnsi="宋体" w:cs="宋体" w:eastAsia="宋体" w:hint="default"/>
                <w:sz w:val="15"/>
                <w:szCs w:val="15"/>
              </w:rPr>
            </w:pPr>
            <w:r>
              <w:rPr>
                <w:rFonts w:ascii="宋体" w:hAnsi="宋体" w:cs="宋体" w:eastAsia="宋体" w:hint="default"/>
                <w:sz w:val="15"/>
                <w:szCs w:val="15"/>
              </w:rPr>
              <w:t>账面价值</w:t>
            </w:r>
          </w:p>
        </w:tc>
      </w:tr>
      <w:tr>
        <w:trPr>
          <w:trHeight w:val="755" w:hRule="exact"/>
        </w:trPr>
        <w:tc>
          <w:tcPr>
            <w:tcW w:w="851" w:type="dxa"/>
            <w:vMerge/>
            <w:tcBorders>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金额</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比例</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515" w:type="dxa"/>
            <w:tcBorders>
              <w:top w:val="single" w:sz="4" w:space="0" w:color="000000"/>
              <w:left w:val="single" w:sz="4" w:space="0" w:color="000000"/>
              <w:bottom w:val="single" w:sz="4" w:space="0" w:color="000000"/>
              <w:right w:val="single" w:sz="4" w:space="0" w:color="000000"/>
            </w:tcBorders>
          </w:tcPr>
          <w:p>
            <w:pPr>
              <w:pStyle w:val="TableParagraph"/>
              <w:spacing w:line="429" w:lineRule="auto" w:before="75"/>
              <w:ind w:left="101" w:right="101"/>
              <w:jc w:val="left"/>
              <w:rPr>
                <w:rFonts w:ascii="宋体" w:hAnsi="宋体" w:cs="宋体" w:eastAsia="宋体" w:hint="default"/>
                <w:sz w:val="15"/>
                <w:szCs w:val="15"/>
              </w:rPr>
            </w:pPr>
            <w:r>
              <w:rPr>
                <w:rFonts w:ascii="宋体" w:hAnsi="宋体" w:cs="宋体" w:eastAsia="宋体" w:hint="default"/>
                <w:sz w:val="15"/>
                <w:szCs w:val="15"/>
              </w:rPr>
              <w:t>计提 比例</w:t>
            </w:r>
          </w:p>
        </w:tc>
        <w:tc>
          <w:tcPr>
            <w:tcW w:w="1151" w:type="dxa"/>
            <w:vMerge/>
            <w:tcBorders>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比例</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金额</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429" w:lineRule="auto" w:before="75"/>
              <w:ind w:left="103" w:right="103"/>
              <w:jc w:val="left"/>
              <w:rPr>
                <w:rFonts w:ascii="宋体" w:hAnsi="宋体" w:cs="宋体" w:eastAsia="宋体" w:hint="default"/>
                <w:sz w:val="15"/>
                <w:szCs w:val="15"/>
              </w:rPr>
            </w:pPr>
            <w:r>
              <w:rPr>
                <w:rFonts w:ascii="宋体" w:hAnsi="宋体" w:cs="宋体" w:eastAsia="宋体" w:hint="default"/>
                <w:sz w:val="15"/>
                <w:szCs w:val="15"/>
              </w:rPr>
              <w:t>计提 比例</w:t>
            </w:r>
          </w:p>
        </w:tc>
        <w:tc>
          <w:tcPr>
            <w:tcW w:w="1162" w:type="dxa"/>
            <w:vMerge/>
            <w:tcBorders>
              <w:left w:val="single" w:sz="4" w:space="0" w:color="000000"/>
              <w:bottom w:val="single" w:sz="4" w:space="0" w:color="000000"/>
              <w:right w:val="single" w:sz="4" w:space="0" w:color="000000"/>
            </w:tcBorders>
          </w:tcPr>
          <w:p>
            <w:pPr/>
          </w:p>
        </w:tc>
      </w:tr>
      <w:tr>
        <w:trPr>
          <w:trHeight w:val="1338"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66"/>
              <w:jc w:val="both"/>
              <w:rPr>
                <w:rFonts w:ascii="宋体" w:hAnsi="宋体" w:cs="宋体" w:eastAsia="宋体" w:hint="default"/>
                <w:sz w:val="15"/>
                <w:szCs w:val="15"/>
              </w:rPr>
            </w:pPr>
            <w:r>
              <w:rPr>
                <w:rFonts w:ascii="宋体" w:hAnsi="宋体" w:cs="宋体" w:eastAsia="宋体" w:hint="default"/>
                <w:sz w:val="15"/>
                <w:szCs w:val="15"/>
              </w:rPr>
              <w:t>按信用风险 特征组合计 提坏账准备 的应收账款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5" w:right="0"/>
              <w:jc w:val="center"/>
              <w:rPr>
                <w:rFonts w:ascii="宋体" w:hAnsi="宋体" w:cs="宋体" w:eastAsia="宋体" w:hint="default"/>
                <w:sz w:val="15"/>
                <w:szCs w:val="15"/>
              </w:rPr>
            </w:pPr>
            <w:r>
              <w:rPr>
                <w:rFonts w:ascii="宋体"/>
                <w:sz w:val="15"/>
              </w:rPr>
              <w:t>611,345,505.29</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2" w:right="0"/>
              <w:jc w:val="center"/>
              <w:rPr>
                <w:rFonts w:ascii="宋体" w:hAnsi="宋体" w:cs="宋体" w:eastAsia="宋体" w:hint="default"/>
                <w:sz w:val="15"/>
                <w:szCs w:val="15"/>
              </w:rPr>
            </w:pPr>
            <w:r>
              <w:rPr>
                <w:rFonts w:ascii="宋体"/>
                <w:sz w:val="15"/>
              </w:rPr>
              <w:t>100.00%</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2" w:right="0"/>
              <w:jc w:val="center"/>
              <w:rPr>
                <w:rFonts w:ascii="宋体" w:hAnsi="宋体" w:cs="宋体" w:eastAsia="宋体" w:hint="default"/>
                <w:sz w:val="15"/>
                <w:szCs w:val="15"/>
              </w:rPr>
            </w:pPr>
            <w:r>
              <w:rPr>
                <w:rFonts w:ascii="宋体"/>
                <w:sz w:val="15"/>
              </w:rPr>
              <w:t>107,845,492.49</w:t>
            </w:r>
          </w:p>
        </w:tc>
        <w:tc>
          <w:tcPr>
            <w:tcW w:w="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7" w:right="0"/>
              <w:jc w:val="center"/>
              <w:rPr>
                <w:rFonts w:ascii="宋体" w:hAnsi="宋体" w:cs="宋体" w:eastAsia="宋体" w:hint="default"/>
                <w:sz w:val="15"/>
                <w:szCs w:val="15"/>
              </w:rPr>
            </w:pPr>
            <w:r>
              <w:rPr>
                <w:rFonts w:ascii="宋体"/>
                <w:sz w:val="15"/>
              </w:rPr>
              <w:t>17.64%</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5" w:right="0"/>
              <w:jc w:val="center"/>
              <w:rPr>
                <w:rFonts w:ascii="宋体" w:hAnsi="宋体" w:cs="宋体" w:eastAsia="宋体" w:hint="default"/>
                <w:sz w:val="15"/>
                <w:szCs w:val="15"/>
              </w:rPr>
            </w:pPr>
            <w:r>
              <w:rPr>
                <w:rFonts w:ascii="宋体"/>
                <w:sz w:val="15"/>
              </w:rPr>
              <w:t>503,500,012.80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67" w:right="0"/>
              <w:jc w:val="center"/>
              <w:rPr>
                <w:rFonts w:ascii="宋体" w:hAnsi="宋体" w:cs="宋体" w:eastAsia="宋体" w:hint="default"/>
                <w:sz w:val="15"/>
                <w:szCs w:val="15"/>
              </w:rPr>
            </w:pPr>
            <w:r>
              <w:rPr>
                <w:rFonts w:ascii="宋体"/>
                <w:sz w:val="15"/>
              </w:rPr>
              <w:t>631,014,407.42</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5" w:right="0"/>
              <w:jc w:val="center"/>
              <w:rPr>
                <w:rFonts w:ascii="宋体" w:hAnsi="宋体" w:cs="宋体" w:eastAsia="宋体" w:hint="default"/>
                <w:sz w:val="15"/>
                <w:szCs w:val="15"/>
              </w:rPr>
            </w:pPr>
            <w:r>
              <w:rPr>
                <w:rFonts w:ascii="宋体"/>
                <w:sz w:val="15"/>
              </w:rPr>
              <w:t>100.00%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5" w:right="0"/>
              <w:jc w:val="center"/>
              <w:rPr>
                <w:rFonts w:ascii="宋体" w:hAnsi="宋体" w:cs="宋体" w:eastAsia="宋体" w:hint="default"/>
                <w:sz w:val="15"/>
                <w:szCs w:val="15"/>
              </w:rPr>
            </w:pPr>
            <w:r>
              <w:rPr>
                <w:rFonts w:ascii="宋体"/>
                <w:sz w:val="15"/>
              </w:rPr>
              <w:t>88,957,161.49</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 w:right="0"/>
              <w:jc w:val="center"/>
              <w:rPr>
                <w:rFonts w:ascii="宋体" w:hAnsi="宋体" w:cs="宋体" w:eastAsia="宋体" w:hint="default"/>
                <w:sz w:val="15"/>
                <w:szCs w:val="15"/>
              </w:rPr>
            </w:pPr>
            <w:r>
              <w:rPr>
                <w:rFonts w:ascii="宋体"/>
                <w:sz w:val="15"/>
              </w:rPr>
              <w:t>14.10%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542,057,245.93</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70"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5" w:right="0"/>
              <w:jc w:val="center"/>
              <w:rPr>
                <w:rFonts w:ascii="宋体" w:hAnsi="宋体" w:cs="宋体" w:eastAsia="宋体" w:hint="default"/>
                <w:sz w:val="15"/>
                <w:szCs w:val="15"/>
              </w:rPr>
            </w:pPr>
            <w:r>
              <w:rPr>
                <w:rFonts w:ascii="宋体"/>
                <w:sz w:val="15"/>
              </w:rPr>
              <w:t>611,345,505.29</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center"/>
              <w:rPr>
                <w:rFonts w:ascii="宋体" w:hAnsi="宋体" w:cs="宋体" w:eastAsia="宋体" w:hint="default"/>
                <w:sz w:val="15"/>
                <w:szCs w:val="15"/>
              </w:rPr>
            </w:pPr>
            <w:r>
              <w:rPr>
                <w:rFonts w:ascii="宋体"/>
                <w:sz w:val="15"/>
              </w:rPr>
              <w:t>100.00%</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2" w:right="0"/>
              <w:jc w:val="center"/>
              <w:rPr>
                <w:rFonts w:ascii="宋体" w:hAnsi="宋体" w:cs="宋体" w:eastAsia="宋体" w:hint="default"/>
                <w:sz w:val="15"/>
                <w:szCs w:val="15"/>
              </w:rPr>
            </w:pPr>
            <w:r>
              <w:rPr>
                <w:rFonts w:ascii="宋体"/>
                <w:sz w:val="15"/>
              </w:rPr>
              <w:t>107,845,492.49</w:t>
            </w:r>
          </w:p>
        </w:tc>
        <w:tc>
          <w:tcPr>
            <w:tcW w:w="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 w:right="0"/>
              <w:jc w:val="center"/>
              <w:rPr>
                <w:rFonts w:ascii="宋体" w:hAnsi="宋体" w:cs="宋体" w:eastAsia="宋体" w:hint="default"/>
                <w:sz w:val="15"/>
                <w:szCs w:val="15"/>
              </w:rPr>
            </w:pPr>
            <w:r>
              <w:rPr>
                <w:rFonts w:ascii="宋体"/>
                <w:sz w:val="15"/>
              </w:rPr>
              <w:t>17.64%</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5" w:right="0"/>
              <w:jc w:val="center"/>
              <w:rPr>
                <w:rFonts w:ascii="宋体" w:hAnsi="宋体" w:cs="宋体" w:eastAsia="宋体" w:hint="default"/>
                <w:sz w:val="15"/>
                <w:szCs w:val="15"/>
              </w:rPr>
            </w:pPr>
            <w:r>
              <w:rPr>
                <w:rFonts w:ascii="宋体"/>
                <w:sz w:val="15"/>
              </w:rPr>
              <w:t>503,500,012.80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67" w:right="0"/>
              <w:jc w:val="center"/>
              <w:rPr>
                <w:rFonts w:ascii="宋体" w:hAnsi="宋体" w:cs="宋体" w:eastAsia="宋体" w:hint="default"/>
                <w:sz w:val="15"/>
                <w:szCs w:val="15"/>
              </w:rPr>
            </w:pPr>
            <w:r>
              <w:rPr>
                <w:rFonts w:ascii="宋体"/>
                <w:sz w:val="15"/>
              </w:rPr>
              <w:t>631,014,407.42</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5" w:right="0"/>
              <w:jc w:val="center"/>
              <w:rPr>
                <w:rFonts w:ascii="宋体" w:hAnsi="宋体" w:cs="宋体" w:eastAsia="宋体" w:hint="default"/>
                <w:sz w:val="15"/>
                <w:szCs w:val="15"/>
              </w:rPr>
            </w:pPr>
            <w:r>
              <w:rPr>
                <w:rFonts w:ascii="宋体"/>
                <w:sz w:val="15"/>
              </w:rPr>
              <w:t>100.00%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 w:right="0"/>
              <w:jc w:val="center"/>
              <w:rPr>
                <w:rFonts w:ascii="宋体" w:hAnsi="宋体" w:cs="宋体" w:eastAsia="宋体" w:hint="default"/>
                <w:sz w:val="15"/>
                <w:szCs w:val="15"/>
              </w:rPr>
            </w:pPr>
            <w:r>
              <w:rPr>
                <w:rFonts w:ascii="宋体"/>
                <w:sz w:val="15"/>
              </w:rPr>
              <w:t>88,957,161.49</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 w:right="0"/>
              <w:jc w:val="center"/>
              <w:rPr>
                <w:rFonts w:ascii="宋体" w:hAnsi="宋体" w:cs="宋体" w:eastAsia="宋体" w:hint="default"/>
                <w:sz w:val="15"/>
                <w:szCs w:val="15"/>
              </w:rPr>
            </w:pPr>
            <w:r>
              <w:rPr>
                <w:rFonts w:ascii="宋体"/>
                <w:sz w:val="15"/>
              </w:rPr>
              <w:t>14.10%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1"/>
                <w:sz w:val="15"/>
              </w:rPr>
              <w:t>542,057,245.93</w:t>
            </w:r>
          </w:p>
        </w:tc>
      </w:tr>
    </w:tbl>
    <w:p>
      <w:pPr>
        <w:spacing w:line="240" w:lineRule="auto" w:before="9"/>
        <w:rPr>
          <w:rFonts w:ascii="宋体" w:hAnsi="宋体" w:cs="宋体" w:eastAsia="宋体" w:hint="default"/>
          <w:sz w:val="6"/>
          <w:szCs w:val="6"/>
        </w:rPr>
      </w:pPr>
    </w:p>
    <w:p>
      <w:pPr>
        <w:pStyle w:val="BodyText"/>
        <w:spacing w:line="240" w:lineRule="auto" w:before="44"/>
        <w:ind w:left="1134" w:right="0"/>
        <w:jc w:val="left"/>
      </w:pPr>
      <w:r>
        <w:rPr/>
        <w:t>期末单项金额重大并单项计提坏账准备的应收账款：</w:t>
      </w:r>
    </w:p>
    <w:p>
      <w:pPr>
        <w:pStyle w:val="BodyText"/>
        <w:spacing w:line="240" w:lineRule="auto" w:before="116"/>
        <w:ind w:left="1134" w:right="0"/>
        <w:jc w:val="left"/>
      </w:pPr>
      <w:r>
        <w:rPr/>
        <w:t>□ 适用 √ 不适用</w:t>
      </w:r>
    </w:p>
    <w:p>
      <w:pPr>
        <w:spacing w:line="240" w:lineRule="auto" w:before="8"/>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footerReference w:type="default" r:id="rId44"/>
          <w:pgSz w:w="11910" w:h="16840"/>
          <w:pgMar w:footer="1187" w:header="877" w:top="1100" w:bottom="1380" w:left="0" w:right="0"/>
        </w:sectPr>
      </w:pPr>
    </w:p>
    <w:p>
      <w:pPr>
        <w:pStyle w:val="BodyText"/>
        <w:spacing w:line="240" w:lineRule="auto" w:before="44"/>
        <w:ind w:left="1134" w:right="-20"/>
        <w:jc w:val="left"/>
      </w:pPr>
      <w:r>
        <w:rPr/>
        <w:t>组合中，按账龄分析法计提坏账准备的应收账款：</w:t>
      </w:r>
    </w:p>
    <w:p>
      <w:pPr>
        <w:pStyle w:val="BodyText"/>
        <w:spacing w:line="240" w:lineRule="auto" w:before="117"/>
        <w:ind w:left="1134"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5" w:right="1291"/>
        <w:jc w:val="center"/>
      </w:pPr>
      <w:r>
        <w:rPr/>
        <w:t>单位： 元</w:t>
      </w:r>
    </w:p>
    <w:p>
      <w:pPr>
        <w:spacing w:after="0" w:line="240" w:lineRule="auto"/>
        <w:jc w:val="center"/>
        <w:sectPr>
          <w:type w:val="continuous"/>
          <w:pgSz w:w="11910" w:h="16840"/>
          <w:pgMar w:top="1580" w:bottom="840" w:left="0" w:right="0"/>
          <w:cols w:num="2" w:equalWidth="0">
            <w:col w:w="5095" w:space="3555"/>
            <w:col w:w="326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492,854,162.02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24,642,708.10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27,716,697.85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2,771,669.78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14,776,472.59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4,432,941.78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27,224,145.21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27,224,145.21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33,576,116.86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33,576,116.86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15,197,910.76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15,197,910.76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611,345,505.29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107,845,492.49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17.64%</w:t>
            </w:r>
          </w:p>
        </w:tc>
      </w:tr>
    </w:tbl>
    <w:p>
      <w:pPr>
        <w:spacing w:line="240" w:lineRule="auto" w:before="9"/>
        <w:rPr>
          <w:rFonts w:ascii="宋体" w:hAnsi="宋体" w:cs="宋体" w:eastAsia="宋体" w:hint="default"/>
          <w:sz w:val="6"/>
          <w:szCs w:val="6"/>
        </w:rPr>
      </w:pPr>
    </w:p>
    <w:p>
      <w:pPr>
        <w:pStyle w:val="BodyText"/>
        <w:spacing w:line="240" w:lineRule="auto" w:before="44"/>
        <w:ind w:left="1134" w:right="0"/>
        <w:jc w:val="left"/>
      </w:pPr>
      <w:r>
        <w:rPr/>
        <w:t>组合中，采用余额百分比法计提坏账准备的应收账款：</w:t>
      </w:r>
    </w:p>
    <w:p>
      <w:pPr>
        <w:spacing w:after="0" w:line="240" w:lineRule="auto"/>
        <w:jc w:val="left"/>
        <w:sectPr>
          <w:type w:val="continuous"/>
          <w:pgSz w:w="11910" w:h="16840"/>
          <w:pgMar w:top="1580" w:bottom="840" w:left="0" w:right="0"/>
        </w:sectPr>
      </w:pPr>
    </w:p>
    <w:p>
      <w:pPr>
        <w:spacing w:line="240" w:lineRule="auto" w:before="13"/>
        <w:rPr>
          <w:rFonts w:ascii="宋体" w:hAnsi="宋体" w:cs="宋体" w:eastAsia="宋体" w:hint="default"/>
          <w:sz w:val="21"/>
          <w:szCs w:val="21"/>
        </w:rPr>
      </w:pPr>
    </w:p>
    <w:p>
      <w:pPr>
        <w:pStyle w:val="BodyText"/>
        <w:spacing w:line="439" w:lineRule="auto" w:before="44"/>
        <w:ind w:left="1134" w:right="6792"/>
        <w:jc w:val="left"/>
      </w:pPr>
      <w:r>
        <w:rPr/>
        <w:t>□ 适用 √ 不适用 组合中，采用其他方法计提坏账准备的应收账款：</w:t>
      </w:r>
    </w:p>
    <w:p>
      <w:pPr>
        <w:pStyle w:val="BodyText"/>
        <w:spacing w:line="203" w:lineRule="exact"/>
        <w:ind w:left="1134"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left="1134" w:right="0"/>
        <w:jc w:val="left"/>
        <w:rPr>
          <w:b w:val="0"/>
          <w:bCs w:val="0"/>
        </w:rPr>
      </w:pPr>
      <w:bookmarkStart w:name="（2）本期计提、收回或转回的坏账准备情况" w:id="211"/>
      <w:bookmarkEnd w:id="211"/>
      <w:r>
        <w:rPr>
          <w:b w:val="0"/>
          <w:bCs w:val="0"/>
        </w:rPr>
      </w:r>
      <w:r>
        <w:rPr/>
        <w:t>（</w:t>
      </w:r>
      <w:r>
        <w:rPr>
          <w:rFonts w:ascii="宋体" w:hAnsi="宋体" w:cs="宋体" w:eastAsia="宋体" w:hint="default"/>
        </w:rPr>
        <w:t>2</w:t>
      </w:r>
      <w:r>
        <w:rPr/>
        <w:t>）本期计提、收回或转回的坏账准备情况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1494" w:right="0"/>
        <w:jc w:val="left"/>
      </w:pPr>
      <w:r>
        <w:rPr/>
        <w:t>本期计提坏账准备金额</w:t>
      </w:r>
      <w:r>
        <w:rPr>
          <w:spacing w:val="-46"/>
        </w:rPr>
        <w:t> </w:t>
      </w:r>
      <w:r>
        <w:rPr>
          <w:rFonts w:ascii="宋体" w:hAnsi="宋体" w:cs="宋体" w:eastAsia="宋体" w:hint="default"/>
        </w:rPr>
        <w:t>18,888,331.00</w:t>
      </w:r>
      <w:r>
        <w:rPr>
          <w:rFonts w:ascii="宋体" w:hAnsi="宋体" w:cs="宋体" w:eastAsia="宋体" w:hint="default"/>
          <w:spacing w:val="-46"/>
        </w:rPr>
        <w:t> </w:t>
      </w:r>
      <w:r>
        <w:rPr/>
        <w:t>元；本期收回或转回坏账准备金额</w:t>
      </w:r>
      <w:r>
        <w:rPr>
          <w:spacing w:val="-46"/>
        </w:rPr>
        <w:t> </w:t>
      </w:r>
      <w:r>
        <w:rPr>
          <w:rFonts w:ascii="宋体" w:hAnsi="宋体" w:cs="宋体" w:eastAsia="宋体" w:hint="default"/>
        </w:rPr>
        <w:t>0.00</w:t>
      </w:r>
      <w:r>
        <w:rPr>
          <w:rFonts w:ascii="宋体" w:hAnsi="宋体" w:cs="宋体" w:eastAsia="宋体" w:hint="default"/>
          <w:spacing w:val="-46"/>
        </w:rPr>
        <w:t> </w:t>
      </w:r>
      <w:r>
        <w:rPr/>
        <w:t>元。</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按欠款方归集的期末余额前五名的应收账款情况" w:id="212"/>
      <w:bookmarkEnd w:id="212"/>
      <w:r>
        <w:rPr>
          <w:b w:val="0"/>
          <w:bCs w:val="0"/>
        </w:rPr>
      </w:r>
      <w:r>
        <w:rPr/>
        <w:t>（</w:t>
      </w:r>
      <w:r>
        <w:rPr>
          <w:rFonts w:ascii="宋体" w:hAnsi="宋体" w:cs="宋体" w:eastAsia="宋体" w:hint="default"/>
        </w:rPr>
        <w:t>3</w:t>
      </w:r>
      <w:r>
        <w:rPr/>
        <w:t>）按欠款方归集的期末余额前五名的应收账款情况</w:t>
      </w:r>
      <w:r>
        <w:rPr>
          <w:b w:val="0"/>
          <w:bCs w:val="0"/>
        </w:rPr>
      </w:r>
    </w:p>
    <w:p>
      <w:pPr>
        <w:spacing w:line="240" w:lineRule="auto" w:before="9"/>
        <w:rPr>
          <w:rFonts w:ascii="宋体" w:hAnsi="宋体" w:cs="宋体" w:eastAsia="宋体" w:hint="default"/>
          <w:b/>
          <w:bCs/>
          <w:sz w:val="27"/>
          <w:szCs w:val="27"/>
        </w:rPr>
      </w:pPr>
    </w:p>
    <w:p>
      <w:pPr>
        <w:pStyle w:val="BodyText"/>
        <w:spacing w:line="316" w:lineRule="auto"/>
        <w:ind w:right="1213" w:firstLine="360"/>
        <w:jc w:val="left"/>
      </w:pPr>
      <w:r>
        <w:rPr/>
        <w:t>截至期末按欠款方归集的期末余额前五名应收账款汇总金额</w:t>
      </w:r>
      <w:r>
        <w:rPr>
          <w:rFonts w:ascii="宋体" w:hAnsi="宋体" w:cs="宋体" w:eastAsia="宋体" w:hint="default"/>
        </w:rPr>
        <w:t>106,963,201.33</w:t>
      </w:r>
      <w:r>
        <w:rPr/>
        <w:t>元，占应收账款期末余额合计数的比例为 </w:t>
      </w:r>
      <w:r>
        <w:rPr>
          <w:rFonts w:ascii="宋体" w:hAnsi="宋体" w:cs="宋体" w:eastAsia="宋体" w:hint="default"/>
        </w:rPr>
        <w:t>17.50%</w:t>
      </w:r>
      <w:r>
        <w:rPr/>
        <w:t>，相应计提的坏账准备期末余额汇总金额为</w:t>
      </w:r>
      <w:r>
        <w:rPr>
          <w:rFonts w:ascii="宋体" w:hAnsi="宋体" w:cs="宋体" w:eastAsia="宋体" w:hint="default"/>
        </w:rPr>
        <w:t>29,281,784.57</w:t>
      </w:r>
      <w:r>
        <w:rPr/>
        <w:t>元。</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4、预付款项" w:id="213"/>
      <w:bookmarkEnd w:id="213"/>
      <w:r>
        <w:rPr>
          <w:b w:val="0"/>
          <w:bCs w:val="0"/>
        </w:rPr>
      </w:r>
      <w:r>
        <w:rPr>
          <w:rFonts w:ascii="宋体" w:hAnsi="宋体" w:cs="宋体" w:eastAsia="宋体" w:hint="default"/>
        </w:rPr>
        <w:t>4</w:t>
      </w:r>
      <w:r>
        <w:rPr/>
        <w:t>、预付款项</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bookmarkStart w:name="（1）预付款项按账龄列示" w:id="214"/>
      <w:bookmarkEnd w:id="214"/>
      <w:r>
        <w:rPr>
          <w:b w:val="0"/>
          <w:bCs w:val="0"/>
        </w:rPr>
      </w:r>
      <w:r>
        <w:rPr/>
        <w:t>（</w:t>
      </w:r>
      <w:r>
        <w:rPr>
          <w:rFonts w:ascii="宋体" w:hAnsi="宋体" w:cs="宋体" w:eastAsia="宋体" w:hint="default"/>
        </w:rPr>
        <w:t>1</w:t>
      </w:r>
      <w:r>
        <w:rPr/>
        <w:t>）预付款项按账龄列示</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5,625,837.73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69.55%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6,344,811.78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71.00%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179,420.74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1,462,683.23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16.37%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1,153,830.54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61,280.00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0.68%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1,129,455.11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1,068,175.11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11.95%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8,088,544.12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8,936,950.12</w:t>
            </w:r>
          </w:p>
        </w:tc>
        <w:tc>
          <w:tcPr>
            <w:tcW w:w="19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按预付对象归集的期末余额前五名的预付款情况" w:id="215"/>
      <w:bookmarkEnd w:id="215"/>
      <w:r>
        <w:rPr>
          <w:b w:val="0"/>
          <w:bCs w:val="0"/>
        </w:rPr>
      </w:r>
      <w:r>
        <w:rPr/>
        <w:t>（</w:t>
      </w:r>
      <w:r>
        <w:rPr>
          <w:rFonts w:ascii="宋体" w:hAnsi="宋体" w:cs="宋体" w:eastAsia="宋体"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7"/>
          <w:szCs w:val="27"/>
        </w:rPr>
      </w:pPr>
    </w:p>
    <w:p>
      <w:pPr>
        <w:pStyle w:val="BodyText"/>
        <w:spacing w:line="316" w:lineRule="auto"/>
        <w:ind w:right="1213" w:firstLine="360"/>
        <w:jc w:val="left"/>
      </w:pPr>
      <w:r>
        <w:rPr/>
        <w:t>截至期末按供应商归集的期末余额前五名预付款项汇总金额为</w:t>
      </w:r>
      <w:r>
        <w:rPr>
          <w:rFonts w:ascii="宋体" w:hAnsi="宋体" w:cs="宋体" w:eastAsia="宋体" w:hint="default"/>
        </w:rPr>
        <w:t>5,830,026.75</w:t>
      </w:r>
      <w:r>
        <w:rPr/>
        <w:t>元，占预付款项期末余额合计数的比例为 </w:t>
      </w:r>
      <w:r>
        <w:rPr>
          <w:rFonts w:ascii="宋体" w:hAnsi="宋体" w:cs="宋体" w:eastAsia="宋体" w:hint="default"/>
        </w:rPr>
        <w:t>72.08%</w:t>
      </w:r>
      <w:r>
        <w:rPr/>
        <w:t>。</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5、应收利息" w:id="216"/>
      <w:bookmarkEnd w:id="216"/>
      <w:r>
        <w:rPr>
          <w:b w:val="0"/>
          <w:bCs w:val="0"/>
        </w:rPr>
      </w:r>
      <w:r>
        <w:rPr>
          <w:rFonts w:ascii="宋体" w:hAnsi="宋体" w:cs="宋体" w:eastAsia="宋体" w:hint="default"/>
        </w:rPr>
        <w:t>5</w:t>
      </w:r>
      <w:r>
        <w:rPr/>
        <w:t>、应收利息</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0" w:right="131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2,873,210.59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2,873,210.59</w:t>
            </w:r>
          </w:p>
        </w:tc>
      </w:tr>
    </w:tbl>
    <w:p>
      <w:pPr>
        <w:spacing w:line="240" w:lineRule="auto" w:before="4"/>
        <w:rPr>
          <w:rFonts w:ascii="宋体" w:hAnsi="宋体" w:cs="宋体" w:eastAsia="宋体" w:hint="default"/>
          <w:sz w:val="9"/>
          <w:szCs w:val="9"/>
        </w:rPr>
      </w:pPr>
    </w:p>
    <w:p>
      <w:pPr>
        <w:pStyle w:val="BodyText"/>
        <w:spacing w:line="240" w:lineRule="auto" w:before="44"/>
        <w:ind w:left="1494" w:right="0"/>
        <w:jc w:val="left"/>
      </w:pPr>
      <w:r>
        <w:rPr/>
        <w:t>报告期末，应收利息较期初减少</w:t>
      </w:r>
      <w:r>
        <w:rPr>
          <w:rFonts w:ascii="宋体" w:hAnsi="宋体" w:cs="宋体" w:eastAsia="宋体" w:hint="default"/>
        </w:rPr>
        <w:t>100%</w:t>
      </w:r>
      <w:r>
        <w:rPr/>
        <w:t>，主要由于已计提利息均到期结算。</w:t>
      </w:r>
    </w:p>
    <w:p>
      <w:pPr>
        <w:spacing w:after="0" w:line="240" w:lineRule="auto"/>
        <w:jc w:val="left"/>
        <w:sectPr>
          <w:footerReference w:type="default" r:id="rId45"/>
          <w:pgSz w:w="11910" w:h="16840"/>
          <w:pgMar w:footer="1187" w:header="877" w:top="1100" w:bottom="1380" w:left="0" w:right="0"/>
          <w:pgNumType w:start="101"/>
        </w:sectPr>
      </w:pPr>
    </w:p>
    <w:p>
      <w:pPr>
        <w:spacing w:line="240" w:lineRule="auto" w:before="10"/>
        <w:rPr>
          <w:rFonts w:ascii="宋体" w:hAnsi="宋体" w:cs="宋体" w:eastAsia="宋体" w:hint="default"/>
          <w:sz w:val="20"/>
          <w:szCs w:val="20"/>
        </w:rPr>
      </w:pPr>
    </w:p>
    <w:p>
      <w:pPr>
        <w:pStyle w:val="Heading3"/>
        <w:spacing w:line="240" w:lineRule="auto" w:before="35"/>
        <w:ind w:left="1134" w:right="0"/>
        <w:jc w:val="left"/>
        <w:rPr>
          <w:b w:val="0"/>
          <w:bCs w:val="0"/>
        </w:rPr>
      </w:pPr>
      <w:bookmarkStart w:name="6、其他应收款" w:id="217"/>
      <w:bookmarkEnd w:id="217"/>
      <w:r>
        <w:rPr>
          <w:b w:val="0"/>
          <w:bCs w:val="0"/>
        </w:rPr>
      </w:r>
      <w:r>
        <w:rPr>
          <w:rFonts w:ascii="宋体" w:hAnsi="宋体" w:cs="宋体" w:eastAsia="宋体" w:hint="default"/>
        </w:rPr>
        <w:t>6</w:t>
      </w:r>
      <w:r>
        <w:rPr/>
        <w:t>、其他应收款</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left="1134" w:right="0"/>
        <w:jc w:val="left"/>
        <w:rPr>
          <w:b w:val="0"/>
          <w:bCs w:val="0"/>
        </w:rPr>
      </w:pPr>
      <w:bookmarkStart w:name="（1）其他应收款分类披露" w:id="218"/>
      <w:bookmarkEnd w:id="218"/>
      <w:r>
        <w:rPr>
          <w:b w:val="0"/>
          <w:bCs w:val="0"/>
        </w:rPr>
      </w:r>
      <w:r>
        <w:rPr/>
        <w:t>（</w:t>
      </w:r>
      <w:r>
        <w:rPr>
          <w:rFonts w:ascii="宋体" w:hAnsi="宋体" w:cs="宋体" w:eastAsia="宋体" w:hint="default"/>
        </w:rPr>
        <w:t>1</w:t>
      </w:r>
      <w:r>
        <w:rPr/>
        <w:t>）其他应收款分类披露</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966"/>
        <w:gridCol w:w="1064"/>
        <w:gridCol w:w="616"/>
        <w:gridCol w:w="980"/>
        <w:gridCol w:w="560"/>
        <w:gridCol w:w="1050"/>
        <w:gridCol w:w="1078"/>
        <w:gridCol w:w="630"/>
        <w:gridCol w:w="966"/>
        <w:gridCol w:w="574"/>
        <w:gridCol w:w="1084"/>
      </w:tblGrid>
      <w:tr>
        <w:trPr>
          <w:trHeight w:val="402" w:hRule="exact"/>
        </w:trPr>
        <w:tc>
          <w:tcPr>
            <w:tcW w:w="9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3"/>
              <w:ind w:right="1"/>
              <w:jc w:val="center"/>
              <w:rPr>
                <w:rFonts w:ascii="宋体" w:hAnsi="宋体" w:cs="宋体" w:eastAsia="宋体" w:hint="default"/>
                <w:sz w:val="15"/>
                <w:szCs w:val="15"/>
              </w:rPr>
            </w:pPr>
            <w:r>
              <w:rPr>
                <w:rFonts w:ascii="宋体" w:hAnsi="宋体" w:cs="宋体" w:eastAsia="宋体" w:hint="default"/>
                <w:sz w:val="15"/>
                <w:szCs w:val="15"/>
              </w:rPr>
              <w:t>类别</w:t>
            </w:r>
          </w:p>
        </w:tc>
        <w:tc>
          <w:tcPr>
            <w:tcW w:w="42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433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402" w:hRule="exact"/>
        </w:trPr>
        <w:tc>
          <w:tcPr>
            <w:tcW w:w="966" w:type="dxa"/>
            <w:vMerge/>
            <w:tcBorders>
              <w:left w:val="single" w:sz="4" w:space="0" w:color="000000"/>
              <w:right w:val="single" w:sz="4" w:space="0" w:color="000000"/>
            </w:tcBorders>
          </w:tcPr>
          <w:p>
            <w:pPr/>
          </w:p>
        </w:tc>
        <w:tc>
          <w:tcPr>
            <w:tcW w:w="16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33"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5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64"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0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20" w:right="0"/>
              <w:jc w:val="left"/>
              <w:rPr>
                <w:rFonts w:ascii="宋体" w:hAnsi="宋体" w:cs="宋体" w:eastAsia="宋体" w:hint="default"/>
                <w:sz w:val="15"/>
                <w:szCs w:val="15"/>
              </w:rPr>
            </w:pPr>
            <w:r>
              <w:rPr>
                <w:rFonts w:ascii="宋体" w:hAnsi="宋体" w:cs="宋体" w:eastAsia="宋体" w:hint="default"/>
                <w:sz w:val="15"/>
                <w:szCs w:val="15"/>
              </w:rPr>
              <w:t>账面价值</w:t>
            </w:r>
          </w:p>
        </w:tc>
        <w:tc>
          <w:tcPr>
            <w:tcW w:w="1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49"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5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64"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0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36" w:right="0"/>
              <w:jc w:val="left"/>
              <w:rPr>
                <w:rFonts w:ascii="宋体" w:hAnsi="宋体" w:cs="宋体" w:eastAsia="宋体" w:hint="default"/>
                <w:sz w:val="15"/>
                <w:szCs w:val="15"/>
              </w:rPr>
            </w:pPr>
            <w:r>
              <w:rPr>
                <w:rFonts w:ascii="宋体" w:hAnsi="宋体" w:cs="宋体" w:eastAsia="宋体" w:hint="default"/>
                <w:sz w:val="15"/>
                <w:szCs w:val="15"/>
              </w:rPr>
              <w:t>账面价值</w:t>
            </w:r>
          </w:p>
        </w:tc>
      </w:tr>
      <w:tr>
        <w:trPr>
          <w:trHeight w:val="755" w:hRule="exact"/>
        </w:trPr>
        <w:tc>
          <w:tcPr>
            <w:tcW w:w="966" w:type="dxa"/>
            <w:vMerge/>
            <w:tcBorders>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金额</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比例</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金额</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429" w:lineRule="auto" w:before="75"/>
              <w:ind w:left="125" w:right="122"/>
              <w:jc w:val="left"/>
              <w:rPr>
                <w:rFonts w:ascii="宋体" w:hAnsi="宋体" w:cs="宋体" w:eastAsia="宋体" w:hint="default"/>
                <w:sz w:val="15"/>
                <w:szCs w:val="15"/>
              </w:rPr>
            </w:pPr>
            <w:r>
              <w:rPr>
                <w:rFonts w:ascii="宋体" w:hAnsi="宋体" w:cs="宋体" w:eastAsia="宋体" w:hint="default"/>
                <w:sz w:val="15"/>
                <w:szCs w:val="15"/>
              </w:rPr>
              <w:t>计提 比例</w:t>
            </w:r>
          </w:p>
        </w:tc>
        <w:tc>
          <w:tcPr>
            <w:tcW w:w="1050" w:type="dxa"/>
            <w:vMerge/>
            <w:tcBorders>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比例</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429" w:lineRule="auto" w:before="75"/>
              <w:ind w:left="131" w:right="131"/>
              <w:jc w:val="left"/>
              <w:rPr>
                <w:rFonts w:ascii="宋体" w:hAnsi="宋体" w:cs="宋体" w:eastAsia="宋体" w:hint="default"/>
                <w:sz w:val="15"/>
                <w:szCs w:val="15"/>
              </w:rPr>
            </w:pPr>
            <w:r>
              <w:rPr>
                <w:rFonts w:ascii="宋体" w:hAnsi="宋体" w:cs="宋体" w:eastAsia="宋体" w:hint="default"/>
                <w:sz w:val="15"/>
                <w:szCs w:val="15"/>
              </w:rPr>
              <w:t>计提 比例</w:t>
            </w:r>
          </w:p>
        </w:tc>
        <w:tc>
          <w:tcPr>
            <w:tcW w:w="1084" w:type="dxa"/>
            <w:vMerge/>
            <w:tcBorders>
              <w:left w:val="single" w:sz="4" w:space="0" w:color="000000"/>
              <w:bottom w:val="single" w:sz="4" w:space="0" w:color="000000"/>
              <w:right w:val="single" w:sz="4" w:space="0" w:color="000000"/>
            </w:tcBorders>
          </w:tcPr>
          <w:p>
            <w:pPr/>
          </w:p>
        </w:tc>
      </w:tr>
      <w:tr>
        <w:trPr>
          <w:trHeight w:val="1338" w:hRule="exact"/>
        </w:trPr>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31"/>
              <w:jc w:val="both"/>
              <w:rPr>
                <w:rFonts w:ascii="宋体" w:hAnsi="宋体" w:cs="宋体" w:eastAsia="宋体" w:hint="default"/>
                <w:sz w:val="15"/>
                <w:szCs w:val="15"/>
              </w:rPr>
            </w:pPr>
            <w:r>
              <w:rPr>
                <w:rFonts w:ascii="宋体" w:hAnsi="宋体" w:cs="宋体" w:eastAsia="宋体" w:hint="default"/>
                <w:sz w:val="15"/>
                <w:szCs w:val="15"/>
              </w:rPr>
              <w:t>按信用风险特 征组合计提坏 账准备的其他 应收款</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2" w:right="0"/>
              <w:jc w:val="center"/>
              <w:rPr>
                <w:rFonts w:ascii="宋体" w:hAnsi="宋体" w:cs="宋体" w:eastAsia="宋体" w:hint="default"/>
                <w:sz w:val="15"/>
                <w:szCs w:val="15"/>
              </w:rPr>
            </w:pPr>
            <w:r>
              <w:rPr>
                <w:rFonts w:ascii="宋体"/>
                <w:sz w:val="15"/>
              </w:rPr>
              <w:t>13,925,751.55</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6" w:right="0"/>
              <w:jc w:val="center"/>
              <w:rPr>
                <w:rFonts w:ascii="宋体" w:hAnsi="宋体" w:cs="宋体" w:eastAsia="宋体" w:hint="default"/>
                <w:sz w:val="15"/>
                <w:szCs w:val="15"/>
              </w:rPr>
            </w:pPr>
            <w:r>
              <w:rPr>
                <w:rFonts w:ascii="宋体"/>
                <w:sz w:val="15"/>
              </w:rPr>
              <w:t>100.00%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2" w:right="0"/>
              <w:jc w:val="center"/>
              <w:rPr>
                <w:rFonts w:ascii="宋体" w:hAnsi="宋体" w:cs="宋体" w:eastAsia="宋体" w:hint="default"/>
                <w:sz w:val="15"/>
                <w:szCs w:val="15"/>
              </w:rPr>
            </w:pPr>
            <w:r>
              <w:rPr>
                <w:rFonts w:ascii="宋体"/>
                <w:sz w:val="15"/>
              </w:rPr>
              <w:t>2,685,657.80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53" w:right="0"/>
              <w:jc w:val="center"/>
              <w:rPr>
                <w:rFonts w:ascii="宋体" w:hAnsi="宋体" w:cs="宋体" w:eastAsia="宋体" w:hint="default"/>
                <w:sz w:val="15"/>
                <w:szCs w:val="15"/>
              </w:rPr>
            </w:pPr>
            <w:r>
              <w:rPr>
                <w:rFonts w:ascii="宋体"/>
                <w:sz w:val="15"/>
              </w:rPr>
              <w:t>19.29%</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3" w:right="0"/>
              <w:jc w:val="left"/>
              <w:rPr>
                <w:rFonts w:ascii="宋体" w:hAnsi="宋体" w:cs="宋体" w:eastAsia="宋体" w:hint="default"/>
                <w:sz w:val="15"/>
                <w:szCs w:val="15"/>
              </w:rPr>
            </w:pPr>
            <w:r>
              <w:rPr>
                <w:rFonts w:ascii="宋体"/>
                <w:sz w:val="15"/>
              </w:rPr>
              <w:t>11,240,093.75</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7" w:right="0"/>
              <w:jc w:val="center"/>
              <w:rPr>
                <w:rFonts w:ascii="宋体" w:hAnsi="宋体" w:cs="宋体" w:eastAsia="宋体" w:hint="default"/>
                <w:sz w:val="15"/>
                <w:szCs w:val="15"/>
              </w:rPr>
            </w:pPr>
            <w:r>
              <w:rPr>
                <w:rFonts w:ascii="宋体"/>
                <w:sz w:val="15"/>
              </w:rPr>
              <w:t>14,775,035.69</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8" w:right="0"/>
              <w:jc w:val="center"/>
              <w:rPr>
                <w:rFonts w:ascii="宋体" w:hAnsi="宋体" w:cs="宋体" w:eastAsia="宋体" w:hint="default"/>
                <w:sz w:val="15"/>
                <w:szCs w:val="15"/>
              </w:rPr>
            </w:pPr>
            <w:r>
              <w:rPr>
                <w:rFonts w:ascii="宋体"/>
                <w:sz w:val="15"/>
              </w:rPr>
              <w:t>100.00%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7" w:right="0"/>
              <w:jc w:val="center"/>
              <w:rPr>
                <w:rFonts w:ascii="宋体" w:hAnsi="宋体" w:cs="宋体" w:eastAsia="宋体" w:hint="default"/>
                <w:sz w:val="15"/>
                <w:szCs w:val="15"/>
              </w:rPr>
            </w:pPr>
            <w:r>
              <w:rPr>
                <w:rFonts w:ascii="宋体"/>
                <w:sz w:val="15"/>
              </w:rPr>
              <w:t>3,913,958.76</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26.49%</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51" w:right="0"/>
              <w:jc w:val="center"/>
              <w:rPr>
                <w:rFonts w:ascii="宋体" w:hAnsi="宋体" w:cs="宋体" w:eastAsia="宋体" w:hint="default"/>
                <w:sz w:val="15"/>
                <w:szCs w:val="15"/>
              </w:rPr>
            </w:pPr>
            <w:r>
              <w:rPr>
                <w:rFonts w:ascii="宋体"/>
                <w:sz w:val="15"/>
              </w:rPr>
              <w:t>10,861,076.93</w:t>
            </w:r>
          </w:p>
        </w:tc>
      </w:tr>
      <w:tr>
        <w:trPr>
          <w:trHeight w:val="402" w:hRule="exact"/>
        </w:trPr>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5"/>
                <w:szCs w:val="15"/>
              </w:rPr>
            </w:pPr>
            <w:r>
              <w:rPr>
                <w:rFonts w:ascii="宋体" w:hAnsi="宋体" w:cs="宋体" w:eastAsia="宋体" w:hint="default"/>
                <w:sz w:val="15"/>
                <w:szCs w:val="15"/>
              </w:rPr>
              <w:t>合计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2" w:right="0"/>
              <w:jc w:val="center"/>
              <w:rPr>
                <w:rFonts w:ascii="宋体" w:hAnsi="宋体" w:cs="宋体" w:eastAsia="宋体" w:hint="default"/>
                <w:sz w:val="15"/>
                <w:szCs w:val="15"/>
              </w:rPr>
            </w:pPr>
            <w:r>
              <w:rPr>
                <w:rFonts w:ascii="宋体"/>
                <w:sz w:val="15"/>
              </w:rPr>
              <w:t>13,925,751.55</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6" w:right="0"/>
              <w:jc w:val="center"/>
              <w:rPr>
                <w:rFonts w:ascii="宋体" w:hAnsi="宋体" w:cs="宋体" w:eastAsia="宋体" w:hint="default"/>
                <w:sz w:val="15"/>
                <w:szCs w:val="15"/>
              </w:rPr>
            </w:pPr>
            <w:r>
              <w:rPr>
                <w:rFonts w:ascii="宋体"/>
                <w:sz w:val="15"/>
              </w:rPr>
              <w:t>100.00%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center"/>
              <w:rPr>
                <w:rFonts w:ascii="宋体" w:hAnsi="宋体" w:cs="宋体" w:eastAsia="宋体" w:hint="default"/>
                <w:sz w:val="15"/>
                <w:szCs w:val="15"/>
              </w:rPr>
            </w:pPr>
            <w:r>
              <w:rPr>
                <w:rFonts w:ascii="宋体"/>
                <w:sz w:val="15"/>
              </w:rPr>
              <w:t>2,685,657.80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3" w:right="0"/>
              <w:jc w:val="center"/>
              <w:rPr>
                <w:rFonts w:ascii="宋体" w:hAnsi="宋体" w:cs="宋体" w:eastAsia="宋体" w:hint="default"/>
                <w:sz w:val="15"/>
                <w:szCs w:val="15"/>
              </w:rPr>
            </w:pPr>
            <w:r>
              <w:rPr>
                <w:rFonts w:ascii="宋体"/>
                <w:sz w:val="15"/>
              </w:rPr>
              <w:t>19.29%</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3" w:right="0"/>
              <w:jc w:val="left"/>
              <w:rPr>
                <w:rFonts w:ascii="宋体" w:hAnsi="宋体" w:cs="宋体" w:eastAsia="宋体" w:hint="default"/>
                <w:sz w:val="15"/>
                <w:szCs w:val="15"/>
              </w:rPr>
            </w:pPr>
            <w:r>
              <w:rPr>
                <w:rFonts w:ascii="宋体"/>
                <w:sz w:val="15"/>
              </w:rPr>
              <w:t>11,240,093.75</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7" w:right="0"/>
              <w:jc w:val="center"/>
              <w:rPr>
                <w:rFonts w:ascii="宋体" w:hAnsi="宋体" w:cs="宋体" w:eastAsia="宋体" w:hint="default"/>
                <w:sz w:val="15"/>
                <w:szCs w:val="15"/>
              </w:rPr>
            </w:pPr>
            <w:r>
              <w:rPr>
                <w:rFonts w:ascii="宋体"/>
                <w:sz w:val="15"/>
              </w:rPr>
              <w:t>14,775,035.69</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8" w:right="0"/>
              <w:jc w:val="center"/>
              <w:rPr>
                <w:rFonts w:ascii="宋体" w:hAnsi="宋体" w:cs="宋体" w:eastAsia="宋体" w:hint="default"/>
                <w:sz w:val="15"/>
                <w:szCs w:val="15"/>
              </w:rPr>
            </w:pPr>
            <w:r>
              <w:rPr>
                <w:rFonts w:ascii="宋体"/>
                <w:sz w:val="15"/>
              </w:rPr>
              <w:t>100.00%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 w:right="0"/>
              <w:jc w:val="center"/>
              <w:rPr>
                <w:rFonts w:ascii="宋体" w:hAnsi="宋体" w:cs="宋体" w:eastAsia="宋体" w:hint="default"/>
                <w:sz w:val="15"/>
                <w:szCs w:val="15"/>
              </w:rPr>
            </w:pPr>
            <w:r>
              <w:rPr>
                <w:rFonts w:ascii="宋体"/>
                <w:sz w:val="15"/>
              </w:rPr>
              <w:t>3,913,958.76</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26.49%</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1" w:right="0"/>
              <w:jc w:val="center"/>
              <w:rPr>
                <w:rFonts w:ascii="宋体" w:hAnsi="宋体" w:cs="宋体" w:eastAsia="宋体" w:hint="default"/>
                <w:sz w:val="15"/>
                <w:szCs w:val="15"/>
              </w:rPr>
            </w:pPr>
            <w:r>
              <w:rPr>
                <w:rFonts w:ascii="宋体"/>
                <w:sz w:val="15"/>
              </w:rPr>
              <w:t>10,861,076.93</w:t>
            </w:r>
          </w:p>
        </w:tc>
      </w:tr>
    </w:tbl>
    <w:p>
      <w:pPr>
        <w:spacing w:line="240" w:lineRule="auto" w:before="9"/>
        <w:rPr>
          <w:rFonts w:ascii="宋体" w:hAnsi="宋体" w:cs="宋体" w:eastAsia="宋体" w:hint="default"/>
          <w:sz w:val="6"/>
          <w:szCs w:val="6"/>
        </w:rPr>
      </w:pPr>
    </w:p>
    <w:p>
      <w:pPr>
        <w:pStyle w:val="BodyText"/>
        <w:spacing w:line="240" w:lineRule="auto" w:before="44"/>
        <w:ind w:left="1134" w:right="0"/>
        <w:jc w:val="left"/>
      </w:pPr>
      <w:r>
        <w:rPr/>
        <w:t>期末单项金额重大并单项计提坏账准备的其他应收款：</w:t>
      </w:r>
    </w:p>
    <w:p>
      <w:pPr>
        <w:pStyle w:val="BodyText"/>
        <w:spacing w:line="240" w:lineRule="auto" w:before="116"/>
        <w:ind w:left="1134" w:right="0"/>
        <w:jc w:val="left"/>
      </w:pPr>
      <w:r>
        <w:rPr/>
        <w:t>□ 适用 √ 不适用</w:t>
      </w:r>
    </w:p>
    <w:p>
      <w:pPr>
        <w:spacing w:line="240" w:lineRule="auto" w:before="8"/>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10" w:h="16840"/>
          <w:pgMar w:header="877" w:footer="1187" w:top="1100" w:bottom="1380" w:left="0" w:right="0"/>
        </w:sectPr>
      </w:pPr>
    </w:p>
    <w:p>
      <w:pPr>
        <w:pStyle w:val="BodyText"/>
        <w:spacing w:line="240" w:lineRule="auto" w:before="44"/>
        <w:ind w:left="1134" w:right="-20"/>
        <w:jc w:val="left"/>
      </w:pPr>
      <w:r>
        <w:rPr/>
        <w:t>组合中，按账龄分析法计提坏账准备的其他应收款：</w:t>
      </w:r>
    </w:p>
    <w:p>
      <w:pPr>
        <w:pStyle w:val="BodyText"/>
        <w:spacing w:line="240" w:lineRule="auto" w:before="117"/>
        <w:ind w:left="1134"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5" w:right="1291"/>
        <w:jc w:val="center"/>
      </w:pPr>
      <w:r>
        <w:rPr/>
        <w:t>单位： 元</w:t>
      </w:r>
    </w:p>
    <w:p>
      <w:pPr>
        <w:spacing w:after="0" w:line="240" w:lineRule="auto"/>
        <w:jc w:val="center"/>
        <w:sectPr>
          <w:type w:val="continuous"/>
          <w:pgSz w:w="11910" w:h="16840"/>
          <w:pgMar w:top="1580" w:bottom="840" w:left="0" w:right="0"/>
          <w:cols w:num="2" w:equalWidth="0">
            <w:col w:w="5275" w:space="3375"/>
            <w:col w:w="326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8,115,737.70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405,786.89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3,042,631.34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304,263.13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1,131,106.76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339,332.03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575,992.40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575,992.40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409,648.92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409,648.92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650,634.43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650,634.43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13,925,751.55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2,685,657.80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19.29%</w:t>
            </w:r>
          </w:p>
        </w:tc>
      </w:tr>
    </w:tbl>
    <w:p>
      <w:pPr>
        <w:spacing w:line="240" w:lineRule="auto" w:before="9"/>
        <w:rPr>
          <w:rFonts w:ascii="宋体" w:hAnsi="宋体" w:cs="宋体" w:eastAsia="宋体" w:hint="default"/>
          <w:sz w:val="6"/>
          <w:szCs w:val="6"/>
        </w:rPr>
      </w:pPr>
    </w:p>
    <w:p>
      <w:pPr>
        <w:pStyle w:val="BodyText"/>
        <w:spacing w:line="240" w:lineRule="auto" w:before="44"/>
        <w:ind w:left="1134" w:right="0"/>
        <w:jc w:val="left"/>
      </w:pPr>
      <w:r>
        <w:rPr/>
        <w:t>组合中，采用余额百分比法计提坏账准备的其他应收款：</w:t>
      </w:r>
    </w:p>
    <w:p>
      <w:pPr>
        <w:pStyle w:val="BodyText"/>
        <w:spacing w:line="439" w:lineRule="auto" w:before="116"/>
        <w:ind w:left="1134" w:right="6612"/>
        <w:jc w:val="left"/>
      </w:pPr>
      <w:r>
        <w:rPr/>
        <w:t>□ 适用 √ 不适用 组合中，采用其他方法计提坏账准备的其他应收款：</w:t>
      </w:r>
    </w:p>
    <w:p>
      <w:pPr>
        <w:pStyle w:val="BodyText"/>
        <w:spacing w:line="203" w:lineRule="exact"/>
        <w:ind w:left="1134"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left="1134" w:right="0"/>
        <w:jc w:val="left"/>
        <w:rPr>
          <w:b w:val="0"/>
          <w:bCs w:val="0"/>
        </w:rPr>
      </w:pPr>
      <w:bookmarkStart w:name="（2）本期计提、收回或转回的坏账准备情况" w:id="219"/>
      <w:bookmarkEnd w:id="219"/>
      <w:r>
        <w:rPr>
          <w:b w:val="0"/>
          <w:bCs w:val="0"/>
        </w:rPr>
      </w:r>
      <w:r>
        <w:rPr/>
        <w:t>（</w:t>
      </w:r>
      <w:r>
        <w:rPr>
          <w:rFonts w:ascii="宋体" w:hAnsi="宋体" w:cs="宋体" w:eastAsia="宋体" w:hint="default"/>
        </w:rPr>
        <w:t>2</w:t>
      </w:r>
      <w:r>
        <w:rPr/>
        <w:t>）本期计提、收回或转回的坏账准备情况</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1494" w:right="0"/>
        <w:jc w:val="left"/>
      </w:pPr>
      <w:r>
        <w:rPr/>
        <w:t>本期计提坏账准备金额</w:t>
      </w:r>
      <w:r>
        <w:rPr>
          <w:rFonts w:ascii="宋体" w:hAnsi="宋体" w:cs="宋体" w:eastAsia="宋体" w:hint="default"/>
        </w:rPr>
        <w:t>-1,228,300.96</w:t>
      </w:r>
      <w:r>
        <w:rPr>
          <w:rFonts w:ascii="宋体" w:hAnsi="宋体" w:cs="宋体" w:eastAsia="宋体" w:hint="default"/>
          <w:spacing w:val="-46"/>
        </w:rPr>
        <w:t> </w:t>
      </w:r>
      <w:r>
        <w:rPr/>
        <w:t>元；本期收回或转回坏账准备金额</w:t>
      </w:r>
      <w:r>
        <w:rPr>
          <w:spacing w:val="-46"/>
        </w:rPr>
        <w:t> </w:t>
      </w:r>
      <w:r>
        <w:rPr>
          <w:rFonts w:ascii="宋体" w:hAnsi="宋体" w:cs="宋体" w:eastAsia="宋体" w:hint="default"/>
        </w:rPr>
        <w:t>0.00</w:t>
      </w:r>
      <w:r>
        <w:rPr>
          <w:rFonts w:ascii="宋体" w:hAnsi="宋体" w:cs="宋体" w:eastAsia="宋体" w:hint="default"/>
          <w:spacing w:val="-46"/>
        </w:rPr>
        <w:t> </w:t>
      </w:r>
      <w:r>
        <w:rPr/>
        <w:t>元。</w:t>
      </w:r>
    </w:p>
    <w:p>
      <w:pPr>
        <w:spacing w:after="0" w:line="240" w:lineRule="auto"/>
        <w:jc w:val="left"/>
        <w:sectPr>
          <w:type w:val="continuous"/>
          <w:pgSz w:w="11910" w:h="16840"/>
          <w:pgMar w:top="1580" w:bottom="840" w:left="0" w:right="0"/>
        </w:sectPr>
      </w:pPr>
    </w:p>
    <w:p>
      <w:pPr>
        <w:spacing w:line="240" w:lineRule="auto" w:before="9"/>
        <w:rPr>
          <w:rFonts w:ascii="宋体" w:hAnsi="宋体" w:cs="宋体" w:eastAsia="宋体" w:hint="default"/>
          <w:sz w:val="20"/>
          <w:szCs w:val="20"/>
        </w:rPr>
      </w:pPr>
    </w:p>
    <w:p>
      <w:pPr>
        <w:pStyle w:val="Heading3"/>
        <w:spacing w:line="240" w:lineRule="auto" w:before="35"/>
        <w:ind w:left="1134" w:right="0"/>
        <w:jc w:val="left"/>
        <w:rPr>
          <w:b w:val="0"/>
          <w:bCs w:val="0"/>
        </w:rPr>
      </w:pPr>
      <w:bookmarkStart w:name="（3）其他应收款按款项性质分类情况" w:id="220"/>
      <w:bookmarkEnd w:id="220"/>
      <w:r>
        <w:rPr>
          <w:b w:val="0"/>
          <w:bCs w:val="0"/>
        </w:rPr>
      </w:r>
      <w:r>
        <w:rPr/>
        <w:t>（</w:t>
      </w:r>
      <w:r>
        <w:rPr>
          <w:rFonts w:ascii="宋体" w:hAnsi="宋体" w:cs="宋体" w:eastAsia="宋体" w:hint="default"/>
        </w:rPr>
        <w:t>3</w:t>
      </w:r>
      <w:r>
        <w:rPr/>
        <w:t>）其他应收款按款项性质分类情况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6,596,507.61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8,285,718.04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1,776,601.75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1,576,781.01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对其他关联公司的应收款项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1,046,854.00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864,300.00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对非关联公司的应收款项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4,283,473.08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3,781,696.45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222,315.11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266,540.19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13,925,751.55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14,775,035.69</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4）按欠款方归集的期末余额前五名的其他应收款情况" w:id="221"/>
      <w:bookmarkEnd w:id="221"/>
      <w:r>
        <w:rPr>
          <w:b w:val="0"/>
          <w:bCs w:val="0"/>
        </w:rPr>
      </w:r>
      <w:r>
        <w:rPr/>
        <w:t>（</w:t>
      </w:r>
      <w:r>
        <w:rPr>
          <w:rFonts w:ascii="宋体" w:hAnsi="宋体" w:cs="宋体" w:eastAsia="宋体" w:hint="default"/>
        </w:rPr>
        <w:t>4</w:t>
      </w:r>
      <w:r>
        <w:rPr/>
        <w:t>）按欠款方归集的期末余额前五名的其他应收款情况</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310"/>
        <w:jc w:val="right"/>
      </w:pPr>
      <w:r>
        <w:rPr/>
        <w:pict>
          <v:group style="position:absolute;margin-left:380.320007pt;margin-top:55.371693pt;width:74.75pt;height:28pt;mso-position-horizontal-relative:page;mso-position-vertical-relative:paragraph;z-index:-778480" coordorigin="7606,1107" coordsize="1495,560">
            <v:group style="position:absolute;left:7606;top:1107;width:1495;height:156" coordorigin="7606,1107" coordsize="1495,156">
              <v:shape style="position:absolute;left:7606;top:1107;width:1495;height:156" coordorigin="7606,1107" coordsize="1495,156" path="m7606,1263l9101,1263,9101,1107,7606,1107,7606,1263xe" filled="true" fillcolor="#ffffff" stroked="false">
                <v:path arrowok="t"/>
                <v:fill type="solid"/>
              </v:shape>
            </v:group>
            <v:group style="position:absolute;left:7618;top:1263;width:2;height:393" coordorigin="7618,1263" coordsize="2,393">
              <v:shape style="position:absolute;left:7618;top:1263;width:2;height:393" coordorigin="7618,1263" coordsize="0,393" path="m7618,1263l7618,1656e" filled="false" stroked="true" strokeweight="1.140pt" strokecolor="#ffffff">
                <v:path arrowok="t"/>
              </v:shape>
            </v:group>
            <v:group style="position:absolute;left:7629;top:1263;width:1449;height:393" coordorigin="7629,1263" coordsize="1449,393">
              <v:shape style="position:absolute;left:7629;top:1263;width:1449;height:393" coordorigin="7629,1263" coordsize="1449,393" path="m7629,1656l9078,1656,9078,1263,7629,1263,7629,1656xe" filled="true" fillcolor="#ffffff" stroked="false">
                <v:path arrowok="t"/>
                <v:fill type="solid"/>
              </v:shape>
            </v:group>
            <w10:wrap type="none"/>
          </v:group>
        </w:pict>
      </w: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85"/>
        <w:gridCol w:w="1277"/>
        <w:gridCol w:w="1275"/>
        <w:gridCol w:w="1931"/>
        <w:gridCol w:w="544"/>
        <w:gridCol w:w="961"/>
        <w:gridCol w:w="1595"/>
      </w:tblGrid>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50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6" w:right="27"/>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中国农业银行股份有限 公司吉林省分行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1,075,985.32</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53"/>
                <w:sz w:val="18"/>
                <w:szCs w:val="18"/>
              </w:rPr>
              <w:t> </w:t>
            </w:r>
            <w:r>
              <w:rPr>
                <w:rFonts w:ascii="宋体" w:hAnsi="宋体" w:cs="宋体" w:eastAsia="宋体" w:hint="default"/>
                <w:sz w:val="18"/>
                <w:szCs w:val="18"/>
              </w:rPr>
              <w:t>年以内</w:t>
            </w:r>
            <w:r>
              <w:rPr>
                <w:rFonts w:ascii="宋体" w:hAnsi="宋体" w:cs="宋体" w:eastAsia="宋体" w:hint="default"/>
                <w:spacing w:val="-53"/>
                <w:sz w:val="18"/>
                <w:szCs w:val="18"/>
              </w:rPr>
              <w:t> </w:t>
            </w:r>
            <w:r>
              <w:rPr>
                <w:rFonts w:ascii="宋体" w:hAnsi="宋体" w:cs="宋体" w:eastAsia="宋体" w:hint="default"/>
                <w:sz w:val="18"/>
                <w:szCs w:val="18"/>
              </w:rPr>
              <w:t>1,006,929.74</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69,055.58</w:t>
            </w:r>
          </w:p>
        </w:tc>
        <w:tc>
          <w:tcPr>
            <w:tcW w:w="5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9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sz w:val="18"/>
              </w:rPr>
              <w:t>7.73%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57,252.05</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中国石化销售有限公司 湖北武汉石油分公司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对非关联公司 的应收款项</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681,173.45</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r>
              <w:rPr>
                <w:rFonts w:ascii="宋体" w:hAnsi="宋体" w:cs="宋体" w:eastAsia="宋体" w:hint="default"/>
                <w:spacing w:val="-46"/>
                <w:sz w:val="18"/>
                <w:szCs w:val="18"/>
              </w:rPr>
              <w:t> </w:t>
            </w:r>
            <w:r>
              <w:rPr>
                <w:rFonts w:ascii="宋体" w:hAnsi="宋体" w:cs="宋体" w:eastAsia="宋体" w:hint="default"/>
                <w:sz w:val="18"/>
                <w:szCs w:val="18"/>
              </w:rPr>
              <w:t>658,173.45</w:t>
            </w:r>
            <w:r>
              <w:rPr>
                <w:rFonts w:ascii="宋体" w:hAnsi="宋体" w:cs="宋体" w:eastAsia="宋体" w:hint="default"/>
                <w:sz w:val="18"/>
                <w:szCs w:val="18"/>
              </w:rPr>
              <w:t>；</w:t>
            </w:r>
          </w:p>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23,000.00</w:t>
            </w:r>
          </w:p>
        </w:tc>
        <w:tc>
          <w:tcPr>
            <w:tcW w:w="15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43,958.67</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通联支付网络服务股份 有限公司湖北分公司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对非关联公司 的应收款项</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600,000.00</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4.31%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30,000.00</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湖北省科技投资集团有 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对非关联公司 的应收款项</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583,672.28</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r>
              <w:rPr>
                <w:rFonts w:ascii="宋体" w:hAnsi="宋体" w:cs="宋体" w:eastAsia="宋体" w:hint="default"/>
                <w:spacing w:val="-46"/>
                <w:sz w:val="18"/>
                <w:szCs w:val="18"/>
              </w:rPr>
              <w:t> </w:t>
            </w:r>
            <w:r>
              <w:rPr>
                <w:rFonts w:ascii="宋体" w:hAnsi="宋体" w:cs="宋体" w:eastAsia="宋体" w:hint="default"/>
                <w:sz w:val="18"/>
                <w:szCs w:val="18"/>
              </w:rPr>
              <w:t>504,032.78</w:t>
            </w:r>
            <w:r>
              <w:rPr>
                <w:rFonts w:ascii="宋体" w:hAnsi="宋体" w:cs="宋体" w:eastAsia="宋体" w:hint="default"/>
                <w:sz w:val="18"/>
                <w:szCs w:val="18"/>
              </w:rPr>
              <w:t>；</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79,639.50</w:t>
            </w:r>
          </w:p>
        </w:tc>
        <w:tc>
          <w:tcPr>
            <w:tcW w:w="15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4.19%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49,093.49</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武汉东湖高新集团股份 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570,880.86</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28,544.04</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3,511,711.91</w:t>
            </w:r>
          </w:p>
        </w:tc>
        <w:tc>
          <w:tcPr>
            <w:tcW w:w="1931" w:type="dxa"/>
            <w:tcBorders>
              <w:top w:val="single" w:sz="4" w:space="0" w:color="000000"/>
              <w:left w:val="single" w:sz="4" w:space="0" w:color="000000"/>
              <w:bottom w:val="single" w:sz="4" w:space="0" w:color="000000"/>
              <w:right w:val="single" w:sz="4" w:space="0" w:color="000000"/>
            </w:tcBorders>
          </w:tcPr>
          <w:p>
            <w:pPr/>
          </w:p>
        </w:tc>
        <w:tc>
          <w:tcPr>
            <w:tcW w:w="15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31" w:right="0"/>
              <w:jc w:val="left"/>
              <w:rPr>
                <w:rFonts w:ascii="宋体" w:hAnsi="宋体" w:cs="宋体" w:eastAsia="宋体" w:hint="default"/>
                <w:sz w:val="18"/>
                <w:szCs w:val="18"/>
              </w:rPr>
            </w:pPr>
            <w:r>
              <w:rPr>
                <w:rFonts w:ascii="宋体"/>
                <w:sz w:val="18"/>
              </w:rPr>
              <w:t>25.22%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208,848.25</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7、存货" w:id="222"/>
      <w:bookmarkEnd w:id="222"/>
      <w:r>
        <w:rPr>
          <w:b w:val="0"/>
          <w:bCs w:val="0"/>
        </w:rPr>
      </w:r>
      <w:r>
        <w:rPr>
          <w:rFonts w:ascii="宋体" w:hAnsi="宋体" w:cs="宋体" w:eastAsia="宋体" w:hint="default"/>
        </w:rPr>
        <w:t>7</w:t>
      </w:r>
      <w:r>
        <w:rPr/>
        <w:t>、存货</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left="1134" w:right="0"/>
        <w:jc w:val="left"/>
        <w:rPr>
          <w:b w:val="0"/>
          <w:bCs w:val="0"/>
        </w:rPr>
      </w:pPr>
      <w:bookmarkStart w:name="（1）存货分类" w:id="223"/>
      <w:bookmarkEnd w:id="223"/>
      <w:r>
        <w:rPr>
          <w:b w:val="0"/>
          <w:bCs w:val="0"/>
        </w:rPr>
      </w:r>
      <w:r>
        <w:rPr/>
        <w:t>（</w:t>
      </w:r>
      <w:r>
        <w:rPr>
          <w:rFonts w:ascii="宋体" w:hAnsi="宋体" w:cs="宋体" w:eastAsia="宋体" w:hint="default"/>
        </w:rPr>
        <w:t>1</w:t>
      </w:r>
      <w:r>
        <w:rPr/>
        <w:t>）存货分类</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59,807,049.44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10,790,030.89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1" w:right="0"/>
              <w:jc w:val="center"/>
              <w:rPr>
                <w:rFonts w:ascii="宋体" w:hAnsi="宋体" w:cs="宋体" w:eastAsia="宋体" w:hint="default"/>
                <w:sz w:val="18"/>
                <w:szCs w:val="18"/>
              </w:rPr>
            </w:pPr>
            <w:r>
              <w:rPr>
                <w:rFonts w:ascii="宋体"/>
                <w:sz w:val="18"/>
              </w:rPr>
              <w:t>49,017,018.55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2" w:right="0"/>
              <w:jc w:val="center"/>
              <w:rPr>
                <w:rFonts w:ascii="宋体" w:hAnsi="宋体" w:cs="宋体" w:eastAsia="宋体" w:hint="default"/>
                <w:sz w:val="18"/>
                <w:szCs w:val="18"/>
              </w:rPr>
            </w:pPr>
            <w:r>
              <w:rPr>
                <w:rFonts w:ascii="宋体"/>
                <w:sz w:val="18"/>
              </w:rPr>
              <w:t>67,409,169.04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8,369,086.49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59,040,082.55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2" w:right="0"/>
              <w:jc w:val="center"/>
              <w:rPr>
                <w:rFonts w:ascii="宋体" w:hAnsi="宋体" w:cs="宋体" w:eastAsia="宋体" w:hint="default"/>
                <w:sz w:val="18"/>
                <w:szCs w:val="18"/>
              </w:rPr>
            </w:pPr>
            <w:r>
              <w:rPr>
                <w:rFonts w:ascii="宋体"/>
                <w:sz w:val="18"/>
              </w:rPr>
              <w:t>11,537,698.46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11,537,698.46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69,895,814.58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5,642,672.73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1" w:right="0"/>
              <w:jc w:val="center"/>
              <w:rPr>
                <w:rFonts w:ascii="宋体" w:hAnsi="宋体" w:cs="宋体" w:eastAsia="宋体" w:hint="default"/>
                <w:sz w:val="18"/>
                <w:szCs w:val="18"/>
              </w:rPr>
            </w:pPr>
            <w:r>
              <w:rPr>
                <w:rFonts w:ascii="宋体"/>
                <w:sz w:val="18"/>
              </w:rPr>
              <w:t>64,253,141.85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2" w:right="0"/>
              <w:jc w:val="center"/>
              <w:rPr>
                <w:rFonts w:ascii="宋体" w:hAnsi="宋体" w:cs="宋体" w:eastAsia="宋体" w:hint="default"/>
                <w:sz w:val="18"/>
                <w:szCs w:val="18"/>
              </w:rPr>
            </w:pPr>
            <w:r>
              <w:rPr>
                <w:rFonts w:ascii="宋体"/>
                <w:sz w:val="18"/>
              </w:rPr>
              <w:t>46,868,366.74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4,852,544.37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42,015,822.37</w:t>
            </w:r>
          </w:p>
        </w:tc>
      </w:tr>
    </w:tbl>
    <w:p>
      <w:pPr>
        <w:spacing w:after="0" w:line="240" w:lineRule="auto"/>
        <w:jc w:val="right"/>
        <w:rPr>
          <w:rFonts w:ascii="宋体" w:hAnsi="宋体" w:cs="宋体" w:eastAsia="宋体" w:hint="default"/>
          <w:sz w:val="18"/>
          <w:szCs w:val="18"/>
        </w:rPr>
        <w:sectPr>
          <w:pgSz w:w="11910" w:h="16840"/>
          <w:pgMar w:header="877" w:footer="1187" w:top="1100" w:bottom="138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6,085,382.88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6,085,382.88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12,639,653.38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1" w:right="0"/>
              <w:jc w:val="center"/>
              <w:rPr>
                <w:rFonts w:ascii="宋体" w:hAnsi="宋体" w:cs="宋体" w:eastAsia="宋体" w:hint="default"/>
                <w:sz w:val="18"/>
                <w:szCs w:val="18"/>
              </w:rPr>
            </w:pPr>
            <w:r>
              <w:rPr>
                <w:rFonts w:ascii="宋体"/>
                <w:sz w:val="18"/>
              </w:rPr>
              <w:t>12,639,653.38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297,060,982.02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23,241,613.89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273,819,368.13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358,508,102.94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16,525,670.95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1" w:right="0"/>
              <w:jc w:val="center"/>
              <w:rPr>
                <w:rFonts w:ascii="宋体" w:hAnsi="宋体" w:cs="宋体" w:eastAsia="宋体" w:hint="default"/>
                <w:sz w:val="18"/>
                <w:szCs w:val="18"/>
              </w:rPr>
            </w:pPr>
            <w:r>
              <w:rPr>
                <w:rFonts w:ascii="宋体"/>
                <w:sz w:val="18"/>
              </w:rPr>
              <w:t>341,982,431.99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5,450,523.16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5,450,523.16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1,165,794.90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1" w:right="0"/>
              <w:jc w:val="center"/>
              <w:rPr>
                <w:rFonts w:ascii="宋体" w:hAnsi="宋体" w:cs="宋体" w:eastAsia="宋体" w:hint="default"/>
                <w:sz w:val="18"/>
                <w:szCs w:val="18"/>
              </w:rPr>
            </w:pPr>
            <w:r>
              <w:rPr>
                <w:rFonts w:ascii="宋体"/>
                <w:sz w:val="18"/>
              </w:rPr>
              <w:t>1,165,794.90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20,251,689.31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20,251,689.31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4,989,998.09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1" w:right="0"/>
              <w:jc w:val="center"/>
              <w:rPr>
                <w:rFonts w:ascii="宋体" w:hAnsi="宋体" w:cs="宋体" w:eastAsia="宋体" w:hint="default"/>
                <w:sz w:val="18"/>
                <w:szCs w:val="18"/>
              </w:rPr>
            </w:pPr>
            <w:r>
              <w:rPr>
                <w:rFonts w:ascii="宋体"/>
                <w:sz w:val="18"/>
              </w:rPr>
              <w:t>4,989,998.09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458,551,441.39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39,674,317.51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418,877,123.88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503,118,783.55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29,747,301.81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1" w:right="0"/>
              <w:jc w:val="center"/>
              <w:rPr>
                <w:rFonts w:ascii="宋体" w:hAnsi="宋体" w:cs="宋体" w:eastAsia="宋体" w:hint="default"/>
                <w:sz w:val="18"/>
                <w:szCs w:val="18"/>
              </w:rPr>
            </w:pPr>
            <w:r>
              <w:rPr>
                <w:rFonts w:ascii="宋体"/>
                <w:sz w:val="18"/>
              </w:rPr>
              <w:t>473,371,481.74</w:t>
            </w:r>
          </w:p>
        </w:tc>
      </w:tr>
    </w:tbl>
    <w:p>
      <w:pPr>
        <w:spacing w:line="240" w:lineRule="auto" w:before="9"/>
        <w:rPr>
          <w:rFonts w:ascii="宋体" w:hAnsi="宋体" w:cs="宋体" w:eastAsia="宋体" w:hint="default"/>
          <w:sz w:val="6"/>
          <w:szCs w:val="6"/>
        </w:rPr>
      </w:pPr>
    </w:p>
    <w:p>
      <w:pPr>
        <w:pStyle w:val="BodyText"/>
        <w:spacing w:line="240" w:lineRule="auto" w:before="44"/>
        <w:ind w:left="1494" w:right="0"/>
        <w:jc w:val="left"/>
      </w:pPr>
      <w:r>
        <w:rPr/>
        <w:t>报告期末，公司供应链系统升级，结清了在线产品，因此本期末无在产品余额。</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存货跌价准备" w:id="224"/>
      <w:bookmarkEnd w:id="224"/>
      <w:r>
        <w:rPr>
          <w:b w:val="0"/>
          <w:bCs w:val="0"/>
        </w:rPr>
      </w:r>
      <w:r>
        <w:rPr/>
        <w:t>（</w:t>
      </w:r>
      <w:r>
        <w:rPr>
          <w:rFonts w:ascii="宋体" w:hAnsi="宋体" w:cs="宋体" w:eastAsia="宋体" w:hint="default"/>
        </w:rPr>
        <w:t>2</w:t>
      </w:r>
      <w:r>
        <w:rPr/>
        <w:t>）存货跌价准备</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8,369,086.49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3,012,712.60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591,768.20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10,790,030.89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4,852,544.37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2,200,095.68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1,409,967.32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5,642,672.73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16,525,670.95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8,200,782.11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1,484,839.17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23,241,613.89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29,747,301.81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13,413,590.39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3,486,574.69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39,674,317.51</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8、其他流动资产" w:id="225"/>
      <w:bookmarkEnd w:id="225"/>
      <w:r>
        <w:rPr>
          <w:b w:val="0"/>
          <w:bCs w:val="0"/>
        </w:rPr>
      </w:r>
      <w:r>
        <w:rPr>
          <w:rFonts w:ascii="宋体" w:hAnsi="宋体" w:cs="宋体" w:eastAsia="宋体" w:hint="default"/>
        </w:rPr>
        <w:t>8</w:t>
      </w:r>
      <w:r>
        <w:rPr/>
        <w:t>、其他流动资产</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379,182.63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563,477.98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会员费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154,351.15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749,948.82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商业保险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96,396.00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407,579.20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技术许可费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1,061,868.89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352,575.19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公共设施维修费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235,998.64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651,105.14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资质、认证费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429,189.06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24,025.83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物业费、网络使用费等其他费用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567,528.70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902,617.50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2,924,515.07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3,651,329.66</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9、可供出售金融资产" w:id="226"/>
      <w:bookmarkEnd w:id="226"/>
      <w:r>
        <w:rPr>
          <w:b w:val="0"/>
          <w:bCs w:val="0"/>
        </w:rPr>
      </w:r>
      <w:r>
        <w:rPr>
          <w:rFonts w:ascii="宋体" w:hAnsi="宋体" w:cs="宋体" w:eastAsia="宋体" w:hint="default"/>
        </w:rPr>
        <w:t>9</w:t>
      </w:r>
      <w:r>
        <w:rPr/>
        <w:t>、可供出售金融资产</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left="1134" w:right="0"/>
        <w:jc w:val="left"/>
        <w:rPr>
          <w:b w:val="0"/>
          <w:bCs w:val="0"/>
        </w:rPr>
      </w:pPr>
      <w:bookmarkStart w:name="（1）可供出售金融资产情况" w:id="227"/>
      <w:bookmarkEnd w:id="227"/>
      <w:r>
        <w:rPr>
          <w:b w:val="0"/>
          <w:bCs w:val="0"/>
        </w:rPr>
      </w:r>
      <w:r>
        <w:rPr/>
        <w:t>（</w:t>
      </w:r>
      <w:r>
        <w:rPr>
          <w:rFonts w:ascii="宋体" w:hAnsi="宋体" w:cs="宋体" w:eastAsia="宋体" w:hint="default"/>
        </w:rPr>
        <w:t>1</w:t>
      </w:r>
      <w:r>
        <w:rPr/>
        <w:t>）可供出售金融资产情况</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001"/>
        <w:gridCol w:w="1261"/>
        <w:gridCol w:w="992"/>
        <w:gridCol w:w="1334"/>
        <w:gridCol w:w="1248"/>
        <w:gridCol w:w="1367"/>
        <w:gridCol w:w="1369"/>
      </w:tblGrid>
      <w:tr>
        <w:trPr>
          <w:trHeight w:val="402" w:hRule="exact"/>
        </w:trPr>
        <w:tc>
          <w:tcPr>
            <w:tcW w:w="2001"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001" w:type="dxa"/>
            <w:vMerge/>
            <w:tcBorders>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3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0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877" w:footer="1187" w:top="1100" w:bottom="138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2001"/>
        <w:gridCol w:w="1261"/>
        <w:gridCol w:w="992"/>
        <w:gridCol w:w="1334"/>
        <w:gridCol w:w="1248"/>
        <w:gridCol w:w="1367"/>
        <w:gridCol w:w="1367"/>
      </w:tblGrid>
      <w:tr>
        <w:trPr>
          <w:trHeight w:val="402" w:hRule="exact"/>
        </w:trPr>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21,534,880.00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21,534,880.00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20,450,560.00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20,450,560.00</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按公允价值计量的</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6,302,880.00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6,302,880.00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5,218,560.00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5,218,560.00</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15,232,000.00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15,232,000.00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15,232,000.00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15,232,000.00</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21,534,880.00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21,534,880.00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20,450,560.00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20,450,560.00</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期末按公允价值计量的可供出售金融资产" w:id="228"/>
      <w:bookmarkEnd w:id="228"/>
      <w:r>
        <w:rPr>
          <w:b w:val="0"/>
          <w:bCs w:val="0"/>
        </w:rPr>
      </w:r>
      <w:r>
        <w:rPr/>
        <w:t>（</w:t>
      </w:r>
      <w:r>
        <w:rPr>
          <w:rFonts w:ascii="宋体" w:hAnsi="宋体" w:cs="宋体" w:eastAsia="宋体" w:hint="default"/>
        </w:rPr>
        <w:t>2</w:t>
      </w:r>
      <w:r>
        <w:rPr/>
        <w:t>）期末按公允价值计量的可供出售金融资产</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0"/>
        <w:gridCol w:w="1916"/>
        <w:gridCol w:w="1915"/>
        <w:gridCol w:w="1914"/>
        <w:gridCol w:w="1915"/>
      </w:tblGrid>
      <w:tr>
        <w:trPr>
          <w:trHeight w:val="714" w:hRule="exact"/>
        </w:trPr>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9"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21" w:right="96" w:hanging="225"/>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宋体" w:hAnsi="宋体" w:cs="宋体" w:eastAsia="宋体" w:hint="default"/>
                <w:sz w:val="18"/>
                <w:szCs w:val="18"/>
              </w:rPr>
              <w:t>/</w:t>
            </w:r>
            <w:r>
              <w:rPr>
                <w:rFonts w:ascii="宋体" w:hAnsi="宋体" w:cs="宋体" w:eastAsia="宋体" w:hint="default"/>
                <w:sz w:val="18"/>
                <w:szCs w:val="18"/>
              </w:rPr>
              <w:t>债务 工具的摊余成本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41" w:right="51" w:hanging="90"/>
              <w:jc w:val="left"/>
              <w:rPr>
                <w:rFonts w:ascii="宋体" w:hAnsi="宋体" w:cs="宋体" w:eastAsia="宋体" w:hint="default"/>
                <w:sz w:val="18"/>
                <w:szCs w:val="18"/>
              </w:rPr>
            </w:pPr>
            <w:r>
              <w:rPr>
                <w:rFonts w:ascii="宋体" w:hAnsi="宋体" w:cs="宋体" w:eastAsia="宋体" w:hint="default"/>
                <w:sz w:val="18"/>
                <w:szCs w:val="18"/>
              </w:rPr>
              <w:t>累计计入其他综合收益 的公允价值变动金额</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r>
      <w:tr>
        <w:trPr>
          <w:trHeight w:val="402" w:hRule="exact"/>
        </w:trPr>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6,302,880.00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6,102,880.00</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6,302,880.00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6,102,880.00</w:t>
            </w:r>
          </w:p>
        </w:tc>
        <w:tc>
          <w:tcPr>
            <w:tcW w:w="19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期末按成本计量的可供出售金融资产" w:id="229"/>
      <w:bookmarkEnd w:id="229"/>
      <w:r>
        <w:rPr>
          <w:b w:val="0"/>
          <w:bCs w:val="0"/>
        </w:rPr>
      </w:r>
      <w:r>
        <w:rPr/>
        <w:t>（</w:t>
      </w:r>
      <w:r>
        <w:rPr>
          <w:rFonts w:ascii="宋体" w:hAnsi="宋体" w:cs="宋体" w:eastAsia="宋体" w:hint="default"/>
        </w:rPr>
        <w:t>3</w:t>
      </w:r>
      <w:r>
        <w:rPr/>
        <w:t>）期末按成本计量的可供出售金融资产</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72"/>
        <w:gridCol w:w="1260"/>
        <w:gridCol w:w="644"/>
        <w:gridCol w:w="694"/>
        <w:gridCol w:w="1276"/>
        <w:gridCol w:w="566"/>
        <w:gridCol w:w="709"/>
        <w:gridCol w:w="710"/>
        <w:gridCol w:w="539"/>
        <w:gridCol w:w="798"/>
        <w:gridCol w:w="996"/>
      </w:tblGrid>
      <w:tr>
        <w:trPr>
          <w:trHeight w:val="402" w:hRule="exact"/>
        </w:trPr>
        <w:tc>
          <w:tcPr>
            <w:tcW w:w="13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387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2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798" w:type="dxa"/>
            <w:vMerge w:val="restart"/>
            <w:tcBorders>
              <w:top w:val="single" w:sz="4" w:space="0" w:color="000000"/>
              <w:left w:val="single" w:sz="4" w:space="0" w:color="000000"/>
              <w:right w:val="single" w:sz="4" w:space="0" w:color="000000"/>
            </w:tcBorders>
          </w:tcPr>
          <w:p>
            <w:pPr>
              <w:pStyle w:val="TableParagraph"/>
              <w:spacing w:line="316" w:lineRule="auto" w:before="117"/>
              <w:ind w:left="33" w:right="32"/>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99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360" w:lineRule="auto"/>
              <w:ind w:left="311" w:right="132"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755" w:hRule="exact"/>
        </w:trPr>
        <w:tc>
          <w:tcPr>
            <w:tcW w:w="1372" w:type="dxa"/>
            <w:vMerge/>
            <w:tcBorders>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2"/>
              <w:ind w:left="137" w:right="134"/>
              <w:jc w:val="left"/>
              <w:rPr>
                <w:rFonts w:ascii="宋体" w:hAnsi="宋体" w:cs="宋体" w:eastAsia="宋体" w:hint="default"/>
                <w:sz w:val="18"/>
                <w:szCs w:val="18"/>
              </w:rPr>
            </w:pPr>
            <w:r>
              <w:rPr>
                <w:rFonts w:ascii="宋体" w:hAnsi="宋体" w:cs="宋体" w:eastAsia="宋体" w:hint="default"/>
                <w:sz w:val="18"/>
                <w:szCs w:val="18"/>
              </w:rPr>
              <w:t>本期 增加</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2"/>
              <w:ind w:left="160" w:right="161"/>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2"/>
              <w:ind w:left="170" w:right="167"/>
              <w:jc w:val="left"/>
              <w:rPr>
                <w:rFonts w:ascii="宋体" w:hAnsi="宋体" w:cs="宋体" w:eastAsia="宋体" w:hint="default"/>
                <w:sz w:val="18"/>
                <w:szCs w:val="18"/>
              </w:rPr>
            </w:pPr>
            <w:r>
              <w:rPr>
                <w:rFonts w:ascii="宋体" w:hAnsi="宋体" w:cs="宋体" w:eastAsia="宋体" w:hint="default"/>
                <w:sz w:val="18"/>
                <w:szCs w:val="18"/>
              </w:rPr>
              <w:t>本期 增加</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2"/>
              <w:ind w:left="169" w:right="168"/>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798" w:type="dxa"/>
            <w:vMerge/>
            <w:tcBorders>
              <w:left w:val="single" w:sz="4" w:space="0" w:color="000000"/>
              <w:bottom w:val="single" w:sz="4" w:space="0" w:color="000000"/>
              <w:right w:val="single" w:sz="4" w:space="0" w:color="000000"/>
            </w:tcBorders>
          </w:tcPr>
          <w:p>
            <w:pPr/>
          </w:p>
        </w:tc>
        <w:tc>
          <w:tcPr>
            <w:tcW w:w="996" w:type="dxa"/>
            <w:vMerge/>
            <w:tcBorders>
              <w:left w:val="single" w:sz="4" w:space="0" w:color="000000"/>
              <w:bottom w:val="single" w:sz="4" w:space="0" w:color="000000"/>
              <w:right w:val="single" w:sz="4" w:space="0" w:color="000000"/>
            </w:tcBorders>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武汉城市一卡通 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1,500,000.00</w:t>
            </w:r>
          </w:p>
        </w:tc>
        <w:tc>
          <w:tcPr>
            <w:tcW w:w="644"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1,500,000.00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2.10%</w:t>
            </w: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上海韦尔半导体 股份有限公司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13,332,000.00</w:t>
            </w:r>
          </w:p>
        </w:tc>
        <w:tc>
          <w:tcPr>
            <w:tcW w:w="644"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13,332,000.00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0.93%</w:t>
            </w: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贵州百旺金赋科 技有限公司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100,000.00</w:t>
            </w:r>
          </w:p>
        </w:tc>
        <w:tc>
          <w:tcPr>
            <w:tcW w:w="644"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10.00%</w:t>
            </w: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黑龙江百旺金赋 科技有限公司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100,000.00</w:t>
            </w:r>
          </w:p>
        </w:tc>
        <w:tc>
          <w:tcPr>
            <w:tcW w:w="644"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10.00%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 w:right="0"/>
              <w:jc w:val="center"/>
              <w:rPr>
                <w:rFonts w:ascii="宋体" w:hAnsi="宋体" w:cs="宋体" w:eastAsia="宋体" w:hint="default"/>
                <w:sz w:val="18"/>
                <w:szCs w:val="18"/>
              </w:rPr>
            </w:pPr>
            <w:r>
              <w:rPr>
                <w:rFonts w:ascii="宋体"/>
                <w:sz w:val="18"/>
              </w:rPr>
              <w:t>200,000.00</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湖南百旺金赋科 技有限公司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200,000.00</w:t>
            </w:r>
          </w:p>
        </w:tc>
        <w:tc>
          <w:tcPr>
            <w:tcW w:w="644"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10.00%</w:t>
            </w: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15,232,000.00</w:t>
            </w:r>
          </w:p>
        </w:tc>
        <w:tc>
          <w:tcPr>
            <w:tcW w:w="644"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15,232,000.00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 w:right="0"/>
              <w:jc w:val="center"/>
              <w:rPr>
                <w:rFonts w:ascii="宋体" w:hAnsi="宋体" w:cs="宋体" w:eastAsia="宋体" w:hint="default"/>
                <w:sz w:val="18"/>
                <w:szCs w:val="18"/>
              </w:rPr>
            </w:pPr>
            <w:r>
              <w:rPr>
                <w:rFonts w:ascii="宋体"/>
                <w:sz w:val="18"/>
              </w:rPr>
              <w:t>200,000.00</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10、长期股权投资" w:id="230"/>
      <w:bookmarkEnd w:id="230"/>
      <w:r>
        <w:rPr>
          <w:b w:val="0"/>
          <w:bCs w:val="0"/>
        </w:rPr>
      </w:r>
      <w:r>
        <w:rPr>
          <w:rFonts w:ascii="宋体" w:hAnsi="宋体" w:cs="宋体" w:eastAsia="宋体" w:hint="default"/>
        </w:rPr>
        <w:t>10</w:t>
      </w:r>
      <w:r>
        <w:rPr/>
        <w:t>、长期股权投资</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96"/>
        <w:gridCol w:w="1189"/>
        <w:gridCol w:w="1134"/>
        <w:gridCol w:w="425"/>
        <w:gridCol w:w="1277"/>
        <w:gridCol w:w="709"/>
        <w:gridCol w:w="425"/>
        <w:gridCol w:w="779"/>
        <w:gridCol w:w="504"/>
        <w:gridCol w:w="490"/>
        <w:gridCol w:w="1260"/>
        <w:gridCol w:w="598"/>
      </w:tblGrid>
      <w:tr>
        <w:trPr>
          <w:trHeight w:val="402" w:hRule="exact"/>
        </w:trPr>
        <w:tc>
          <w:tcPr>
            <w:tcW w:w="7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118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74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598"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319" w:lineRule="auto"/>
              <w:ind w:left="22" w:right="23"/>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026" w:hRule="exact"/>
        </w:trPr>
        <w:tc>
          <w:tcPr>
            <w:tcW w:w="796" w:type="dxa"/>
            <w:vMerge/>
            <w:tcBorders>
              <w:left w:val="single" w:sz="4" w:space="0" w:color="000000"/>
              <w:bottom w:val="single" w:sz="4" w:space="0" w:color="000000"/>
              <w:right w:val="single" w:sz="4" w:space="0" w:color="000000"/>
            </w:tcBorders>
          </w:tcPr>
          <w:p>
            <w:pPr/>
          </w:p>
        </w:tc>
        <w:tc>
          <w:tcPr>
            <w:tcW w:w="1189" w:type="dxa"/>
            <w:vMerge/>
            <w:tcBorders>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1"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6" w:right="26"/>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83" w:right="93" w:hanging="90"/>
              <w:jc w:val="left"/>
              <w:rPr>
                <w:rFonts w:ascii="宋体" w:hAnsi="宋体" w:cs="宋体" w:eastAsia="宋体" w:hint="default"/>
                <w:sz w:val="18"/>
                <w:szCs w:val="18"/>
              </w:rPr>
            </w:pPr>
            <w:r>
              <w:rPr>
                <w:rFonts w:ascii="宋体" w:hAnsi="宋体" w:cs="宋体" w:eastAsia="宋体" w:hint="default"/>
                <w:sz w:val="18"/>
                <w:szCs w:val="18"/>
              </w:rPr>
              <w:t>权益法下确认 的投资损益</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79" w:right="78"/>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26"/>
              <w:jc w:val="both"/>
              <w:rPr>
                <w:rFonts w:ascii="宋体" w:hAnsi="宋体" w:cs="宋体" w:eastAsia="宋体" w:hint="default"/>
                <w:sz w:val="18"/>
                <w:szCs w:val="18"/>
              </w:rPr>
            </w:pPr>
            <w:r>
              <w:rPr>
                <w:rFonts w:ascii="宋体" w:hAnsi="宋体" w:cs="宋体" w:eastAsia="宋体" w:hint="default"/>
                <w:sz w:val="18"/>
                <w:szCs w:val="18"/>
              </w:rPr>
              <w:t>其他 权益 变动</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3"/>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65" w:right="66"/>
              <w:jc w:val="both"/>
              <w:rPr>
                <w:rFonts w:ascii="宋体" w:hAnsi="宋体" w:cs="宋体" w:eastAsia="宋体" w:hint="default"/>
                <w:sz w:val="18"/>
                <w:szCs w:val="18"/>
              </w:rPr>
            </w:pPr>
            <w:r>
              <w:rPr>
                <w:rFonts w:ascii="宋体" w:hAnsi="宋体" w:cs="宋体" w:eastAsia="宋体" w:hint="default"/>
                <w:sz w:val="18"/>
                <w:szCs w:val="18"/>
              </w:rPr>
              <w:t>计提 减值 准备</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60" w:type="dxa"/>
            <w:vMerge/>
            <w:tcBorders>
              <w:left w:val="single" w:sz="4" w:space="0" w:color="000000"/>
              <w:bottom w:val="single" w:sz="4" w:space="0" w:color="000000"/>
              <w:right w:val="single" w:sz="4" w:space="0" w:color="000000"/>
            </w:tcBorders>
          </w:tcPr>
          <w:p>
            <w:pPr/>
          </w:p>
        </w:tc>
        <w:tc>
          <w:tcPr>
            <w:tcW w:w="598" w:type="dxa"/>
            <w:vMerge/>
            <w:tcBorders>
              <w:left w:val="single" w:sz="4" w:space="0" w:color="000000"/>
              <w:bottom w:val="single" w:sz="4" w:space="0" w:color="000000"/>
              <w:right w:val="single" w:sz="4" w:space="0" w:color="000000"/>
            </w:tcBorders>
          </w:tcPr>
          <w:p>
            <w:pPr/>
          </w:p>
        </w:tc>
      </w:tr>
      <w:tr>
        <w:trPr>
          <w:trHeight w:val="402" w:hRule="exact"/>
        </w:trPr>
        <w:tc>
          <w:tcPr>
            <w:tcW w:w="9586"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bl>
    <w:p>
      <w:pPr>
        <w:spacing w:after="0" w:line="240" w:lineRule="auto"/>
        <w:jc w:val="left"/>
        <w:rPr>
          <w:rFonts w:ascii="宋体" w:hAnsi="宋体" w:cs="宋体" w:eastAsia="宋体" w:hint="default"/>
          <w:sz w:val="18"/>
          <w:szCs w:val="18"/>
        </w:rPr>
        <w:sectPr>
          <w:pgSz w:w="11910" w:h="16840"/>
          <w:pgMar w:header="877" w:footer="1187" w:top="1100" w:bottom="138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796"/>
        <w:gridCol w:w="1189"/>
        <w:gridCol w:w="1142"/>
        <w:gridCol w:w="416"/>
        <w:gridCol w:w="1277"/>
        <w:gridCol w:w="709"/>
        <w:gridCol w:w="425"/>
        <w:gridCol w:w="800"/>
        <w:gridCol w:w="476"/>
        <w:gridCol w:w="504"/>
        <w:gridCol w:w="1260"/>
        <w:gridCol w:w="590"/>
      </w:tblGrid>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武汉中天 慧购电商 服务有限 公司</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4,589,963.34</w:t>
            </w:r>
          </w:p>
        </w:tc>
        <w:tc>
          <w:tcPr>
            <w:tcW w:w="1142"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sz w:val="18"/>
              </w:rPr>
              <w:t>-1,338,384.73</w:t>
            </w: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8" w:right="0"/>
              <w:jc w:val="center"/>
              <w:rPr>
                <w:rFonts w:ascii="宋体" w:hAnsi="宋体" w:cs="宋体" w:eastAsia="宋体" w:hint="default"/>
                <w:sz w:val="18"/>
                <w:szCs w:val="18"/>
              </w:rPr>
            </w:pPr>
            <w:r>
              <w:rPr>
                <w:rFonts w:ascii="宋体"/>
                <w:sz w:val="18"/>
              </w:rPr>
              <w:t>3,251,578.61</w:t>
            </w:r>
          </w:p>
        </w:tc>
        <w:tc>
          <w:tcPr>
            <w:tcW w:w="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4,589,963.34</w:t>
            </w:r>
          </w:p>
        </w:tc>
        <w:tc>
          <w:tcPr>
            <w:tcW w:w="1142"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-1,338,384.73</w:t>
            </w: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8" w:right="0"/>
              <w:jc w:val="center"/>
              <w:rPr>
                <w:rFonts w:ascii="宋体" w:hAnsi="宋体" w:cs="宋体" w:eastAsia="宋体" w:hint="default"/>
                <w:sz w:val="18"/>
                <w:szCs w:val="18"/>
              </w:rPr>
            </w:pPr>
            <w:r>
              <w:rPr>
                <w:rFonts w:ascii="宋体"/>
                <w:sz w:val="18"/>
              </w:rPr>
              <w:t>3,251,578.61</w:t>
            </w:r>
          </w:p>
        </w:tc>
        <w:tc>
          <w:tcPr>
            <w:tcW w:w="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86"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福建中教 网络教育 服务有限 公司</w:t>
            </w:r>
          </w:p>
        </w:tc>
        <w:tc>
          <w:tcPr>
            <w:tcW w:w="1189"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2"/>
              <w:jc w:val="right"/>
              <w:rPr>
                <w:rFonts w:ascii="宋体" w:hAnsi="宋体" w:cs="宋体" w:eastAsia="宋体" w:hint="default"/>
                <w:sz w:val="18"/>
                <w:szCs w:val="18"/>
              </w:rPr>
            </w:pPr>
            <w:r>
              <w:rPr>
                <w:rFonts w:ascii="宋体"/>
                <w:sz w:val="18"/>
              </w:rPr>
              <w:t>4,900,000.00</w:t>
            </w:r>
          </w:p>
        </w:tc>
        <w:tc>
          <w:tcPr>
            <w:tcW w:w="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-171,964.40</w:t>
            </w: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36" w:right="0"/>
              <w:jc w:val="center"/>
              <w:rPr>
                <w:rFonts w:ascii="宋体" w:hAnsi="宋体" w:cs="宋体" w:eastAsia="宋体" w:hint="default"/>
                <w:sz w:val="18"/>
                <w:szCs w:val="18"/>
              </w:rPr>
            </w:pPr>
            <w:r>
              <w:rPr>
                <w:rFonts w:ascii="宋体"/>
                <w:sz w:val="18"/>
              </w:rPr>
              <w:t>4,728,035.60</w:t>
            </w:r>
          </w:p>
        </w:tc>
        <w:tc>
          <w:tcPr>
            <w:tcW w:w="5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武汉星合 数媒科技 有限公司</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4,870,508.17</w:t>
            </w:r>
          </w:p>
        </w:tc>
        <w:tc>
          <w:tcPr>
            <w:tcW w:w="1142"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-29,534.41</w:t>
            </w: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6" w:right="0"/>
              <w:jc w:val="center"/>
              <w:rPr>
                <w:rFonts w:ascii="宋体" w:hAnsi="宋体" w:cs="宋体" w:eastAsia="宋体" w:hint="default"/>
                <w:sz w:val="18"/>
                <w:szCs w:val="18"/>
              </w:rPr>
            </w:pPr>
            <w:r>
              <w:rPr>
                <w:rFonts w:ascii="宋体"/>
                <w:sz w:val="18"/>
              </w:rPr>
              <w:t>4,840,973.76</w:t>
            </w:r>
          </w:p>
        </w:tc>
        <w:tc>
          <w:tcPr>
            <w:tcW w:w="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4,870,508.17</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right"/>
              <w:rPr>
                <w:rFonts w:ascii="宋体" w:hAnsi="宋体" w:cs="宋体" w:eastAsia="宋体" w:hint="default"/>
                <w:sz w:val="18"/>
                <w:szCs w:val="18"/>
              </w:rPr>
            </w:pPr>
            <w:r>
              <w:rPr>
                <w:rFonts w:ascii="宋体"/>
                <w:sz w:val="18"/>
              </w:rPr>
              <w:t>4,900,000.00</w:t>
            </w:r>
          </w:p>
        </w:tc>
        <w:tc>
          <w:tcPr>
            <w:tcW w:w="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-201,498.81</w:t>
            </w: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6" w:right="0"/>
              <w:jc w:val="center"/>
              <w:rPr>
                <w:rFonts w:ascii="宋体" w:hAnsi="宋体" w:cs="宋体" w:eastAsia="宋体" w:hint="default"/>
                <w:sz w:val="18"/>
                <w:szCs w:val="18"/>
              </w:rPr>
            </w:pPr>
            <w:r>
              <w:rPr>
                <w:rFonts w:ascii="宋体"/>
                <w:sz w:val="18"/>
              </w:rPr>
              <w:t>9,569,009.36</w:t>
            </w:r>
          </w:p>
        </w:tc>
        <w:tc>
          <w:tcPr>
            <w:tcW w:w="5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9,460,471.51</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right"/>
              <w:rPr>
                <w:rFonts w:ascii="宋体" w:hAnsi="宋体" w:cs="宋体" w:eastAsia="宋体" w:hint="default"/>
                <w:sz w:val="18"/>
                <w:szCs w:val="18"/>
              </w:rPr>
            </w:pPr>
            <w:r>
              <w:rPr>
                <w:rFonts w:ascii="宋体"/>
                <w:sz w:val="18"/>
              </w:rPr>
              <w:t>4,900,000.00</w:t>
            </w:r>
          </w:p>
        </w:tc>
        <w:tc>
          <w:tcPr>
            <w:tcW w:w="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-1,539,883.54</w:t>
            </w: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 w:right="0"/>
              <w:jc w:val="center"/>
              <w:rPr>
                <w:rFonts w:ascii="宋体" w:hAnsi="宋体" w:cs="宋体" w:eastAsia="宋体" w:hint="default"/>
                <w:sz w:val="18"/>
                <w:szCs w:val="18"/>
              </w:rPr>
            </w:pPr>
            <w:r>
              <w:rPr>
                <w:rFonts w:ascii="宋体"/>
                <w:sz w:val="18"/>
              </w:rPr>
              <w:t>12,820,587.97</w:t>
            </w:r>
          </w:p>
        </w:tc>
        <w:tc>
          <w:tcPr>
            <w:tcW w:w="5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6"/>
          <w:szCs w:val="6"/>
        </w:rPr>
      </w:pPr>
    </w:p>
    <w:p>
      <w:pPr>
        <w:pStyle w:val="BodyText"/>
        <w:spacing w:line="240" w:lineRule="auto" w:before="44"/>
        <w:ind w:left="1494" w:right="0"/>
        <w:jc w:val="left"/>
      </w:pPr>
      <w:r>
        <w:rPr/>
        <w:t>报告期末，长期股权投资较期初增长</w:t>
      </w:r>
      <w:r>
        <w:rPr>
          <w:rFonts w:ascii="宋体" w:hAnsi="宋体" w:cs="宋体" w:eastAsia="宋体" w:hint="default"/>
        </w:rPr>
        <w:t>35.52%</w:t>
      </w:r>
      <w:r>
        <w:rPr/>
        <w:t>，主要由于公司出资参股福建中教。</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1、固定资产" w:id="231"/>
      <w:bookmarkEnd w:id="231"/>
      <w:r>
        <w:rPr>
          <w:b w:val="0"/>
          <w:bCs w:val="0"/>
        </w:rPr>
      </w:r>
      <w:r>
        <w:rPr>
          <w:rFonts w:ascii="宋体" w:hAnsi="宋体" w:cs="宋体" w:eastAsia="宋体" w:hint="default"/>
        </w:rPr>
        <w:t>11</w:t>
      </w:r>
      <w:r>
        <w:rPr/>
        <w:t>、固定资产</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bookmarkStart w:name="（1）固定资产情况" w:id="232"/>
      <w:bookmarkEnd w:id="232"/>
      <w:r>
        <w:rPr>
          <w:b w:val="0"/>
          <w:bCs w:val="0"/>
        </w:rPr>
      </w:r>
      <w:r>
        <w:rPr/>
        <w:t>（</w:t>
      </w:r>
      <w:r>
        <w:rPr>
          <w:rFonts w:ascii="宋体" w:hAnsi="宋体" w:cs="宋体" w:eastAsia="宋体" w:hint="default"/>
        </w:rPr>
        <w:t>1</w:t>
      </w:r>
      <w:r>
        <w:rPr/>
        <w:t>）固定资产情况</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702"/>
        <w:gridCol w:w="1487"/>
        <w:gridCol w:w="1594"/>
        <w:gridCol w:w="1594"/>
        <w:gridCol w:w="1595"/>
        <w:gridCol w:w="1594"/>
      </w:tblGrid>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48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39,909,566.47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145,089,832.96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56,227,356.36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10,312,896.89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251,539,652.68</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74,002,689.92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7,302,866.12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22,151,771.40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236,410.88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103,693,738.32</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）购置</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118,806.00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7,302,866.12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22,151,771.40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236,410.88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29,809,854.40</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2</w:t>
            </w:r>
            <w:r>
              <w:rPr>
                <w:rFonts w:ascii="宋体" w:hAnsi="宋体" w:cs="宋体" w:eastAsia="宋体" w:hint="default"/>
                <w:spacing w:val="-4"/>
                <w:sz w:val="18"/>
                <w:szCs w:val="18"/>
              </w:rPr>
              <w:t>）在建工程转入</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73,883,883.92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73,883,883.92</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3</w:t>
            </w:r>
            <w:r>
              <w:rPr>
                <w:rFonts w:ascii="宋体" w:hAnsi="宋体" w:cs="宋体" w:eastAsia="宋体" w:hint="default"/>
                <w:spacing w:val="-4"/>
                <w:sz w:val="18"/>
                <w:szCs w:val="18"/>
              </w:rPr>
              <w:t>）企业合并增加</w:t>
            </w:r>
          </w:p>
        </w:tc>
        <w:tc>
          <w:tcPr>
            <w:tcW w:w="148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48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15,211,228.04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3,449,907.63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343,134.00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19,004,269.67</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处置或报废</w:t>
            </w:r>
          </w:p>
        </w:tc>
        <w:tc>
          <w:tcPr>
            <w:tcW w:w="148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15,211,228.04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3,449,907.63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343,134.00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19,004,269.67</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113,912,256.39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137,181,471.04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74,929,220.13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10,206,173.77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336,229,121.33</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48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11,143,360.16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79,746,029.59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21,320,869.89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3,682,982.45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115,893,242.09</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1,541,608.12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20,609,762.64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9,530,180.67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1,038,884.04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32,720,435.47</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1,541,608.12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20,609,762.64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9,530,180.67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1,038,884.04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32,720,435.47</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48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14,030,675.97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3,277,412.24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279,797.27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17,587,885.48</w:t>
            </w:r>
          </w:p>
        </w:tc>
      </w:tr>
    </w:tbl>
    <w:p>
      <w:pPr>
        <w:spacing w:after="0" w:line="240" w:lineRule="auto"/>
        <w:jc w:val="right"/>
        <w:rPr>
          <w:rFonts w:ascii="宋体" w:hAnsi="宋体" w:cs="宋体" w:eastAsia="宋体" w:hint="default"/>
          <w:sz w:val="18"/>
          <w:szCs w:val="18"/>
        </w:rPr>
        <w:sectPr>
          <w:pgSz w:w="11910" w:h="16840"/>
          <w:pgMar w:header="877" w:footer="1187" w:top="1100" w:bottom="138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702"/>
        <w:gridCol w:w="1487"/>
        <w:gridCol w:w="1594"/>
        <w:gridCol w:w="1594"/>
        <w:gridCol w:w="1595"/>
        <w:gridCol w:w="1594"/>
      </w:tblGrid>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处置或报废</w:t>
            </w:r>
          </w:p>
        </w:tc>
        <w:tc>
          <w:tcPr>
            <w:tcW w:w="148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14,030,675.97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3,277,412.24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279,797.27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17,587,885.48</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12,684,968.28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86,325,116.26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27,573,638.32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4,442,069.22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131,025,792.08</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48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48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859.28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859.28</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7"/>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48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48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7"/>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48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859.28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859.28</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处置或报废</w:t>
            </w:r>
          </w:p>
        </w:tc>
        <w:tc>
          <w:tcPr>
            <w:tcW w:w="148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859.28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859.28</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48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48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7"/>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101,227,288.11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50,856,354.78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47,355,581.81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5,764,104.55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205,203,329.25</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7"/>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28,766,206.31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65,342,944.09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34,906,486.47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6,629,914.44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135,645,551.31</w:t>
            </w:r>
          </w:p>
        </w:tc>
      </w:tr>
    </w:tbl>
    <w:p>
      <w:pPr>
        <w:spacing w:line="240" w:lineRule="auto" w:before="8"/>
        <w:rPr>
          <w:rFonts w:ascii="宋体" w:hAnsi="宋体" w:cs="宋体" w:eastAsia="宋体" w:hint="default"/>
          <w:sz w:val="6"/>
          <w:szCs w:val="6"/>
        </w:rPr>
      </w:pPr>
    </w:p>
    <w:p>
      <w:pPr>
        <w:pStyle w:val="BodyText"/>
        <w:spacing w:line="319" w:lineRule="auto" w:before="44"/>
        <w:ind w:left="1134" w:right="1118" w:firstLine="360"/>
        <w:jc w:val="left"/>
      </w:pPr>
      <w:r>
        <w:rPr>
          <w:spacing w:val="-2"/>
        </w:rPr>
        <w:t>报告期末，固定资产较期初增长</w:t>
      </w:r>
      <w:r>
        <w:rPr>
          <w:rFonts w:ascii="宋体" w:hAnsi="宋体" w:cs="宋体" w:eastAsia="宋体" w:hint="default"/>
          <w:spacing w:val="-2"/>
        </w:rPr>
        <w:t>51.28%</w:t>
      </w:r>
      <w:r>
        <w:rPr>
          <w:spacing w:val="-2"/>
        </w:rPr>
        <w:t>，主要由于数据安全产业园一期工程达到预定可使用状态，由在建工程转为固定</w:t>
      </w:r>
      <w:r>
        <w:rPr/>
        <w:t> 资产。</w:t>
      </w:r>
    </w:p>
    <w:p>
      <w:pPr>
        <w:spacing w:line="240" w:lineRule="auto" w:before="4"/>
        <w:rPr>
          <w:rFonts w:ascii="宋体" w:hAnsi="宋体" w:cs="宋体" w:eastAsia="宋体" w:hint="default"/>
          <w:sz w:val="22"/>
          <w:szCs w:val="22"/>
        </w:rPr>
      </w:pPr>
    </w:p>
    <w:p>
      <w:pPr>
        <w:pStyle w:val="Heading3"/>
        <w:spacing w:line="240" w:lineRule="auto"/>
        <w:ind w:left="1134" w:right="0"/>
        <w:jc w:val="left"/>
        <w:rPr>
          <w:b w:val="0"/>
          <w:bCs w:val="0"/>
        </w:rPr>
      </w:pPr>
      <w:bookmarkStart w:name="（2）未办妥产权证书的固定资产情况" w:id="233"/>
      <w:bookmarkEnd w:id="233"/>
      <w:r>
        <w:rPr>
          <w:b w:val="0"/>
          <w:bCs w:val="0"/>
        </w:rPr>
      </w:r>
      <w:r>
        <w:rPr/>
        <w:t>（</w:t>
      </w:r>
      <w:r>
        <w:rPr>
          <w:rFonts w:ascii="宋体" w:hAnsi="宋体" w:cs="宋体" w:eastAsia="宋体" w:hint="default"/>
        </w:rPr>
        <w:t>2</w:t>
      </w:r>
      <w:r>
        <w:rPr/>
        <w:t>）未办妥产权证书的固定资产情况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0" w:right="131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数据安全产业园一期</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90" w:right="0"/>
              <w:jc w:val="left"/>
              <w:rPr>
                <w:rFonts w:ascii="宋体" w:hAnsi="宋体" w:cs="宋体" w:eastAsia="宋体" w:hint="default"/>
                <w:sz w:val="18"/>
                <w:szCs w:val="18"/>
              </w:rPr>
            </w:pPr>
            <w:r>
              <w:rPr>
                <w:rFonts w:ascii="宋体"/>
                <w:sz w:val="18"/>
              </w:rPr>
              <w:t>73,883,883.92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产权证书正在办理中</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12、在建工程" w:id="234"/>
      <w:bookmarkEnd w:id="234"/>
      <w:r>
        <w:rPr>
          <w:b w:val="0"/>
          <w:bCs w:val="0"/>
        </w:rPr>
      </w:r>
      <w:r>
        <w:rPr>
          <w:rFonts w:ascii="宋体" w:hAnsi="宋体" w:cs="宋体" w:eastAsia="宋体" w:hint="default"/>
        </w:rPr>
        <w:t>12</w:t>
      </w:r>
      <w:r>
        <w:rPr/>
        <w:t>、在建工程</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left="1134" w:right="0"/>
        <w:jc w:val="left"/>
        <w:rPr>
          <w:b w:val="0"/>
          <w:bCs w:val="0"/>
        </w:rPr>
      </w:pPr>
      <w:bookmarkStart w:name="（1）在建工程情况" w:id="235"/>
      <w:bookmarkEnd w:id="235"/>
      <w:r>
        <w:rPr>
          <w:b w:val="0"/>
          <w:bCs w:val="0"/>
        </w:rPr>
      </w:r>
      <w:r>
        <w:rPr/>
        <w:t>（</w:t>
      </w:r>
      <w:r>
        <w:rPr>
          <w:rFonts w:ascii="宋体" w:hAnsi="宋体" w:cs="宋体" w:eastAsia="宋体" w:hint="default"/>
        </w:rPr>
        <w:t>1</w:t>
      </w:r>
      <w:r>
        <w:rPr/>
        <w:t>）在建工程情况</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数据安全产业园 一期工程</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37,908,229.49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37,908,229.49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355,055.56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355,055.56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355,055.56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355,055.56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355,055.56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355,055.56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38,263,285.05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38,263,285.05</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重要在建工程项目本期变动情况" w:id="236"/>
      <w:bookmarkEnd w:id="236"/>
      <w:r>
        <w:rPr>
          <w:b w:val="0"/>
          <w:bCs w:val="0"/>
        </w:rPr>
      </w:r>
      <w:r>
        <w:rPr/>
        <w:t>（</w:t>
      </w:r>
      <w:r>
        <w:rPr>
          <w:rFonts w:ascii="宋体" w:hAnsi="宋体" w:cs="宋体" w:eastAsia="宋体" w:hint="default"/>
        </w:rPr>
        <w:t>2</w:t>
      </w:r>
      <w:r>
        <w:rPr/>
        <w:t>）重要在建工程项目本期变动情况</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630"/>
        <w:gridCol w:w="1253"/>
        <w:gridCol w:w="1235"/>
        <w:gridCol w:w="1233"/>
        <w:gridCol w:w="1246"/>
        <w:gridCol w:w="462"/>
        <w:gridCol w:w="462"/>
        <w:gridCol w:w="616"/>
        <w:gridCol w:w="728"/>
        <w:gridCol w:w="643"/>
        <w:gridCol w:w="659"/>
        <w:gridCol w:w="448"/>
        <w:gridCol w:w="602"/>
      </w:tblGrid>
      <w:tr>
        <w:trPr>
          <w:trHeight w:val="755" w:hRule="exact"/>
        </w:trPr>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2"/>
              <w:ind w:left="129" w:right="129"/>
              <w:jc w:val="left"/>
              <w:rPr>
                <w:rFonts w:ascii="宋体" w:hAnsi="宋体" w:cs="宋体" w:eastAsia="宋体" w:hint="default"/>
                <w:sz w:val="18"/>
                <w:szCs w:val="18"/>
              </w:rPr>
            </w:pPr>
            <w:r>
              <w:rPr>
                <w:rFonts w:ascii="宋体" w:hAnsi="宋体" w:cs="宋体" w:eastAsia="宋体" w:hint="default"/>
                <w:sz w:val="18"/>
                <w:szCs w:val="18"/>
              </w:rPr>
              <w:t>项目 名称</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51"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71"/>
              <w:ind w:left="256" w:right="77" w:hanging="180"/>
              <w:jc w:val="left"/>
              <w:rPr>
                <w:rFonts w:ascii="宋体" w:hAnsi="宋体" w:cs="宋体" w:eastAsia="宋体" w:hint="default"/>
                <w:sz w:val="18"/>
                <w:szCs w:val="18"/>
              </w:rPr>
            </w:pPr>
            <w:r>
              <w:rPr>
                <w:rFonts w:ascii="宋体" w:hAnsi="宋体" w:cs="宋体" w:eastAsia="宋体" w:hint="default"/>
                <w:sz w:val="18"/>
                <w:szCs w:val="18"/>
              </w:rPr>
              <w:t>本期转入固定 资产金额</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92"/>
              <w:ind w:left="45" w:right="44"/>
              <w:jc w:val="left"/>
              <w:rPr>
                <w:rFonts w:ascii="宋体" w:hAnsi="宋体" w:cs="宋体" w:eastAsia="宋体" w:hint="default"/>
                <w:sz w:val="18"/>
                <w:szCs w:val="18"/>
              </w:rPr>
            </w:pPr>
            <w:r>
              <w:rPr>
                <w:rFonts w:ascii="宋体" w:hAnsi="宋体" w:cs="宋体" w:eastAsia="宋体" w:hint="default"/>
                <w:sz w:val="18"/>
                <w:szCs w:val="18"/>
              </w:rPr>
              <w:t>本期 其他</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71"/>
              <w:ind w:left="45" w:right="44"/>
              <w:jc w:val="left"/>
              <w:rPr>
                <w:rFonts w:ascii="宋体" w:hAnsi="宋体" w:cs="宋体" w:eastAsia="宋体" w:hint="default"/>
                <w:sz w:val="18"/>
                <w:szCs w:val="18"/>
              </w:rPr>
            </w:pPr>
            <w:r>
              <w:rPr>
                <w:rFonts w:ascii="宋体" w:hAnsi="宋体" w:cs="宋体" w:eastAsia="宋体" w:hint="default"/>
                <w:sz w:val="18"/>
                <w:szCs w:val="18"/>
              </w:rPr>
              <w:t>期末 余额</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92"/>
              <w:ind w:left="32" w:right="33"/>
              <w:jc w:val="left"/>
              <w:rPr>
                <w:rFonts w:ascii="宋体" w:hAnsi="宋体" w:cs="宋体" w:eastAsia="宋体" w:hint="default"/>
                <w:sz w:val="18"/>
                <w:szCs w:val="18"/>
              </w:rPr>
            </w:pPr>
            <w:r>
              <w:rPr>
                <w:rFonts w:ascii="宋体" w:hAnsi="宋体" w:cs="宋体" w:eastAsia="宋体" w:hint="default"/>
                <w:sz w:val="18"/>
                <w:szCs w:val="18"/>
              </w:rPr>
              <w:t>工程累 计投入</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2"/>
              <w:ind w:left="178" w:right="179"/>
              <w:jc w:val="left"/>
              <w:rPr>
                <w:rFonts w:ascii="宋体" w:hAnsi="宋体" w:cs="宋体" w:eastAsia="宋体" w:hint="default"/>
                <w:sz w:val="18"/>
                <w:szCs w:val="18"/>
              </w:rPr>
            </w:pPr>
            <w:r>
              <w:rPr>
                <w:rFonts w:ascii="宋体" w:hAnsi="宋体" w:cs="宋体" w:eastAsia="宋体" w:hint="default"/>
                <w:sz w:val="18"/>
                <w:szCs w:val="18"/>
              </w:rPr>
              <w:t>工程 进度</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92"/>
              <w:ind w:left="46" w:right="44"/>
              <w:jc w:val="left"/>
              <w:rPr>
                <w:rFonts w:ascii="宋体" w:hAnsi="宋体" w:cs="宋体" w:eastAsia="宋体" w:hint="default"/>
                <w:sz w:val="18"/>
                <w:szCs w:val="18"/>
              </w:rPr>
            </w:pPr>
            <w:r>
              <w:rPr>
                <w:rFonts w:ascii="宋体" w:hAnsi="宋体" w:cs="宋体" w:eastAsia="宋体" w:hint="default"/>
                <w:sz w:val="18"/>
                <w:szCs w:val="18"/>
              </w:rPr>
              <w:t>利息资 本化累</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92"/>
              <w:ind w:left="53" w:right="53"/>
              <w:jc w:val="left"/>
              <w:rPr>
                <w:rFonts w:ascii="宋体" w:hAnsi="宋体" w:cs="宋体" w:eastAsia="宋体" w:hint="default"/>
                <w:sz w:val="18"/>
                <w:szCs w:val="18"/>
              </w:rPr>
            </w:pPr>
            <w:r>
              <w:rPr>
                <w:rFonts w:ascii="宋体" w:hAnsi="宋体" w:cs="宋体" w:eastAsia="宋体" w:hint="default"/>
                <w:sz w:val="18"/>
                <w:szCs w:val="18"/>
              </w:rPr>
              <w:t>其中： 本期利</w:t>
            </w:r>
          </w:p>
        </w:tc>
        <w:tc>
          <w:tcPr>
            <w:tcW w:w="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92"/>
              <w:ind w:left="38" w:right="37"/>
              <w:jc w:val="left"/>
              <w:rPr>
                <w:rFonts w:ascii="宋体" w:hAnsi="宋体" w:cs="宋体" w:eastAsia="宋体" w:hint="default"/>
                <w:sz w:val="18"/>
                <w:szCs w:val="18"/>
              </w:rPr>
            </w:pPr>
            <w:r>
              <w:rPr>
                <w:rFonts w:ascii="宋体" w:hAnsi="宋体" w:cs="宋体" w:eastAsia="宋体" w:hint="default"/>
                <w:sz w:val="18"/>
                <w:szCs w:val="18"/>
              </w:rPr>
              <w:t>本期 利息</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2"/>
              <w:ind w:left="115" w:right="115"/>
              <w:jc w:val="left"/>
              <w:rPr>
                <w:rFonts w:ascii="宋体" w:hAnsi="宋体" w:cs="宋体" w:eastAsia="宋体" w:hint="default"/>
                <w:sz w:val="18"/>
                <w:szCs w:val="18"/>
              </w:rPr>
            </w:pPr>
            <w:r>
              <w:rPr>
                <w:rFonts w:ascii="宋体" w:hAnsi="宋体" w:cs="宋体" w:eastAsia="宋体" w:hint="default"/>
                <w:sz w:val="18"/>
                <w:szCs w:val="18"/>
              </w:rPr>
              <w:t>资金 来源</w:t>
            </w:r>
          </w:p>
        </w:tc>
      </w:tr>
    </w:tbl>
    <w:p>
      <w:pPr>
        <w:spacing w:after="0" w:line="357" w:lineRule="auto"/>
        <w:jc w:val="left"/>
        <w:rPr>
          <w:rFonts w:ascii="宋体" w:hAnsi="宋体" w:cs="宋体" w:eastAsia="宋体" w:hint="default"/>
          <w:sz w:val="18"/>
          <w:szCs w:val="18"/>
        </w:rPr>
        <w:sectPr>
          <w:pgSz w:w="11910" w:h="16840"/>
          <w:pgMar w:header="877" w:footer="1187" w:top="1100" w:bottom="138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630"/>
        <w:gridCol w:w="1253"/>
        <w:gridCol w:w="1235"/>
        <w:gridCol w:w="1233"/>
        <w:gridCol w:w="1246"/>
        <w:gridCol w:w="462"/>
        <w:gridCol w:w="462"/>
        <w:gridCol w:w="616"/>
        <w:gridCol w:w="728"/>
        <w:gridCol w:w="643"/>
        <w:gridCol w:w="659"/>
        <w:gridCol w:w="448"/>
        <w:gridCol w:w="602"/>
      </w:tblGrid>
      <w:tr>
        <w:trPr>
          <w:trHeight w:val="674" w:hRule="exact"/>
        </w:trPr>
        <w:tc>
          <w:tcPr>
            <w:tcW w:w="63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35" w:type="dxa"/>
            <w:tcBorders>
              <w:top w:val="single" w:sz="4" w:space="0" w:color="000000"/>
              <w:left w:val="single" w:sz="4" w:space="0" w:color="000000"/>
              <w:bottom w:val="single" w:sz="4" w:space="0" w:color="000000"/>
              <w:right w:val="single" w:sz="4" w:space="0" w:color="000000"/>
            </w:tcBorders>
          </w:tcPr>
          <w:p>
            <w:pPr/>
          </w:p>
        </w:tc>
        <w:tc>
          <w:tcPr>
            <w:tcW w:w="1233"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45" w:right="44"/>
              <w:jc w:val="left"/>
              <w:rPr>
                <w:rFonts w:ascii="宋体" w:hAnsi="宋体" w:cs="宋体" w:eastAsia="宋体" w:hint="default"/>
                <w:sz w:val="18"/>
                <w:szCs w:val="18"/>
              </w:rPr>
            </w:pPr>
            <w:r>
              <w:rPr>
                <w:rFonts w:ascii="宋体" w:hAnsi="宋体" w:cs="宋体" w:eastAsia="宋体" w:hint="default"/>
                <w:sz w:val="18"/>
                <w:szCs w:val="18"/>
              </w:rPr>
              <w:t>减少 金额</w:t>
            </w:r>
          </w:p>
        </w:tc>
        <w:tc>
          <w:tcPr>
            <w:tcW w:w="462"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22" w:right="33" w:hanging="90"/>
              <w:jc w:val="left"/>
              <w:rPr>
                <w:rFonts w:ascii="宋体" w:hAnsi="宋体" w:cs="宋体" w:eastAsia="宋体" w:hint="default"/>
                <w:sz w:val="18"/>
                <w:szCs w:val="18"/>
              </w:rPr>
            </w:pPr>
            <w:r>
              <w:rPr>
                <w:rFonts w:ascii="宋体" w:hAnsi="宋体" w:cs="宋体" w:eastAsia="宋体" w:hint="default"/>
                <w:sz w:val="18"/>
                <w:szCs w:val="18"/>
              </w:rPr>
              <w:t>占预算 比例</w:t>
            </w:r>
          </w:p>
        </w:tc>
        <w:tc>
          <w:tcPr>
            <w:tcW w:w="728"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6" w:right="0"/>
              <w:jc w:val="left"/>
              <w:rPr>
                <w:rFonts w:ascii="宋体" w:hAnsi="宋体" w:cs="宋体" w:eastAsia="宋体" w:hint="default"/>
                <w:sz w:val="18"/>
                <w:szCs w:val="18"/>
              </w:rPr>
            </w:pPr>
            <w:r>
              <w:rPr>
                <w:rFonts w:ascii="宋体" w:hAnsi="宋体" w:cs="宋体" w:eastAsia="宋体" w:hint="default"/>
                <w:sz w:val="18"/>
                <w:szCs w:val="18"/>
              </w:rPr>
              <w:t>计金额</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53" w:right="53"/>
              <w:jc w:val="left"/>
              <w:rPr>
                <w:rFonts w:ascii="宋体" w:hAnsi="宋体" w:cs="宋体" w:eastAsia="宋体" w:hint="default"/>
                <w:sz w:val="18"/>
                <w:szCs w:val="18"/>
              </w:rPr>
            </w:pPr>
            <w:r>
              <w:rPr>
                <w:rFonts w:ascii="宋体" w:hAnsi="宋体" w:cs="宋体" w:eastAsia="宋体" w:hint="default"/>
                <w:sz w:val="18"/>
                <w:szCs w:val="18"/>
              </w:rPr>
              <w:t>息资本 化金额</w:t>
            </w:r>
          </w:p>
        </w:tc>
        <w:tc>
          <w:tcPr>
            <w:tcW w:w="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38" w:right="37"/>
              <w:jc w:val="left"/>
              <w:rPr>
                <w:rFonts w:ascii="宋体" w:hAnsi="宋体" w:cs="宋体" w:eastAsia="宋体" w:hint="default"/>
                <w:sz w:val="18"/>
                <w:szCs w:val="18"/>
              </w:rPr>
            </w:pPr>
            <w:r>
              <w:rPr>
                <w:rFonts w:ascii="宋体" w:hAnsi="宋体" w:cs="宋体" w:eastAsia="宋体" w:hint="default"/>
                <w:sz w:val="18"/>
                <w:szCs w:val="18"/>
              </w:rPr>
              <w:t>资本 化率</w:t>
            </w:r>
          </w:p>
        </w:tc>
        <w:tc>
          <w:tcPr>
            <w:tcW w:w="602"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7"/>
              <w:jc w:val="both"/>
              <w:rPr>
                <w:rFonts w:ascii="宋体" w:hAnsi="宋体" w:cs="宋体" w:eastAsia="宋体" w:hint="default"/>
                <w:sz w:val="18"/>
                <w:szCs w:val="18"/>
              </w:rPr>
            </w:pPr>
            <w:r>
              <w:rPr>
                <w:rFonts w:ascii="宋体" w:hAnsi="宋体" w:cs="宋体" w:eastAsia="宋体" w:hint="default"/>
                <w:sz w:val="18"/>
                <w:szCs w:val="18"/>
              </w:rPr>
              <w:t>数据安 全产业 园一期 工程</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7" w:right="0"/>
              <w:jc w:val="center"/>
              <w:rPr>
                <w:rFonts w:ascii="宋体" w:hAnsi="宋体" w:cs="宋体" w:eastAsia="宋体" w:hint="default"/>
                <w:sz w:val="18"/>
                <w:szCs w:val="18"/>
              </w:rPr>
            </w:pPr>
            <w:r>
              <w:rPr>
                <w:rFonts w:ascii="宋体"/>
                <w:sz w:val="18"/>
              </w:rPr>
              <w:t>79,998,304.07</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7" w:right="0"/>
              <w:jc w:val="center"/>
              <w:rPr>
                <w:rFonts w:ascii="宋体" w:hAnsi="宋体" w:cs="宋体" w:eastAsia="宋体" w:hint="default"/>
                <w:sz w:val="18"/>
                <w:szCs w:val="18"/>
              </w:rPr>
            </w:pPr>
            <w:r>
              <w:rPr>
                <w:rFonts w:ascii="宋体"/>
                <w:sz w:val="18"/>
              </w:rPr>
              <w:t>37,908,229.49</w:t>
            </w:r>
          </w:p>
        </w:tc>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 w:right="0"/>
              <w:jc w:val="center"/>
              <w:rPr>
                <w:rFonts w:ascii="宋体" w:hAnsi="宋体" w:cs="宋体" w:eastAsia="宋体" w:hint="default"/>
                <w:sz w:val="18"/>
                <w:szCs w:val="18"/>
              </w:rPr>
            </w:pPr>
            <w:r>
              <w:rPr>
                <w:rFonts w:ascii="宋体"/>
                <w:sz w:val="18"/>
              </w:rPr>
              <w:t>35,975,654.43</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8" w:right="0"/>
              <w:jc w:val="center"/>
              <w:rPr>
                <w:rFonts w:ascii="宋体" w:hAnsi="宋体" w:cs="宋体" w:eastAsia="宋体" w:hint="default"/>
                <w:sz w:val="18"/>
                <w:szCs w:val="18"/>
              </w:rPr>
            </w:pPr>
            <w:r>
              <w:rPr>
                <w:rFonts w:ascii="宋体"/>
                <w:sz w:val="18"/>
              </w:rPr>
              <w:t>73,883,883.92</w:t>
            </w:r>
          </w:p>
        </w:tc>
        <w:tc>
          <w:tcPr>
            <w:tcW w:w="462"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3" w:right="0"/>
              <w:jc w:val="left"/>
              <w:rPr>
                <w:rFonts w:ascii="宋体" w:hAnsi="宋体" w:cs="宋体" w:eastAsia="宋体" w:hint="default"/>
                <w:sz w:val="18"/>
                <w:szCs w:val="18"/>
              </w:rPr>
            </w:pPr>
            <w:r>
              <w:rPr>
                <w:rFonts w:ascii="宋体"/>
                <w:sz w:val="18"/>
              </w:rPr>
              <w:t>92.36%</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sz w:val="18"/>
              </w:rPr>
              <w:t>100.00%</w:t>
            </w:r>
          </w:p>
        </w:tc>
        <w:tc>
          <w:tcPr>
            <w:tcW w:w="643"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c>
          <w:tcPr>
            <w:tcW w:w="448"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9"/>
              <w:jc w:val="both"/>
              <w:rPr>
                <w:rFonts w:ascii="宋体" w:hAnsi="宋体" w:cs="宋体" w:eastAsia="宋体" w:hint="default"/>
                <w:sz w:val="18"/>
                <w:szCs w:val="18"/>
              </w:rPr>
            </w:pPr>
            <w:r>
              <w:rPr>
                <w:rFonts w:ascii="宋体" w:hAnsi="宋体" w:cs="宋体" w:eastAsia="宋体" w:hint="default"/>
                <w:sz w:val="18"/>
                <w:szCs w:val="18"/>
              </w:rPr>
              <w:t>超募资 金及自 有资金</w:t>
            </w:r>
          </w:p>
        </w:tc>
      </w:tr>
      <w:tr>
        <w:trPr>
          <w:trHeight w:val="402" w:hRule="exact"/>
        </w:trPr>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 w:right="0"/>
              <w:jc w:val="center"/>
              <w:rPr>
                <w:rFonts w:ascii="宋体" w:hAnsi="宋体" w:cs="宋体" w:eastAsia="宋体" w:hint="default"/>
                <w:sz w:val="18"/>
                <w:szCs w:val="18"/>
              </w:rPr>
            </w:pPr>
            <w:r>
              <w:rPr>
                <w:rFonts w:ascii="宋体"/>
                <w:sz w:val="18"/>
              </w:rPr>
              <w:t>79,998,304.07</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sz w:val="18"/>
              </w:rPr>
              <w:t>37,908,229.49</w:t>
            </w:r>
          </w:p>
        </w:tc>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 w:right="0"/>
              <w:jc w:val="center"/>
              <w:rPr>
                <w:rFonts w:ascii="宋体" w:hAnsi="宋体" w:cs="宋体" w:eastAsia="宋体" w:hint="default"/>
                <w:sz w:val="18"/>
                <w:szCs w:val="18"/>
              </w:rPr>
            </w:pPr>
            <w:r>
              <w:rPr>
                <w:rFonts w:ascii="宋体"/>
                <w:sz w:val="18"/>
              </w:rPr>
              <w:t>35,975,654.43</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 w:right="0"/>
              <w:jc w:val="center"/>
              <w:rPr>
                <w:rFonts w:ascii="宋体" w:hAnsi="宋体" w:cs="宋体" w:eastAsia="宋体" w:hint="default"/>
                <w:sz w:val="18"/>
                <w:szCs w:val="18"/>
              </w:rPr>
            </w:pPr>
            <w:r>
              <w:rPr>
                <w:rFonts w:ascii="宋体"/>
                <w:sz w:val="18"/>
              </w:rPr>
              <w:t>73,883,883.92</w:t>
            </w:r>
          </w:p>
        </w:tc>
        <w:tc>
          <w:tcPr>
            <w:tcW w:w="462"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c>
          <w:tcPr>
            <w:tcW w:w="448"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13、无形资产" w:id="237"/>
      <w:bookmarkEnd w:id="237"/>
      <w:r>
        <w:rPr>
          <w:b w:val="0"/>
          <w:bCs w:val="0"/>
        </w:rPr>
      </w:r>
      <w:r>
        <w:rPr>
          <w:rFonts w:ascii="宋体" w:hAnsi="宋体" w:cs="宋体" w:eastAsia="宋体" w:hint="default"/>
        </w:rPr>
        <w:t>13</w:t>
      </w:r>
      <w:r>
        <w:rPr/>
        <w:t>、无形资产</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128"/>
        <w:gridCol w:w="1260"/>
        <w:gridCol w:w="724"/>
        <w:gridCol w:w="746"/>
        <w:gridCol w:w="1238"/>
        <w:gridCol w:w="1276"/>
        <w:gridCol w:w="943"/>
        <w:gridCol w:w="1253"/>
      </w:tblGrid>
      <w:tr>
        <w:trPr>
          <w:trHeight w:val="71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88" w:right="96" w:hanging="90"/>
              <w:jc w:val="left"/>
              <w:rPr>
                <w:rFonts w:ascii="宋体" w:hAnsi="宋体" w:cs="宋体" w:eastAsia="宋体" w:hint="default"/>
                <w:sz w:val="18"/>
                <w:szCs w:val="18"/>
              </w:rPr>
            </w:pPr>
            <w:r>
              <w:rPr>
                <w:rFonts w:ascii="宋体" w:hAnsi="宋体" w:cs="宋体" w:eastAsia="宋体" w:hint="default"/>
                <w:sz w:val="18"/>
                <w:szCs w:val="18"/>
              </w:rPr>
              <w:t>非专利 技术</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特许权</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260"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38,642,727.53</w:t>
            </w:r>
          </w:p>
        </w:tc>
        <w:tc>
          <w:tcPr>
            <w:tcW w:w="724"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3" w:right="0"/>
              <w:jc w:val="center"/>
              <w:rPr>
                <w:rFonts w:ascii="宋体" w:hAnsi="宋体" w:cs="宋体" w:eastAsia="宋体" w:hint="default"/>
                <w:sz w:val="18"/>
                <w:szCs w:val="18"/>
              </w:rPr>
            </w:pPr>
            <w:r>
              <w:rPr>
                <w:rFonts w:ascii="宋体"/>
                <w:sz w:val="18"/>
              </w:rPr>
              <w:t>26,315,804.48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7,872,302.13</w:t>
            </w:r>
          </w:p>
        </w:tc>
        <w:tc>
          <w:tcPr>
            <w:tcW w:w="94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7" w:right="0"/>
              <w:jc w:val="center"/>
              <w:rPr>
                <w:rFonts w:ascii="宋体" w:hAnsi="宋体" w:cs="宋体" w:eastAsia="宋体" w:hint="default"/>
                <w:sz w:val="18"/>
                <w:szCs w:val="18"/>
              </w:rPr>
            </w:pPr>
            <w:r>
              <w:rPr>
                <w:rFonts w:ascii="宋体"/>
                <w:sz w:val="18"/>
              </w:rPr>
              <w:t>72,830,834.14</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260"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center"/>
              <w:rPr>
                <w:rFonts w:ascii="宋体" w:hAnsi="宋体" w:cs="宋体" w:eastAsia="宋体" w:hint="default"/>
                <w:sz w:val="18"/>
                <w:szCs w:val="18"/>
              </w:rPr>
            </w:pPr>
            <w:r>
              <w:rPr>
                <w:rFonts w:ascii="宋体"/>
                <w:sz w:val="18"/>
              </w:rPr>
              <w:t>1,940,405.19</w:t>
            </w:r>
          </w:p>
        </w:tc>
        <w:tc>
          <w:tcPr>
            <w:tcW w:w="1276"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88,000.00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7" w:right="0"/>
              <w:jc w:val="center"/>
              <w:rPr>
                <w:rFonts w:ascii="宋体" w:hAnsi="宋体" w:cs="宋体" w:eastAsia="宋体" w:hint="default"/>
                <w:sz w:val="18"/>
                <w:szCs w:val="18"/>
              </w:rPr>
            </w:pPr>
            <w:r>
              <w:rPr>
                <w:rFonts w:ascii="宋体"/>
                <w:sz w:val="18"/>
              </w:rPr>
              <w:t>2,028,405.19</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）购置</w:t>
            </w:r>
          </w:p>
        </w:tc>
        <w:tc>
          <w:tcPr>
            <w:tcW w:w="1260"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center"/>
              <w:rPr>
                <w:rFonts w:ascii="宋体" w:hAnsi="宋体" w:cs="宋体" w:eastAsia="宋体" w:hint="default"/>
                <w:sz w:val="18"/>
                <w:szCs w:val="18"/>
              </w:rPr>
            </w:pPr>
            <w:r>
              <w:rPr>
                <w:rFonts w:ascii="宋体"/>
                <w:sz w:val="18"/>
              </w:rPr>
              <w:t>1,940,405.19</w:t>
            </w:r>
          </w:p>
        </w:tc>
        <w:tc>
          <w:tcPr>
            <w:tcW w:w="1276"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88,000.00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7" w:right="0"/>
              <w:jc w:val="center"/>
              <w:rPr>
                <w:rFonts w:ascii="宋体" w:hAnsi="宋体" w:cs="宋体" w:eastAsia="宋体" w:hint="default"/>
                <w:sz w:val="18"/>
                <w:szCs w:val="18"/>
              </w:rPr>
            </w:pPr>
            <w:r>
              <w:rPr>
                <w:rFonts w:ascii="宋体"/>
                <w:sz w:val="18"/>
              </w:rPr>
              <w:t>2,028,405.19</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）内部研发</w:t>
            </w:r>
          </w:p>
        </w:tc>
        <w:tc>
          <w:tcPr>
            <w:tcW w:w="1260"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）企业合并增加</w:t>
            </w:r>
          </w:p>
        </w:tc>
        <w:tc>
          <w:tcPr>
            <w:tcW w:w="1260"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8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260"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260"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38,642,727.53</w:t>
            </w:r>
          </w:p>
        </w:tc>
        <w:tc>
          <w:tcPr>
            <w:tcW w:w="724"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3" w:right="0"/>
              <w:jc w:val="center"/>
              <w:rPr>
                <w:rFonts w:ascii="宋体" w:hAnsi="宋体" w:cs="宋体" w:eastAsia="宋体" w:hint="default"/>
                <w:sz w:val="18"/>
                <w:szCs w:val="18"/>
              </w:rPr>
            </w:pPr>
            <w:r>
              <w:rPr>
                <w:rFonts w:ascii="宋体"/>
                <w:sz w:val="18"/>
              </w:rPr>
              <w:t>28,256,209.67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7,872,302.13</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88,000.00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7" w:right="0"/>
              <w:jc w:val="center"/>
              <w:rPr>
                <w:rFonts w:ascii="宋体" w:hAnsi="宋体" w:cs="宋体" w:eastAsia="宋体" w:hint="default"/>
                <w:sz w:val="18"/>
                <w:szCs w:val="18"/>
              </w:rPr>
            </w:pPr>
            <w:r>
              <w:rPr>
                <w:rFonts w:ascii="宋体"/>
                <w:sz w:val="18"/>
              </w:rPr>
              <w:t>74,859,239.33</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260"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3,270,651.12</w:t>
            </w:r>
          </w:p>
        </w:tc>
        <w:tc>
          <w:tcPr>
            <w:tcW w:w="724"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3" w:right="0"/>
              <w:jc w:val="center"/>
              <w:rPr>
                <w:rFonts w:ascii="宋体" w:hAnsi="宋体" w:cs="宋体" w:eastAsia="宋体" w:hint="default"/>
                <w:sz w:val="18"/>
                <w:szCs w:val="18"/>
              </w:rPr>
            </w:pPr>
            <w:r>
              <w:rPr>
                <w:rFonts w:ascii="宋体"/>
                <w:sz w:val="18"/>
              </w:rPr>
              <w:t>16,695,561.22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721,627.72</w:t>
            </w:r>
          </w:p>
        </w:tc>
        <w:tc>
          <w:tcPr>
            <w:tcW w:w="94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7" w:right="0"/>
              <w:jc w:val="center"/>
              <w:rPr>
                <w:rFonts w:ascii="宋体" w:hAnsi="宋体" w:cs="宋体" w:eastAsia="宋体" w:hint="default"/>
                <w:sz w:val="18"/>
                <w:szCs w:val="18"/>
              </w:rPr>
            </w:pPr>
            <w:r>
              <w:rPr>
                <w:rFonts w:ascii="宋体"/>
                <w:sz w:val="18"/>
              </w:rPr>
              <w:t>20,687,840.06</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772,854.60</w:t>
            </w:r>
          </w:p>
        </w:tc>
        <w:tc>
          <w:tcPr>
            <w:tcW w:w="724"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center"/>
              <w:rPr>
                <w:rFonts w:ascii="宋体" w:hAnsi="宋体" w:cs="宋体" w:eastAsia="宋体" w:hint="default"/>
                <w:sz w:val="18"/>
                <w:szCs w:val="18"/>
              </w:rPr>
            </w:pPr>
            <w:r>
              <w:rPr>
                <w:rFonts w:ascii="宋体"/>
                <w:sz w:val="18"/>
              </w:rPr>
              <w:t>2,102,377.15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787,230.24</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8,066.63</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7" w:right="0"/>
              <w:jc w:val="center"/>
              <w:rPr>
                <w:rFonts w:ascii="宋体" w:hAnsi="宋体" w:cs="宋体" w:eastAsia="宋体" w:hint="default"/>
                <w:sz w:val="18"/>
                <w:szCs w:val="18"/>
              </w:rPr>
            </w:pPr>
            <w:r>
              <w:rPr>
                <w:rFonts w:ascii="宋体"/>
                <w:sz w:val="18"/>
              </w:rPr>
              <w:t>3,670,528.62</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772,854.60</w:t>
            </w:r>
          </w:p>
        </w:tc>
        <w:tc>
          <w:tcPr>
            <w:tcW w:w="724"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center"/>
              <w:rPr>
                <w:rFonts w:ascii="宋体" w:hAnsi="宋体" w:cs="宋体" w:eastAsia="宋体" w:hint="default"/>
                <w:sz w:val="18"/>
                <w:szCs w:val="18"/>
              </w:rPr>
            </w:pPr>
            <w:r>
              <w:rPr>
                <w:rFonts w:ascii="宋体"/>
                <w:sz w:val="18"/>
              </w:rPr>
              <w:t>2,102,377.15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787,230.24</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8,066.63</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7" w:right="0"/>
              <w:jc w:val="center"/>
              <w:rPr>
                <w:rFonts w:ascii="宋体" w:hAnsi="宋体" w:cs="宋体" w:eastAsia="宋体" w:hint="default"/>
                <w:sz w:val="18"/>
                <w:szCs w:val="18"/>
              </w:rPr>
            </w:pPr>
            <w:r>
              <w:rPr>
                <w:rFonts w:ascii="宋体"/>
                <w:sz w:val="18"/>
              </w:rPr>
              <w:t>3,670,528.62</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260"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260"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4,043,505.72</w:t>
            </w:r>
          </w:p>
        </w:tc>
        <w:tc>
          <w:tcPr>
            <w:tcW w:w="724"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3" w:right="0"/>
              <w:jc w:val="center"/>
              <w:rPr>
                <w:rFonts w:ascii="宋体" w:hAnsi="宋体" w:cs="宋体" w:eastAsia="宋体" w:hint="default"/>
                <w:sz w:val="18"/>
                <w:szCs w:val="18"/>
              </w:rPr>
            </w:pPr>
            <w:r>
              <w:rPr>
                <w:rFonts w:ascii="宋体"/>
                <w:sz w:val="18"/>
              </w:rPr>
              <w:t>18,797,938.37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1,508,857.96</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8,066.63</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7" w:right="0"/>
              <w:jc w:val="center"/>
              <w:rPr>
                <w:rFonts w:ascii="宋体" w:hAnsi="宋体" w:cs="宋体" w:eastAsia="宋体" w:hint="default"/>
                <w:sz w:val="18"/>
                <w:szCs w:val="18"/>
              </w:rPr>
            </w:pPr>
            <w:r>
              <w:rPr>
                <w:rFonts w:ascii="宋体"/>
                <w:sz w:val="18"/>
              </w:rPr>
              <w:t>24,358,368.68</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260"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260"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260"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260"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8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260"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260"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260"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87" w:top="1100" w:bottom="138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2128"/>
        <w:gridCol w:w="1260"/>
        <w:gridCol w:w="724"/>
        <w:gridCol w:w="746"/>
        <w:gridCol w:w="1238"/>
        <w:gridCol w:w="1276"/>
        <w:gridCol w:w="943"/>
        <w:gridCol w:w="1253"/>
      </w:tblGrid>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260"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73"/>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0"/>
              <w:jc w:val="center"/>
              <w:rPr>
                <w:rFonts w:ascii="宋体" w:hAnsi="宋体" w:cs="宋体" w:eastAsia="宋体" w:hint="default"/>
                <w:sz w:val="18"/>
                <w:szCs w:val="18"/>
              </w:rPr>
            </w:pPr>
            <w:r>
              <w:rPr>
                <w:rFonts w:ascii="宋体"/>
                <w:sz w:val="18"/>
              </w:rPr>
              <w:t>34,599,221.81</w:t>
            </w:r>
          </w:p>
        </w:tc>
        <w:tc>
          <w:tcPr>
            <w:tcW w:w="724"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9,458,271.30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6,363,444.17</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0" w:right="0"/>
              <w:jc w:val="left"/>
              <w:rPr>
                <w:rFonts w:ascii="宋体" w:hAnsi="宋体" w:cs="宋体" w:eastAsia="宋体" w:hint="default"/>
                <w:sz w:val="18"/>
                <w:szCs w:val="18"/>
              </w:rPr>
            </w:pPr>
            <w:r>
              <w:rPr>
                <w:rFonts w:ascii="宋体"/>
                <w:sz w:val="18"/>
              </w:rPr>
              <w:t>79,933.37</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 w:right="0"/>
              <w:jc w:val="center"/>
              <w:rPr>
                <w:rFonts w:ascii="宋体" w:hAnsi="宋体" w:cs="宋体" w:eastAsia="宋体" w:hint="default"/>
                <w:sz w:val="18"/>
                <w:szCs w:val="18"/>
              </w:rPr>
            </w:pPr>
            <w:r>
              <w:rPr>
                <w:rFonts w:ascii="宋体"/>
                <w:sz w:val="18"/>
              </w:rPr>
              <w:t>50,500,870.65</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73"/>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0"/>
              <w:jc w:val="center"/>
              <w:rPr>
                <w:rFonts w:ascii="宋体" w:hAnsi="宋体" w:cs="宋体" w:eastAsia="宋体" w:hint="default"/>
                <w:sz w:val="18"/>
                <w:szCs w:val="18"/>
              </w:rPr>
            </w:pPr>
            <w:r>
              <w:rPr>
                <w:rFonts w:ascii="宋体"/>
                <w:sz w:val="18"/>
              </w:rPr>
              <w:t>35,372,076.41</w:t>
            </w:r>
          </w:p>
        </w:tc>
        <w:tc>
          <w:tcPr>
            <w:tcW w:w="724"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9,620,243.26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7,150,674.41</w:t>
            </w:r>
          </w:p>
        </w:tc>
        <w:tc>
          <w:tcPr>
            <w:tcW w:w="94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 w:right="0"/>
              <w:jc w:val="center"/>
              <w:rPr>
                <w:rFonts w:ascii="宋体" w:hAnsi="宋体" w:cs="宋体" w:eastAsia="宋体" w:hint="default"/>
                <w:sz w:val="18"/>
                <w:szCs w:val="18"/>
              </w:rPr>
            </w:pPr>
            <w:r>
              <w:rPr>
                <w:rFonts w:ascii="宋体"/>
                <w:sz w:val="18"/>
              </w:rPr>
              <w:t>52,142,994.08</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14、商誉" w:id="238"/>
      <w:bookmarkEnd w:id="238"/>
      <w:r>
        <w:rPr>
          <w:b w:val="0"/>
          <w:bCs w:val="0"/>
        </w:rPr>
      </w:r>
      <w:r>
        <w:rPr>
          <w:rFonts w:ascii="宋体" w:hAnsi="宋体" w:cs="宋体" w:eastAsia="宋体" w:hint="default"/>
        </w:rPr>
        <w:t>14</w:t>
      </w:r>
      <w:r>
        <w:rPr/>
        <w:t>、商誉</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left="1134" w:right="0"/>
        <w:jc w:val="left"/>
        <w:rPr>
          <w:b w:val="0"/>
          <w:bCs w:val="0"/>
        </w:rPr>
      </w:pPr>
      <w:bookmarkStart w:name="（1）商誉账面原值" w:id="239"/>
      <w:bookmarkEnd w:id="239"/>
      <w:r>
        <w:rPr>
          <w:b w:val="0"/>
          <w:bCs w:val="0"/>
        </w:rPr>
      </w:r>
      <w:r>
        <w:rPr/>
        <w:t>（</w:t>
      </w:r>
      <w:r>
        <w:rPr>
          <w:rFonts w:ascii="宋体" w:hAnsi="宋体" w:cs="宋体" w:eastAsia="宋体" w:hint="default"/>
        </w:rPr>
        <w:t>1</w:t>
      </w:r>
      <w:r>
        <w:rPr/>
        <w:t>）商誉账面原值</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武汉天喻信通制 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466,431.10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466,431.10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466,431.10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466,431.10</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商誉减值准备" w:id="240"/>
      <w:bookmarkEnd w:id="240"/>
      <w:r>
        <w:rPr>
          <w:b w:val="0"/>
          <w:bCs w:val="0"/>
        </w:rPr>
      </w:r>
      <w:r>
        <w:rPr/>
        <w:t>（</w:t>
      </w:r>
      <w:r>
        <w:rPr>
          <w:rFonts w:ascii="宋体" w:hAnsi="宋体" w:cs="宋体" w:eastAsia="宋体" w:hint="default"/>
        </w:rPr>
        <w:t>2</w:t>
      </w:r>
      <w:r>
        <w:rPr/>
        <w:t>）商誉减值准备</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武汉天喻信通制 卡有限公司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466,431.10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466,431.10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466,431.10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466,431.10</w:t>
            </w:r>
          </w:p>
        </w:tc>
      </w:tr>
    </w:tbl>
    <w:p>
      <w:pPr>
        <w:spacing w:line="240" w:lineRule="auto" w:before="8"/>
        <w:rPr>
          <w:rFonts w:ascii="宋体" w:hAnsi="宋体" w:cs="宋体" w:eastAsia="宋体" w:hint="default"/>
          <w:sz w:val="6"/>
          <w:szCs w:val="6"/>
        </w:rPr>
      </w:pPr>
    </w:p>
    <w:p>
      <w:pPr>
        <w:pStyle w:val="BodyText"/>
        <w:spacing w:line="319" w:lineRule="auto" w:before="44"/>
        <w:ind w:right="1033" w:firstLine="360"/>
        <w:jc w:val="left"/>
      </w:pPr>
      <w:r>
        <w:rPr>
          <w:spacing w:val="-5"/>
        </w:rPr>
        <w:t>报告期内，公司为提高生产效率，降低生产成本，以资产划转的方式整合了全资子公司天喻信通的资源，根据《财政部、</w:t>
      </w:r>
      <w:r>
        <w:rPr/>
        <w:t> 国家税务总局关于促进企业重组有关企业所得税处理问题的通知》（财税〔</w:t>
      </w:r>
      <w:r>
        <w:rPr>
          <w:rFonts w:ascii="宋体" w:hAnsi="宋体" w:cs="宋体" w:eastAsia="宋体" w:hint="default"/>
        </w:rPr>
        <w:t>2014</w:t>
      </w:r>
      <w:r>
        <w:rPr/>
        <w:t>〕</w:t>
      </w:r>
      <w:r>
        <w:rPr>
          <w:rFonts w:ascii="宋体" w:hAnsi="宋体" w:cs="宋体" w:eastAsia="宋体" w:hint="default"/>
        </w:rPr>
        <w:t>109</w:t>
      </w:r>
      <w:r>
        <w:rPr/>
        <w:t>号）和《国家税务总局关于资产（股 权）划转企业所得税征管问题的公告》（国家税务总局公告</w:t>
      </w:r>
      <w:r>
        <w:rPr>
          <w:rFonts w:ascii="宋体" w:hAnsi="宋体" w:cs="宋体" w:eastAsia="宋体" w:hint="default"/>
        </w:rPr>
        <w:t>2015</w:t>
      </w:r>
      <w:r>
        <w:rPr/>
        <w:t>年第</w:t>
      </w:r>
      <w:r>
        <w:rPr>
          <w:rFonts w:ascii="宋体" w:hAnsi="宋体" w:cs="宋体" w:eastAsia="宋体" w:hint="default"/>
        </w:rPr>
        <w:t>40</w:t>
      </w:r>
      <w:r>
        <w:rPr/>
        <w:t>号）的相关规定，母公司按冲减长期股权投资处理。</w:t>
      </w:r>
      <w:r>
        <w:rPr>
          <w:spacing w:val="-85"/>
        </w:rPr>
        <w:t> </w:t>
      </w:r>
      <w:r>
        <w:rPr>
          <w:spacing w:val="-85"/>
        </w:rPr>
      </w:r>
      <w:r>
        <w:rPr/>
        <w:t>预计天喻信通未来无经济利益的流入，根据《企业会计准则第</w:t>
      </w:r>
      <w:r>
        <w:rPr>
          <w:rFonts w:ascii="宋体" w:hAnsi="宋体" w:cs="宋体" w:eastAsia="宋体" w:hint="default"/>
        </w:rPr>
        <w:t>8</w:t>
      </w:r>
      <w:r>
        <w:rPr/>
        <w:t>号——资产减值》相关规定，对商誉全额计提减值准备。</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bookmarkStart w:name="15、长期待摊费用" w:id="241"/>
      <w:bookmarkEnd w:id="241"/>
      <w:r>
        <w:rPr>
          <w:b w:val="0"/>
          <w:bCs w:val="0"/>
        </w:rPr>
      </w:r>
      <w:r>
        <w:rPr>
          <w:rFonts w:ascii="宋体" w:hAnsi="宋体" w:cs="宋体" w:eastAsia="宋体" w:hint="default"/>
        </w:rPr>
        <w:t>15</w:t>
      </w:r>
      <w:r>
        <w:rPr/>
        <w:t>、长期待摊费用</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会员费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63,488.36</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32,340.00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31,148.36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厂房装修维护费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1,625,304.67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2,445,009.19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2,369,485.61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1,700,828.25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技术许可使用费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4,144,643.03</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3,108,482.16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1,036,160.87</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教育云平台技术服 务费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1,108,882.34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274,096.78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884,785.56</w:t>
            </w:r>
          </w:p>
        </w:tc>
      </w:tr>
    </w:tbl>
    <w:p>
      <w:pPr>
        <w:spacing w:after="0" w:line="240" w:lineRule="auto"/>
        <w:jc w:val="right"/>
        <w:rPr>
          <w:rFonts w:ascii="宋体" w:hAnsi="宋体" w:cs="宋体" w:eastAsia="宋体" w:hint="default"/>
          <w:sz w:val="18"/>
          <w:szCs w:val="18"/>
        </w:rPr>
        <w:sectPr>
          <w:pgSz w:w="11910" w:h="16840"/>
          <w:pgMar w:header="877" w:footer="1187" w:top="1100" w:bottom="138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资质认证费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10,574.88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5,665,119.13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736,996.81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4,938,697.20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31,371.22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73,289.02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37,479.46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67,180.78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6,984,264.50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8,233,417.34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6,558,880.82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8,658,801.02</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16、递延所得税资产/递延所得税负债" w:id="242"/>
      <w:bookmarkEnd w:id="242"/>
      <w:r>
        <w:rPr>
          <w:b w:val="0"/>
          <w:bCs w:val="0"/>
        </w:rPr>
      </w:r>
      <w:r>
        <w:rPr>
          <w:rFonts w:ascii="宋体" w:hAnsi="宋体" w:cs="宋体" w:eastAsia="宋体" w:hint="default"/>
        </w:rPr>
        <w:t>16</w:t>
      </w:r>
      <w:r>
        <w:rPr/>
        <w:t>、递延所得税资产</w:t>
      </w:r>
      <w:r>
        <w:rPr>
          <w:rFonts w:ascii="宋体" w:hAnsi="宋体" w:cs="宋体" w:eastAsia="宋体" w:hint="default"/>
        </w:rPr>
        <w:t>/</w:t>
      </w:r>
      <w:r>
        <w:rPr/>
        <w:t>递延所得税负债</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bookmarkStart w:name="（1）未经抵销的递延所得税资产" w:id="243"/>
      <w:bookmarkEnd w:id="243"/>
      <w:r>
        <w:rPr>
          <w:b w:val="0"/>
          <w:bCs w:val="0"/>
        </w:rPr>
      </w:r>
      <w:r>
        <w:rPr/>
        <w:t>（</w:t>
      </w:r>
      <w:r>
        <w:rPr>
          <w:rFonts w:ascii="宋体" w:hAnsi="宋体" w:cs="宋体" w:eastAsia="宋体" w:hint="default"/>
        </w:rPr>
        <w:t>1</w:t>
      </w:r>
      <w:r>
        <w:rPr/>
        <w:t>）未经抵销的递延所得税资产</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126,812,683.43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19,021,902.51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107,715,150.32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16,336,008.05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1,143,556.76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171,533.51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9,726,344.34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1,458,951.65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6,378,833.46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956,825.02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38,874,330.03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5,831,149.50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47,822,807.22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7,543,570.02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175,413,357.80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26,312,003.66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163,060,347.76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25,007,936.60</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未经抵销的递延所得税负债" w:id="244"/>
      <w:bookmarkEnd w:id="244"/>
      <w:r>
        <w:rPr>
          <w:b w:val="0"/>
          <w:bCs w:val="0"/>
        </w:rPr>
      </w:r>
      <w:r>
        <w:rPr/>
        <w:t>（</w:t>
      </w:r>
      <w:r>
        <w:rPr>
          <w:rFonts w:ascii="宋体" w:hAnsi="宋体" w:cs="宋体" w:eastAsia="宋体" w:hint="default"/>
        </w:rPr>
        <w:t>2</w:t>
      </w:r>
      <w:r>
        <w:rPr/>
        <w:t>）未经抵销的递延所得税负债</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可供出售金融资产公允 价值变动</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6,102,880.00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915,432.00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5,018,560.00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752,784.00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固定资产折旧差异</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2,072,092.19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310,813.83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3,299,075.53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494,861.33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8,174,972.19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1,226,245.83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8,317,635.53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1,247,645.33</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以抵销后净额列示的递延所得税资产或负债" w:id="245"/>
      <w:bookmarkEnd w:id="245"/>
      <w:r>
        <w:rPr>
          <w:b w:val="0"/>
          <w:bCs w:val="0"/>
        </w:rPr>
      </w:r>
      <w:r>
        <w:rPr/>
        <w:t>（</w:t>
      </w:r>
      <w:r>
        <w:rPr>
          <w:rFonts w:ascii="宋体" w:hAnsi="宋体" w:cs="宋体" w:eastAsia="宋体" w:hint="default"/>
        </w:rPr>
        <w:t>3</w:t>
      </w:r>
      <w:r>
        <w:rPr/>
        <w:t>）以抵销后净额列示的递延所得税资产或负债</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26,312,003.66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25,007,936.60</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1,226,245.83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1,247,645.33</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4）未确认递延所得税资产明细" w:id="246"/>
      <w:bookmarkEnd w:id="246"/>
      <w:r>
        <w:rPr>
          <w:b w:val="0"/>
          <w:bCs w:val="0"/>
        </w:rPr>
      </w:r>
      <w:r>
        <w:rPr/>
        <w:t>（</w:t>
      </w:r>
      <w:r>
        <w:rPr>
          <w:rFonts w:ascii="宋体" w:hAnsi="宋体" w:cs="宋体" w:eastAsia="宋体" w:hint="default"/>
        </w:rPr>
        <w:t>4</w:t>
      </w:r>
      <w:r>
        <w:rPr/>
        <w:t>）未确认递延所得税资产明细</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after="0" w:line="240" w:lineRule="auto"/>
        <w:jc w:val="right"/>
        <w:sectPr>
          <w:pgSz w:w="11910" w:h="16840"/>
          <w:pgMar w:header="877" w:footer="1187" w:top="1100" w:bottom="138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85,427,626.41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42,167,287.65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23,392,784.37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14,904,131.02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13,814,170.27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11,375,659.40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未实现内部交易损益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1,024,018.67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671,401.47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377,270.00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124,035,869.72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69,118,479.54</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5）未确认递延所得税资产的可抵扣亏损将于以下年度到期" w:id="247"/>
      <w:bookmarkEnd w:id="247"/>
      <w:r>
        <w:rPr>
          <w:b w:val="0"/>
          <w:bCs w:val="0"/>
        </w:rPr>
      </w:r>
      <w:r>
        <w:rPr/>
        <w:t>（</w:t>
      </w:r>
      <w:r>
        <w:rPr>
          <w:rFonts w:ascii="宋体" w:hAnsi="宋体" w:cs="宋体" w:eastAsia="宋体" w:hint="default"/>
        </w:rPr>
        <w:t>5</w:t>
      </w:r>
      <w:r>
        <w:rPr/>
        <w:t>）未确认递延所得税资产的可抵扣亏损将于以下年度到期</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2016</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1,330,501.63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1,330,501.63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2017</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1,888,407.94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1,888,407.94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2018</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21,271,503.25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21,271,503.25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2019</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17,676,874.83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17,676,874.83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2020</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43,260,338.76</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85,427,626.41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42,167,287.65</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17、其他非流动资产" w:id="248"/>
      <w:bookmarkEnd w:id="248"/>
      <w:r>
        <w:rPr>
          <w:b w:val="0"/>
          <w:bCs w:val="0"/>
        </w:rPr>
      </w:r>
      <w:r>
        <w:rPr>
          <w:rFonts w:ascii="宋体" w:hAnsi="宋体" w:cs="宋体" w:eastAsia="宋体" w:hint="default"/>
        </w:rPr>
        <w:t>17</w:t>
      </w:r>
      <w:r>
        <w:rPr/>
        <w:t>、其他非流动资产</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预付设备及软件款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3,004,628.94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14,689,497.95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3,004,628.94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14,689,497.95</w:t>
            </w:r>
          </w:p>
        </w:tc>
      </w:tr>
    </w:tbl>
    <w:p>
      <w:pPr>
        <w:spacing w:line="240" w:lineRule="auto" w:before="4"/>
        <w:rPr>
          <w:rFonts w:ascii="宋体" w:hAnsi="宋体" w:cs="宋体" w:eastAsia="宋体" w:hint="default"/>
          <w:sz w:val="9"/>
          <w:szCs w:val="9"/>
        </w:rPr>
      </w:pPr>
    </w:p>
    <w:p>
      <w:pPr>
        <w:pStyle w:val="BodyText"/>
        <w:spacing w:line="240" w:lineRule="auto" w:before="44"/>
        <w:ind w:left="1494" w:right="0"/>
        <w:jc w:val="left"/>
      </w:pPr>
      <w:r>
        <w:rPr/>
        <w:t>报告期末，其他非流动资产较期初减少</w:t>
      </w:r>
      <w:r>
        <w:rPr>
          <w:rFonts w:ascii="宋体" w:hAnsi="宋体" w:cs="宋体" w:eastAsia="宋体" w:hint="default"/>
        </w:rPr>
        <w:t>79.55%</w:t>
      </w:r>
      <w:r>
        <w:rPr/>
        <w:t>，主要由于预付设备款按合同履约结算。</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18、短期借款" w:id="249"/>
      <w:bookmarkEnd w:id="249"/>
      <w:r>
        <w:rPr>
          <w:b w:val="0"/>
          <w:bCs w:val="0"/>
        </w:rPr>
      </w:r>
      <w:r>
        <w:rPr>
          <w:rFonts w:ascii="宋体" w:hAnsi="宋体" w:cs="宋体" w:eastAsia="宋体" w:hint="default"/>
        </w:rPr>
        <w:t>18</w:t>
      </w:r>
      <w:r>
        <w:rPr/>
        <w:t>、短期借款</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117,842,253.39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517,267,400.46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117,842,253.39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517,267,400.46</w:t>
            </w:r>
          </w:p>
        </w:tc>
      </w:tr>
    </w:tbl>
    <w:p>
      <w:pPr>
        <w:spacing w:line="240" w:lineRule="auto" w:before="5"/>
        <w:rPr>
          <w:rFonts w:ascii="宋体" w:hAnsi="宋体" w:cs="宋体" w:eastAsia="宋体" w:hint="default"/>
          <w:sz w:val="9"/>
          <w:szCs w:val="9"/>
        </w:rPr>
      </w:pPr>
    </w:p>
    <w:p>
      <w:pPr>
        <w:pStyle w:val="BodyText"/>
        <w:spacing w:line="316" w:lineRule="auto" w:before="44"/>
        <w:ind w:right="0" w:firstLine="360"/>
        <w:jc w:val="left"/>
      </w:pPr>
      <w:r>
        <w:rPr>
          <w:spacing w:val="-2"/>
        </w:rPr>
        <w:t>报告期末，短期借款较期初减少</w:t>
      </w:r>
      <w:r>
        <w:rPr>
          <w:rFonts w:ascii="宋体" w:hAnsi="宋体" w:cs="宋体" w:eastAsia="宋体" w:hint="default"/>
          <w:spacing w:val="-2"/>
        </w:rPr>
        <w:t>77.22%</w:t>
      </w:r>
      <w:r>
        <w:rPr>
          <w:spacing w:val="-2"/>
        </w:rPr>
        <w:t>，主要由于公司持续加强应收账款和存货管理，取得一定成效，运营能力和偿债</w:t>
      </w:r>
      <w:r>
        <w:rPr/>
        <w:t> 能力均有所提升。报告期公司经营性现金流量净额大幅增长，融资需求同比减少。</w:t>
      </w:r>
    </w:p>
    <w:p>
      <w:pPr>
        <w:spacing w:after="0" w:line="316" w:lineRule="auto"/>
        <w:jc w:val="left"/>
        <w:sectPr>
          <w:pgSz w:w="11910" w:h="16840"/>
          <w:pgMar w:header="877" w:footer="1187" w:top="1100" w:bottom="1380" w:left="0" w:right="0"/>
        </w:sectPr>
      </w:pPr>
    </w:p>
    <w:p>
      <w:pPr>
        <w:spacing w:line="240" w:lineRule="auto" w:before="10"/>
        <w:rPr>
          <w:rFonts w:ascii="宋体" w:hAnsi="宋体" w:cs="宋体" w:eastAsia="宋体" w:hint="default"/>
          <w:sz w:val="20"/>
          <w:szCs w:val="20"/>
        </w:rPr>
      </w:pPr>
    </w:p>
    <w:p>
      <w:pPr>
        <w:pStyle w:val="Heading3"/>
        <w:spacing w:line="240" w:lineRule="auto" w:before="35"/>
        <w:ind w:left="1134" w:right="0"/>
        <w:jc w:val="left"/>
        <w:rPr>
          <w:b w:val="0"/>
          <w:bCs w:val="0"/>
        </w:rPr>
      </w:pPr>
      <w:bookmarkStart w:name="19、应付票据" w:id="250"/>
      <w:bookmarkEnd w:id="250"/>
      <w:r>
        <w:rPr>
          <w:b w:val="0"/>
          <w:bCs w:val="0"/>
        </w:rPr>
      </w:r>
      <w:r>
        <w:rPr>
          <w:rFonts w:ascii="宋体" w:hAnsi="宋体" w:cs="宋体" w:eastAsia="宋体" w:hint="default"/>
        </w:rPr>
        <w:t>19</w:t>
      </w:r>
      <w:r>
        <w:rPr/>
        <w:t>、应付票据</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09"/>
              <w:jc w:val="right"/>
              <w:rPr>
                <w:rFonts w:ascii="宋体" w:hAnsi="宋体" w:cs="宋体" w:eastAsia="宋体" w:hint="default"/>
                <w:sz w:val="18"/>
                <w:szCs w:val="18"/>
              </w:rPr>
            </w:pPr>
            <w:r>
              <w:rPr>
                <w:rFonts w:ascii="宋体" w:hAnsi="宋体" w:cs="宋体" w:eastAsia="宋体" w:hint="default"/>
                <w:sz w:val="18"/>
                <w:szCs w:val="18"/>
              </w:rPr>
              <w:t>种类</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134,119,378.14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86,108,131.32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134,119,378.14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86,108,131.32</w:t>
            </w:r>
          </w:p>
        </w:tc>
      </w:tr>
    </w:tbl>
    <w:p>
      <w:pPr>
        <w:spacing w:line="240" w:lineRule="auto" w:before="4"/>
        <w:rPr>
          <w:rFonts w:ascii="宋体" w:hAnsi="宋体" w:cs="宋体" w:eastAsia="宋体" w:hint="default"/>
          <w:sz w:val="9"/>
          <w:szCs w:val="9"/>
        </w:rPr>
      </w:pPr>
    </w:p>
    <w:p>
      <w:pPr>
        <w:pStyle w:val="BodyText"/>
        <w:spacing w:line="240" w:lineRule="auto" w:before="44"/>
        <w:ind w:left="1494" w:right="0"/>
        <w:jc w:val="left"/>
      </w:pPr>
      <w:r>
        <w:rPr/>
        <w:t>报告期末，应付票据较期初增加</w:t>
      </w:r>
      <w:r>
        <w:rPr>
          <w:rFonts w:ascii="宋体" w:hAnsi="宋体" w:cs="宋体" w:eastAsia="宋体" w:hint="default"/>
        </w:rPr>
        <w:t>55.76%</w:t>
      </w:r>
      <w:r>
        <w:rPr/>
        <w:t>，主要由于公司采取票据结算方式的业务量增加。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0、应付账款" w:id="251"/>
      <w:bookmarkEnd w:id="251"/>
      <w:r>
        <w:rPr>
          <w:b w:val="0"/>
          <w:bCs w:val="0"/>
        </w:rPr>
      </w:r>
      <w:r>
        <w:rPr>
          <w:rFonts w:ascii="宋体" w:hAnsi="宋体" w:cs="宋体" w:eastAsia="宋体" w:hint="default"/>
        </w:rPr>
        <w:t>20</w:t>
      </w:r>
      <w:r>
        <w:rPr/>
        <w:t>、应付账款</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135,496,467.14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131,041,516.11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3,568,960.12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2,470,188.15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1,189,619.14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450,306.79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2,994,126.67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2,688,085.40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143,249,173.07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136,650,096.45</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1、预收款项" w:id="252"/>
      <w:bookmarkEnd w:id="252"/>
      <w:r>
        <w:rPr>
          <w:b w:val="0"/>
          <w:bCs w:val="0"/>
        </w:rPr>
      </w:r>
      <w:r>
        <w:rPr>
          <w:rFonts w:ascii="宋体" w:hAnsi="宋体" w:cs="宋体" w:eastAsia="宋体" w:hint="default"/>
        </w:rPr>
        <w:t>21</w:t>
      </w:r>
      <w:r>
        <w:rPr/>
        <w:t>、预收款项</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36,009,436.59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34,194,042.07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919,488.03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3,252,215.79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751,497.41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1,234,442.72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2,452,674.99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2,260,533.50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40,133,097.02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40,941,234.08</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2、应付职工薪酬" w:id="253"/>
      <w:bookmarkEnd w:id="253"/>
      <w:r>
        <w:rPr>
          <w:b w:val="0"/>
          <w:bCs w:val="0"/>
        </w:rPr>
      </w:r>
      <w:r>
        <w:rPr>
          <w:rFonts w:ascii="宋体" w:hAnsi="宋体" w:cs="宋体" w:eastAsia="宋体" w:hint="default"/>
        </w:rPr>
        <w:t>22</w:t>
      </w:r>
      <w:r>
        <w:rPr/>
        <w:t>、应付职工薪酬</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left="1134" w:right="0"/>
        <w:jc w:val="left"/>
        <w:rPr>
          <w:b w:val="0"/>
          <w:bCs w:val="0"/>
        </w:rPr>
      </w:pPr>
      <w:bookmarkStart w:name="（1）应付职工薪酬列示" w:id="254"/>
      <w:bookmarkEnd w:id="254"/>
      <w:r>
        <w:rPr>
          <w:b w:val="0"/>
          <w:bCs w:val="0"/>
        </w:rPr>
      </w:r>
      <w:r>
        <w:rPr/>
        <w:t>（</w:t>
      </w:r>
      <w:r>
        <w:rPr>
          <w:rFonts w:ascii="宋体" w:hAnsi="宋体" w:cs="宋体" w:eastAsia="宋体" w:hint="default"/>
        </w:rPr>
        <w:t>1</w:t>
      </w:r>
      <w:r>
        <w:rPr/>
        <w:t>）应付职工薪酬列示</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10"/>
        <w:gridCol w:w="1702"/>
        <w:gridCol w:w="1843"/>
        <w:gridCol w:w="1702"/>
        <w:gridCol w:w="1914"/>
      </w:tblGrid>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8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5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8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59,163,566.75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283,994,168.24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290,469,234.69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52,688,500.30</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76"/>
                <w:sz w:val="18"/>
                <w:szCs w:val="18"/>
              </w:rPr>
              <w:t>、</w:t>
            </w:r>
            <w:r>
              <w:rPr>
                <w:rFonts w:ascii="宋体" w:hAnsi="宋体" w:cs="宋体" w:eastAsia="宋体" w:hint="default"/>
                <w:sz w:val="18"/>
                <w:szCs w:val="18"/>
              </w:rPr>
              <w:t>离职后福利</w:t>
            </w:r>
            <w:r>
              <w:rPr>
                <w:rFonts w:ascii="宋体" w:hAnsi="宋体" w:cs="宋体" w:eastAsia="宋体" w:hint="default"/>
                <w:sz w:val="18"/>
                <w:szCs w:val="18"/>
              </w:rPr>
              <w:t>-</w:t>
            </w:r>
            <w:r>
              <w:rPr>
                <w:rFonts w:ascii="宋体" w:hAnsi="宋体" w:cs="宋体" w:eastAsia="宋体" w:hint="default"/>
                <w:sz w:val="18"/>
                <w:szCs w:val="18"/>
              </w:rPr>
              <w:t>设定提存计划</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34,899.87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25,430,103.04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25,465,002.91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791,991.80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791,991.80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59,198,466.62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310,216,263.08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316,726,229.40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52,688,500.30</w:t>
            </w:r>
          </w:p>
        </w:tc>
      </w:tr>
    </w:tbl>
    <w:p>
      <w:pPr>
        <w:spacing w:after="0" w:line="240" w:lineRule="auto"/>
        <w:jc w:val="right"/>
        <w:rPr>
          <w:rFonts w:ascii="宋体" w:hAnsi="宋体" w:cs="宋体" w:eastAsia="宋体" w:hint="default"/>
          <w:sz w:val="18"/>
          <w:szCs w:val="18"/>
        </w:rPr>
        <w:sectPr>
          <w:pgSz w:w="11910" w:h="16840"/>
          <w:pgMar w:header="877" w:footer="1187" w:top="1100" w:bottom="1380" w:left="0" w:right="0"/>
        </w:sectPr>
      </w:pPr>
    </w:p>
    <w:p>
      <w:pPr>
        <w:spacing w:line="240" w:lineRule="auto" w:before="10"/>
        <w:rPr>
          <w:rFonts w:ascii="宋体" w:hAnsi="宋体" w:cs="宋体" w:eastAsia="宋体" w:hint="default"/>
          <w:sz w:val="20"/>
          <w:szCs w:val="20"/>
        </w:rPr>
      </w:pPr>
    </w:p>
    <w:p>
      <w:pPr>
        <w:pStyle w:val="Heading3"/>
        <w:spacing w:line="240" w:lineRule="auto" w:before="35"/>
        <w:ind w:left="1134" w:right="0"/>
        <w:jc w:val="left"/>
        <w:rPr>
          <w:b w:val="0"/>
          <w:bCs w:val="0"/>
        </w:rPr>
      </w:pPr>
      <w:bookmarkStart w:name="（2）短期薪酬列示" w:id="255"/>
      <w:bookmarkEnd w:id="255"/>
      <w:r>
        <w:rPr>
          <w:b w:val="0"/>
          <w:bCs w:val="0"/>
        </w:rPr>
      </w:r>
      <w:r>
        <w:rPr/>
        <w:t>（</w:t>
      </w:r>
      <w:r>
        <w:rPr>
          <w:rFonts w:ascii="宋体" w:hAnsi="宋体" w:cs="宋体" w:eastAsia="宋体" w:hint="default"/>
        </w:rPr>
        <w:t>2</w:t>
      </w:r>
      <w:r>
        <w:rPr/>
        <w:t>）短期薪酬列示</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410"/>
        <w:gridCol w:w="1702"/>
        <w:gridCol w:w="1843"/>
        <w:gridCol w:w="1702"/>
        <w:gridCol w:w="1914"/>
      </w:tblGrid>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8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5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8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、工资、奖金、津贴和补贴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54,360,925.74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252,602,358.81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257,326,183.23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49,637,101.32</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、职工福利费</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8,378,811.11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8,378,811.11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、社会保险费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8,802.55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10,686,386.82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10,695,189.37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8,802.55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9,306,680.52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9,315,483.07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23"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561,259.64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561,259.64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23"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818,446.66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818,446.66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、住房公积金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1,195,569.40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7,806,213.80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8,061,265.70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940,517.50</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、工会经费和职工教育经费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3,598,269.06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4,055,414.88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5,542,802.46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2,110,881.48</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z w:val="18"/>
                <w:szCs w:val="18"/>
              </w:rPr>
              <w:t>、其他</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464,982.82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464,982.82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59,163,566.75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283,994,168.24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290,469,234.69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52,688,500.30</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设定提存计划列示" w:id="256"/>
      <w:bookmarkEnd w:id="256"/>
      <w:r>
        <w:rPr>
          <w:b w:val="0"/>
          <w:bCs w:val="0"/>
        </w:rPr>
      </w:r>
      <w:r>
        <w:rPr/>
        <w:t>（</w:t>
      </w:r>
      <w:r>
        <w:rPr>
          <w:rFonts w:ascii="宋体" w:hAnsi="宋体" w:cs="宋体" w:eastAsia="宋体" w:hint="default"/>
        </w:rPr>
        <w:t>3</w:t>
      </w:r>
      <w:r>
        <w:rPr/>
        <w:t>）设定提存计划列示</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410"/>
        <w:gridCol w:w="1702"/>
        <w:gridCol w:w="1843"/>
        <w:gridCol w:w="1702"/>
        <w:gridCol w:w="1914"/>
      </w:tblGrid>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9"/>
              <w:jc w:val="right"/>
              <w:rPr>
                <w:rFonts w:ascii="宋体" w:hAnsi="宋体" w:cs="宋体" w:eastAsia="宋体" w:hint="default"/>
                <w:sz w:val="18"/>
                <w:szCs w:val="18"/>
              </w:rPr>
            </w:pPr>
            <w:r>
              <w:rPr>
                <w:rFonts w:ascii="宋体" w:hAnsi="宋体" w:cs="宋体" w:eastAsia="宋体" w:hint="default"/>
                <w:sz w:val="18"/>
                <w:szCs w:val="18"/>
              </w:rPr>
              <w:t>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8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5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8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、基本养老保险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31,240.65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23,748,179.40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23,779,420.05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、失业保险费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3,659.22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1,681,923.64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1,685,582.86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9"/>
              <w:jc w:val="right"/>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34,899.87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25,430,103.04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25,465,002.91</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3、应交税费" w:id="257"/>
      <w:bookmarkEnd w:id="257"/>
      <w:r>
        <w:rPr>
          <w:b w:val="0"/>
          <w:bCs w:val="0"/>
        </w:rPr>
      </w:r>
      <w:r>
        <w:rPr>
          <w:rFonts w:ascii="宋体" w:hAnsi="宋体" w:cs="宋体" w:eastAsia="宋体" w:hint="default"/>
        </w:rPr>
        <w:t>23</w:t>
      </w:r>
      <w:r>
        <w:rPr/>
        <w:t>、应交税费</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22,273,210.30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21,267,494.03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237,568.59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261,766.47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3,049,626.83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3,538,462.06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767,261.46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781,771.63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1,651,993.52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1,655,363.77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707,997.24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709,583.68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471,949.16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472,819.07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堤防维护费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262,873.68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112,240.73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112,240.73</w:t>
            </w:r>
          </w:p>
        </w:tc>
      </w:tr>
    </w:tbl>
    <w:p>
      <w:pPr>
        <w:spacing w:after="0" w:line="240" w:lineRule="auto"/>
        <w:jc w:val="right"/>
        <w:rPr>
          <w:rFonts w:ascii="宋体" w:hAnsi="宋体" w:cs="宋体" w:eastAsia="宋体" w:hint="default"/>
          <w:sz w:val="18"/>
          <w:szCs w:val="18"/>
        </w:rPr>
        <w:sectPr>
          <w:pgSz w:w="11910" w:h="16840"/>
          <w:pgMar w:header="877" w:footer="1187" w:top="1100" w:bottom="138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82,093.20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316,089.44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29,353,941.03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29,378,464.56</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4、应付利息" w:id="258"/>
      <w:bookmarkEnd w:id="258"/>
      <w:r>
        <w:rPr>
          <w:b w:val="0"/>
          <w:bCs w:val="0"/>
        </w:rPr>
      </w:r>
      <w:r>
        <w:rPr>
          <w:rFonts w:ascii="宋体" w:hAnsi="宋体" w:cs="宋体" w:eastAsia="宋体" w:hint="default"/>
        </w:rPr>
        <w:t>24</w:t>
      </w:r>
      <w:r>
        <w:rPr/>
        <w:t>、应付利息</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425,831.99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1,333,804.85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425,831.99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1,333,804.85</w:t>
            </w:r>
          </w:p>
        </w:tc>
      </w:tr>
    </w:tbl>
    <w:p>
      <w:pPr>
        <w:spacing w:line="240" w:lineRule="auto" w:before="4"/>
        <w:rPr>
          <w:rFonts w:ascii="宋体" w:hAnsi="宋体" w:cs="宋体" w:eastAsia="宋体" w:hint="default"/>
          <w:sz w:val="9"/>
          <w:szCs w:val="9"/>
        </w:rPr>
      </w:pPr>
    </w:p>
    <w:p>
      <w:pPr>
        <w:pStyle w:val="BodyText"/>
        <w:spacing w:line="240" w:lineRule="auto" w:before="44"/>
        <w:ind w:left="1494" w:right="0"/>
        <w:jc w:val="left"/>
      </w:pPr>
      <w:r>
        <w:rPr/>
        <w:t>报告期末，应付利息较期初减少</w:t>
      </w:r>
      <w:r>
        <w:rPr>
          <w:rFonts w:ascii="宋体" w:hAnsi="宋体" w:cs="宋体" w:eastAsia="宋体" w:hint="default"/>
        </w:rPr>
        <w:t>68.07%</w:t>
      </w:r>
      <w:r>
        <w:rPr/>
        <w:t>，主要由于公司短期借款减少。</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5、其他应付款" w:id="259"/>
      <w:bookmarkEnd w:id="259"/>
      <w:r>
        <w:rPr>
          <w:b w:val="0"/>
          <w:bCs w:val="0"/>
        </w:rPr>
      </w:r>
      <w:r>
        <w:rPr>
          <w:rFonts w:ascii="宋体" w:hAnsi="宋体" w:cs="宋体" w:eastAsia="宋体" w:hint="default"/>
        </w:rPr>
        <w:t>25</w:t>
      </w:r>
      <w:r>
        <w:rPr/>
        <w:t>、其他应付款</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bookmarkStart w:name="（1）按款项性质列示其他应付款" w:id="260"/>
      <w:bookmarkEnd w:id="260"/>
      <w:r>
        <w:rPr>
          <w:b w:val="0"/>
          <w:bCs w:val="0"/>
        </w:rPr>
      </w:r>
      <w:r>
        <w:rPr/>
        <w:t>（</w:t>
      </w:r>
      <w:r>
        <w:rPr>
          <w:rFonts w:ascii="宋体" w:hAnsi="宋体" w:cs="宋体" w:eastAsia="宋体" w:hint="default"/>
        </w:rPr>
        <w:t>1</w:t>
      </w:r>
      <w:r>
        <w:rPr/>
        <w:t>）按款项性质列示其他应付款</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个人往来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5,274,271.85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1,317,959.77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保证金和押金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247,600.00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103,000.00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关联方往来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318,455.20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263,751.30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其他往来单位</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10,216,332.80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5,692,740.87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10,103,614.34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6,378,833.46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1,266,158.15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3,758,253.22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27,426,432.34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17,514,538.62</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账龄超过1年的重要其他应付款" w:id="261"/>
      <w:bookmarkEnd w:id="261"/>
      <w:r>
        <w:rPr>
          <w:b w:val="0"/>
          <w:bCs w:val="0"/>
        </w:rPr>
      </w:r>
      <w:r>
        <w:rPr/>
        <w:t>（</w:t>
      </w:r>
      <w:r>
        <w:rPr>
          <w:rFonts w:ascii="宋体" w:hAnsi="宋体" w:cs="宋体" w:eastAsia="宋体" w:hint="default"/>
        </w:rPr>
        <w:t>2</w:t>
      </w:r>
      <w:r>
        <w:rPr/>
        <w:t>）账龄超过</w:t>
      </w:r>
      <w:r>
        <w:rPr>
          <w:spacing w:val="-55"/>
        </w:rPr>
        <w:t> </w:t>
      </w:r>
      <w:r>
        <w:rPr>
          <w:rFonts w:ascii="宋体" w:hAnsi="宋体" w:cs="宋体" w:eastAsia="宋体" w:hint="default"/>
        </w:rPr>
        <w:t>1</w:t>
      </w:r>
      <w:r>
        <w:rPr>
          <w:rFonts w:ascii="宋体" w:hAnsi="宋体" w:cs="宋体" w:eastAsia="宋体" w:hint="default"/>
          <w:spacing w:val="-56"/>
        </w:rPr>
        <w:t> </w:t>
      </w:r>
      <w:r>
        <w:rPr/>
        <w:t>年的重要其他应付款</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2,567,112.91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未达结算条件</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2,567,112.91</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9"/>
          <w:szCs w:val="9"/>
        </w:rPr>
      </w:pPr>
    </w:p>
    <w:p>
      <w:pPr>
        <w:pStyle w:val="BodyText"/>
        <w:spacing w:line="240" w:lineRule="auto" w:before="44"/>
        <w:ind w:left="1494" w:right="0"/>
        <w:jc w:val="left"/>
      </w:pPr>
      <w:r>
        <w:rPr/>
        <w:t>报告期末，其他应付款较期初增长</w:t>
      </w:r>
      <w:r>
        <w:rPr>
          <w:rFonts w:ascii="宋体" w:hAnsi="宋体" w:cs="宋体" w:eastAsia="宋体" w:hint="default"/>
        </w:rPr>
        <w:t>56.59%</w:t>
      </w:r>
      <w:r>
        <w:rPr/>
        <w:t>，主要由于归属于报告期但未达结算条件的费用增加。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6、一年内到期的非流动负债" w:id="262"/>
      <w:bookmarkEnd w:id="262"/>
      <w:r>
        <w:rPr>
          <w:b w:val="0"/>
          <w:bCs w:val="0"/>
        </w:rPr>
      </w:r>
      <w:r>
        <w:rPr>
          <w:rFonts w:ascii="宋体" w:hAnsi="宋体" w:cs="宋体" w:eastAsia="宋体" w:hint="default"/>
        </w:rPr>
        <w:t>26</w:t>
      </w:r>
      <w:r>
        <w:rPr/>
        <w:t>、一年内到期的非流动负债</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382,501.53</w:t>
            </w:r>
          </w:p>
        </w:tc>
      </w:tr>
    </w:tbl>
    <w:p>
      <w:pPr>
        <w:spacing w:after="0" w:line="240" w:lineRule="auto"/>
        <w:jc w:val="right"/>
        <w:rPr>
          <w:rFonts w:ascii="宋体" w:hAnsi="宋体" w:cs="宋体" w:eastAsia="宋体" w:hint="default"/>
          <w:sz w:val="18"/>
          <w:szCs w:val="18"/>
        </w:rPr>
        <w:sectPr>
          <w:pgSz w:w="11910" w:h="16840"/>
          <w:pgMar w:header="877" w:footer="1187" w:top="1100" w:bottom="138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382,501.53</w:t>
            </w:r>
          </w:p>
        </w:tc>
      </w:tr>
    </w:tbl>
    <w:p>
      <w:pPr>
        <w:spacing w:line="240" w:lineRule="auto" w:before="4"/>
        <w:rPr>
          <w:rFonts w:ascii="宋体" w:hAnsi="宋体" w:cs="宋体" w:eastAsia="宋体" w:hint="default"/>
          <w:sz w:val="9"/>
          <w:szCs w:val="9"/>
        </w:rPr>
      </w:pPr>
    </w:p>
    <w:p>
      <w:pPr>
        <w:pStyle w:val="BodyText"/>
        <w:spacing w:line="240" w:lineRule="auto" w:before="44"/>
        <w:ind w:left="1494" w:right="0"/>
        <w:jc w:val="left"/>
      </w:pPr>
      <w:r>
        <w:rPr/>
        <w:t>报告期末，一年内到期的非流动负债较期初减少</w:t>
      </w:r>
      <w:r>
        <w:rPr>
          <w:rFonts w:ascii="宋体" w:hAnsi="宋体" w:cs="宋体" w:eastAsia="宋体" w:hint="default"/>
        </w:rPr>
        <w:t>100%</w:t>
      </w:r>
      <w:r>
        <w:rPr/>
        <w:t>，主要由于按合同履约支付了融资租赁款。</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7、递延收益" w:id="263"/>
      <w:bookmarkEnd w:id="263"/>
      <w:r>
        <w:rPr>
          <w:b w:val="0"/>
          <w:bCs w:val="0"/>
        </w:rPr>
      </w:r>
      <w:r>
        <w:rPr>
          <w:rFonts w:ascii="宋体" w:hAnsi="宋体" w:cs="宋体" w:eastAsia="宋体" w:hint="default"/>
        </w:rPr>
        <w:t>27</w:t>
      </w:r>
      <w:r>
        <w:rPr/>
        <w:t>、递延收益</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72"/>
        <w:gridCol w:w="1606"/>
        <w:gridCol w:w="1559"/>
        <w:gridCol w:w="1560"/>
        <w:gridCol w:w="1559"/>
        <w:gridCol w:w="1912"/>
      </w:tblGrid>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99"/>
              <w:jc w:val="right"/>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03" w:right="0"/>
              <w:jc w:val="left"/>
              <w:rPr>
                <w:rFonts w:ascii="宋体" w:hAnsi="宋体" w:cs="宋体" w:eastAsia="宋体" w:hint="default"/>
                <w:sz w:val="18"/>
                <w:szCs w:val="18"/>
              </w:rPr>
            </w:pPr>
            <w:r>
              <w:rPr>
                <w:rFonts w:ascii="宋体"/>
                <w:sz w:val="18"/>
              </w:rPr>
              <w:t>19,710,000.00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5" w:right="0"/>
              <w:jc w:val="left"/>
              <w:rPr>
                <w:rFonts w:ascii="宋体" w:hAnsi="宋体" w:cs="宋体" w:eastAsia="宋体" w:hint="default"/>
                <w:sz w:val="18"/>
                <w:szCs w:val="18"/>
              </w:rPr>
            </w:pPr>
            <w:r>
              <w:rPr>
                <w:rFonts w:ascii="宋体"/>
                <w:sz w:val="18"/>
              </w:rPr>
              <w:t>3,300,000.00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6" w:right="0"/>
              <w:jc w:val="left"/>
              <w:rPr>
                <w:rFonts w:ascii="宋体" w:hAnsi="宋体" w:cs="宋体" w:eastAsia="宋体" w:hint="default"/>
                <w:sz w:val="18"/>
                <w:szCs w:val="18"/>
              </w:rPr>
            </w:pPr>
            <w:r>
              <w:rPr>
                <w:rFonts w:ascii="宋体"/>
                <w:sz w:val="18"/>
              </w:rPr>
              <w:t>3,890,000.00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19,120,000.00</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与收益相关政府补助</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99"/>
              <w:jc w:val="right"/>
              <w:rPr>
                <w:rFonts w:ascii="宋体" w:hAnsi="宋体" w:cs="宋体" w:eastAsia="宋体" w:hint="default"/>
                <w:sz w:val="18"/>
                <w:szCs w:val="18"/>
              </w:rPr>
            </w:pPr>
            <w:r>
              <w:rPr>
                <w:rFonts w:ascii="宋体" w:hAnsi="宋体" w:cs="宋体" w:eastAsia="宋体" w:hint="default"/>
                <w:sz w:val="18"/>
                <w:szCs w:val="18"/>
              </w:rPr>
              <w:t>合计</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03" w:right="0"/>
              <w:jc w:val="left"/>
              <w:rPr>
                <w:rFonts w:ascii="宋体" w:hAnsi="宋体" w:cs="宋体" w:eastAsia="宋体" w:hint="default"/>
                <w:sz w:val="18"/>
                <w:szCs w:val="18"/>
              </w:rPr>
            </w:pPr>
            <w:r>
              <w:rPr>
                <w:rFonts w:ascii="宋体"/>
                <w:sz w:val="18"/>
              </w:rPr>
              <w:t>19,710,000.00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5" w:right="0"/>
              <w:jc w:val="left"/>
              <w:rPr>
                <w:rFonts w:ascii="宋体" w:hAnsi="宋体" w:cs="宋体" w:eastAsia="宋体" w:hint="default"/>
                <w:sz w:val="18"/>
                <w:szCs w:val="18"/>
              </w:rPr>
            </w:pPr>
            <w:r>
              <w:rPr>
                <w:rFonts w:ascii="宋体"/>
                <w:sz w:val="18"/>
              </w:rPr>
              <w:t>3,300,000.00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6" w:right="0"/>
              <w:jc w:val="left"/>
              <w:rPr>
                <w:rFonts w:ascii="宋体" w:hAnsi="宋体" w:cs="宋体" w:eastAsia="宋体" w:hint="default"/>
                <w:sz w:val="18"/>
                <w:szCs w:val="18"/>
              </w:rPr>
            </w:pPr>
            <w:r>
              <w:rPr>
                <w:rFonts w:ascii="宋体"/>
                <w:sz w:val="18"/>
              </w:rPr>
              <w:t>3,890,000.00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19,120,000.00</w:t>
            </w:r>
          </w:p>
        </w:tc>
        <w:tc>
          <w:tcPr>
            <w:tcW w:w="191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6"/>
          <w:szCs w:val="6"/>
        </w:rPr>
      </w:pPr>
    </w:p>
    <w:p>
      <w:pPr>
        <w:pStyle w:val="BodyText"/>
        <w:spacing w:line="240" w:lineRule="auto" w:before="44"/>
        <w:ind w:left="1134" w:right="0"/>
        <w:jc w:val="left"/>
      </w:pPr>
      <w:r>
        <w:rPr/>
        <w:t>涉及政府补助的项目：</w:t>
      </w:r>
    </w:p>
    <w:p>
      <w:pPr>
        <w:pStyle w:val="BodyText"/>
        <w:spacing w:line="240" w:lineRule="auto" w:before="116"/>
        <w:ind w:left="0" w:right="131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17" w:right="91" w:hanging="225"/>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w:t>
            </w:r>
            <w:r>
              <w:rPr>
                <w:rFonts w:ascii="宋体" w:hAnsi="宋体" w:cs="宋体" w:eastAsia="宋体" w:hint="default"/>
                <w:sz w:val="18"/>
                <w:szCs w:val="18"/>
              </w:rPr>
              <w:t>与 收益相关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教育云基础支撑 平台研发项目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9,680,000.00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1,210,000.00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10,890,000.00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面向移动互联网 的个人金融终端 产品研发与产业 化项目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4,500,000.00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4,500,000.00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基于可信计算的 安全芯片及操作 系统研究和产业 化项目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1,500,000.00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1,500,000.00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基于教育云的电 子书包及在线教 育平台项目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630,000.00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630,000.00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湖北省智能卡工 程技术研究中心 平台项目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500,000.00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500,000.00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基于大数据的数 字教育云平台及 数字内容库建设 与示范项目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900,000.00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900,000.00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金融支付服务平 台项目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基于移动互联网 的信息服务创新 平台建设与应用</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z w:val="18"/>
              </w:rPr>
              <w:t>1,600,000.00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1,120,000.00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480,000.00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1"/>
              <w:jc w:val="center"/>
              <w:rPr>
                <w:rFonts w:ascii="宋体" w:hAnsi="宋体" w:cs="宋体" w:eastAsia="宋体" w:hint="default"/>
                <w:sz w:val="18"/>
                <w:szCs w:val="18"/>
              </w:rPr>
            </w:pPr>
            <w:r>
              <w:rPr>
                <w:rFonts w:ascii="宋体" w:hAnsi="宋体" w:cs="宋体" w:eastAsia="宋体" w:hint="default"/>
                <w:sz w:val="18"/>
                <w:szCs w:val="18"/>
              </w:rPr>
              <w:t>无线城市移动文</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490,000.00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1187" w:top="1100" w:bottom="138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67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2"/>
              <w:jc w:val="left"/>
              <w:rPr>
                <w:rFonts w:ascii="宋体" w:hAnsi="宋体" w:cs="宋体" w:eastAsia="宋体" w:hint="default"/>
                <w:sz w:val="18"/>
                <w:szCs w:val="18"/>
              </w:rPr>
            </w:pPr>
            <w:r>
              <w:rPr>
                <w:rFonts w:ascii="宋体" w:hAnsi="宋体" w:cs="宋体" w:eastAsia="宋体" w:hint="default"/>
                <w:sz w:val="18"/>
                <w:szCs w:val="18"/>
              </w:rPr>
              <w:t>化生活综合服务 系统与应用示范</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5" w:right="0"/>
              <w:jc w:val="left"/>
              <w:rPr>
                <w:rFonts w:ascii="宋体" w:hAnsi="宋体" w:cs="宋体" w:eastAsia="宋体" w:hint="default"/>
                <w:sz w:val="18"/>
                <w:szCs w:val="18"/>
              </w:rPr>
            </w:pPr>
            <w:r>
              <w:rPr>
                <w:rFonts w:ascii="宋体"/>
                <w:sz w:val="18"/>
              </w:rPr>
              <w:t>19,710,000.00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4" w:right="0"/>
              <w:jc w:val="left"/>
              <w:rPr>
                <w:rFonts w:ascii="宋体" w:hAnsi="宋体" w:cs="宋体" w:eastAsia="宋体" w:hint="default"/>
                <w:sz w:val="18"/>
                <w:szCs w:val="18"/>
              </w:rPr>
            </w:pPr>
            <w:r>
              <w:rPr>
                <w:rFonts w:ascii="宋体"/>
                <w:sz w:val="18"/>
              </w:rPr>
              <w:t>3,300,000.00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4" w:right="0"/>
              <w:jc w:val="left"/>
              <w:rPr>
                <w:rFonts w:ascii="宋体" w:hAnsi="宋体" w:cs="宋体" w:eastAsia="宋体" w:hint="default"/>
                <w:sz w:val="18"/>
                <w:szCs w:val="18"/>
              </w:rPr>
            </w:pPr>
            <w:r>
              <w:rPr>
                <w:rFonts w:ascii="宋体"/>
                <w:sz w:val="18"/>
              </w:rPr>
              <w:t>3,120,000.00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5" w:right="0"/>
              <w:jc w:val="left"/>
              <w:rPr>
                <w:rFonts w:ascii="宋体" w:hAnsi="宋体" w:cs="宋体" w:eastAsia="宋体" w:hint="default"/>
                <w:sz w:val="18"/>
                <w:szCs w:val="18"/>
              </w:rPr>
            </w:pPr>
            <w:r>
              <w:rPr>
                <w:rFonts w:ascii="宋体"/>
                <w:sz w:val="18"/>
              </w:rPr>
              <w:t>770,000.00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4" w:right="0"/>
              <w:jc w:val="left"/>
              <w:rPr>
                <w:rFonts w:ascii="宋体" w:hAnsi="宋体" w:cs="宋体" w:eastAsia="宋体" w:hint="default"/>
                <w:sz w:val="18"/>
                <w:szCs w:val="18"/>
              </w:rPr>
            </w:pPr>
            <w:r>
              <w:rPr>
                <w:rFonts w:ascii="宋体"/>
                <w:sz w:val="18"/>
              </w:rPr>
              <w:t>19,120,000.00</w:t>
            </w: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28、股本" w:id="264"/>
      <w:bookmarkEnd w:id="264"/>
      <w:r>
        <w:rPr>
          <w:b w:val="0"/>
          <w:bCs w:val="0"/>
        </w:rPr>
      </w:r>
      <w:r>
        <w:rPr>
          <w:rFonts w:ascii="宋体" w:hAnsi="宋体" w:cs="宋体" w:eastAsia="宋体" w:hint="default"/>
        </w:rPr>
        <w:t>28</w:t>
      </w:r>
      <w:r>
        <w:rPr/>
        <w:t>、股本</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49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196"/>
        <w:gridCol w:w="1357"/>
        <w:gridCol w:w="1036"/>
        <w:gridCol w:w="1197"/>
        <w:gridCol w:w="1195"/>
        <w:gridCol w:w="1197"/>
        <w:gridCol w:w="1046"/>
        <w:gridCol w:w="1345"/>
      </w:tblGrid>
      <w:tr>
        <w:trPr>
          <w:trHeight w:val="402" w:hRule="exact"/>
        </w:trPr>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57"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67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884"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宋体" w:hAnsi="宋体" w:cs="宋体" w:eastAsia="宋体" w:hint="default"/>
                <w:sz w:val="18"/>
                <w:szCs w:val="18"/>
              </w:rPr>
              <w:t>+</w:t>
            </w:r>
            <w:r>
              <w:rPr>
                <w:rFonts w:ascii="宋体" w:hAnsi="宋体" w:cs="宋体" w:eastAsia="宋体" w:hint="default"/>
                <w:sz w:val="18"/>
                <w:szCs w:val="18"/>
              </w:rPr>
              <w:t>、—）</w:t>
            </w:r>
          </w:p>
        </w:tc>
        <w:tc>
          <w:tcPr>
            <w:tcW w:w="1345"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196" w:type="dxa"/>
            <w:vMerge/>
            <w:tcBorders>
              <w:left w:val="single" w:sz="4" w:space="0" w:color="000000"/>
              <w:bottom w:val="single" w:sz="4" w:space="0" w:color="000000"/>
              <w:right w:val="single" w:sz="4" w:space="0" w:color="000000"/>
            </w:tcBorders>
          </w:tcPr>
          <w:p>
            <w:pPr/>
          </w:p>
        </w:tc>
        <w:tc>
          <w:tcPr>
            <w:tcW w:w="1357" w:type="dxa"/>
            <w:vMerge/>
            <w:tcBorders>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5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3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45" w:type="dxa"/>
            <w:vMerge/>
            <w:tcBorders>
              <w:left w:val="single" w:sz="4" w:space="0" w:color="000000"/>
              <w:bottom w:val="single" w:sz="4" w:space="0" w:color="000000"/>
              <w:right w:val="single" w:sz="4" w:space="0" w:color="000000"/>
            </w:tcBorders>
          </w:tcPr>
          <w:p>
            <w:pP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3" w:right="0"/>
              <w:jc w:val="left"/>
              <w:rPr>
                <w:rFonts w:ascii="宋体" w:hAnsi="宋体" w:cs="宋体" w:eastAsia="宋体" w:hint="default"/>
                <w:sz w:val="18"/>
                <w:szCs w:val="18"/>
              </w:rPr>
            </w:pPr>
            <w:r>
              <w:rPr>
                <w:rFonts w:ascii="宋体"/>
                <w:sz w:val="18"/>
              </w:rPr>
              <w:t>430,056,000.00</w:t>
            </w:r>
          </w:p>
        </w:tc>
        <w:tc>
          <w:tcPr>
            <w:tcW w:w="103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2" w:right="0"/>
              <w:jc w:val="left"/>
              <w:rPr>
                <w:rFonts w:ascii="宋体" w:hAnsi="宋体" w:cs="宋体" w:eastAsia="宋体" w:hint="default"/>
                <w:sz w:val="18"/>
                <w:szCs w:val="18"/>
              </w:rPr>
            </w:pPr>
            <w:r>
              <w:rPr>
                <w:rFonts w:ascii="宋体"/>
                <w:sz w:val="18"/>
              </w:rPr>
              <w:t>430,056,000.00</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9、资本公积" w:id="265"/>
      <w:bookmarkEnd w:id="265"/>
      <w:r>
        <w:rPr>
          <w:b w:val="0"/>
          <w:bCs w:val="0"/>
        </w:rPr>
      </w:r>
      <w:r>
        <w:rPr>
          <w:rFonts w:ascii="宋体" w:hAnsi="宋体" w:cs="宋体" w:eastAsia="宋体" w:hint="default"/>
        </w:rPr>
        <w:t>29</w:t>
      </w:r>
      <w:r>
        <w:rPr/>
        <w:t>、资本公积</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400,382,127.46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400,382,127.46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73,996.84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15,231,115.18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15,305,112.02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400,456,124.30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15,231,115.18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415,687,239.48</w:t>
            </w:r>
          </w:p>
        </w:tc>
      </w:tr>
    </w:tbl>
    <w:p>
      <w:pPr>
        <w:spacing w:line="240" w:lineRule="auto" w:before="4"/>
        <w:rPr>
          <w:rFonts w:ascii="宋体" w:hAnsi="宋体" w:cs="宋体" w:eastAsia="宋体" w:hint="default"/>
          <w:sz w:val="9"/>
          <w:szCs w:val="9"/>
        </w:rPr>
      </w:pPr>
    </w:p>
    <w:p>
      <w:pPr>
        <w:pStyle w:val="BodyText"/>
        <w:spacing w:line="240" w:lineRule="auto" w:before="44"/>
        <w:ind w:left="0" w:right="1229"/>
        <w:jc w:val="right"/>
      </w:pPr>
      <w:r>
        <w:rPr/>
        <w:t>报告期内，子公司天喻通讯和湖北百旺实施员工股权激励计划，员工以现金方式增资，增加资本公积</w:t>
      </w:r>
      <w:r>
        <w:rPr>
          <w:rFonts w:ascii="宋体" w:hAnsi="宋体" w:cs="宋体" w:eastAsia="宋体" w:hint="default"/>
        </w:rPr>
        <w:t>1,523.11</w:t>
      </w:r>
      <w:r>
        <w:rPr/>
        <w:t>万元。</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0、其他综合收益" w:id="266"/>
      <w:bookmarkEnd w:id="266"/>
      <w:r>
        <w:rPr>
          <w:b w:val="0"/>
          <w:bCs w:val="0"/>
        </w:rPr>
      </w:r>
      <w:r>
        <w:rPr>
          <w:rFonts w:ascii="宋体" w:hAnsi="宋体" w:cs="宋体" w:eastAsia="宋体" w:hint="default"/>
        </w:rPr>
        <w:t>30</w:t>
      </w:r>
      <w:r>
        <w:rPr/>
        <w:t>、其他综合收益</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85"/>
        <w:gridCol w:w="1235"/>
        <w:gridCol w:w="1176"/>
        <w:gridCol w:w="1008"/>
        <w:gridCol w:w="966"/>
        <w:gridCol w:w="1008"/>
        <w:gridCol w:w="994"/>
        <w:gridCol w:w="1196"/>
      </w:tblGrid>
      <w:tr>
        <w:trPr>
          <w:trHeight w:val="402" w:hRule="exact"/>
        </w:trPr>
        <w:tc>
          <w:tcPr>
            <w:tcW w:w="19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15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338" w:hRule="exact"/>
        </w:trPr>
        <w:tc>
          <w:tcPr>
            <w:tcW w:w="1985" w:type="dxa"/>
            <w:vMerge/>
            <w:tcBorders>
              <w:left w:val="single" w:sz="4" w:space="0" w:color="000000"/>
              <w:bottom w:val="single" w:sz="4" w:space="0" w:color="000000"/>
              <w:right w:val="single" w:sz="4" w:space="0" w:color="000000"/>
            </w:tcBorders>
          </w:tcPr>
          <w:p>
            <w:pPr/>
          </w:p>
        </w:tc>
        <w:tc>
          <w:tcPr>
            <w:tcW w:w="1235" w:type="dxa"/>
            <w:vMerge/>
            <w:tcBorders>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13" w:right="41" w:hanging="270"/>
              <w:jc w:val="left"/>
              <w:rPr>
                <w:rFonts w:ascii="宋体" w:hAnsi="宋体" w:cs="宋体" w:eastAsia="宋体" w:hint="default"/>
                <w:sz w:val="18"/>
                <w:szCs w:val="18"/>
              </w:rPr>
            </w:pPr>
            <w:r>
              <w:rPr>
                <w:rFonts w:ascii="宋体" w:hAnsi="宋体" w:cs="宋体" w:eastAsia="宋体" w:hint="default"/>
                <w:sz w:val="18"/>
                <w:szCs w:val="18"/>
              </w:rPr>
              <w:t>本期所得税前 发生额</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49" w:right="47"/>
              <w:jc w:val="center"/>
              <w:rPr>
                <w:rFonts w:ascii="宋体" w:hAnsi="宋体" w:cs="宋体" w:eastAsia="宋体" w:hint="default"/>
                <w:sz w:val="18"/>
                <w:szCs w:val="18"/>
              </w:rPr>
            </w:pPr>
            <w:r>
              <w:rPr>
                <w:rFonts w:ascii="宋体" w:hAnsi="宋体" w:cs="宋体" w:eastAsia="宋体" w:hint="default"/>
                <w:sz w:val="18"/>
                <w:szCs w:val="18"/>
              </w:rPr>
              <w:t>减：前期计 入其他综合 收益当期转 入损益</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97" w:right="26" w:hanging="270"/>
              <w:jc w:val="left"/>
              <w:rPr>
                <w:rFonts w:ascii="宋体" w:hAnsi="宋体" w:cs="宋体" w:eastAsia="宋体" w:hint="default"/>
                <w:sz w:val="18"/>
                <w:szCs w:val="18"/>
              </w:rPr>
            </w:pPr>
            <w:r>
              <w:rPr>
                <w:rFonts w:ascii="宋体" w:hAnsi="宋体" w:cs="宋体" w:eastAsia="宋体" w:hint="default"/>
                <w:sz w:val="18"/>
                <w:szCs w:val="18"/>
              </w:rPr>
              <w:t>减：所得税 费用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7" w:right="48" w:hanging="180"/>
              <w:jc w:val="left"/>
              <w:rPr>
                <w:rFonts w:ascii="宋体" w:hAnsi="宋体" w:cs="宋体" w:eastAsia="宋体" w:hint="default"/>
                <w:sz w:val="18"/>
                <w:szCs w:val="18"/>
              </w:rPr>
            </w:pPr>
            <w:r>
              <w:rPr>
                <w:rFonts w:ascii="宋体" w:hAnsi="宋体" w:cs="宋体" w:eastAsia="宋体" w:hint="default"/>
                <w:sz w:val="18"/>
                <w:szCs w:val="18"/>
              </w:rPr>
              <w:t>税后归属于 母公司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32" w:right="41" w:hanging="90"/>
              <w:jc w:val="left"/>
              <w:rPr>
                <w:rFonts w:ascii="宋体" w:hAnsi="宋体" w:cs="宋体" w:eastAsia="宋体" w:hint="default"/>
                <w:sz w:val="18"/>
                <w:szCs w:val="18"/>
              </w:rPr>
            </w:pPr>
            <w:r>
              <w:rPr>
                <w:rFonts w:ascii="宋体" w:hAnsi="宋体" w:cs="宋体" w:eastAsia="宋体" w:hint="default"/>
                <w:sz w:val="18"/>
                <w:szCs w:val="18"/>
              </w:rPr>
              <w:t>税后归属于 少数股东</w:t>
            </w:r>
          </w:p>
        </w:tc>
        <w:tc>
          <w:tcPr>
            <w:tcW w:w="1196" w:type="dxa"/>
            <w:vMerge/>
            <w:tcBorders>
              <w:left w:val="single" w:sz="4" w:space="0" w:color="000000"/>
              <w:bottom w:val="single" w:sz="4" w:space="0" w:color="000000"/>
              <w:right w:val="single" w:sz="4" w:space="0" w:color="000000"/>
            </w:tcBorders>
          </w:tcPr>
          <w:p>
            <w:pP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以后将重分类进损益的 其他综合收益</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4,265,776.00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1,084,320.00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sz w:val="18"/>
              </w:rPr>
              <w:t>162,648.00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921,672.00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1" w:right="0"/>
              <w:jc w:val="center"/>
              <w:rPr>
                <w:rFonts w:ascii="宋体" w:hAnsi="宋体" w:cs="宋体" w:eastAsia="宋体" w:hint="default"/>
                <w:sz w:val="18"/>
                <w:szCs w:val="18"/>
              </w:rPr>
            </w:pPr>
            <w:r>
              <w:rPr>
                <w:rFonts w:ascii="宋体"/>
                <w:sz w:val="18"/>
              </w:rPr>
              <w:t>5,187,448.00</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0" w:firstLine="540"/>
              <w:jc w:val="left"/>
              <w:rPr>
                <w:rFonts w:ascii="宋体" w:hAnsi="宋体" w:cs="宋体" w:eastAsia="宋体" w:hint="default"/>
                <w:sz w:val="18"/>
                <w:szCs w:val="18"/>
              </w:rPr>
            </w:pPr>
            <w:r>
              <w:rPr>
                <w:rFonts w:ascii="宋体" w:hAnsi="宋体" w:cs="宋体" w:eastAsia="宋体" w:hint="default"/>
                <w:sz w:val="18"/>
                <w:szCs w:val="18"/>
              </w:rPr>
              <w:t>可供出售金融资 产公允价值变动损益</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4,265,776.00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1,084,320.00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sz w:val="18"/>
              </w:rPr>
              <w:t>162,648.00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921,672.00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1" w:right="0"/>
              <w:jc w:val="center"/>
              <w:rPr>
                <w:rFonts w:ascii="宋体" w:hAnsi="宋体" w:cs="宋体" w:eastAsia="宋体" w:hint="default"/>
                <w:sz w:val="18"/>
                <w:szCs w:val="18"/>
              </w:rPr>
            </w:pPr>
            <w:r>
              <w:rPr>
                <w:rFonts w:ascii="宋体"/>
                <w:sz w:val="18"/>
              </w:rPr>
              <w:t>5,187,448.00</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4,265,776.00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1,084,320.00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 w:right="0"/>
              <w:jc w:val="left"/>
              <w:rPr>
                <w:rFonts w:ascii="宋体" w:hAnsi="宋体" w:cs="宋体" w:eastAsia="宋体" w:hint="default"/>
                <w:sz w:val="18"/>
                <w:szCs w:val="18"/>
              </w:rPr>
            </w:pPr>
            <w:r>
              <w:rPr>
                <w:rFonts w:ascii="宋体"/>
                <w:sz w:val="18"/>
              </w:rPr>
              <w:t>162,648.00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921,672.00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1" w:right="0"/>
              <w:jc w:val="center"/>
              <w:rPr>
                <w:rFonts w:ascii="宋体" w:hAnsi="宋体" w:cs="宋体" w:eastAsia="宋体" w:hint="default"/>
                <w:sz w:val="18"/>
                <w:szCs w:val="18"/>
              </w:rPr>
            </w:pPr>
            <w:r>
              <w:rPr>
                <w:rFonts w:ascii="宋体"/>
                <w:sz w:val="18"/>
              </w:rPr>
              <w:t>5,187,448.00</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1、盈余公积" w:id="267"/>
      <w:bookmarkEnd w:id="267"/>
      <w:r>
        <w:rPr>
          <w:b w:val="0"/>
          <w:bCs w:val="0"/>
        </w:rPr>
      </w:r>
      <w:r>
        <w:rPr>
          <w:rFonts w:ascii="宋体" w:hAnsi="宋体" w:cs="宋体" w:eastAsia="宋体" w:hint="default"/>
        </w:rPr>
        <w:t>31</w:t>
      </w:r>
      <w:r>
        <w:rPr/>
        <w:t>、盈余公积</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69"/>
              <w:jc w:val="right"/>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97"/>
              <w:jc w:val="right"/>
              <w:rPr>
                <w:rFonts w:ascii="宋体" w:hAnsi="宋体" w:cs="宋体" w:eastAsia="宋体" w:hint="default"/>
                <w:sz w:val="18"/>
                <w:szCs w:val="18"/>
              </w:rPr>
            </w:pPr>
            <w:r>
              <w:rPr>
                <w:rFonts w:ascii="宋体" w:hAnsi="宋体" w:cs="宋体" w:eastAsia="宋体" w:hint="default"/>
                <w:sz w:val="18"/>
                <w:szCs w:val="18"/>
              </w:rPr>
              <w:t>法定盈余公积</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13" w:right="0"/>
              <w:jc w:val="left"/>
              <w:rPr>
                <w:rFonts w:ascii="宋体" w:hAnsi="宋体" w:cs="宋体" w:eastAsia="宋体" w:hint="default"/>
                <w:sz w:val="18"/>
                <w:szCs w:val="18"/>
              </w:rPr>
            </w:pPr>
            <w:r>
              <w:rPr>
                <w:rFonts w:ascii="宋体"/>
                <w:sz w:val="18"/>
              </w:rPr>
              <w:t>42,135,156.40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0" w:right="0"/>
              <w:jc w:val="left"/>
              <w:rPr>
                <w:rFonts w:ascii="宋体" w:hAnsi="宋体" w:cs="宋体" w:eastAsia="宋体" w:hint="default"/>
                <w:sz w:val="18"/>
                <w:szCs w:val="18"/>
              </w:rPr>
            </w:pPr>
            <w:r>
              <w:rPr>
                <w:rFonts w:ascii="宋体"/>
                <w:sz w:val="18"/>
              </w:rPr>
              <w:t>5,907,882.31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10" w:right="0"/>
              <w:jc w:val="left"/>
              <w:rPr>
                <w:rFonts w:ascii="宋体" w:hAnsi="宋体" w:cs="宋体" w:eastAsia="宋体" w:hint="default"/>
                <w:sz w:val="18"/>
                <w:szCs w:val="18"/>
              </w:rPr>
            </w:pPr>
            <w:r>
              <w:rPr>
                <w:rFonts w:ascii="宋体"/>
                <w:sz w:val="18"/>
              </w:rPr>
              <w:t>48,043,038.71</w:t>
            </w:r>
          </w:p>
        </w:tc>
      </w:tr>
    </w:tbl>
    <w:p>
      <w:pPr>
        <w:spacing w:after="0" w:line="240" w:lineRule="auto"/>
        <w:jc w:val="left"/>
        <w:rPr>
          <w:rFonts w:ascii="宋体" w:hAnsi="宋体" w:cs="宋体" w:eastAsia="宋体" w:hint="default"/>
          <w:sz w:val="18"/>
          <w:szCs w:val="18"/>
        </w:rPr>
        <w:sectPr>
          <w:pgSz w:w="11910" w:h="16840"/>
          <w:pgMar w:header="877" w:footer="1187" w:top="1100" w:bottom="138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13" w:right="0"/>
              <w:jc w:val="left"/>
              <w:rPr>
                <w:rFonts w:ascii="宋体" w:hAnsi="宋体" w:cs="宋体" w:eastAsia="宋体" w:hint="default"/>
                <w:sz w:val="18"/>
                <w:szCs w:val="18"/>
              </w:rPr>
            </w:pPr>
            <w:r>
              <w:rPr>
                <w:rFonts w:ascii="宋体"/>
                <w:sz w:val="18"/>
              </w:rPr>
              <w:t>42,135,156.40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0" w:right="0"/>
              <w:jc w:val="left"/>
              <w:rPr>
                <w:rFonts w:ascii="宋体" w:hAnsi="宋体" w:cs="宋体" w:eastAsia="宋体" w:hint="default"/>
                <w:sz w:val="18"/>
                <w:szCs w:val="18"/>
              </w:rPr>
            </w:pPr>
            <w:r>
              <w:rPr>
                <w:rFonts w:ascii="宋体"/>
                <w:sz w:val="18"/>
              </w:rPr>
              <w:t>5,907,882.31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10" w:right="0"/>
              <w:jc w:val="left"/>
              <w:rPr>
                <w:rFonts w:ascii="宋体" w:hAnsi="宋体" w:cs="宋体" w:eastAsia="宋体" w:hint="default"/>
                <w:sz w:val="18"/>
                <w:szCs w:val="18"/>
              </w:rPr>
            </w:pPr>
            <w:r>
              <w:rPr>
                <w:rFonts w:ascii="宋体"/>
                <w:sz w:val="18"/>
              </w:rPr>
              <w:t>48,043,038.71</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2、未分配利润" w:id="268"/>
      <w:bookmarkEnd w:id="268"/>
      <w:r>
        <w:rPr>
          <w:b w:val="0"/>
          <w:bCs w:val="0"/>
        </w:rPr>
      </w:r>
      <w:r>
        <w:rPr>
          <w:rFonts w:ascii="宋体" w:hAnsi="宋体" w:cs="宋体" w:eastAsia="宋体" w:hint="default"/>
        </w:rPr>
        <w:t>32</w:t>
      </w:r>
      <w:r>
        <w:rPr/>
        <w:t>、未分配利润</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725"/>
        <w:gridCol w:w="2925"/>
        <w:gridCol w:w="2919"/>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233,075,147.80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201,586,890.67</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233,075,147.80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201,586,890.67</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6,994,961.07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58,620,962.31</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5,907,882.31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5,629,905.18</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21,502,800.00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21,502,800.00</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212,659,426.56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233,075,147.80</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3、营业收入和营业成本" w:id="269"/>
      <w:bookmarkEnd w:id="269"/>
      <w:r>
        <w:rPr>
          <w:b w:val="0"/>
          <w:bCs w:val="0"/>
        </w:rPr>
      </w:r>
      <w:r>
        <w:rPr>
          <w:rFonts w:ascii="宋体" w:hAnsi="宋体" w:cs="宋体" w:eastAsia="宋体" w:hint="default"/>
        </w:rPr>
        <w:t>33</w:t>
      </w:r>
      <w:r>
        <w:rPr/>
        <w:t>、营业收入和营业成本</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12" w:type="dxa"/>
            <w:vMerge/>
            <w:tcBorders>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1,479,015,628.44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1,030,379,831.82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1,351,384,964.18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871,382,584.85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4,280,374.77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545.90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3,301,553.20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20,814.30</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1,483,296,003.21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1,030,380,377.72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1,354,686,517.38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871,403,399.15</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4、营业税金及附加" w:id="270"/>
      <w:bookmarkEnd w:id="270"/>
      <w:r>
        <w:rPr>
          <w:b w:val="0"/>
          <w:bCs w:val="0"/>
        </w:rPr>
      </w:r>
      <w:r>
        <w:rPr>
          <w:rFonts w:ascii="宋体" w:hAnsi="宋体" w:cs="宋体" w:eastAsia="宋体" w:hint="default"/>
        </w:rPr>
        <w:t>34</w:t>
      </w:r>
      <w:r>
        <w:rPr/>
        <w:t>、营业税金及附加</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194,753.98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143,427.02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5,785,416.33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4,914,729.25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2,479,464.16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2,106,312.50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1,652,976.10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1,404,208.36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堤防维护费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59,115.04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1,010,063.99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10,171,725.61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9,578,741.12</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5、销售费用" w:id="271"/>
      <w:bookmarkEnd w:id="271"/>
      <w:r>
        <w:rPr>
          <w:b w:val="0"/>
          <w:bCs w:val="0"/>
        </w:rPr>
      </w:r>
      <w:r>
        <w:rPr>
          <w:rFonts w:ascii="宋体" w:hAnsi="宋体" w:cs="宋体" w:eastAsia="宋体" w:hint="default"/>
        </w:rPr>
        <w:t>35</w:t>
      </w:r>
      <w:r>
        <w:rPr/>
        <w:t>、销售费用</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薪酬福利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87" w:right="0"/>
              <w:jc w:val="left"/>
              <w:rPr>
                <w:rFonts w:ascii="宋体" w:hAnsi="宋体" w:cs="宋体" w:eastAsia="宋体" w:hint="default"/>
                <w:sz w:val="18"/>
                <w:szCs w:val="18"/>
              </w:rPr>
            </w:pPr>
            <w:r>
              <w:rPr>
                <w:rFonts w:ascii="宋体"/>
                <w:sz w:val="18"/>
              </w:rPr>
              <w:t>69,889,241.66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87" w:right="0"/>
              <w:jc w:val="left"/>
              <w:rPr>
                <w:rFonts w:ascii="宋体" w:hAnsi="宋体" w:cs="宋体" w:eastAsia="宋体" w:hint="default"/>
                <w:sz w:val="18"/>
                <w:szCs w:val="18"/>
              </w:rPr>
            </w:pPr>
            <w:r>
              <w:rPr>
                <w:rFonts w:ascii="宋体"/>
                <w:sz w:val="18"/>
              </w:rPr>
              <w:t>78,715,043.42</w:t>
            </w:r>
          </w:p>
        </w:tc>
      </w:tr>
    </w:tbl>
    <w:p>
      <w:pPr>
        <w:spacing w:after="0" w:line="240" w:lineRule="auto"/>
        <w:jc w:val="left"/>
        <w:rPr>
          <w:rFonts w:ascii="宋体" w:hAnsi="宋体" w:cs="宋体" w:eastAsia="宋体" w:hint="default"/>
          <w:sz w:val="18"/>
          <w:szCs w:val="18"/>
        </w:rPr>
        <w:sectPr>
          <w:pgSz w:w="11910" w:h="16840"/>
          <w:pgMar w:header="877" w:footer="1187" w:top="1100" w:bottom="138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34,595,854.47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28,620,277.96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11,722,553.04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10,494,275.03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搬运、货运及运保费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9,876,851.78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9,118,667.05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6,620,879.75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4,305,736.59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7,243,221.24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4,804,237.38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市场推广费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11,686,714.40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3,722,609.33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广告宣传会务费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4,700,196.15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4,918,152.67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房租水电物管费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5,521,162.07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4,070,723.00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8,738,353.84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7,064,676.19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170,595,028.40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155,834,398.62</w:t>
            </w:r>
          </w:p>
        </w:tc>
      </w:tr>
    </w:tbl>
    <w:p>
      <w:pPr>
        <w:spacing w:line="240" w:lineRule="auto" w:before="9"/>
        <w:rPr>
          <w:rFonts w:ascii="宋体" w:hAnsi="宋体" w:cs="宋体" w:eastAsia="宋体" w:hint="default"/>
          <w:sz w:val="6"/>
          <w:szCs w:val="6"/>
        </w:rPr>
      </w:pPr>
    </w:p>
    <w:p>
      <w:pPr>
        <w:pStyle w:val="BodyText"/>
        <w:spacing w:line="240" w:lineRule="auto" w:before="44"/>
        <w:ind w:left="1494" w:right="0"/>
        <w:jc w:val="left"/>
      </w:pPr>
      <w:r>
        <w:rPr/>
        <w:t>其他费用主要为交通费、折旧费、通讯费等。</w:t>
      </w:r>
    </w:p>
    <w:p>
      <w:pPr>
        <w:spacing w:line="240" w:lineRule="auto" w:before="11"/>
        <w:rPr>
          <w:rFonts w:ascii="宋体" w:hAnsi="宋体" w:cs="宋体" w:eastAsia="宋体" w:hint="default"/>
          <w:sz w:val="26"/>
          <w:szCs w:val="26"/>
        </w:rPr>
      </w:pPr>
    </w:p>
    <w:p>
      <w:pPr>
        <w:pStyle w:val="Heading3"/>
        <w:spacing w:line="240" w:lineRule="auto"/>
        <w:ind w:left="1134" w:right="0"/>
        <w:jc w:val="left"/>
        <w:rPr>
          <w:b w:val="0"/>
          <w:bCs w:val="0"/>
        </w:rPr>
      </w:pPr>
      <w:bookmarkStart w:name="36、管理费用" w:id="272"/>
      <w:bookmarkEnd w:id="272"/>
      <w:r>
        <w:rPr>
          <w:b w:val="0"/>
          <w:bCs w:val="0"/>
        </w:rPr>
      </w:r>
      <w:r>
        <w:rPr>
          <w:rFonts w:ascii="宋体" w:hAnsi="宋体" w:cs="宋体" w:eastAsia="宋体" w:hint="default"/>
        </w:rPr>
        <w:t>36</w:t>
      </w:r>
      <w:r>
        <w:rPr/>
        <w:t>、管理费用</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薪酬福利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118,477,133.50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112,496,547.05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37,221,229.47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32,678,981.26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房租水电物管费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12,107,188.84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12,038,826.42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11,195,729.68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11,648,692.45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6,028,798.96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5,681,344.85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3,623,258.13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3,545,765.71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1,441,197.21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3,714,113.80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8,912,349.68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8,952,902.92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199,006,885.47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190,757,174.46</w:t>
            </w:r>
          </w:p>
        </w:tc>
      </w:tr>
    </w:tbl>
    <w:p>
      <w:pPr>
        <w:spacing w:line="240" w:lineRule="auto" w:before="9"/>
        <w:rPr>
          <w:rFonts w:ascii="宋体" w:hAnsi="宋体" w:cs="宋体" w:eastAsia="宋体" w:hint="default"/>
          <w:sz w:val="6"/>
          <w:szCs w:val="6"/>
        </w:rPr>
      </w:pPr>
    </w:p>
    <w:p>
      <w:pPr>
        <w:pStyle w:val="BodyText"/>
        <w:spacing w:line="240" w:lineRule="auto" w:before="44"/>
        <w:ind w:left="1494" w:right="0"/>
        <w:jc w:val="left"/>
      </w:pPr>
      <w:r>
        <w:rPr/>
        <w:t>其他费用主要为交通费、中介费、房产及土地使用税等。</w:t>
      </w:r>
    </w:p>
    <w:p>
      <w:pPr>
        <w:spacing w:line="240" w:lineRule="auto" w:before="10"/>
        <w:rPr>
          <w:rFonts w:ascii="宋体" w:hAnsi="宋体" w:cs="宋体" w:eastAsia="宋体" w:hint="default"/>
          <w:sz w:val="26"/>
          <w:szCs w:val="26"/>
        </w:rPr>
      </w:pPr>
    </w:p>
    <w:p>
      <w:pPr>
        <w:pStyle w:val="Heading3"/>
        <w:spacing w:line="240" w:lineRule="auto"/>
        <w:ind w:left="1134" w:right="0"/>
        <w:jc w:val="left"/>
        <w:rPr>
          <w:b w:val="0"/>
          <w:bCs w:val="0"/>
        </w:rPr>
      </w:pPr>
      <w:bookmarkStart w:name="37、财务费用" w:id="273"/>
      <w:bookmarkEnd w:id="273"/>
      <w:r>
        <w:rPr>
          <w:b w:val="0"/>
          <w:bCs w:val="0"/>
        </w:rPr>
      </w:r>
      <w:r>
        <w:rPr>
          <w:rFonts w:ascii="宋体" w:hAnsi="宋体" w:cs="宋体" w:eastAsia="宋体" w:hint="default"/>
        </w:rPr>
        <w:t>37</w:t>
      </w:r>
      <w:r>
        <w:rPr/>
        <w:t>、财务费用</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8,683,748.46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12,770,144.30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4,929,582.16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13,301,411.40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汇兑净损失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23,162,378.99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1,025,183.54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1,721,323.39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3,006,469.83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28,637,868.68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3,500,386.27</w:t>
            </w:r>
          </w:p>
        </w:tc>
      </w:tr>
    </w:tbl>
    <w:p>
      <w:pPr>
        <w:spacing w:after="0" w:line="240" w:lineRule="auto"/>
        <w:jc w:val="right"/>
        <w:rPr>
          <w:rFonts w:ascii="宋体" w:hAnsi="宋体" w:cs="宋体" w:eastAsia="宋体" w:hint="default"/>
          <w:sz w:val="18"/>
          <w:szCs w:val="18"/>
        </w:rPr>
        <w:sectPr>
          <w:pgSz w:w="11910" w:h="16840"/>
          <w:pgMar w:header="877" w:footer="1187" w:top="1100" w:bottom="1380" w:left="0" w:right="0"/>
        </w:sectPr>
      </w:pPr>
    </w:p>
    <w:p>
      <w:pPr>
        <w:spacing w:line="240" w:lineRule="auto" w:before="12"/>
        <w:rPr>
          <w:rFonts w:ascii="宋体" w:hAnsi="宋体" w:cs="宋体" w:eastAsia="宋体" w:hint="default"/>
          <w:sz w:val="21"/>
          <w:szCs w:val="21"/>
        </w:rPr>
      </w:pPr>
    </w:p>
    <w:p>
      <w:pPr>
        <w:pStyle w:val="BodyText"/>
        <w:spacing w:line="316" w:lineRule="auto" w:before="44"/>
        <w:ind w:right="1123" w:firstLine="360"/>
        <w:jc w:val="left"/>
      </w:pPr>
      <w:r>
        <w:rPr/>
        <w:t>财务费用较上年同期增加</w:t>
      </w:r>
      <w:r>
        <w:rPr>
          <w:rFonts w:ascii="宋体" w:hAnsi="宋体" w:cs="宋体" w:eastAsia="宋体" w:hint="default"/>
        </w:rPr>
        <w:t>718.13%</w:t>
      </w:r>
      <w:r>
        <w:rPr/>
        <w:t>，主要由于受人民币兑美元汇率贬值影响，公司原材料进口业务产生了较大的汇兑损 失。</w:t>
      </w:r>
    </w:p>
    <w:p>
      <w:pPr>
        <w:spacing w:line="240" w:lineRule="auto" w:before="7"/>
        <w:rPr>
          <w:rFonts w:ascii="宋体" w:hAnsi="宋体" w:cs="宋体" w:eastAsia="宋体" w:hint="default"/>
          <w:sz w:val="22"/>
          <w:szCs w:val="22"/>
        </w:rPr>
      </w:pPr>
    </w:p>
    <w:p>
      <w:pPr>
        <w:pStyle w:val="Heading3"/>
        <w:spacing w:line="240" w:lineRule="auto"/>
        <w:ind w:left="1134" w:right="0"/>
        <w:jc w:val="left"/>
        <w:rPr>
          <w:b w:val="0"/>
          <w:bCs w:val="0"/>
        </w:rPr>
      </w:pPr>
      <w:bookmarkStart w:name="38、资产减值损失" w:id="274"/>
      <w:bookmarkEnd w:id="274"/>
      <w:r>
        <w:rPr>
          <w:b w:val="0"/>
          <w:bCs w:val="0"/>
        </w:rPr>
      </w:r>
      <w:r>
        <w:rPr>
          <w:rFonts w:ascii="宋体" w:hAnsi="宋体" w:cs="宋体" w:eastAsia="宋体" w:hint="default"/>
        </w:rPr>
        <w:t>38</w:t>
      </w:r>
      <w:r>
        <w:rPr/>
        <w:t>、资产减值损失</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17,660,030.04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31,412,082.59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13,413,590.39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22,137,323.71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三、商誉减值损失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466,431.10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31,540,051.53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53,549,406.30</w:t>
            </w:r>
          </w:p>
        </w:tc>
      </w:tr>
    </w:tbl>
    <w:p>
      <w:pPr>
        <w:spacing w:line="240" w:lineRule="auto" w:before="4"/>
        <w:rPr>
          <w:rFonts w:ascii="宋体" w:hAnsi="宋体" w:cs="宋体" w:eastAsia="宋体" w:hint="default"/>
          <w:sz w:val="9"/>
          <w:szCs w:val="9"/>
        </w:rPr>
      </w:pPr>
    </w:p>
    <w:p>
      <w:pPr>
        <w:pStyle w:val="BodyText"/>
        <w:spacing w:line="316" w:lineRule="auto" w:before="44"/>
        <w:ind w:right="1123" w:firstLine="360"/>
        <w:jc w:val="left"/>
      </w:pPr>
      <w:r>
        <w:rPr/>
        <w:t>资产减值损失较上年同期减少</w:t>
      </w:r>
      <w:r>
        <w:rPr>
          <w:rFonts w:ascii="宋体" w:hAnsi="宋体" w:cs="宋体" w:eastAsia="宋体" w:hint="default"/>
        </w:rPr>
        <w:t>41.10%</w:t>
      </w:r>
      <w:r>
        <w:rPr/>
        <w:t>，主要由于公司加强应收账款和存货管理，取得一定成效，销售回款同比增长，</w:t>
      </w:r>
      <w:r>
        <w:rPr>
          <w:rFonts w:ascii="宋体" w:hAnsi="宋体" w:cs="宋体" w:eastAsia="宋体" w:hint="default"/>
        </w:rPr>
        <w:t>1 </w:t>
      </w:r>
      <w:r>
        <w:rPr/>
        <w:t>年以上应收账款较期初减少以及存货库存减少，根据会计政策计提的应收账款坏账准备和存货跌价准备同比减少。</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39、投资收益" w:id="275"/>
      <w:bookmarkEnd w:id="275"/>
      <w:r>
        <w:rPr>
          <w:b w:val="0"/>
          <w:bCs w:val="0"/>
        </w:rPr>
      </w:r>
      <w:r>
        <w:rPr>
          <w:rFonts w:ascii="宋体" w:hAnsi="宋体" w:cs="宋体" w:eastAsia="宋体" w:hint="default"/>
        </w:rPr>
        <w:t>39</w:t>
      </w:r>
      <w:r>
        <w:rPr/>
        <w:t>、投资收益</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-1,539,883.54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-6,322,230.84</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1"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-5,026,866.05</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247,520.00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104,040.00</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-1,292,363.54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-11,245,056.89</w:t>
            </w:r>
          </w:p>
        </w:tc>
      </w:tr>
    </w:tbl>
    <w:p>
      <w:pPr>
        <w:spacing w:line="240" w:lineRule="auto" w:before="4"/>
        <w:rPr>
          <w:rFonts w:ascii="宋体" w:hAnsi="宋体" w:cs="宋体" w:eastAsia="宋体" w:hint="default"/>
          <w:sz w:val="9"/>
          <w:szCs w:val="9"/>
        </w:rPr>
      </w:pPr>
    </w:p>
    <w:p>
      <w:pPr>
        <w:pStyle w:val="BodyText"/>
        <w:spacing w:line="316" w:lineRule="auto" w:before="44"/>
        <w:ind w:left="1134" w:right="1118" w:firstLine="360"/>
        <w:jc w:val="left"/>
      </w:pPr>
      <w:r>
        <w:rPr>
          <w:spacing w:val="-2"/>
        </w:rPr>
        <w:t>报告期，投资收益较上年同期增加</w:t>
      </w:r>
      <w:r>
        <w:rPr>
          <w:rFonts w:ascii="宋体" w:hAnsi="宋体" w:cs="宋体" w:eastAsia="宋体" w:hint="default"/>
          <w:spacing w:val="-2"/>
        </w:rPr>
        <w:t>88.51%</w:t>
      </w:r>
      <w:r>
        <w:rPr>
          <w:spacing w:val="-2"/>
        </w:rPr>
        <w:t>，主要由于公司上年处置联营企业北京泰合志恒科技有限公司股权产生了较大</w:t>
      </w:r>
      <w:r>
        <w:rPr/>
        <w:t> 的投资损失。</w:t>
      </w:r>
    </w:p>
    <w:p>
      <w:pPr>
        <w:spacing w:line="240" w:lineRule="auto" w:before="7"/>
        <w:rPr>
          <w:rFonts w:ascii="宋体" w:hAnsi="宋体" w:cs="宋体" w:eastAsia="宋体" w:hint="default"/>
          <w:sz w:val="22"/>
          <w:szCs w:val="22"/>
        </w:rPr>
      </w:pPr>
    </w:p>
    <w:p>
      <w:pPr>
        <w:pStyle w:val="Heading3"/>
        <w:spacing w:line="240" w:lineRule="auto"/>
        <w:ind w:left="1134" w:right="0"/>
        <w:jc w:val="left"/>
        <w:rPr>
          <w:b w:val="0"/>
          <w:bCs w:val="0"/>
        </w:rPr>
      </w:pPr>
      <w:bookmarkStart w:name="40、营业外收入" w:id="276"/>
      <w:bookmarkEnd w:id="276"/>
      <w:r>
        <w:rPr>
          <w:b w:val="0"/>
          <w:bCs w:val="0"/>
        </w:rPr>
      </w:r>
      <w:r>
        <w:rPr>
          <w:rFonts w:ascii="宋体" w:hAnsi="宋体" w:cs="宋体" w:eastAsia="宋体" w:hint="default"/>
        </w:rPr>
        <w:t>40</w:t>
      </w:r>
      <w:r>
        <w:rPr/>
        <w:t>、营业外收入</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6,965.99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6,163.09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6,965.99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6,965.99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6,163.09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6,965.99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6,699,393.00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8,703,240.00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6,699,393.00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赔偿收入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672,957.13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8,939.58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672,957.13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2,361.56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15,871.93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2,361.56</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7,381,677.68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8,734,214.60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7,381,677.68</w:t>
            </w:r>
          </w:p>
        </w:tc>
      </w:tr>
    </w:tbl>
    <w:p>
      <w:pPr>
        <w:spacing w:line="240" w:lineRule="auto" w:before="9"/>
        <w:rPr>
          <w:rFonts w:ascii="宋体" w:hAnsi="宋体" w:cs="宋体" w:eastAsia="宋体" w:hint="default"/>
          <w:sz w:val="6"/>
          <w:szCs w:val="6"/>
        </w:rPr>
      </w:pPr>
    </w:p>
    <w:p>
      <w:pPr>
        <w:pStyle w:val="BodyText"/>
        <w:spacing w:line="240" w:lineRule="auto" w:before="44"/>
        <w:ind w:left="1134" w:right="0"/>
        <w:jc w:val="left"/>
      </w:pPr>
      <w:r>
        <w:rPr/>
        <w:t>计入当期损益的政府补助：</w:t>
      </w:r>
    </w:p>
    <w:p>
      <w:pPr>
        <w:pStyle w:val="BodyText"/>
        <w:spacing w:line="240" w:lineRule="auto" w:before="117"/>
        <w:ind w:left="0" w:right="1310"/>
        <w:jc w:val="right"/>
      </w:pPr>
      <w:r>
        <w:rPr/>
        <w:t>单位： 元</w:t>
      </w:r>
    </w:p>
    <w:p>
      <w:pPr>
        <w:spacing w:after="0" w:line="240" w:lineRule="auto"/>
        <w:jc w:val="right"/>
        <w:sectPr>
          <w:pgSz w:w="11910" w:h="16840"/>
          <w:pgMar w:header="877" w:footer="1187" w:top="1100" w:bottom="138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1330"/>
        <w:gridCol w:w="1176"/>
        <w:gridCol w:w="546"/>
        <w:gridCol w:w="1457"/>
        <w:gridCol w:w="1021"/>
        <w:gridCol w:w="658"/>
        <w:gridCol w:w="1149"/>
        <w:gridCol w:w="1170"/>
        <w:gridCol w:w="1063"/>
      </w:tblGrid>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88" w:right="85"/>
              <w:jc w:val="left"/>
              <w:rPr>
                <w:rFonts w:ascii="宋体" w:hAnsi="宋体" w:cs="宋体" w:eastAsia="宋体" w:hint="default"/>
                <w:sz w:val="18"/>
                <w:szCs w:val="18"/>
              </w:rPr>
            </w:pPr>
            <w:r>
              <w:rPr>
                <w:rFonts w:ascii="宋体" w:hAnsi="宋体" w:cs="宋体" w:eastAsia="宋体" w:hint="default"/>
                <w:sz w:val="18"/>
                <w:szCs w:val="18"/>
              </w:rPr>
              <w:t>发放 原因</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63"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55" w:right="54"/>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53" w:right="53"/>
              <w:jc w:val="left"/>
              <w:rPr>
                <w:rFonts w:ascii="宋体" w:hAnsi="宋体" w:cs="宋体" w:eastAsia="宋体" w:hint="default"/>
                <w:sz w:val="18"/>
                <w:szCs w:val="18"/>
              </w:rPr>
            </w:pPr>
            <w:r>
              <w:rPr>
                <w:rFonts w:ascii="宋体" w:hAnsi="宋体" w:cs="宋体" w:eastAsia="宋体" w:hint="default"/>
                <w:sz w:val="18"/>
                <w:szCs w:val="18"/>
              </w:rPr>
              <w:t>是否特 殊补贴</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8"/>
              <w:jc w:val="right"/>
              <w:rPr>
                <w:rFonts w:ascii="宋体" w:hAnsi="宋体" w:cs="宋体" w:eastAsia="宋体" w:hint="default"/>
                <w:sz w:val="18"/>
                <w:szCs w:val="18"/>
              </w:rPr>
            </w:pPr>
            <w:r>
              <w:rPr>
                <w:rFonts w:ascii="宋体" w:hAnsi="宋体" w:cs="宋体" w:eastAsia="宋体" w:hint="default"/>
                <w:sz w:val="18"/>
                <w:szCs w:val="18"/>
              </w:rPr>
              <w:t>本期发生金额</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8"/>
              <w:jc w:val="right"/>
              <w:rPr>
                <w:rFonts w:ascii="宋体" w:hAnsi="宋体" w:cs="宋体" w:eastAsia="宋体" w:hint="default"/>
                <w:sz w:val="18"/>
                <w:szCs w:val="18"/>
              </w:rPr>
            </w:pPr>
            <w:r>
              <w:rPr>
                <w:rFonts w:ascii="宋体" w:hAnsi="宋体" w:cs="宋体" w:eastAsia="宋体" w:hint="default"/>
                <w:sz w:val="18"/>
                <w:szCs w:val="18"/>
              </w:rPr>
              <w:t>上期发生金额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76" w:right="29" w:hanging="45"/>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 </w:t>
            </w:r>
            <w:r>
              <w:rPr>
                <w:rFonts w:ascii="宋体" w:hAnsi="宋体" w:cs="宋体" w:eastAsia="宋体" w:hint="default"/>
                <w:sz w:val="18"/>
                <w:szCs w:val="18"/>
              </w:rPr>
              <w:t>与收益相关</w:t>
            </w:r>
          </w:p>
        </w:tc>
      </w:tr>
      <w:tr>
        <w:trPr>
          <w:trHeight w:val="1650"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国家创新基金</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国家科技部</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7"/>
              <w:jc w:val="left"/>
              <w:rPr>
                <w:rFonts w:ascii="宋体" w:hAnsi="宋体" w:cs="宋体" w:eastAsia="宋体" w:hint="default"/>
                <w:sz w:val="18"/>
                <w:szCs w:val="18"/>
              </w:rPr>
            </w:pPr>
            <w:r>
              <w:rPr>
                <w:rFonts w:ascii="宋体" w:hAnsi="宋体" w:cs="宋体" w:eastAsia="宋体" w:hint="default"/>
                <w:sz w:val="18"/>
                <w:szCs w:val="18"/>
              </w:rPr>
              <w:t>因从事国家鼓励 和扶持特定行业、 产业而获得的补 </w:t>
            </w:r>
            <w:r>
              <w:rPr>
                <w:rFonts w:ascii="宋体" w:hAnsi="宋体" w:cs="宋体" w:eastAsia="宋体" w:hint="default"/>
                <w:spacing w:val="-5"/>
                <w:sz w:val="18"/>
                <w:szCs w:val="18"/>
              </w:rPr>
              <w:t>助（按国家级政策</w:t>
            </w:r>
            <w:r>
              <w:rPr>
                <w:rFonts w:ascii="宋体" w:hAnsi="宋体" w:cs="宋体" w:eastAsia="宋体" w:hint="default"/>
                <w:sz w:val="18"/>
                <w:szCs w:val="18"/>
              </w:rPr>
              <w:t> 规定依法取得）</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sz w:val="18"/>
              </w:rPr>
              <w:t>150,000.00</w:t>
            </w:r>
          </w:p>
        </w:tc>
        <w:tc>
          <w:tcPr>
            <w:tcW w:w="117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湖北省信息产业 发展资金</w:t>
            </w:r>
            <w:r>
              <w:rPr>
                <w:rFonts w:ascii="宋体" w:hAnsi="宋体" w:cs="宋体" w:eastAsia="宋体" w:hint="default"/>
                <w:sz w:val="18"/>
                <w:szCs w:val="18"/>
              </w:rPr>
              <w:t>-</w:t>
            </w:r>
            <w:r>
              <w:rPr>
                <w:rFonts w:ascii="宋体" w:hAnsi="宋体" w:cs="宋体" w:eastAsia="宋体" w:hint="default"/>
                <w:sz w:val="18"/>
                <w:szCs w:val="18"/>
              </w:rPr>
              <w:t>基于 可信计算的安全 芯片及操作系统 研究和产业化项 目</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4" w:right="60"/>
              <w:jc w:val="left"/>
              <w:rPr>
                <w:rFonts w:ascii="宋体" w:hAnsi="宋体" w:cs="宋体" w:eastAsia="宋体" w:hint="default"/>
                <w:sz w:val="18"/>
                <w:szCs w:val="18"/>
              </w:rPr>
            </w:pPr>
            <w:r>
              <w:rPr>
                <w:rFonts w:ascii="宋体" w:hAnsi="宋体" w:cs="宋体" w:eastAsia="宋体" w:hint="default"/>
                <w:sz w:val="18"/>
                <w:szCs w:val="18"/>
              </w:rPr>
              <w:t>湖北省经济和 信息化委员会</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17"/>
              <w:jc w:val="left"/>
              <w:rPr>
                <w:rFonts w:ascii="宋体" w:hAnsi="宋体" w:cs="宋体" w:eastAsia="宋体" w:hint="default"/>
                <w:sz w:val="18"/>
                <w:szCs w:val="18"/>
              </w:rPr>
            </w:pPr>
            <w:r>
              <w:rPr>
                <w:rFonts w:ascii="宋体" w:hAnsi="宋体" w:cs="宋体" w:eastAsia="宋体" w:hint="default"/>
                <w:sz w:val="18"/>
                <w:szCs w:val="18"/>
              </w:rPr>
              <w:t>因从事国家鼓励 和扶持特定行业、 产业而获得的补 </w:t>
            </w:r>
            <w:r>
              <w:rPr>
                <w:rFonts w:ascii="宋体" w:hAnsi="宋体" w:cs="宋体" w:eastAsia="宋体" w:hint="default"/>
                <w:spacing w:val="-5"/>
                <w:sz w:val="18"/>
                <w:szCs w:val="18"/>
              </w:rPr>
              <w:t>助（按国家级政策</w:t>
            </w:r>
            <w:r>
              <w:rPr>
                <w:rFonts w:ascii="宋体" w:hAnsi="宋体" w:cs="宋体" w:eastAsia="宋体" w:hint="default"/>
                <w:sz w:val="18"/>
                <w:szCs w:val="18"/>
              </w:rPr>
              <w:t> 规定依法取得）</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1,500,000.00</w:t>
            </w:r>
          </w:p>
        </w:tc>
        <w:tc>
          <w:tcPr>
            <w:tcW w:w="117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5"/>
              <w:jc w:val="both"/>
              <w:rPr>
                <w:rFonts w:ascii="宋体" w:hAnsi="宋体" w:cs="宋体" w:eastAsia="宋体" w:hint="default"/>
                <w:sz w:val="18"/>
                <w:szCs w:val="18"/>
              </w:rPr>
            </w:pPr>
            <w:r>
              <w:rPr>
                <w:rFonts w:ascii="宋体" w:hAnsi="宋体" w:cs="宋体" w:eastAsia="宋体" w:hint="default"/>
                <w:sz w:val="18"/>
                <w:szCs w:val="18"/>
              </w:rPr>
              <w:t>楚天杯工业设计 大赛软件及智能 机械设计分赛优 秀奖</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4" w:right="60"/>
              <w:jc w:val="left"/>
              <w:rPr>
                <w:rFonts w:ascii="宋体" w:hAnsi="宋体" w:cs="宋体" w:eastAsia="宋体" w:hint="default"/>
                <w:sz w:val="18"/>
                <w:szCs w:val="18"/>
              </w:rPr>
            </w:pPr>
            <w:r>
              <w:rPr>
                <w:rFonts w:ascii="宋体" w:hAnsi="宋体" w:cs="宋体" w:eastAsia="宋体" w:hint="default"/>
                <w:sz w:val="18"/>
                <w:szCs w:val="18"/>
              </w:rPr>
              <w:t>湖北省经济和 信息化委员会</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61"/>
              <w:jc w:val="both"/>
              <w:rPr>
                <w:rFonts w:ascii="宋体" w:hAnsi="宋体" w:cs="宋体" w:eastAsia="宋体" w:hint="default"/>
                <w:sz w:val="18"/>
                <w:szCs w:val="18"/>
              </w:rPr>
            </w:pPr>
            <w:r>
              <w:rPr>
                <w:rFonts w:ascii="宋体" w:hAnsi="宋体" w:cs="宋体" w:eastAsia="宋体" w:hint="default"/>
                <w:sz w:val="18"/>
                <w:szCs w:val="18"/>
              </w:rPr>
              <w:t>因符合地方政府 招商引资等地方 性扶持政策而获 得的补助</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49"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宋体" w:hAnsi="宋体" w:cs="宋体" w:eastAsia="宋体" w:hint="default"/>
                <w:sz w:val="18"/>
                <w:szCs w:val="18"/>
              </w:rPr>
            </w:pPr>
            <w:r>
              <w:rPr>
                <w:rFonts w:ascii="宋体"/>
                <w:sz w:val="18"/>
              </w:rPr>
              <w:t>2,000.00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湖北省科技条件 平台专项</w:t>
            </w:r>
            <w:r>
              <w:rPr>
                <w:rFonts w:ascii="宋体" w:hAnsi="宋体" w:cs="宋体" w:eastAsia="宋体" w:hint="default"/>
                <w:sz w:val="18"/>
                <w:szCs w:val="18"/>
              </w:rPr>
              <w:t>-</w:t>
            </w:r>
            <w:r>
              <w:rPr>
                <w:rFonts w:ascii="宋体" w:hAnsi="宋体" w:cs="宋体" w:eastAsia="宋体" w:hint="default"/>
                <w:sz w:val="18"/>
                <w:szCs w:val="18"/>
              </w:rPr>
              <w:t>湖北 省智能卡工程技 术研究中心平台 项目</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湖北省科技厅</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7"/>
              <w:jc w:val="left"/>
              <w:rPr>
                <w:rFonts w:ascii="宋体" w:hAnsi="宋体" w:cs="宋体" w:eastAsia="宋体" w:hint="default"/>
                <w:sz w:val="18"/>
                <w:szCs w:val="18"/>
              </w:rPr>
            </w:pPr>
            <w:r>
              <w:rPr>
                <w:rFonts w:ascii="宋体" w:hAnsi="宋体" w:cs="宋体" w:eastAsia="宋体" w:hint="default"/>
                <w:sz w:val="18"/>
                <w:szCs w:val="18"/>
              </w:rPr>
              <w:t>因从事国家鼓励 和扶持特定行业、 产业而获得的补 </w:t>
            </w:r>
            <w:r>
              <w:rPr>
                <w:rFonts w:ascii="宋体" w:hAnsi="宋体" w:cs="宋体" w:eastAsia="宋体" w:hint="default"/>
                <w:spacing w:val="-5"/>
                <w:sz w:val="18"/>
                <w:szCs w:val="18"/>
              </w:rPr>
              <w:t>助（按国家级政策</w:t>
            </w:r>
            <w:r>
              <w:rPr>
                <w:rFonts w:ascii="宋体" w:hAnsi="宋体" w:cs="宋体" w:eastAsia="宋体" w:hint="default"/>
                <w:sz w:val="18"/>
                <w:szCs w:val="18"/>
              </w:rPr>
              <w:t> 规定依法取得）</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sz w:val="18"/>
              </w:rPr>
              <w:t>500,000.00</w:t>
            </w:r>
          </w:p>
        </w:tc>
        <w:tc>
          <w:tcPr>
            <w:tcW w:w="117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35"/>
              <w:jc w:val="left"/>
              <w:rPr>
                <w:rFonts w:ascii="宋体" w:hAnsi="宋体" w:cs="宋体" w:eastAsia="宋体" w:hint="default"/>
                <w:sz w:val="18"/>
                <w:szCs w:val="18"/>
              </w:rPr>
            </w:pPr>
            <w:r>
              <w:rPr>
                <w:rFonts w:ascii="宋体" w:hAnsi="宋体" w:cs="宋体" w:eastAsia="宋体" w:hint="default"/>
                <w:sz w:val="18"/>
                <w:szCs w:val="18"/>
              </w:rPr>
              <w:t>湖北省研发测试 补贴</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湖北省科技厅</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7"/>
              <w:jc w:val="left"/>
              <w:rPr>
                <w:rFonts w:ascii="宋体" w:hAnsi="宋体" w:cs="宋体" w:eastAsia="宋体" w:hint="default"/>
                <w:sz w:val="18"/>
                <w:szCs w:val="18"/>
              </w:rPr>
            </w:pPr>
            <w:r>
              <w:rPr>
                <w:rFonts w:ascii="宋体" w:hAnsi="宋体" w:cs="宋体" w:eastAsia="宋体" w:hint="default"/>
                <w:sz w:val="18"/>
                <w:szCs w:val="18"/>
              </w:rPr>
              <w:t>因从事国家鼓励 和扶持特定行业、 产业而获得的补 </w:t>
            </w:r>
            <w:r>
              <w:rPr>
                <w:rFonts w:ascii="宋体" w:hAnsi="宋体" w:cs="宋体" w:eastAsia="宋体" w:hint="default"/>
                <w:spacing w:val="-5"/>
                <w:sz w:val="18"/>
                <w:szCs w:val="18"/>
              </w:rPr>
              <w:t>助（按国家级政策</w:t>
            </w:r>
            <w:r>
              <w:rPr>
                <w:rFonts w:ascii="宋体" w:hAnsi="宋体" w:cs="宋体" w:eastAsia="宋体" w:hint="default"/>
                <w:sz w:val="18"/>
                <w:szCs w:val="18"/>
              </w:rPr>
              <w:t> 规定依法取得）</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49"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宋体" w:hAnsi="宋体" w:cs="宋体" w:eastAsia="宋体" w:hint="default"/>
                <w:sz w:val="18"/>
                <w:szCs w:val="18"/>
              </w:rPr>
            </w:pPr>
            <w:r>
              <w:rPr>
                <w:rFonts w:ascii="宋体"/>
                <w:sz w:val="18"/>
              </w:rPr>
              <w:t>228,000.00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5"/>
              <w:jc w:val="both"/>
              <w:rPr>
                <w:rFonts w:ascii="宋体" w:hAnsi="宋体" w:cs="宋体" w:eastAsia="宋体" w:hint="default"/>
                <w:sz w:val="18"/>
                <w:szCs w:val="18"/>
              </w:rPr>
            </w:pPr>
            <w:r>
              <w:rPr>
                <w:rFonts w:ascii="宋体" w:hAnsi="宋体" w:cs="宋体" w:eastAsia="宋体" w:hint="default"/>
                <w:sz w:val="18"/>
                <w:szCs w:val="18"/>
              </w:rPr>
              <w:t>湖北省外经贸区 域协调发展促进 资金（新一代通 信智能卡及其系 统的研发和产业 化）</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湖北省商务厅</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17"/>
              <w:jc w:val="left"/>
              <w:rPr>
                <w:rFonts w:ascii="宋体" w:hAnsi="宋体" w:cs="宋体" w:eastAsia="宋体" w:hint="default"/>
                <w:sz w:val="18"/>
                <w:szCs w:val="18"/>
              </w:rPr>
            </w:pPr>
            <w:r>
              <w:rPr>
                <w:rFonts w:ascii="宋体" w:hAnsi="宋体" w:cs="宋体" w:eastAsia="宋体" w:hint="default"/>
                <w:sz w:val="18"/>
                <w:szCs w:val="18"/>
              </w:rPr>
              <w:t>因从事国家鼓励 和扶持特定行业、 产业而获得的补 </w:t>
            </w:r>
            <w:r>
              <w:rPr>
                <w:rFonts w:ascii="宋体" w:hAnsi="宋体" w:cs="宋体" w:eastAsia="宋体" w:hint="default"/>
                <w:spacing w:val="-5"/>
                <w:sz w:val="18"/>
                <w:szCs w:val="18"/>
              </w:rPr>
              <w:t>助（按国家级政策</w:t>
            </w:r>
            <w:r>
              <w:rPr>
                <w:rFonts w:ascii="宋体" w:hAnsi="宋体" w:cs="宋体" w:eastAsia="宋体" w:hint="default"/>
                <w:sz w:val="18"/>
                <w:szCs w:val="18"/>
              </w:rPr>
              <w:t> 规定依法取得）</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49"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35"/>
              <w:jc w:val="both"/>
              <w:rPr>
                <w:rFonts w:ascii="宋体" w:hAnsi="宋体" w:cs="宋体" w:eastAsia="宋体" w:hint="default"/>
                <w:sz w:val="18"/>
                <w:szCs w:val="18"/>
              </w:rPr>
            </w:pPr>
            <w:r>
              <w:rPr>
                <w:rFonts w:ascii="宋体" w:hAnsi="宋体" w:cs="宋体" w:eastAsia="宋体" w:hint="default"/>
                <w:sz w:val="18"/>
                <w:szCs w:val="18"/>
              </w:rPr>
              <w:t>湖北省服务外包 产业发展专项资 金</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湖北省商务厅</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7"/>
              <w:jc w:val="left"/>
              <w:rPr>
                <w:rFonts w:ascii="宋体" w:hAnsi="宋体" w:cs="宋体" w:eastAsia="宋体" w:hint="default"/>
                <w:sz w:val="18"/>
                <w:szCs w:val="18"/>
              </w:rPr>
            </w:pPr>
            <w:r>
              <w:rPr>
                <w:rFonts w:ascii="宋体" w:hAnsi="宋体" w:cs="宋体" w:eastAsia="宋体" w:hint="default"/>
                <w:sz w:val="18"/>
                <w:szCs w:val="18"/>
              </w:rPr>
              <w:t>因从事国家鼓励 和扶持特定行业、 产业而获得的补 </w:t>
            </w:r>
            <w:r>
              <w:rPr>
                <w:rFonts w:ascii="宋体" w:hAnsi="宋体" w:cs="宋体" w:eastAsia="宋体" w:hint="default"/>
                <w:spacing w:val="-5"/>
                <w:sz w:val="18"/>
                <w:szCs w:val="18"/>
              </w:rPr>
              <w:t>助（按国家级政策</w:t>
            </w:r>
            <w:r>
              <w:rPr>
                <w:rFonts w:ascii="宋体" w:hAnsi="宋体" w:cs="宋体" w:eastAsia="宋体" w:hint="default"/>
                <w:sz w:val="18"/>
                <w:szCs w:val="18"/>
              </w:rPr>
              <w:t> 规定依法取得）</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49"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宋体" w:hAnsi="宋体" w:cs="宋体" w:eastAsia="宋体" w:hint="default"/>
                <w:sz w:val="18"/>
                <w:szCs w:val="18"/>
              </w:rPr>
            </w:pPr>
            <w:r>
              <w:rPr>
                <w:rFonts w:ascii="宋体"/>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299"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7"/>
              <w:ind w:left="22" w:right="35"/>
              <w:jc w:val="left"/>
              <w:rPr>
                <w:rFonts w:ascii="宋体" w:hAnsi="宋体" w:cs="宋体" w:eastAsia="宋体" w:hint="default"/>
                <w:sz w:val="18"/>
                <w:szCs w:val="18"/>
              </w:rPr>
            </w:pPr>
            <w:r>
              <w:rPr>
                <w:rFonts w:ascii="宋体" w:hAnsi="宋体" w:cs="宋体" w:eastAsia="宋体" w:hint="default"/>
                <w:sz w:val="18"/>
                <w:szCs w:val="18"/>
              </w:rPr>
              <w:t>湖北省服务业发 展专项资金</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湖北省商务厅</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57"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3" w:right="-24"/>
              <w:jc w:val="left"/>
              <w:rPr>
                <w:rFonts w:ascii="宋体" w:hAnsi="宋体" w:cs="宋体" w:eastAsia="宋体" w:hint="default"/>
                <w:sz w:val="18"/>
                <w:szCs w:val="18"/>
              </w:rPr>
            </w:pPr>
            <w:r>
              <w:rPr>
                <w:rFonts w:ascii="宋体" w:hAnsi="宋体" w:cs="宋体" w:eastAsia="宋体" w:hint="default"/>
                <w:sz w:val="18"/>
                <w:szCs w:val="18"/>
              </w:rPr>
              <w:t>因从事国家鼓励 和扶持特定行业、 产业而获得的补 </w:t>
            </w:r>
            <w:r>
              <w:rPr>
                <w:rFonts w:ascii="宋体" w:hAnsi="宋体" w:cs="宋体" w:eastAsia="宋体" w:hint="default"/>
                <w:spacing w:val="-5"/>
                <w:sz w:val="18"/>
                <w:szCs w:val="18"/>
              </w:rPr>
              <w:t>助（按国家级政策</w:t>
            </w:r>
          </w:p>
        </w:tc>
        <w:tc>
          <w:tcPr>
            <w:tcW w:w="1021"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否</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49"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20"/>
              <w:jc w:val="right"/>
              <w:rPr>
                <w:rFonts w:ascii="宋体" w:hAnsi="宋体" w:cs="宋体" w:eastAsia="宋体" w:hint="default"/>
                <w:sz w:val="18"/>
                <w:szCs w:val="18"/>
              </w:rPr>
            </w:pPr>
            <w:r>
              <w:rPr>
                <w:rFonts w:ascii="宋体"/>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1187" w:top="1100" w:bottom="138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1330"/>
        <w:gridCol w:w="1176"/>
        <w:gridCol w:w="546"/>
        <w:gridCol w:w="1457"/>
        <w:gridCol w:w="1021"/>
        <w:gridCol w:w="658"/>
        <w:gridCol w:w="1149"/>
        <w:gridCol w:w="1170"/>
        <w:gridCol w:w="1063"/>
      </w:tblGrid>
      <w:tr>
        <w:trPr>
          <w:trHeight w:val="362" w:hRule="exact"/>
        </w:trPr>
        <w:tc>
          <w:tcPr>
            <w:tcW w:w="133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规定依法取得）</w:t>
            </w:r>
          </w:p>
        </w:tc>
        <w:tc>
          <w:tcPr>
            <w:tcW w:w="1021"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149"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示范区现代服务 业综合试点项目</w:t>
            </w:r>
          </w:p>
          <w:p>
            <w:pPr>
              <w:pStyle w:val="TableParagraph"/>
              <w:spacing w:line="319" w:lineRule="auto" w:before="19"/>
              <w:ind w:left="22" w:right="35"/>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基于移动互联 网的信息服务创 新平台建设与应 用项目</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4" w:right="60"/>
              <w:jc w:val="left"/>
              <w:rPr>
                <w:rFonts w:ascii="宋体" w:hAnsi="宋体" w:cs="宋体" w:eastAsia="宋体" w:hint="default"/>
                <w:sz w:val="18"/>
                <w:szCs w:val="18"/>
              </w:rPr>
            </w:pPr>
            <w:r>
              <w:rPr>
                <w:rFonts w:ascii="宋体" w:hAnsi="宋体" w:cs="宋体" w:eastAsia="宋体" w:hint="default"/>
                <w:sz w:val="18"/>
                <w:szCs w:val="18"/>
              </w:rPr>
              <w:t>武汉东湖新技 术开发区</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17"/>
              <w:jc w:val="left"/>
              <w:rPr>
                <w:rFonts w:ascii="宋体" w:hAnsi="宋体" w:cs="宋体" w:eastAsia="宋体" w:hint="default"/>
                <w:sz w:val="18"/>
                <w:szCs w:val="18"/>
              </w:rPr>
            </w:pPr>
            <w:r>
              <w:rPr>
                <w:rFonts w:ascii="宋体" w:hAnsi="宋体" w:cs="宋体" w:eastAsia="宋体" w:hint="default"/>
                <w:sz w:val="18"/>
                <w:szCs w:val="18"/>
              </w:rPr>
              <w:t>因从事国家鼓励 和扶持特定行业、 产业而获得的补 </w:t>
            </w:r>
            <w:r>
              <w:rPr>
                <w:rFonts w:ascii="宋体" w:hAnsi="宋体" w:cs="宋体" w:eastAsia="宋体" w:hint="default"/>
                <w:spacing w:val="-5"/>
                <w:sz w:val="18"/>
                <w:szCs w:val="18"/>
              </w:rPr>
              <w:t>助（按国家级政策</w:t>
            </w:r>
            <w:r>
              <w:rPr>
                <w:rFonts w:ascii="宋体" w:hAnsi="宋体" w:cs="宋体" w:eastAsia="宋体" w:hint="default"/>
                <w:sz w:val="18"/>
                <w:szCs w:val="18"/>
              </w:rPr>
              <w:t> 规定依法取得）</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1,120,000.00</w:t>
            </w:r>
          </w:p>
        </w:tc>
        <w:tc>
          <w:tcPr>
            <w:tcW w:w="117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35"/>
              <w:jc w:val="left"/>
              <w:rPr>
                <w:rFonts w:ascii="宋体" w:hAnsi="宋体" w:cs="宋体" w:eastAsia="宋体" w:hint="default"/>
                <w:sz w:val="18"/>
                <w:szCs w:val="18"/>
              </w:rPr>
            </w:pPr>
            <w:r>
              <w:rPr>
                <w:rFonts w:ascii="宋体" w:hAnsi="宋体" w:cs="宋体" w:eastAsia="宋体" w:hint="default"/>
                <w:sz w:val="18"/>
                <w:szCs w:val="18"/>
              </w:rPr>
              <w:t>软件和信息服务 业专项补贴</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4" w:right="60"/>
              <w:jc w:val="left"/>
              <w:rPr>
                <w:rFonts w:ascii="宋体" w:hAnsi="宋体" w:cs="宋体" w:eastAsia="宋体" w:hint="default"/>
                <w:sz w:val="18"/>
                <w:szCs w:val="18"/>
              </w:rPr>
            </w:pPr>
            <w:r>
              <w:rPr>
                <w:rFonts w:ascii="宋体" w:hAnsi="宋体" w:cs="宋体" w:eastAsia="宋体" w:hint="default"/>
                <w:sz w:val="18"/>
                <w:szCs w:val="18"/>
              </w:rPr>
              <w:t>武汉东湖新技 术开发区</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7"/>
              <w:jc w:val="left"/>
              <w:rPr>
                <w:rFonts w:ascii="宋体" w:hAnsi="宋体" w:cs="宋体" w:eastAsia="宋体" w:hint="default"/>
                <w:sz w:val="18"/>
                <w:szCs w:val="18"/>
              </w:rPr>
            </w:pPr>
            <w:r>
              <w:rPr>
                <w:rFonts w:ascii="宋体" w:hAnsi="宋体" w:cs="宋体" w:eastAsia="宋体" w:hint="default"/>
                <w:sz w:val="18"/>
                <w:szCs w:val="18"/>
              </w:rPr>
              <w:t>因从事国家鼓励 和扶持特定行业、 产业而获得的补 </w:t>
            </w:r>
            <w:r>
              <w:rPr>
                <w:rFonts w:ascii="宋体" w:hAnsi="宋体" w:cs="宋体" w:eastAsia="宋体" w:hint="default"/>
                <w:spacing w:val="-5"/>
                <w:sz w:val="18"/>
                <w:szCs w:val="18"/>
              </w:rPr>
              <w:t>助（按国家级政策</w:t>
            </w:r>
            <w:r>
              <w:rPr>
                <w:rFonts w:ascii="宋体" w:hAnsi="宋体" w:cs="宋体" w:eastAsia="宋体" w:hint="default"/>
                <w:sz w:val="18"/>
                <w:szCs w:val="18"/>
              </w:rPr>
              <w:t> 规定依法取得）</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sz w:val="18"/>
              </w:rPr>
              <w:t>500,000.00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宋体" w:hAnsi="宋体" w:cs="宋体" w:eastAsia="宋体" w:hint="default"/>
                <w:sz w:val="18"/>
                <w:szCs w:val="18"/>
              </w:rPr>
            </w:pPr>
            <w:r>
              <w:rPr>
                <w:rFonts w:ascii="宋体"/>
                <w:sz w:val="18"/>
              </w:rPr>
              <w:t>1,365,000.00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专利补贴</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4" w:right="60"/>
              <w:jc w:val="left"/>
              <w:rPr>
                <w:rFonts w:ascii="宋体" w:hAnsi="宋体" w:cs="宋体" w:eastAsia="宋体" w:hint="default"/>
                <w:sz w:val="18"/>
                <w:szCs w:val="18"/>
              </w:rPr>
            </w:pPr>
            <w:r>
              <w:rPr>
                <w:rFonts w:ascii="宋体" w:hAnsi="宋体" w:cs="宋体" w:eastAsia="宋体" w:hint="default"/>
                <w:sz w:val="18"/>
                <w:szCs w:val="18"/>
              </w:rPr>
              <w:t>武汉东湖新技 术开发区</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61"/>
              <w:jc w:val="both"/>
              <w:rPr>
                <w:rFonts w:ascii="宋体" w:hAnsi="宋体" w:cs="宋体" w:eastAsia="宋体" w:hint="default"/>
                <w:sz w:val="18"/>
                <w:szCs w:val="18"/>
              </w:rPr>
            </w:pPr>
            <w:r>
              <w:rPr>
                <w:rFonts w:ascii="宋体" w:hAnsi="宋体" w:cs="宋体" w:eastAsia="宋体" w:hint="default"/>
                <w:sz w:val="18"/>
                <w:szCs w:val="18"/>
              </w:rPr>
              <w:t>因符合地方政府 招商引资等地方 性扶持政策而获 得的补助</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2"/>
              <w:jc w:val="right"/>
              <w:rPr>
                <w:rFonts w:ascii="宋体" w:hAnsi="宋体" w:cs="宋体" w:eastAsia="宋体" w:hint="default"/>
                <w:sz w:val="18"/>
                <w:szCs w:val="18"/>
              </w:rPr>
            </w:pPr>
            <w:r>
              <w:rPr>
                <w:rFonts w:ascii="宋体"/>
                <w:sz w:val="18"/>
              </w:rPr>
              <w:t>27,500.00</w:t>
            </w:r>
          </w:p>
        </w:tc>
        <w:tc>
          <w:tcPr>
            <w:tcW w:w="117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35"/>
              <w:jc w:val="left"/>
              <w:rPr>
                <w:rFonts w:ascii="宋体" w:hAnsi="宋体" w:cs="宋体" w:eastAsia="宋体" w:hint="default"/>
                <w:sz w:val="18"/>
                <w:szCs w:val="18"/>
              </w:rPr>
            </w:pPr>
            <w:r>
              <w:rPr>
                <w:rFonts w:ascii="宋体" w:hAnsi="宋体" w:cs="宋体" w:eastAsia="宋体" w:hint="default"/>
                <w:sz w:val="18"/>
                <w:szCs w:val="18"/>
              </w:rPr>
              <w:t>高新技术企业认 定补贴</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4" w:right="60"/>
              <w:jc w:val="left"/>
              <w:rPr>
                <w:rFonts w:ascii="宋体" w:hAnsi="宋体" w:cs="宋体" w:eastAsia="宋体" w:hint="default"/>
                <w:sz w:val="18"/>
                <w:szCs w:val="18"/>
              </w:rPr>
            </w:pPr>
            <w:r>
              <w:rPr>
                <w:rFonts w:ascii="宋体" w:hAnsi="宋体" w:cs="宋体" w:eastAsia="宋体" w:hint="default"/>
                <w:sz w:val="18"/>
                <w:szCs w:val="18"/>
              </w:rPr>
              <w:t>武汉东湖新技 术开发区</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7"/>
              <w:jc w:val="left"/>
              <w:rPr>
                <w:rFonts w:ascii="宋体" w:hAnsi="宋体" w:cs="宋体" w:eastAsia="宋体" w:hint="default"/>
                <w:sz w:val="18"/>
                <w:szCs w:val="18"/>
              </w:rPr>
            </w:pPr>
            <w:r>
              <w:rPr>
                <w:rFonts w:ascii="宋体" w:hAnsi="宋体" w:cs="宋体" w:eastAsia="宋体" w:hint="default"/>
                <w:sz w:val="18"/>
                <w:szCs w:val="18"/>
              </w:rPr>
              <w:t>因从事国家鼓励 和扶持特定行业、 产业而获得的补 </w:t>
            </w:r>
            <w:r>
              <w:rPr>
                <w:rFonts w:ascii="宋体" w:hAnsi="宋体" w:cs="宋体" w:eastAsia="宋体" w:hint="default"/>
                <w:spacing w:val="-5"/>
                <w:sz w:val="18"/>
                <w:szCs w:val="18"/>
              </w:rPr>
              <w:t>助（按国家级政策</w:t>
            </w:r>
            <w:r>
              <w:rPr>
                <w:rFonts w:ascii="宋体" w:hAnsi="宋体" w:cs="宋体" w:eastAsia="宋体" w:hint="default"/>
                <w:sz w:val="18"/>
                <w:szCs w:val="18"/>
              </w:rPr>
              <w:t> 规定依法取得）</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sz w:val="18"/>
              </w:rPr>
              <w:t>20,000.00</w:t>
            </w:r>
          </w:p>
        </w:tc>
        <w:tc>
          <w:tcPr>
            <w:tcW w:w="117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境外参展补贴</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4" w:right="60"/>
              <w:jc w:val="left"/>
              <w:rPr>
                <w:rFonts w:ascii="宋体" w:hAnsi="宋体" w:cs="宋体" w:eastAsia="宋体" w:hint="default"/>
                <w:sz w:val="18"/>
                <w:szCs w:val="18"/>
              </w:rPr>
            </w:pPr>
            <w:r>
              <w:rPr>
                <w:rFonts w:ascii="宋体" w:hAnsi="宋体" w:cs="宋体" w:eastAsia="宋体" w:hint="default"/>
                <w:sz w:val="18"/>
                <w:szCs w:val="18"/>
              </w:rPr>
              <w:t>武汉东湖新技 术开发区</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61"/>
              <w:jc w:val="both"/>
              <w:rPr>
                <w:rFonts w:ascii="宋体" w:hAnsi="宋体" w:cs="宋体" w:eastAsia="宋体" w:hint="default"/>
                <w:sz w:val="18"/>
                <w:szCs w:val="18"/>
              </w:rPr>
            </w:pPr>
            <w:r>
              <w:rPr>
                <w:rFonts w:ascii="宋体" w:hAnsi="宋体" w:cs="宋体" w:eastAsia="宋体" w:hint="default"/>
                <w:sz w:val="18"/>
                <w:szCs w:val="18"/>
              </w:rPr>
              <w:t>因符合地方政府 招商引资等地方 性扶持政策而获 得的补助</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2"/>
              <w:jc w:val="right"/>
              <w:rPr>
                <w:rFonts w:ascii="宋体" w:hAnsi="宋体" w:cs="宋体" w:eastAsia="宋体" w:hint="default"/>
                <w:sz w:val="18"/>
                <w:szCs w:val="18"/>
              </w:rPr>
            </w:pPr>
            <w:r>
              <w:rPr>
                <w:rFonts w:ascii="宋体"/>
                <w:sz w:val="18"/>
              </w:rPr>
              <w:t>20,000.00</w:t>
            </w:r>
          </w:p>
        </w:tc>
        <w:tc>
          <w:tcPr>
            <w:tcW w:w="117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软件著作权补贴</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4" w:right="60"/>
              <w:jc w:val="left"/>
              <w:rPr>
                <w:rFonts w:ascii="宋体" w:hAnsi="宋体" w:cs="宋体" w:eastAsia="宋体" w:hint="default"/>
                <w:sz w:val="18"/>
                <w:szCs w:val="18"/>
              </w:rPr>
            </w:pPr>
            <w:r>
              <w:rPr>
                <w:rFonts w:ascii="宋体" w:hAnsi="宋体" w:cs="宋体" w:eastAsia="宋体" w:hint="default"/>
                <w:sz w:val="18"/>
                <w:szCs w:val="18"/>
              </w:rPr>
              <w:t>武汉东湖新技 术开发区</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61"/>
              <w:jc w:val="both"/>
              <w:rPr>
                <w:rFonts w:ascii="宋体" w:hAnsi="宋体" w:cs="宋体" w:eastAsia="宋体" w:hint="default"/>
                <w:sz w:val="18"/>
                <w:szCs w:val="18"/>
              </w:rPr>
            </w:pPr>
            <w:r>
              <w:rPr>
                <w:rFonts w:ascii="宋体" w:hAnsi="宋体" w:cs="宋体" w:eastAsia="宋体" w:hint="default"/>
                <w:sz w:val="18"/>
                <w:szCs w:val="18"/>
              </w:rPr>
              <w:t>因符合地方政府 招商引资等地方 性扶持政策而获 得的补助</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2"/>
              <w:jc w:val="right"/>
              <w:rPr>
                <w:rFonts w:ascii="宋体" w:hAnsi="宋体" w:cs="宋体" w:eastAsia="宋体" w:hint="default"/>
                <w:sz w:val="18"/>
                <w:szCs w:val="18"/>
              </w:rPr>
            </w:pPr>
            <w:r>
              <w:rPr>
                <w:rFonts w:ascii="宋体"/>
                <w:sz w:val="18"/>
              </w:rPr>
              <w:t>3,000.00</w:t>
            </w:r>
          </w:p>
        </w:tc>
        <w:tc>
          <w:tcPr>
            <w:tcW w:w="117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35"/>
              <w:jc w:val="left"/>
              <w:rPr>
                <w:rFonts w:ascii="宋体" w:hAnsi="宋体" w:cs="宋体" w:eastAsia="宋体" w:hint="default"/>
                <w:sz w:val="18"/>
                <w:szCs w:val="18"/>
              </w:rPr>
            </w:pPr>
            <w:r>
              <w:rPr>
                <w:rFonts w:ascii="宋体" w:hAnsi="宋体" w:cs="宋体" w:eastAsia="宋体" w:hint="default"/>
                <w:sz w:val="18"/>
                <w:szCs w:val="18"/>
              </w:rPr>
              <w:t>开发区科技创新 项目</w:t>
            </w:r>
            <w:r>
              <w:rPr>
                <w:rFonts w:ascii="宋体" w:hAnsi="宋体" w:cs="宋体" w:eastAsia="宋体" w:hint="default"/>
                <w:sz w:val="18"/>
                <w:szCs w:val="18"/>
              </w:rPr>
              <w:t>-</w:t>
            </w:r>
            <w:r>
              <w:rPr>
                <w:rFonts w:ascii="宋体" w:hAnsi="宋体" w:cs="宋体" w:eastAsia="宋体" w:hint="default"/>
                <w:sz w:val="18"/>
                <w:szCs w:val="18"/>
              </w:rPr>
              <w:t>金融产品 产业化</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4" w:right="60"/>
              <w:jc w:val="left"/>
              <w:rPr>
                <w:rFonts w:ascii="宋体" w:hAnsi="宋体" w:cs="宋体" w:eastAsia="宋体" w:hint="default"/>
                <w:sz w:val="18"/>
                <w:szCs w:val="18"/>
              </w:rPr>
            </w:pPr>
            <w:r>
              <w:rPr>
                <w:rFonts w:ascii="宋体" w:hAnsi="宋体" w:cs="宋体" w:eastAsia="宋体" w:hint="default"/>
                <w:sz w:val="18"/>
                <w:szCs w:val="18"/>
              </w:rPr>
              <w:t>武汉东湖新技 术开发区</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7"/>
              <w:jc w:val="left"/>
              <w:rPr>
                <w:rFonts w:ascii="宋体" w:hAnsi="宋体" w:cs="宋体" w:eastAsia="宋体" w:hint="default"/>
                <w:sz w:val="18"/>
                <w:szCs w:val="18"/>
              </w:rPr>
            </w:pPr>
            <w:r>
              <w:rPr>
                <w:rFonts w:ascii="宋体" w:hAnsi="宋体" w:cs="宋体" w:eastAsia="宋体" w:hint="default"/>
                <w:sz w:val="18"/>
                <w:szCs w:val="18"/>
              </w:rPr>
              <w:t>因从事国家鼓励 和扶持特定行业、 产业而获得的补 </w:t>
            </w:r>
            <w:r>
              <w:rPr>
                <w:rFonts w:ascii="宋体" w:hAnsi="宋体" w:cs="宋体" w:eastAsia="宋体" w:hint="default"/>
                <w:spacing w:val="-5"/>
                <w:sz w:val="18"/>
                <w:szCs w:val="18"/>
              </w:rPr>
              <w:t>助（按国家级政策</w:t>
            </w:r>
            <w:r>
              <w:rPr>
                <w:rFonts w:ascii="宋体" w:hAnsi="宋体" w:cs="宋体" w:eastAsia="宋体" w:hint="default"/>
                <w:sz w:val="18"/>
                <w:szCs w:val="18"/>
              </w:rPr>
              <w:t> 规定依法取得）</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49"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宋体" w:hAnsi="宋体" w:cs="宋体" w:eastAsia="宋体" w:hint="default"/>
                <w:sz w:val="18"/>
                <w:szCs w:val="18"/>
              </w:rPr>
            </w:pPr>
            <w:r>
              <w:rPr>
                <w:rFonts w:ascii="宋体"/>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35"/>
              <w:jc w:val="left"/>
              <w:rPr>
                <w:rFonts w:ascii="宋体" w:hAnsi="宋体" w:cs="宋体" w:eastAsia="宋体" w:hint="default"/>
                <w:sz w:val="18"/>
                <w:szCs w:val="18"/>
              </w:rPr>
            </w:pPr>
            <w:r>
              <w:rPr>
                <w:rFonts w:ascii="宋体" w:hAnsi="宋体" w:cs="宋体" w:eastAsia="宋体" w:hint="default"/>
                <w:sz w:val="18"/>
                <w:szCs w:val="18"/>
              </w:rPr>
              <w:t>工业倍增贡献奖 骨干企业</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4" w:right="60"/>
              <w:jc w:val="left"/>
              <w:rPr>
                <w:rFonts w:ascii="宋体" w:hAnsi="宋体" w:cs="宋体" w:eastAsia="宋体" w:hint="default"/>
                <w:sz w:val="18"/>
                <w:szCs w:val="18"/>
              </w:rPr>
            </w:pPr>
            <w:r>
              <w:rPr>
                <w:rFonts w:ascii="宋体" w:hAnsi="宋体" w:cs="宋体" w:eastAsia="宋体" w:hint="default"/>
                <w:sz w:val="18"/>
                <w:szCs w:val="18"/>
              </w:rPr>
              <w:t>武汉东湖新技 术开发区</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61"/>
              <w:jc w:val="both"/>
              <w:rPr>
                <w:rFonts w:ascii="宋体" w:hAnsi="宋体" w:cs="宋体" w:eastAsia="宋体" w:hint="default"/>
                <w:sz w:val="18"/>
                <w:szCs w:val="18"/>
              </w:rPr>
            </w:pPr>
            <w:r>
              <w:rPr>
                <w:rFonts w:ascii="宋体" w:hAnsi="宋体" w:cs="宋体" w:eastAsia="宋体" w:hint="default"/>
                <w:sz w:val="18"/>
                <w:szCs w:val="18"/>
              </w:rPr>
              <w:t>因符合地方政府 招商引资等地方 性扶持政策而获 得的补助</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49"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宋体" w:hAnsi="宋体" w:cs="宋体" w:eastAsia="宋体" w:hint="default"/>
                <w:sz w:val="18"/>
                <w:szCs w:val="18"/>
              </w:rPr>
            </w:pPr>
            <w:r>
              <w:rPr>
                <w:rFonts w:ascii="宋体"/>
                <w:sz w:val="18"/>
              </w:rPr>
              <w:t>150,000.00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5"/>
              <w:jc w:val="both"/>
              <w:rPr>
                <w:rFonts w:ascii="宋体" w:hAnsi="宋体" w:cs="宋体" w:eastAsia="宋体" w:hint="default"/>
                <w:sz w:val="18"/>
                <w:szCs w:val="18"/>
              </w:rPr>
            </w:pPr>
            <w:r>
              <w:rPr>
                <w:rFonts w:ascii="宋体" w:hAnsi="宋体" w:cs="宋体" w:eastAsia="宋体" w:hint="default"/>
                <w:sz w:val="18"/>
                <w:szCs w:val="18"/>
              </w:rPr>
              <w:t>武汉东湖新技术 开发区经济贡献 奖突出贡献企业</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60"/>
              <w:jc w:val="left"/>
              <w:rPr>
                <w:rFonts w:ascii="宋体" w:hAnsi="宋体" w:cs="宋体" w:eastAsia="宋体" w:hint="default"/>
                <w:sz w:val="18"/>
                <w:szCs w:val="18"/>
              </w:rPr>
            </w:pPr>
            <w:r>
              <w:rPr>
                <w:rFonts w:ascii="宋体" w:hAnsi="宋体" w:cs="宋体" w:eastAsia="宋体" w:hint="default"/>
                <w:sz w:val="18"/>
                <w:szCs w:val="18"/>
              </w:rPr>
              <w:t>武汉东湖新技 术开发区</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3" w:right="161"/>
              <w:jc w:val="both"/>
              <w:rPr>
                <w:rFonts w:ascii="宋体" w:hAnsi="宋体" w:cs="宋体" w:eastAsia="宋体" w:hint="default"/>
                <w:sz w:val="18"/>
                <w:szCs w:val="18"/>
              </w:rPr>
            </w:pPr>
            <w:r>
              <w:rPr>
                <w:rFonts w:ascii="宋体" w:hAnsi="宋体" w:cs="宋体" w:eastAsia="宋体" w:hint="default"/>
                <w:sz w:val="18"/>
                <w:szCs w:val="18"/>
              </w:rPr>
              <w:t>因符合地方政府 招商引资等地方 性扶持政策而获</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49"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150,000.00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1187" w:top="1100" w:bottom="138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1330"/>
        <w:gridCol w:w="1176"/>
        <w:gridCol w:w="546"/>
        <w:gridCol w:w="1457"/>
        <w:gridCol w:w="1021"/>
        <w:gridCol w:w="658"/>
        <w:gridCol w:w="1149"/>
        <w:gridCol w:w="1170"/>
        <w:gridCol w:w="1063"/>
      </w:tblGrid>
      <w:tr>
        <w:trPr>
          <w:trHeight w:val="362" w:hRule="exact"/>
        </w:trPr>
        <w:tc>
          <w:tcPr>
            <w:tcW w:w="133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得的补助</w:t>
            </w:r>
          </w:p>
        </w:tc>
        <w:tc>
          <w:tcPr>
            <w:tcW w:w="1021"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149"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35"/>
              <w:jc w:val="left"/>
              <w:rPr>
                <w:rFonts w:ascii="宋体" w:hAnsi="宋体" w:cs="宋体" w:eastAsia="宋体" w:hint="default"/>
                <w:sz w:val="18"/>
                <w:szCs w:val="18"/>
              </w:rPr>
            </w:pPr>
            <w:r>
              <w:rPr>
                <w:rFonts w:ascii="宋体" w:hAnsi="宋体" w:cs="宋体" w:eastAsia="宋体" w:hint="default"/>
                <w:sz w:val="18"/>
                <w:szCs w:val="18"/>
              </w:rPr>
              <w:t>成长型企业贷款 贴息</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4" w:right="60"/>
              <w:jc w:val="left"/>
              <w:rPr>
                <w:rFonts w:ascii="宋体" w:hAnsi="宋体" w:cs="宋体" w:eastAsia="宋体" w:hint="default"/>
                <w:sz w:val="18"/>
                <w:szCs w:val="18"/>
              </w:rPr>
            </w:pPr>
            <w:r>
              <w:rPr>
                <w:rFonts w:ascii="宋体" w:hAnsi="宋体" w:cs="宋体" w:eastAsia="宋体" w:hint="default"/>
                <w:sz w:val="18"/>
                <w:szCs w:val="18"/>
              </w:rPr>
              <w:t>武汉东湖新技 术开发区</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61"/>
              <w:jc w:val="both"/>
              <w:rPr>
                <w:rFonts w:ascii="宋体" w:hAnsi="宋体" w:cs="宋体" w:eastAsia="宋体" w:hint="default"/>
                <w:sz w:val="18"/>
                <w:szCs w:val="18"/>
              </w:rPr>
            </w:pPr>
            <w:r>
              <w:rPr>
                <w:rFonts w:ascii="宋体" w:hAnsi="宋体" w:cs="宋体" w:eastAsia="宋体" w:hint="default"/>
                <w:sz w:val="18"/>
                <w:szCs w:val="18"/>
              </w:rPr>
              <w:t>因符合地方政府 招商引资等地方 性扶持政策而获 得的补助</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49"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宋体" w:hAnsi="宋体" w:cs="宋体" w:eastAsia="宋体" w:hint="default"/>
                <w:sz w:val="18"/>
                <w:szCs w:val="18"/>
              </w:rPr>
            </w:pPr>
            <w:r>
              <w:rPr>
                <w:rFonts w:ascii="宋体"/>
                <w:sz w:val="18"/>
              </w:rPr>
              <w:t>106,500.00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35"/>
              <w:jc w:val="both"/>
              <w:rPr>
                <w:rFonts w:ascii="宋体" w:hAnsi="宋体" w:cs="宋体" w:eastAsia="宋体" w:hint="default"/>
                <w:sz w:val="18"/>
                <w:szCs w:val="18"/>
              </w:rPr>
            </w:pPr>
            <w:r>
              <w:rPr>
                <w:rFonts w:ascii="宋体" w:hAnsi="宋体" w:cs="宋体" w:eastAsia="宋体" w:hint="default"/>
                <w:sz w:val="18"/>
                <w:szCs w:val="18"/>
              </w:rPr>
              <w:t>武汉东湖新技术 开发区经济贡献 奖励</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4" w:right="60"/>
              <w:jc w:val="left"/>
              <w:rPr>
                <w:rFonts w:ascii="宋体" w:hAnsi="宋体" w:cs="宋体" w:eastAsia="宋体" w:hint="default"/>
                <w:sz w:val="18"/>
                <w:szCs w:val="18"/>
              </w:rPr>
            </w:pPr>
            <w:r>
              <w:rPr>
                <w:rFonts w:ascii="宋体" w:hAnsi="宋体" w:cs="宋体" w:eastAsia="宋体" w:hint="default"/>
                <w:sz w:val="18"/>
                <w:szCs w:val="18"/>
              </w:rPr>
              <w:t>武汉东湖新技 术开发区</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61"/>
              <w:jc w:val="both"/>
              <w:rPr>
                <w:rFonts w:ascii="宋体" w:hAnsi="宋体" w:cs="宋体" w:eastAsia="宋体" w:hint="default"/>
                <w:sz w:val="18"/>
                <w:szCs w:val="18"/>
              </w:rPr>
            </w:pPr>
            <w:r>
              <w:rPr>
                <w:rFonts w:ascii="宋体" w:hAnsi="宋体" w:cs="宋体" w:eastAsia="宋体" w:hint="default"/>
                <w:sz w:val="18"/>
                <w:szCs w:val="18"/>
              </w:rPr>
              <w:t>因符合地方政府 招商引资等地方 性扶持政策而获 得的补助</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49"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宋体" w:hAnsi="宋体" w:cs="宋体" w:eastAsia="宋体" w:hint="default"/>
                <w:sz w:val="18"/>
                <w:szCs w:val="18"/>
              </w:rPr>
            </w:pPr>
            <w:r>
              <w:rPr>
                <w:rFonts w:ascii="宋体"/>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35"/>
              <w:jc w:val="both"/>
              <w:rPr>
                <w:rFonts w:ascii="宋体" w:hAnsi="宋体" w:cs="宋体" w:eastAsia="宋体" w:hint="default"/>
                <w:sz w:val="18"/>
                <w:szCs w:val="18"/>
              </w:rPr>
            </w:pPr>
            <w:r>
              <w:rPr>
                <w:rFonts w:ascii="宋体" w:hAnsi="宋体" w:cs="宋体" w:eastAsia="宋体" w:hint="default"/>
                <w:sz w:val="18"/>
                <w:szCs w:val="18"/>
              </w:rPr>
              <w:t>武汉东湖新技术 开发区孵化器补 贴</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4" w:right="60"/>
              <w:jc w:val="left"/>
              <w:rPr>
                <w:rFonts w:ascii="宋体" w:hAnsi="宋体" w:cs="宋体" w:eastAsia="宋体" w:hint="default"/>
                <w:sz w:val="18"/>
                <w:szCs w:val="18"/>
              </w:rPr>
            </w:pPr>
            <w:r>
              <w:rPr>
                <w:rFonts w:ascii="宋体" w:hAnsi="宋体" w:cs="宋体" w:eastAsia="宋体" w:hint="default"/>
                <w:sz w:val="18"/>
                <w:szCs w:val="18"/>
              </w:rPr>
              <w:t>武汉东湖新技 术开发区</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61"/>
              <w:jc w:val="both"/>
              <w:rPr>
                <w:rFonts w:ascii="宋体" w:hAnsi="宋体" w:cs="宋体" w:eastAsia="宋体" w:hint="default"/>
                <w:sz w:val="18"/>
                <w:szCs w:val="18"/>
              </w:rPr>
            </w:pPr>
            <w:r>
              <w:rPr>
                <w:rFonts w:ascii="宋体" w:hAnsi="宋体" w:cs="宋体" w:eastAsia="宋体" w:hint="default"/>
                <w:sz w:val="18"/>
                <w:szCs w:val="18"/>
              </w:rPr>
              <w:t>因符合地方政府 招商引资等地方 性扶持政策而获 得的补助</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49"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宋体" w:hAnsi="宋体" w:cs="宋体" w:eastAsia="宋体" w:hint="default"/>
                <w:sz w:val="18"/>
                <w:szCs w:val="18"/>
              </w:rPr>
            </w:pPr>
            <w:r>
              <w:rPr>
                <w:rFonts w:ascii="宋体"/>
                <w:sz w:val="18"/>
              </w:rPr>
              <w:t>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35"/>
              <w:jc w:val="left"/>
              <w:rPr>
                <w:rFonts w:ascii="宋体" w:hAnsi="宋体" w:cs="宋体" w:eastAsia="宋体" w:hint="default"/>
                <w:sz w:val="18"/>
                <w:szCs w:val="18"/>
              </w:rPr>
            </w:pPr>
            <w:r>
              <w:rPr>
                <w:rFonts w:ascii="宋体" w:hAnsi="宋体" w:cs="宋体" w:eastAsia="宋体" w:hint="default"/>
                <w:sz w:val="18"/>
                <w:szCs w:val="18"/>
              </w:rPr>
              <w:t>湖北省大学生见 习补贴</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武汉市财政局</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61"/>
              <w:jc w:val="both"/>
              <w:rPr>
                <w:rFonts w:ascii="宋体" w:hAnsi="宋体" w:cs="宋体" w:eastAsia="宋体" w:hint="default"/>
                <w:sz w:val="18"/>
                <w:szCs w:val="18"/>
              </w:rPr>
            </w:pPr>
            <w:r>
              <w:rPr>
                <w:rFonts w:ascii="宋体" w:hAnsi="宋体" w:cs="宋体" w:eastAsia="宋体" w:hint="default"/>
                <w:sz w:val="18"/>
                <w:szCs w:val="18"/>
              </w:rPr>
              <w:t>因符合地方政府 招商引资等地方 性扶持政策而获 得的补助</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2"/>
              <w:jc w:val="right"/>
              <w:rPr>
                <w:rFonts w:ascii="宋体" w:hAnsi="宋体" w:cs="宋体" w:eastAsia="宋体" w:hint="default"/>
                <w:sz w:val="18"/>
                <w:szCs w:val="18"/>
              </w:rPr>
            </w:pPr>
            <w:r>
              <w:rPr>
                <w:rFonts w:ascii="宋体"/>
                <w:sz w:val="18"/>
              </w:rPr>
              <w:t>279,240.00</w:t>
            </w:r>
          </w:p>
        </w:tc>
        <w:tc>
          <w:tcPr>
            <w:tcW w:w="117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住房补贴</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武汉市财政局</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61"/>
              <w:jc w:val="both"/>
              <w:rPr>
                <w:rFonts w:ascii="宋体" w:hAnsi="宋体" w:cs="宋体" w:eastAsia="宋体" w:hint="default"/>
                <w:sz w:val="18"/>
                <w:szCs w:val="18"/>
              </w:rPr>
            </w:pPr>
            <w:r>
              <w:rPr>
                <w:rFonts w:ascii="宋体" w:hAnsi="宋体" w:cs="宋体" w:eastAsia="宋体" w:hint="default"/>
                <w:sz w:val="18"/>
                <w:szCs w:val="18"/>
              </w:rPr>
              <w:t>因符合地方政府 招商引资等地方 性扶持政策而获 得的补助</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2"/>
              <w:jc w:val="right"/>
              <w:rPr>
                <w:rFonts w:ascii="宋体" w:hAnsi="宋体" w:cs="宋体" w:eastAsia="宋体" w:hint="default"/>
                <w:sz w:val="18"/>
                <w:szCs w:val="18"/>
              </w:rPr>
            </w:pPr>
            <w:r>
              <w:rPr>
                <w:rFonts w:ascii="宋体"/>
                <w:sz w:val="18"/>
              </w:rPr>
              <w:t>40,500.00</w:t>
            </w:r>
          </w:p>
        </w:tc>
        <w:tc>
          <w:tcPr>
            <w:tcW w:w="117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35"/>
              <w:jc w:val="left"/>
              <w:rPr>
                <w:rFonts w:ascii="宋体" w:hAnsi="宋体" w:cs="宋体" w:eastAsia="宋体" w:hint="default"/>
                <w:sz w:val="18"/>
                <w:szCs w:val="18"/>
              </w:rPr>
            </w:pPr>
            <w:r>
              <w:rPr>
                <w:rFonts w:ascii="宋体" w:hAnsi="宋体" w:cs="宋体" w:eastAsia="宋体" w:hint="default"/>
                <w:sz w:val="18"/>
                <w:szCs w:val="18"/>
              </w:rPr>
              <w:t>武汉市信息产业 专项资金</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4" w:right="60"/>
              <w:jc w:val="left"/>
              <w:rPr>
                <w:rFonts w:ascii="宋体" w:hAnsi="宋体" w:cs="宋体" w:eastAsia="宋体" w:hint="default"/>
                <w:sz w:val="18"/>
                <w:szCs w:val="18"/>
              </w:rPr>
            </w:pPr>
            <w:r>
              <w:rPr>
                <w:rFonts w:ascii="宋体" w:hAnsi="宋体" w:cs="宋体" w:eastAsia="宋体" w:hint="default"/>
                <w:sz w:val="18"/>
                <w:szCs w:val="18"/>
              </w:rPr>
              <w:t>武汉市经济和 信息化委员会</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7"/>
              <w:jc w:val="left"/>
              <w:rPr>
                <w:rFonts w:ascii="宋体" w:hAnsi="宋体" w:cs="宋体" w:eastAsia="宋体" w:hint="default"/>
                <w:sz w:val="18"/>
                <w:szCs w:val="18"/>
              </w:rPr>
            </w:pPr>
            <w:r>
              <w:rPr>
                <w:rFonts w:ascii="宋体" w:hAnsi="宋体" w:cs="宋体" w:eastAsia="宋体" w:hint="default"/>
                <w:sz w:val="18"/>
                <w:szCs w:val="18"/>
              </w:rPr>
              <w:t>因从事国家鼓励 和扶持特定行业、 产业而获得的补 </w:t>
            </w:r>
            <w:r>
              <w:rPr>
                <w:rFonts w:ascii="宋体" w:hAnsi="宋体" w:cs="宋体" w:eastAsia="宋体" w:hint="default"/>
                <w:spacing w:val="-5"/>
                <w:sz w:val="18"/>
                <w:szCs w:val="18"/>
              </w:rPr>
              <w:t>助（按国家级政策</w:t>
            </w:r>
            <w:r>
              <w:rPr>
                <w:rFonts w:ascii="宋体" w:hAnsi="宋体" w:cs="宋体" w:eastAsia="宋体" w:hint="default"/>
                <w:sz w:val="18"/>
                <w:szCs w:val="18"/>
              </w:rPr>
              <w:t> 规定依法取得）</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sz w:val="18"/>
              </w:rPr>
              <w:t>650,000.00</w:t>
            </w:r>
          </w:p>
        </w:tc>
        <w:tc>
          <w:tcPr>
            <w:tcW w:w="117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企业上规模奖励</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4" w:right="60"/>
              <w:jc w:val="left"/>
              <w:rPr>
                <w:rFonts w:ascii="宋体" w:hAnsi="宋体" w:cs="宋体" w:eastAsia="宋体" w:hint="default"/>
                <w:sz w:val="18"/>
                <w:szCs w:val="18"/>
              </w:rPr>
            </w:pPr>
            <w:r>
              <w:rPr>
                <w:rFonts w:ascii="宋体" w:hAnsi="宋体" w:cs="宋体" w:eastAsia="宋体" w:hint="default"/>
                <w:sz w:val="18"/>
                <w:szCs w:val="18"/>
              </w:rPr>
              <w:t>武汉市经济和 信息化委员会</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61"/>
              <w:jc w:val="both"/>
              <w:rPr>
                <w:rFonts w:ascii="宋体" w:hAnsi="宋体" w:cs="宋体" w:eastAsia="宋体" w:hint="default"/>
                <w:sz w:val="18"/>
                <w:szCs w:val="18"/>
              </w:rPr>
            </w:pPr>
            <w:r>
              <w:rPr>
                <w:rFonts w:ascii="宋体" w:hAnsi="宋体" w:cs="宋体" w:eastAsia="宋体" w:hint="default"/>
                <w:sz w:val="18"/>
                <w:szCs w:val="18"/>
              </w:rPr>
              <w:t>因符合地方政府 招商引资等地方 性扶持政策而获 得的补助</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2"/>
              <w:jc w:val="right"/>
              <w:rPr>
                <w:rFonts w:ascii="宋体" w:hAnsi="宋体" w:cs="宋体" w:eastAsia="宋体" w:hint="default"/>
                <w:sz w:val="18"/>
                <w:szCs w:val="18"/>
              </w:rPr>
            </w:pPr>
            <w:r>
              <w:rPr>
                <w:rFonts w:ascii="宋体"/>
                <w:sz w:val="18"/>
              </w:rPr>
              <w:t>130,800.00</w:t>
            </w:r>
          </w:p>
        </w:tc>
        <w:tc>
          <w:tcPr>
            <w:tcW w:w="117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武汉市工业企业 自主创新资金</w:t>
            </w:r>
            <w:r>
              <w:rPr>
                <w:rFonts w:ascii="宋体" w:hAnsi="宋体" w:cs="宋体" w:eastAsia="宋体" w:hint="default"/>
                <w:sz w:val="18"/>
                <w:szCs w:val="18"/>
              </w:rPr>
              <w:t>- </w:t>
            </w:r>
            <w:r>
              <w:rPr>
                <w:rFonts w:ascii="宋体" w:hAnsi="宋体" w:cs="宋体" w:eastAsia="宋体" w:hint="default"/>
                <w:sz w:val="18"/>
                <w:szCs w:val="18"/>
              </w:rPr>
              <w:t>面向移动互联网 的个人金融终端 产品研发与产业 化项目</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4" w:right="60"/>
              <w:jc w:val="left"/>
              <w:rPr>
                <w:rFonts w:ascii="宋体" w:hAnsi="宋体" w:cs="宋体" w:eastAsia="宋体" w:hint="default"/>
                <w:sz w:val="18"/>
                <w:szCs w:val="18"/>
              </w:rPr>
            </w:pPr>
            <w:r>
              <w:rPr>
                <w:rFonts w:ascii="宋体" w:hAnsi="宋体" w:cs="宋体" w:eastAsia="宋体" w:hint="default"/>
                <w:sz w:val="18"/>
                <w:szCs w:val="18"/>
              </w:rPr>
              <w:t>武汉市经济和 信息化委员会</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17"/>
              <w:jc w:val="left"/>
              <w:rPr>
                <w:rFonts w:ascii="宋体" w:hAnsi="宋体" w:cs="宋体" w:eastAsia="宋体" w:hint="default"/>
                <w:sz w:val="18"/>
                <w:szCs w:val="18"/>
              </w:rPr>
            </w:pPr>
            <w:r>
              <w:rPr>
                <w:rFonts w:ascii="宋体" w:hAnsi="宋体" w:cs="宋体" w:eastAsia="宋体" w:hint="default"/>
                <w:sz w:val="18"/>
                <w:szCs w:val="18"/>
              </w:rPr>
              <w:t>因从事国家鼓励 和扶持特定行业、 产业而获得的补 </w:t>
            </w:r>
            <w:r>
              <w:rPr>
                <w:rFonts w:ascii="宋体" w:hAnsi="宋体" w:cs="宋体" w:eastAsia="宋体" w:hint="default"/>
                <w:spacing w:val="-5"/>
                <w:sz w:val="18"/>
                <w:szCs w:val="18"/>
              </w:rPr>
              <w:t>助（按国家级政策</w:t>
            </w:r>
            <w:r>
              <w:rPr>
                <w:rFonts w:ascii="宋体" w:hAnsi="宋体" w:cs="宋体" w:eastAsia="宋体" w:hint="default"/>
                <w:sz w:val="18"/>
                <w:szCs w:val="18"/>
              </w:rPr>
              <w:t> 规定依法取得）</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49"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800,000.00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35"/>
              <w:jc w:val="left"/>
              <w:rPr>
                <w:rFonts w:ascii="宋体" w:hAnsi="宋体" w:cs="宋体" w:eastAsia="宋体" w:hint="default"/>
                <w:sz w:val="18"/>
                <w:szCs w:val="18"/>
              </w:rPr>
            </w:pPr>
            <w:r>
              <w:rPr>
                <w:rFonts w:ascii="宋体" w:hAnsi="宋体" w:cs="宋体" w:eastAsia="宋体" w:hint="default"/>
                <w:sz w:val="18"/>
                <w:szCs w:val="18"/>
              </w:rPr>
              <w:t>武汉市创新示范 企业奖励</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4" w:right="60"/>
              <w:jc w:val="left"/>
              <w:rPr>
                <w:rFonts w:ascii="宋体" w:hAnsi="宋体" w:cs="宋体" w:eastAsia="宋体" w:hint="default"/>
                <w:sz w:val="18"/>
                <w:szCs w:val="18"/>
              </w:rPr>
            </w:pPr>
            <w:r>
              <w:rPr>
                <w:rFonts w:ascii="宋体" w:hAnsi="宋体" w:cs="宋体" w:eastAsia="宋体" w:hint="default"/>
                <w:sz w:val="18"/>
                <w:szCs w:val="18"/>
              </w:rPr>
              <w:t>武汉市经济和 信息化委员会</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61"/>
              <w:jc w:val="both"/>
              <w:rPr>
                <w:rFonts w:ascii="宋体" w:hAnsi="宋体" w:cs="宋体" w:eastAsia="宋体" w:hint="default"/>
                <w:sz w:val="18"/>
                <w:szCs w:val="18"/>
              </w:rPr>
            </w:pPr>
            <w:r>
              <w:rPr>
                <w:rFonts w:ascii="宋体" w:hAnsi="宋体" w:cs="宋体" w:eastAsia="宋体" w:hint="default"/>
                <w:sz w:val="18"/>
                <w:szCs w:val="18"/>
              </w:rPr>
              <w:t>因符合地方政府 招商引资等地方 性扶持政策而获 得的补助</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49"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宋体" w:hAnsi="宋体" w:cs="宋体" w:eastAsia="宋体" w:hint="default"/>
                <w:sz w:val="18"/>
                <w:szCs w:val="18"/>
              </w:rPr>
            </w:pPr>
            <w:r>
              <w:rPr>
                <w:rFonts w:ascii="宋体"/>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武汉市软件产业</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4" w:right="0"/>
              <w:jc w:val="left"/>
              <w:rPr>
                <w:rFonts w:ascii="宋体" w:hAnsi="宋体" w:cs="宋体" w:eastAsia="宋体" w:hint="default"/>
                <w:sz w:val="18"/>
                <w:szCs w:val="18"/>
              </w:rPr>
            </w:pPr>
            <w:r>
              <w:rPr>
                <w:rFonts w:ascii="宋体" w:hAnsi="宋体" w:cs="宋体" w:eastAsia="宋体" w:hint="default"/>
                <w:sz w:val="18"/>
                <w:szCs w:val="18"/>
              </w:rPr>
              <w:t>武汉市经济和</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因从事国家鼓励</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49"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1187" w:top="1100" w:bottom="138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1330"/>
        <w:gridCol w:w="1176"/>
        <w:gridCol w:w="546"/>
        <w:gridCol w:w="1457"/>
        <w:gridCol w:w="1021"/>
        <w:gridCol w:w="658"/>
        <w:gridCol w:w="1149"/>
        <w:gridCol w:w="1170"/>
        <w:gridCol w:w="1063"/>
      </w:tblGrid>
      <w:tr>
        <w:trPr>
          <w:trHeight w:val="1298"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发展专项资金</w:t>
            </w:r>
          </w:p>
          <w:p>
            <w:pPr>
              <w:pStyle w:val="TableParagraph"/>
              <w:spacing w:line="319" w:lineRule="auto" w:before="76"/>
              <w:ind w:left="22" w:right="17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CMMIL3</w:t>
            </w:r>
            <w:r>
              <w:rPr>
                <w:rFonts w:ascii="宋体" w:hAnsi="宋体" w:cs="宋体" w:eastAsia="宋体" w:hint="default"/>
                <w:spacing w:val="-46"/>
                <w:sz w:val="18"/>
                <w:szCs w:val="18"/>
              </w:rPr>
              <w:t> </w:t>
            </w:r>
            <w:r>
              <w:rPr>
                <w:rFonts w:ascii="宋体" w:hAnsi="宋体" w:cs="宋体" w:eastAsia="宋体" w:hint="default"/>
                <w:sz w:val="18"/>
                <w:szCs w:val="18"/>
              </w:rPr>
              <w:t>认证 补贴）</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信息化委员会</w:t>
            </w:r>
          </w:p>
        </w:tc>
        <w:tc>
          <w:tcPr>
            <w:tcW w:w="546"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7"/>
              <w:jc w:val="left"/>
              <w:rPr>
                <w:rFonts w:ascii="宋体" w:hAnsi="宋体" w:cs="宋体" w:eastAsia="宋体" w:hint="default"/>
                <w:sz w:val="18"/>
                <w:szCs w:val="18"/>
              </w:rPr>
            </w:pPr>
            <w:r>
              <w:rPr>
                <w:rFonts w:ascii="宋体" w:hAnsi="宋体" w:cs="宋体" w:eastAsia="宋体" w:hint="default"/>
                <w:sz w:val="18"/>
                <w:szCs w:val="18"/>
              </w:rPr>
              <w:t>和扶持特定行业、 产业而获得的补 </w:t>
            </w:r>
            <w:r>
              <w:rPr>
                <w:rFonts w:ascii="宋体" w:hAnsi="宋体" w:cs="宋体" w:eastAsia="宋体" w:hint="default"/>
                <w:spacing w:val="-5"/>
                <w:sz w:val="18"/>
                <w:szCs w:val="18"/>
              </w:rPr>
              <w:t>助（按国家级政策</w:t>
            </w:r>
            <w:r>
              <w:rPr>
                <w:rFonts w:ascii="宋体" w:hAnsi="宋体" w:cs="宋体" w:eastAsia="宋体" w:hint="default"/>
                <w:sz w:val="18"/>
                <w:szCs w:val="18"/>
              </w:rPr>
              <w:t> 规定依法取得）</w:t>
            </w:r>
          </w:p>
        </w:tc>
        <w:tc>
          <w:tcPr>
            <w:tcW w:w="1021"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149"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35"/>
              <w:jc w:val="left"/>
              <w:rPr>
                <w:rFonts w:ascii="宋体" w:hAnsi="宋体" w:cs="宋体" w:eastAsia="宋体" w:hint="default"/>
                <w:sz w:val="18"/>
                <w:szCs w:val="18"/>
              </w:rPr>
            </w:pPr>
            <w:r>
              <w:rPr>
                <w:rFonts w:ascii="宋体" w:hAnsi="宋体" w:cs="宋体" w:eastAsia="宋体" w:hint="default"/>
                <w:sz w:val="18"/>
                <w:szCs w:val="18"/>
              </w:rPr>
              <w:t>高新技术研发与 产业化补贴</w:t>
            </w:r>
            <w:r>
              <w:rPr>
                <w:rFonts w:ascii="宋体" w:hAnsi="宋体" w:cs="宋体" w:eastAsia="宋体" w:hint="default"/>
                <w:sz w:val="18"/>
                <w:szCs w:val="18"/>
              </w:rPr>
              <w:t>-</w:t>
            </w:r>
            <w:r>
              <w:rPr>
                <w:rFonts w:ascii="宋体" w:hAnsi="宋体" w:cs="宋体" w:eastAsia="宋体" w:hint="default"/>
                <w:sz w:val="18"/>
                <w:szCs w:val="18"/>
              </w:rPr>
              <w:t>研 发投入补贴</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武汉市科技局</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7"/>
              <w:jc w:val="left"/>
              <w:rPr>
                <w:rFonts w:ascii="宋体" w:hAnsi="宋体" w:cs="宋体" w:eastAsia="宋体" w:hint="default"/>
                <w:sz w:val="18"/>
                <w:szCs w:val="18"/>
              </w:rPr>
            </w:pPr>
            <w:r>
              <w:rPr>
                <w:rFonts w:ascii="宋体" w:hAnsi="宋体" w:cs="宋体" w:eastAsia="宋体" w:hint="default"/>
                <w:sz w:val="18"/>
                <w:szCs w:val="18"/>
              </w:rPr>
              <w:t>因从事国家鼓励 和扶持特定行业、 产业而获得的补 </w:t>
            </w:r>
            <w:r>
              <w:rPr>
                <w:rFonts w:ascii="宋体" w:hAnsi="宋体" w:cs="宋体" w:eastAsia="宋体" w:hint="default"/>
                <w:spacing w:val="-5"/>
                <w:sz w:val="18"/>
                <w:szCs w:val="18"/>
              </w:rPr>
              <w:t>助（按国家级政策</w:t>
            </w:r>
            <w:r>
              <w:rPr>
                <w:rFonts w:ascii="宋体" w:hAnsi="宋体" w:cs="宋体" w:eastAsia="宋体" w:hint="default"/>
                <w:sz w:val="18"/>
                <w:szCs w:val="18"/>
              </w:rPr>
              <w:t> 规定依法取得）</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sz w:val="18"/>
              </w:rPr>
              <w:t>660,000.00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宋体" w:hAnsi="宋体" w:cs="宋体" w:eastAsia="宋体" w:hint="default"/>
                <w:sz w:val="18"/>
                <w:szCs w:val="18"/>
              </w:rPr>
            </w:pPr>
            <w:r>
              <w:rPr>
                <w:rFonts w:ascii="宋体"/>
                <w:sz w:val="18"/>
              </w:rPr>
              <w:t>1,500,000.00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35"/>
              <w:jc w:val="left"/>
              <w:rPr>
                <w:rFonts w:ascii="宋体" w:hAnsi="宋体" w:cs="宋体" w:eastAsia="宋体" w:hint="default"/>
                <w:sz w:val="18"/>
                <w:szCs w:val="18"/>
              </w:rPr>
            </w:pPr>
            <w:r>
              <w:rPr>
                <w:rFonts w:ascii="宋体" w:hAnsi="宋体" w:cs="宋体" w:eastAsia="宋体" w:hint="default"/>
                <w:sz w:val="18"/>
                <w:szCs w:val="18"/>
              </w:rPr>
              <w:t>科技保险保费补 贴</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武汉市科技局</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61"/>
              <w:jc w:val="both"/>
              <w:rPr>
                <w:rFonts w:ascii="宋体" w:hAnsi="宋体" w:cs="宋体" w:eastAsia="宋体" w:hint="default"/>
                <w:sz w:val="18"/>
                <w:szCs w:val="18"/>
              </w:rPr>
            </w:pPr>
            <w:r>
              <w:rPr>
                <w:rFonts w:ascii="宋体" w:hAnsi="宋体" w:cs="宋体" w:eastAsia="宋体" w:hint="default"/>
                <w:sz w:val="18"/>
                <w:szCs w:val="18"/>
              </w:rPr>
              <w:t>因符合地方政府 招商引资等地方 性扶持政策而获 得的补助</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2"/>
              <w:jc w:val="right"/>
              <w:rPr>
                <w:rFonts w:ascii="宋体" w:hAnsi="宋体" w:cs="宋体" w:eastAsia="宋体" w:hint="default"/>
                <w:sz w:val="18"/>
                <w:szCs w:val="18"/>
              </w:rPr>
            </w:pPr>
            <w:r>
              <w:rPr>
                <w:rFonts w:ascii="宋体"/>
                <w:sz w:val="18"/>
              </w:rPr>
              <w:t>350,000.00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宋体" w:hAnsi="宋体" w:cs="宋体" w:eastAsia="宋体" w:hint="default"/>
                <w:sz w:val="18"/>
                <w:szCs w:val="18"/>
              </w:rPr>
            </w:pPr>
            <w:r>
              <w:rPr>
                <w:rFonts w:ascii="宋体"/>
                <w:sz w:val="18"/>
              </w:rPr>
              <w:t>203,500.00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35"/>
              <w:jc w:val="left"/>
              <w:rPr>
                <w:rFonts w:ascii="宋体" w:hAnsi="宋体" w:cs="宋体" w:eastAsia="宋体" w:hint="default"/>
                <w:sz w:val="18"/>
                <w:szCs w:val="18"/>
              </w:rPr>
            </w:pPr>
            <w:r>
              <w:rPr>
                <w:rFonts w:ascii="宋体" w:hAnsi="宋体" w:cs="宋体" w:eastAsia="宋体" w:hint="default"/>
                <w:sz w:val="18"/>
                <w:szCs w:val="18"/>
              </w:rPr>
              <w:t>高新技术企业奖 励补贴</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武汉市科技局</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7"/>
              <w:jc w:val="left"/>
              <w:rPr>
                <w:rFonts w:ascii="宋体" w:hAnsi="宋体" w:cs="宋体" w:eastAsia="宋体" w:hint="default"/>
                <w:sz w:val="18"/>
                <w:szCs w:val="18"/>
              </w:rPr>
            </w:pPr>
            <w:r>
              <w:rPr>
                <w:rFonts w:ascii="宋体" w:hAnsi="宋体" w:cs="宋体" w:eastAsia="宋体" w:hint="default"/>
                <w:sz w:val="18"/>
                <w:szCs w:val="18"/>
              </w:rPr>
              <w:t>因从事国家鼓励 和扶持特定行业、 产业而获得的补 </w:t>
            </w:r>
            <w:r>
              <w:rPr>
                <w:rFonts w:ascii="宋体" w:hAnsi="宋体" w:cs="宋体" w:eastAsia="宋体" w:hint="default"/>
                <w:spacing w:val="-5"/>
                <w:sz w:val="18"/>
                <w:szCs w:val="18"/>
              </w:rPr>
              <w:t>助（按国家级政策</w:t>
            </w:r>
            <w:r>
              <w:rPr>
                <w:rFonts w:ascii="宋体" w:hAnsi="宋体" w:cs="宋体" w:eastAsia="宋体" w:hint="default"/>
                <w:sz w:val="18"/>
                <w:szCs w:val="18"/>
              </w:rPr>
              <w:t> 规定依法取得）</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49"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宋体" w:hAnsi="宋体" w:cs="宋体" w:eastAsia="宋体" w:hint="default"/>
                <w:sz w:val="18"/>
                <w:szCs w:val="18"/>
              </w:rPr>
            </w:pPr>
            <w:r>
              <w:rPr>
                <w:rFonts w:ascii="宋体"/>
                <w:sz w:val="18"/>
              </w:rPr>
              <w:t>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35"/>
              <w:jc w:val="left"/>
              <w:rPr>
                <w:rFonts w:ascii="宋体" w:hAnsi="宋体" w:cs="宋体" w:eastAsia="宋体" w:hint="default"/>
                <w:sz w:val="18"/>
                <w:szCs w:val="18"/>
              </w:rPr>
            </w:pPr>
            <w:r>
              <w:rPr>
                <w:rFonts w:ascii="宋体" w:hAnsi="宋体" w:cs="宋体" w:eastAsia="宋体" w:hint="default"/>
                <w:sz w:val="18"/>
                <w:szCs w:val="18"/>
              </w:rPr>
              <w:t>武汉市技术转移 和技术奖励补贴</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武汉市科技局</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7"/>
              <w:jc w:val="left"/>
              <w:rPr>
                <w:rFonts w:ascii="宋体" w:hAnsi="宋体" w:cs="宋体" w:eastAsia="宋体" w:hint="default"/>
                <w:sz w:val="18"/>
                <w:szCs w:val="18"/>
              </w:rPr>
            </w:pPr>
            <w:r>
              <w:rPr>
                <w:rFonts w:ascii="宋体" w:hAnsi="宋体" w:cs="宋体" w:eastAsia="宋体" w:hint="default"/>
                <w:sz w:val="18"/>
                <w:szCs w:val="18"/>
              </w:rPr>
              <w:t>因从事国家鼓励 和扶持特定行业、 产业而获得的补 </w:t>
            </w:r>
            <w:r>
              <w:rPr>
                <w:rFonts w:ascii="宋体" w:hAnsi="宋体" w:cs="宋体" w:eastAsia="宋体" w:hint="default"/>
                <w:spacing w:val="-5"/>
                <w:sz w:val="18"/>
                <w:szCs w:val="18"/>
              </w:rPr>
              <w:t>助（按国家级政策</w:t>
            </w:r>
            <w:r>
              <w:rPr>
                <w:rFonts w:ascii="宋体" w:hAnsi="宋体" w:cs="宋体" w:eastAsia="宋体" w:hint="default"/>
                <w:sz w:val="18"/>
                <w:szCs w:val="18"/>
              </w:rPr>
              <w:t> 规定依法取得）</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49"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宋体" w:hAnsi="宋体" w:cs="宋体" w:eastAsia="宋体" w:hint="default"/>
                <w:sz w:val="18"/>
                <w:szCs w:val="18"/>
              </w:rPr>
            </w:pPr>
            <w:r>
              <w:rPr>
                <w:rFonts w:ascii="宋体"/>
                <w:sz w:val="18"/>
              </w:rPr>
              <w:t>26,400.00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35"/>
              <w:jc w:val="left"/>
              <w:rPr>
                <w:rFonts w:ascii="宋体" w:hAnsi="宋体" w:cs="宋体" w:eastAsia="宋体" w:hint="default"/>
                <w:sz w:val="18"/>
                <w:szCs w:val="18"/>
              </w:rPr>
            </w:pPr>
            <w:r>
              <w:rPr>
                <w:rFonts w:ascii="宋体" w:hAnsi="宋体" w:cs="宋体" w:eastAsia="宋体" w:hint="default"/>
                <w:sz w:val="18"/>
                <w:szCs w:val="18"/>
              </w:rPr>
              <w:t>武汉市服务外包 产业发展资金</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武汉市商务局</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7"/>
              <w:jc w:val="left"/>
              <w:rPr>
                <w:rFonts w:ascii="宋体" w:hAnsi="宋体" w:cs="宋体" w:eastAsia="宋体" w:hint="default"/>
                <w:sz w:val="18"/>
                <w:szCs w:val="18"/>
              </w:rPr>
            </w:pPr>
            <w:r>
              <w:rPr>
                <w:rFonts w:ascii="宋体" w:hAnsi="宋体" w:cs="宋体" w:eastAsia="宋体" w:hint="default"/>
                <w:sz w:val="18"/>
                <w:szCs w:val="18"/>
              </w:rPr>
              <w:t>因从事国家鼓励 和扶持特定行业、 产业而获得的补 </w:t>
            </w:r>
            <w:r>
              <w:rPr>
                <w:rFonts w:ascii="宋体" w:hAnsi="宋体" w:cs="宋体" w:eastAsia="宋体" w:hint="default"/>
                <w:spacing w:val="-5"/>
                <w:sz w:val="18"/>
                <w:szCs w:val="18"/>
              </w:rPr>
              <w:t>助（按国家级政策</w:t>
            </w:r>
            <w:r>
              <w:rPr>
                <w:rFonts w:ascii="宋体" w:hAnsi="宋体" w:cs="宋体" w:eastAsia="宋体" w:hint="default"/>
                <w:sz w:val="18"/>
                <w:szCs w:val="18"/>
              </w:rPr>
              <w:t> 规定依法取得）</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sz w:val="18"/>
              </w:rPr>
              <w:t>380,000.00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宋体" w:hAnsi="宋体" w:cs="宋体" w:eastAsia="宋体" w:hint="default"/>
                <w:sz w:val="18"/>
                <w:szCs w:val="18"/>
              </w:rPr>
            </w:pPr>
            <w:r>
              <w:rPr>
                <w:rFonts w:ascii="宋体"/>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高新技术产品</w:t>
            </w:r>
          </w:p>
          <w:p>
            <w:pPr>
              <w:pStyle w:val="TableParagraph"/>
              <w:spacing w:line="319" w:lineRule="auto" w:before="75"/>
              <w:ind w:left="22" w:right="35"/>
              <w:jc w:val="left"/>
              <w:rPr>
                <w:rFonts w:ascii="宋体" w:hAnsi="宋体" w:cs="宋体" w:eastAsia="宋体" w:hint="default"/>
                <w:sz w:val="18"/>
                <w:szCs w:val="18"/>
              </w:rPr>
            </w:pPr>
            <w:r>
              <w:rPr>
                <w:rFonts w:ascii="宋体" w:hAnsi="宋体" w:cs="宋体" w:eastAsia="宋体" w:hint="default"/>
                <w:sz w:val="18"/>
                <w:szCs w:val="18"/>
              </w:rPr>
              <w:t>（技术）出口贴 息</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武汉市商务局</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7"/>
              <w:jc w:val="left"/>
              <w:rPr>
                <w:rFonts w:ascii="宋体" w:hAnsi="宋体" w:cs="宋体" w:eastAsia="宋体" w:hint="default"/>
                <w:sz w:val="18"/>
                <w:szCs w:val="18"/>
              </w:rPr>
            </w:pPr>
            <w:r>
              <w:rPr>
                <w:rFonts w:ascii="宋体" w:hAnsi="宋体" w:cs="宋体" w:eastAsia="宋体" w:hint="default"/>
                <w:sz w:val="18"/>
                <w:szCs w:val="18"/>
              </w:rPr>
              <w:t>因从事国家鼓励 和扶持特定行业、 产业而获得的补 </w:t>
            </w:r>
            <w:r>
              <w:rPr>
                <w:rFonts w:ascii="宋体" w:hAnsi="宋体" w:cs="宋体" w:eastAsia="宋体" w:hint="default"/>
                <w:spacing w:val="-5"/>
                <w:sz w:val="18"/>
                <w:szCs w:val="18"/>
              </w:rPr>
              <w:t>助（按国家级政策</w:t>
            </w:r>
            <w:r>
              <w:rPr>
                <w:rFonts w:ascii="宋体" w:hAnsi="宋体" w:cs="宋体" w:eastAsia="宋体" w:hint="default"/>
                <w:sz w:val="18"/>
                <w:szCs w:val="18"/>
              </w:rPr>
              <w:t> 规定依法取得）</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sz w:val="18"/>
              </w:rPr>
              <w:t>285,253.00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宋体" w:hAnsi="宋体" w:cs="宋体" w:eastAsia="宋体" w:hint="default"/>
                <w:sz w:val="18"/>
                <w:szCs w:val="18"/>
              </w:rPr>
            </w:pPr>
            <w:r>
              <w:rPr>
                <w:rFonts w:ascii="宋体"/>
                <w:sz w:val="18"/>
              </w:rPr>
              <w:t>892,840.00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35"/>
              <w:jc w:val="left"/>
              <w:rPr>
                <w:rFonts w:ascii="宋体" w:hAnsi="宋体" w:cs="宋体" w:eastAsia="宋体" w:hint="default"/>
                <w:sz w:val="18"/>
                <w:szCs w:val="18"/>
              </w:rPr>
            </w:pPr>
            <w:r>
              <w:rPr>
                <w:rFonts w:ascii="宋体" w:hAnsi="宋体" w:cs="宋体" w:eastAsia="宋体" w:hint="default"/>
                <w:sz w:val="18"/>
                <w:szCs w:val="18"/>
              </w:rPr>
              <w:t>武汉市稳定就业 岗位补贴</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4" w:right="60"/>
              <w:jc w:val="left"/>
              <w:rPr>
                <w:rFonts w:ascii="宋体" w:hAnsi="宋体" w:cs="宋体" w:eastAsia="宋体" w:hint="default"/>
                <w:sz w:val="18"/>
                <w:szCs w:val="18"/>
              </w:rPr>
            </w:pPr>
            <w:r>
              <w:rPr>
                <w:rFonts w:ascii="宋体" w:hAnsi="宋体" w:cs="宋体" w:eastAsia="宋体" w:hint="default"/>
                <w:sz w:val="18"/>
                <w:szCs w:val="18"/>
              </w:rPr>
              <w:t>武汉市失业保 障管理办公室</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61"/>
              <w:jc w:val="both"/>
              <w:rPr>
                <w:rFonts w:ascii="宋体" w:hAnsi="宋体" w:cs="宋体" w:eastAsia="宋体" w:hint="default"/>
                <w:sz w:val="18"/>
                <w:szCs w:val="18"/>
              </w:rPr>
            </w:pPr>
            <w:r>
              <w:rPr>
                <w:rFonts w:ascii="宋体" w:hAnsi="宋体" w:cs="宋体" w:eastAsia="宋体" w:hint="default"/>
                <w:sz w:val="18"/>
                <w:szCs w:val="18"/>
              </w:rPr>
              <w:t>因符合地方政府 招商引资等地方 性扶持政策而获 得的补助</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49"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宋体" w:hAnsi="宋体" w:cs="宋体" w:eastAsia="宋体" w:hint="default"/>
                <w:sz w:val="18"/>
                <w:szCs w:val="18"/>
              </w:rPr>
            </w:pPr>
            <w:r>
              <w:rPr>
                <w:rFonts w:ascii="宋体"/>
                <w:sz w:val="18"/>
              </w:rPr>
              <w:t>511,900.00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专利补贴</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4" w:right="60"/>
              <w:jc w:val="left"/>
              <w:rPr>
                <w:rFonts w:ascii="宋体" w:hAnsi="宋体" w:cs="宋体" w:eastAsia="宋体" w:hint="default"/>
                <w:sz w:val="18"/>
                <w:szCs w:val="18"/>
              </w:rPr>
            </w:pPr>
            <w:r>
              <w:rPr>
                <w:rFonts w:ascii="宋体" w:hAnsi="宋体" w:cs="宋体" w:eastAsia="宋体" w:hint="default"/>
                <w:sz w:val="18"/>
                <w:szCs w:val="18"/>
              </w:rPr>
              <w:t>武汉市知识产 权局</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61"/>
              <w:jc w:val="both"/>
              <w:rPr>
                <w:rFonts w:ascii="宋体" w:hAnsi="宋体" w:cs="宋体" w:eastAsia="宋体" w:hint="default"/>
                <w:sz w:val="18"/>
                <w:szCs w:val="18"/>
              </w:rPr>
            </w:pPr>
            <w:r>
              <w:rPr>
                <w:rFonts w:ascii="宋体" w:hAnsi="宋体" w:cs="宋体" w:eastAsia="宋体" w:hint="default"/>
                <w:sz w:val="18"/>
                <w:szCs w:val="18"/>
              </w:rPr>
              <w:t>因符合地方政府 招商引资等地方 性扶持政策而获 得的补助</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2"/>
              <w:jc w:val="right"/>
              <w:rPr>
                <w:rFonts w:ascii="宋体" w:hAnsi="宋体" w:cs="宋体" w:eastAsia="宋体" w:hint="default"/>
                <w:sz w:val="18"/>
                <w:szCs w:val="18"/>
              </w:rPr>
            </w:pPr>
            <w:r>
              <w:rPr>
                <w:rFonts w:ascii="宋体"/>
                <w:sz w:val="18"/>
              </w:rPr>
              <w:t>78,100.00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宋体" w:hAnsi="宋体" w:cs="宋体" w:eastAsia="宋体" w:hint="default"/>
                <w:sz w:val="18"/>
                <w:szCs w:val="18"/>
              </w:rPr>
            </w:pPr>
            <w:r>
              <w:rPr>
                <w:rFonts w:ascii="宋体"/>
                <w:sz w:val="18"/>
              </w:rPr>
              <w:t>42,300.00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1187" w:top="1100" w:bottom="138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1330"/>
        <w:gridCol w:w="1176"/>
        <w:gridCol w:w="546"/>
        <w:gridCol w:w="1457"/>
        <w:gridCol w:w="1021"/>
        <w:gridCol w:w="658"/>
        <w:gridCol w:w="1149"/>
        <w:gridCol w:w="1170"/>
        <w:gridCol w:w="1063"/>
      </w:tblGrid>
      <w:tr>
        <w:trPr>
          <w:trHeight w:val="1338"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2"/>
              <w:jc w:val="center"/>
              <w:rPr>
                <w:rFonts w:ascii="宋体" w:hAnsi="宋体" w:cs="宋体" w:eastAsia="宋体" w:hint="default"/>
                <w:sz w:val="18"/>
                <w:szCs w:val="18"/>
              </w:rPr>
            </w:pPr>
            <w:r>
              <w:rPr>
                <w:rFonts w:ascii="宋体" w:hAnsi="宋体" w:cs="宋体" w:eastAsia="宋体" w:hint="default"/>
                <w:sz w:val="18"/>
                <w:szCs w:val="18"/>
              </w:rPr>
              <w:t>软件著作权补贴</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4" w:right="60"/>
              <w:jc w:val="left"/>
              <w:rPr>
                <w:rFonts w:ascii="宋体" w:hAnsi="宋体" w:cs="宋体" w:eastAsia="宋体" w:hint="default"/>
                <w:sz w:val="18"/>
                <w:szCs w:val="18"/>
              </w:rPr>
            </w:pPr>
            <w:r>
              <w:rPr>
                <w:rFonts w:ascii="宋体" w:hAnsi="宋体" w:cs="宋体" w:eastAsia="宋体" w:hint="default"/>
                <w:sz w:val="18"/>
                <w:szCs w:val="18"/>
              </w:rPr>
              <w:t>武汉市知识产 权局</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61"/>
              <w:jc w:val="both"/>
              <w:rPr>
                <w:rFonts w:ascii="宋体" w:hAnsi="宋体" w:cs="宋体" w:eastAsia="宋体" w:hint="default"/>
                <w:sz w:val="18"/>
                <w:szCs w:val="18"/>
              </w:rPr>
            </w:pPr>
            <w:r>
              <w:rPr>
                <w:rFonts w:ascii="宋体" w:hAnsi="宋体" w:cs="宋体" w:eastAsia="宋体" w:hint="default"/>
                <w:sz w:val="18"/>
                <w:szCs w:val="18"/>
              </w:rPr>
              <w:t>因符合地方政府 招商引资等地方 性扶持政策而获 得的补助</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2"/>
              <w:jc w:val="right"/>
              <w:rPr>
                <w:rFonts w:ascii="宋体" w:hAnsi="宋体" w:cs="宋体" w:eastAsia="宋体" w:hint="default"/>
                <w:sz w:val="18"/>
                <w:szCs w:val="18"/>
              </w:rPr>
            </w:pPr>
            <w:r>
              <w:rPr>
                <w:rFonts w:ascii="宋体"/>
                <w:sz w:val="18"/>
              </w:rPr>
              <w:t>5,000.00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宋体" w:hAnsi="宋体" w:cs="宋体" w:eastAsia="宋体" w:hint="default"/>
                <w:sz w:val="18"/>
                <w:szCs w:val="18"/>
              </w:rPr>
            </w:pPr>
            <w:r>
              <w:rPr>
                <w:rFonts w:ascii="宋体"/>
                <w:sz w:val="18"/>
              </w:rPr>
              <w:t>4,800.00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35"/>
              <w:jc w:val="left"/>
              <w:rPr>
                <w:rFonts w:ascii="宋体" w:hAnsi="宋体" w:cs="宋体" w:eastAsia="宋体" w:hint="default"/>
                <w:sz w:val="18"/>
                <w:szCs w:val="18"/>
              </w:rPr>
            </w:pPr>
            <w:r>
              <w:rPr>
                <w:rFonts w:ascii="宋体" w:hAnsi="宋体" w:cs="宋体" w:eastAsia="宋体" w:hint="default"/>
                <w:sz w:val="18"/>
                <w:szCs w:val="18"/>
              </w:rPr>
              <w:t>标准研制资助经 费</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4" w:right="60"/>
              <w:jc w:val="left"/>
              <w:rPr>
                <w:rFonts w:ascii="宋体" w:hAnsi="宋体" w:cs="宋体" w:eastAsia="宋体" w:hint="default"/>
                <w:sz w:val="18"/>
                <w:szCs w:val="18"/>
              </w:rPr>
            </w:pPr>
            <w:r>
              <w:rPr>
                <w:rFonts w:ascii="宋体" w:hAnsi="宋体" w:cs="宋体" w:eastAsia="宋体" w:hint="default"/>
                <w:sz w:val="18"/>
                <w:szCs w:val="18"/>
              </w:rPr>
              <w:t>武汉市知识产 权局</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61"/>
              <w:jc w:val="both"/>
              <w:rPr>
                <w:rFonts w:ascii="宋体" w:hAnsi="宋体" w:cs="宋体" w:eastAsia="宋体" w:hint="default"/>
                <w:sz w:val="18"/>
                <w:szCs w:val="18"/>
              </w:rPr>
            </w:pPr>
            <w:r>
              <w:rPr>
                <w:rFonts w:ascii="宋体" w:hAnsi="宋体" w:cs="宋体" w:eastAsia="宋体" w:hint="default"/>
                <w:sz w:val="18"/>
                <w:szCs w:val="18"/>
              </w:rPr>
              <w:t>因符合地方政府 招商引资等地方 性扶持政策而获 得的补助</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49"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宋体" w:hAnsi="宋体" w:cs="宋体" w:eastAsia="宋体" w:hint="default"/>
                <w:sz w:val="18"/>
                <w:szCs w:val="18"/>
              </w:rPr>
            </w:pPr>
            <w:r>
              <w:rPr>
                <w:rFonts w:ascii="宋体"/>
                <w:sz w:val="18"/>
              </w:rPr>
              <w:t>150,000.00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35"/>
              <w:jc w:val="left"/>
              <w:rPr>
                <w:rFonts w:ascii="宋体" w:hAnsi="宋体" w:cs="宋体" w:eastAsia="宋体" w:hint="default"/>
                <w:sz w:val="18"/>
                <w:szCs w:val="18"/>
              </w:rPr>
            </w:pPr>
            <w:r>
              <w:rPr>
                <w:rFonts w:ascii="宋体" w:hAnsi="宋体" w:cs="宋体" w:eastAsia="宋体" w:hint="default"/>
                <w:sz w:val="18"/>
                <w:szCs w:val="18"/>
              </w:rPr>
              <w:t>武汉市发明专利 奖励</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4" w:right="60"/>
              <w:jc w:val="left"/>
              <w:rPr>
                <w:rFonts w:ascii="宋体" w:hAnsi="宋体" w:cs="宋体" w:eastAsia="宋体" w:hint="default"/>
                <w:sz w:val="18"/>
                <w:szCs w:val="18"/>
              </w:rPr>
            </w:pPr>
            <w:r>
              <w:rPr>
                <w:rFonts w:ascii="宋体" w:hAnsi="宋体" w:cs="宋体" w:eastAsia="宋体" w:hint="default"/>
                <w:sz w:val="18"/>
                <w:szCs w:val="18"/>
              </w:rPr>
              <w:t>武汉市知识产 权局</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61"/>
              <w:jc w:val="both"/>
              <w:rPr>
                <w:rFonts w:ascii="宋体" w:hAnsi="宋体" w:cs="宋体" w:eastAsia="宋体" w:hint="default"/>
                <w:sz w:val="18"/>
                <w:szCs w:val="18"/>
              </w:rPr>
            </w:pPr>
            <w:r>
              <w:rPr>
                <w:rFonts w:ascii="宋体" w:hAnsi="宋体" w:cs="宋体" w:eastAsia="宋体" w:hint="default"/>
                <w:sz w:val="18"/>
                <w:szCs w:val="18"/>
              </w:rPr>
              <w:t>因符合地方政府 招商引资等地方 性扶持政策而获 得的补助</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49"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宋体" w:hAnsi="宋体" w:cs="宋体" w:eastAsia="宋体" w:hint="default"/>
                <w:sz w:val="18"/>
                <w:szCs w:val="18"/>
              </w:rPr>
            </w:pPr>
            <w:r>
              <w:rPr>
                <w:rFonts w:ascii="宋体"/>
                <w:sz w:val="18"/>
              </w:rPr>
              <w:t>150,000.00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35"/>
              <w:jc w:val="left"/>
              <w:rPr>
                <w:rFonts w:ascii="宋体" w:hAnsi="宋体" w:cs="宋体" w:eastAsia="宋体" w:hint="default"/>
                <w:sz w:val="18"/>
                <w:szCs w:val="18"/>
              </w:rPr>
            </w:pPr>
            <w:r>
              <w:rPr>
                <w:rFonts w:ascii="宋体" w:hAnsi="宋体" w:cs="宋体" w:eastAsia="宋体" w:hint="default"/>
                <w:sz w:val="18"/>
                <w:szCs w:val="18"/>
              </w:rPr>
              <w:t>知识产权工作先 进单位</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4" w:right="60"/>
              <w:jc w:val="left"/>
              <w:rPr>
                <w:rFonts w:ascii="宋体" w:hAnsi="宋体" w:cs="宋体" w:eastAsia="宋体" w:hint="default"/>
                <w:sz w:val="18"/>
                <w:szCs w:val="18"/>
              </w:rPr>
            </w:pPr>
            <w:r>
              <w:rPr>
                <w:rFonts w:ascii="宋体" w:hAnsi="宋体" w:cs="宋体" w:eastAsia="宋体" w:hint="default"/>
                <w:sz w:val="18"/>
                <w:szCs w:val="18"/>
              </w:rPr>
              <w:t>武汉市知识产 权局</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61"/>
              <w:jc w:val="both"/>
              <w:rPr>
                <w:rFonts w:ascii="宋体" w:hAnsi="宋体" w:cs="宋体" w:eastAsia="宋体" w:hint="default"/>
                <w:sz w:val="18"/>
                <w:szCs w:val="18"/>
              </w:rPr>
            </w:pPr>
            <w:r>
              <w:rPr>
                <w:rFonts w:ascii="宋体" w:hAnsi="宋体" w:cs="宋体" w:eastAsia="宋体" w:hint="default"/>
                <w:sz w:val="18"/>
                <w:szCs w:val="18"/>
              </w:rPr>
              <w:t>因符合地方政府 招商引资等地方 性扶持政策而获 得的补助</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49"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宋体" w:hAnsi="宋体" w:cs="宋体" w:eastAsia="宋体" w:hint="default"/>
                <w:sz w:val="18"/>
                <w:szCs w:val="18"/>
              </w:rPr>
            </w:pPr>
            <w:r>
              <w:rPr>
                <w:rFonts w:ascii="宋体"/>
                <w:sz w:val="18"/>
              </w:rPr>
              <w:t>20,000.00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76"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021"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6,699,393.00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8,703,240.00</w:t>
            </w: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134" w:right="0"/>
        <w:jc w:val="left"/>
        <w:rPr>
          <w:b w:val="0"/>
          <w:bCs w:val="0"/>
        </w:rPr>
      </w:pPr>
      <w:bookmarkStart w:name="41、营业外支出" w:id="277"/>
      <w:bookmarkEnd w:id="277"/>
      <w:r>
        <w:rPr>
          <w:b w:val="0"/>
          <w:bCs w:val="0"/>
        </w:rPr>
      </w:r>
      <w:r>
        <w:rPr>
          <w:rFonts w:ascii="宋体" w:hAnsi="宋体" w:cs="宋体" w:eastAsia="宋体" w:hint="default"/>
        </w:rPr>
        <w:t>41</w:t>
      </w:r>
      <w:r>
        <w:rPr/>
        <w:t>、营业外支出</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1,200,571.22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1,094,726.69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1,200,571.22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1,200,571.22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1,094,726.69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1,200,571.22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2,250,000.00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54,757.89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191,662.65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54,757.89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18,004.86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1,355,329.11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3,554,394.20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1,355,329.11</w:t>
            </w:r>
          </w:p>
        </w:tc>
      </w:tr>
    </w:tbl>
    <w:p>
      <w:pPr>
        <w:spacing w:line="240" w:lineRule="auto" w:before="4"/>
        <w:rPr>
          <w:rFonts w:ascii="宋体" w:hAnsi="宋体" w:cs="宋体" w:eastAsia="宋体" w:hint="default"/>
          <w:sz w:val="9"/>
          <w:szCs w:val="9"/>
        </w:rPr>
      </w:pPr>
    </w:p>
    <w:p>
      <w:pPr>
        <w:pStyle w:val="BodyText"/>
        <w:spacing w:line="240" w:lineRule="auto" w:before="44"/>
        <w:ind w:left="1494" w:right="0"/>
        <w:jc w:val="left"/>
      </w:pPr>
      <w:r>
        <w:rPr/>
        <w:t>报告期，营业外支出较上年同期减少</w:t>
      </w:r>
      <w:r>
        <w:rPr>
          <w:rFonts w:ascii="宋体" w:hAnsi="宋体" w:cs="宋体" w:eastAsia="宋体" w:hint="default"/>
        </w:rPr>
        <w:t>61.87%</w:t>
      </w:r>
      <w:r>
        <w:rPr/>
        <w:t>，主要由于上年公司捐资设立了湖北省春辉助学基金会。</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42、所得税费用" w:id="278"/>
      <w:bookmarkEnd w:id="278"/>
      <w:r>
        <w:rPr>
          <w:b w:val="0"/>
          <w:bCs w:val="0"/>
        </w:rPr>
      </w:r>
      <w:r>
        <w:rPr>
          <w:rFonts w:ascii="宋体" w:hAnsi="宋体" w:cs="宋体" w:eastAsia="宋体" w:hint="default"/>
        </w:rPr>
        <w:t>42</w:t>
      </w:r>
      <w:r>
        <w:rPr/>
        <w:t>、所得税费用</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bookmarkStart w:name="（1）所得税费用表" w:id="279"/>
      <w:bookmarkEnd w:id="279"/>
      <w:r>
        <w:rPr>
          <w:b w:val="0"/>
          <w:bCs w:val="0"/>
        </w:rPr>
      </w:r>
      <w:r>
        <w:rPr/>
        <w:t>（</w:t>
      </w:r>
      <w:r>
        <w:rPr>
          <w:rFonts w:ascii="宋体" w:hAnsi="宋体" w:cs="宋体" w:eastAsia="宋体" w:hint="default"/>
        </w:rPr>
        <w:t>1</w:t>
      </w:r>
      <w:r>
        <w:rPr/>
        <w:t>）所得税费用表</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13,075,016.56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8,306,420.53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-1,488,114.56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-3,929,651.56</w:t>
            </w:r>
          </w:p>
        </w:tc>
      </w:tr>
    </w:tbl>
    <w:p>
      <w:pPr>
        <w:spacing w:after="0" w:line="240" w:lineRule="auto"/>
        <w:jc w:val="right"/>
        <w:rPr>
          <w:rFonts w:ascii="宋体" w:hAnsi="宋体" w:cs="宋体" w:eastAsia="宋体" w:hint="default"/>
          <w:sz w:val="18"/>
          <w:szCs w:val="18"/>
        </w:rPr>
        <w:sectPr>
          <w:pgSz w:w="11910" w:h="16840"/>
          <w:pgMar w:header="877" w:footer="1187" w:top="1100" w:bottom="138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90" w:right="0"/>
              <w:jc w:val="left"/>
              <w:rPr>
                <w:rFonts w:ascii="宋体" w:hAnsi="宋体" w:cs="宋体" w:eastAsia="宋体" w:hint="default"/>
                <w:sz w:val="18"/>
                <w:szCs w:val="18"/>
              </w:rPr>
            </w:pPr>
            <w:r>
              <w:rPr>
                <w:rFonts w:ascii="宋体"/>
                <w:sz w:val="18"/>
              </w:rPr>
              <w:t>11,586,902.00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76" w:right="0"/>
              <w:jc w:val="left"/>
              <w:rPr>
                <w:rFonts w:ascii="宋体" w:hAnsi="宋体" w:cs="宋体" w:eastAsia="宋体" w:hint="default"/>
                <w:sz w:val="18"/>
                <w:szCs w:val="18"/>
              </w:rPr>
            </w:pPr>
            <w:r>
              <w:rPr>
                <w:rFonts w:ascii="宋体"/>
                <w:sz w:val="18"/>
              </w:rPr>
              <w:t>4,376,768.97</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会计利润与所得税费用调整过程" w:id="280"/>
      <w:bookmarkEnd w:id="280"/>
      <w:r>
        <w:rPr>
          <w:b w:val="0"/>
          <w:bCs w:val="0"/>
        </w:rPr>
      </w:r>
      <w:r>
        <w:rPr/>
        <w:t>（</w:t>
      </w:r>
      <w:r>
        <w:rPr>
          <w:rFonts w:ascii="宋体" w:hAnsi="宋体" w:cs="宋体" w:eastAsia="宋体" w:hint="default"/>
        </w:rPr>
        <w:t>2</w:t>
      </w:r>
      <w:r>
        <w:rPr/>
        <w:t>）会计利润与所得税费用调整过程</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17,698,050.83</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宋体" w:hAnsi="宋体" w:cs="宋体" w:eastAsia="宋体" w:hint="default"/>
                <w:sz w:val="18"/>
                <w:szCs w:val="18"/>
              </w:rPr>
              <w:t>/</w:t>
            </w:r>
            <w:r>
              <w:rPr>
                <w:rFonts w:ascii="宋体" w:hAnsi="宋体" w:cs="宋体" w:eastAsia="宋体" w:hint="default"/>
                <w:sz w:val="18"/>
                <w:szCs w:val="18"/>
              </w:rPr>
              <w:t>适用税率计算的所得税费用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4,541,120.46</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-2,562,130.46</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869,769.29</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173,854.53</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4,137,679.11</w:t>
            </w:r>
          </w:p>
        </w:tc>
      </w:tr>
      <w:tr>
        <w:trPr>
          <w:trHeight w:val="714"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9,478,275.34</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加计扣除的影响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-5,051,666.27</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11,586,902.00</w:t>
            </w:r>
          </w:p>
        </w:tc>
      </w:tr>
    </w:tbl>
    <w:p>
      <w:pPr>
        <w:spacing w:line="240" w:lineRule="auto" w:before="4"/>
        <w:rPr>
          <w:rFonts w:ascii="宋体" w:hAnsi="宋体" w:cs="宋体" w:eastAsia="宋体" w:hint="default"/>
          <w:sz w:val="9"/>
          <w:szCs w:val="9"/>
        </w:rPr>
      </w:pPr>
    </w:p>
    <w:p>
      <w:pPr>
        <w:pStyle w:val="BodyText"/>
        <w:spacing w:line="316" w:lineRule="auto" w:before="44"/>
        <w:ind w:left="1134" w:right="1122" w:firstLine="360"/>
        <w:jc w:val="left"/>
      </w:pPr>
      <w:r>
        <w:rPr/>
        <w:t>报告期，所得税费用较上年同期增长</w:t>
      </w:r>
      <w:r>
        <w:rPr>
          <w:rFonts w:ascii="宋体" w:hAnsi="宋体" w:cs="宋体" w:eastAsia="宋体" w:hint="default"/>
        </w:rPr>
        <w:t>164.74%</w:t>
      </w:r>
      <w:r>
        <w:rPr/>
        <w:t>，主要由于上年公司处置子公司股权产生了较大的投资损失，减少了应纳 税所得额；同时上年公司属于国家规划布局内的重点软件企业，所得税税率减按</w:t>
      </w:r>
      <w:r>
        <w:rPr>
          <w:rFonts w:ascii="宋体" w:hAnsi="宋体" w:cs="宋体" w:eastAsia="宋体" w:hint="default"/>
        </w:rPr>
        <w:t>10%</w:t>
      </w:r>
      <w:r>
        <w:rPr/>
        <w:t>执行。</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43、其他综合收益" w:id="281"/>
      <w:bookmarkEnd w:id="281"/>
      <w:r>
        <w:rPr>
          <w:b w:val="0"/>
          <w:bCs w:val="0"/>
        </w:rPr>
      </w:r>
      <w:r>
        <w:rPr>
          <w:rFonts w:ascii="宋体" w:hAnsi="宋体" w:cs="宋体" w:eastAsia="宋体" w:hint="default"/>
        </w:rPr>
        <w:t>43</w:t>
      </w:r>
      <w:r>
        <w:rPr/>
        <w:t>、其他综合收益</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1493" w:right="0"/>
        <w:jc w:val="left"/>
      </w:pPr>
      <w:r>
        <w:rPr/>
        <w:t>详见附注七、</w:t>
      </w:r>
      <w:r>
        <w:rPr>
          <w:rFonts w:ascii="宋体" w:hAnsi="宋体" w:cs="宋体" w:eastAsia="宋体" w:hint="default"/>
        </w:rPr>
        <w:t>30</w:t>
      </w:r>
      <w:r>
        <w:rPr/>
        <w:t>。</w:t>
      </w:r>
    </w:p>
    <w:p>
      <w:pPr>
        <w:spacing w:line="240" w:lineRule="auto" w:before="10"/>
        <w:rPr>
          <w:rFonts w:ascii="宋体" w:hAnsi="宋体" w:cs="宋体" w:eastAsia="宋体" w:hint="default"/>
          <w:sz w:val="26"/>
          <w:szCs w:val="26"/>
        </w:rPr>
      </w:pPr>
    </w:p>
    <w:p>
      <w:pPr>
        <w:pStyle w:val="Heading3"/>
        <w:spacing w:line="240" w:lineRule="auto"/>
        <w:ind w:left="1134" w:right="0"/>
        <w:jc w:val="left"/>
        <w:rPr>
          <w:b w:val="0"/>
          <w:bCs w:val="0"/>
        </w:rPr>
      </w:pPr>
      <w:bookmarkStart w:name="44、现金流量表项目" w:id="282"/>
      <w:bookmarkEnd w:id="282"/>
      <w:r>
        <w:rPr>
          <w:b w:val="0"/>
          <w:bCs w:val="0"/>
        </w:rPr>
      </w:r>
      <w:r>
        <w:rPr>
          <w:rFonts w:ascii="宋体" w:hAnsi="宋体" w:cs="宋体" w:eastAsia="宋体" w:hint="default"/>
        </w:rPr>
        <w:t>44</w:t>
      </w:r>
      <w:r>
        <w:rPr/>
        <w:t>、现金流量表项目</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bookmarkStart w:name="（1）收到的其他与经营活动有关的现金" w:id="283"/>
      <w:bookmarkEnd w:id="283"/>
      <w:r>
        <w:rPr>
          <w:b w:val="0"/>
          <w:bCs w:val="0"/>
        </w:rPr>
      </w:r>
      <w:r>
        <w:rPr/>
        <w:t>（</w:t>
      </w:r>
      <w:r>
        <w:rPr>
          <w:rFonts w:ascii="宋体" w:hAnsi="宋体" w:cs="宋体" w:eastAsia="宋体" w:hint="default"/>
        </w:rPr>
        <w:t>1</w:t>
      </w:r>
      <w:r>
        <w:rPr/>
        <w:t>）收到的其他与经营活动有关的现金</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0" w:right="131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544"/>
        <w:gridCol w:w="2837"/>
        <w:gridCol w:w="3189"/>
      </w:tblGrid>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7,802,792.75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13,346,773.33</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政府补助款</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6,109,393.00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15,243,240.00</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收回银行承兑汇票、保函及投标等保证金</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101,971,444.71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9,197,735.28</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557,957.43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4,181,959.71</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116,441,587.89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41,969,708.32</w:t>
            </w:r>
          </w:p>
        </w:tc>
      </w:tr>
    </w:tbl>
    <w:p>
      <w:pPr>
        <w:spacing w:line="240" w:lineRule="auto" w:before="5"/>
        <w:rPr>
          <w:rFonts w:ascii="宋体" w:hAnsi="宋体" w:cs="宋体" w:eastAsia="宋体" w:hint="default"/>
          <w:sz w:val="9"/>
          <w:szCs w:val="9"/>
        </w:rPr>
      </w:pPr>
    </w:p>
    <w:p>
      <w:pPr>
        <w:pStyle w:val="BodyText"/>
        <w:spacing w:line="316" w:lineRule="auto" w:before="44"/>
        <w:ind w:right="1123" w:firstLine="360"/>
        <w:jc w:val="left"/>
      </w:pPr>
      <w:r>
        <w:rPr/>
        <w:t>报告期，收到其他与经营活动有关的现金较上年同期增加</w:t>
      </w:r>
      <w:r>
        <w:rPr>
          <w:rFonts w:ascii="宋体" w:hAnsi="宋体" w:cs="宋体" w:eastAsia="宋体" w:hint="default"/>
        </w:rPr>
        <w:t>177.44%</w:t>
      </w:r>
      <w:r>
        <w:rPr/>
        <w:t>，主要由于使用受限的保函保证金、银行承兑汇票保 证金到期释放。</w:t>
      </w:r>
    </w:p>
    <w:p>
      <w:pPr>
        <w:spacing w:after="0" w:line="316" w:lineRule="auto"/>
        <w:jc w:val="left"/>
        <w:sectPr>
          <w:pgSz w:w="11910" w:h="16840"/>
          <w:pgMar w:header="877" w:footer="1187" w:top="1100" w:bottom="1380" w:left="0" w:right="0"/>
        </w:sectPr>
      </w:pPr>
    </w:p>
    <w:p>
      <w:pPr>
        <w:spacing w:line="240" w:lineRule="auto" w:before="10"/>
        <w:rPr>
          <w:rFonts w:ascii="宋体" w:hAnsi="宋体" w:cs="宋体" w:eastAsia="宋体" w:hint="default"/>
          <w:sz w:val="20"/>
          <w:szCs w:val="20"/>
        </w:rPr>
      </w:pPr>
    </w:p>
    <w:p>
      <w:pPr>
        <w:pStyle w:val="Heading3"/>
        <w:spacing w:line="240" w:lineRule="auto" w:before="35"/>
        <w:ind w:left="1134" w:right="0"/>
        <w:jc w:val="left"/>
        <w:rPr>
          <w:b w:val="0"/>
          <w:bCs w:val="0"/>
        </w:rPr>
      </w:pPr>
      <w:bookmarkStart w:name="（2）支付的其他与经营活动有关的现金" w:id="284"/>
      <w:bookmarkEnd w:id="284"/>
      <w:r>
        <w:rPr>
          <w:b w:val="0"/>
          <w:bCs w:val="0"/>
        </w:rPr>
      </w:r>
      <w:r>
        <w:rPr/>
        <w:t>（</w:t>
      </w:r>
      <w:r>
        <w:rPr>
          <w:rFonts w:ascii="宋体" w:hAnsi="宋体" w:cs="宋体" w:eastAsia="宋体" w:hint="default"/>
        </w:rPr>
        <w:t>2</w:t>
      </w:r>
      <w:r>
        <w:rPr/>
        <w:t>）支付的其他与经营活动有关的现金</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544"/>
        <w:gridCol w:w="2837"/>
        <w:gridCol w:w="3189"/>
      </w:tblGrid>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585"/>
              <w:jc w:val="right"/>
              <w:rPr>
                <w:rFonts w:ascii="宋体" w:hAnsi="宋体" w:cs="宋体" w:eastAsia="宋体" w:hint="default"/>
                <w:sz w:val="18"/>
                <w:szCs w:val="18"/>
              </w:rPr>
            </w:pPr>
            <w:r>
              <w:rPr>
                <w:rFonts w:ascii="宋体" w:hAnsi="宋体" w:cs="宋体" w:eastAsia="宋体" w:hint="default"/>
                <w:sz w:val="18"/>
                <w:szCs w:val="18"/>
              </w:rPr>
              <w:t>项目</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支付各项费用</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184,293,337.93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159,597,633.52</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34,537,385.74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86,974,924.55</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5,622,600.56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2,947,738.86</w:t>
            </w:r>
          </w:p>
        </w:tc>
      </w:tr>
      <w:tr>
        <w:trPr>
          <w:trHeight w:val="403"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585"/>
              <w:jc w:val="right"/>
              <w:rPr>
                <w:rFonts w:ascii="宋体" w:hAnsi="宋体" w:cs="宋体" w:eastAsia="宋体" w:hint="default"/>
                <w:sz w:val="18"/>
                <w:szCs w:val="18"/>
              </w:rPr>
            </w:pPr>
            <w:r>
              <w:rPr>
                <w:rFonts w:ascii="宋体" w:hAnsi="宋体" w:cs="宋体" w:eastAsia="宋体" w:hint="default"/>
                <w:sz w:val="18"/>
                <w:szCs w:val="18"/>
              </w:rPr>
              <w:t>合计</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224,453,324.23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249,520,296.93</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支付的其他与投资活动有关的现金" w:id="285"/>
      <w:bookmarkEnd w:id="285"/>
      <w:r>
        <w:rPr>
          <w:b w:val="0"/>
          <w:bCs w:val="0"/>
        </w:rPr>
      </w:r>
      <w:r>
        <w:rPr/>
        <w:t>（</w:t>
      </w:r>
      <w:r>
        <w:rPr>
          <w:rFonts w:ascii="宋体" w:hAnsi="宋体" w:cs="宋体" w:eastAsia="宋体" w:hint="default"/>
        </w:rPr>
        <w:t>3</w:t>
      </w:r>
      <w:r>
        <w:rPr/>
        <w:t>）支付的其他与投资活动有关的现金</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544"/>
        <w:gridCol w:w="2837"/>
        <w:gridCol w:w="3189"/>
      </w:tblGrid>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6"/>
              <w:jc w:val="center"/>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837"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80,853.18</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37"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80,853.18</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4）支付的其他与筹资活动有关的现金" w:id="286"/>
      <w:bookmarkEnd w:id="286"/>
      <w:r>
        <w:rPr>
          <w:b w:val="0"/>
          <w:bCs w:val="0"/>
        </w:rPr>
      </w:r>
      <w:r>
        <w:rPr/>
        <w:t>（</w:t>
      </w:r>
      <w:r>
        <w:rPr>
          <w:rFonts w:ascii="宋体" w:hAnsi="宋体" w:cs="宋体" w:eastAsia="宋体" w:hint="default"/>
        </w:rPr>
        <w:t>4</w:t>
      </w:r>
      <w:r>
        <w:rPr/>
        <w:t>）支付的其他与筹资活动有关的现金</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544"/>
        <w:gridCol w:w="2837"/>
        <w:gridCol w:w="3189"/>
      </w:tblGrid>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购买少数股权所支付的对价</w:t>
            </w:r>
          </w:p>
        </w:tc>
        <w:tc>
          <w:tcPr>
            <w:tcW w:w="2837"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18,540,000.00</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37"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18,540,000.00</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45、现金流量表补充资料" w:id="287"/>
      <w:bookmarkEnd w:id="287"/>
      <w:r>
        <w:rPr>
          <w:b w:val="0"/>
          <w:bCs w:val="0"/>
        </w:rPr>
      </w:r>
      <w:r>
        <w:rPr>
          <w:rFonts w:ascii="宋体" w:hAnsi="宋体" w:cs="宋体" w:eastAsia="宋体" w:hint="default"/>
        </w:rPr>
        <w:t>45</w:t>
      </w:r>
      <w:r>
        <w:rPr/>
        <w:t>、现金流量表补充资料</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bookmarkStart w:name="（1）现金流量表补充资料" w:id="288"/>
      <w:bookmarkEnd w:id="288"/>
      <w:r>
        <w:rPr>
          <w:b w:val="0"/>
          <w:bCs w:val="0"/>
        </w:rPr>
      </w:r>
      <w:r>
        <w:rPr/>
        <w:t>（</w:t>
      </w:r>
      <w:r>
        <w:rPr>
          <w:rFonts w:ascii="宋体" w:hAnsi="宋体" w:cs="宋体" w:eastAsia="宋体" w:hint="default"/>
        </w:rPr>
        <w:t>1</w:t>
      </w:r>
      <w:r>
        <w:rPr/>
        <w:t>）现金流量表补充资料</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687"/>
        <w:gridCol w:w="2698"/>
        <w:gridCol w:w="3184"/>
      </w:tblGrid>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．将净利润调节为经营活动现金流量：</w:t>
            </w:r>
          </w:p>
        </w:tc>
        <w:tc>
          <w:tcPr>
            <w:tcW w:w="2698"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6,111,148.83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59,621,006.00</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28,053,476.84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49,950,683.70</w:t>
            </w:r>
          </w:p>
        </w:tc>
      </w:tr>
      <w:tr>
        <w:trPr>
          <w:trHeight w:val="71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 产折旧</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32,720,435.47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30,493,660.51</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3,670,528.62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4,348,012.90</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6,558,880.82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6,364,308.64</w:t>
            </w:r>
          </w:p>
        </w:tc>
      </w:tr>
      <w:tr>
        <w:trPr>
          <w:trHeight w:val="71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 失（收益以“－”号填列）</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1,193,605.23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1,088,563.60</w:t>
            </w:r>
          </w:p>
        </w:tc>
      </w:tr>
    </w:tbl>
    <w:p>
      <w:pPr>
        <w:spacing w:after="0" w:line="240" w:lineRule="auto"/>
        <w:jc w:val="right"/>
        <w:rPr>
          <w:rFonts w:ascii="宋体" w:hAnsi="宋体" w:cs="宋体" w:eastAsia="宋体" w:hint="default"/>
          <w:sz w:val="18"/>
          <w:szCs w:val="18"/>
        </w:rPr>
        <w:sectPr>
          <w:pgSz w:w="11910" w:h="16840"/>
          <w:pgMar w:header="877" w:footer="1187" w:top="1100" w:bottom="1380" w:left="0" w:right="0"/>
        </w:sectPr>
      </w:pPr>
    </w:p>
    <w:p>
      <w:pPr>
        <w:spacing w:line="240" w:lineRule="auto" w:before="6"/>
        <w:rPr>
          <w:rFonts w:ascii="宋体" w:hAnsi="宋体" w:cs="宋体" w:eastAsia="宋体" w:hint="default"/>
          <w:sz w:val="24"/>
          <w:szCs w:val="24"/>
        </w:rPr>
      </w:pPr>
      <w:r>
        <w:rPr/>
        <w:pict>
          <v:group style="position:absolute;margin-left:241.279999pt;margin-top:172.429977pt;width:133.3pt;height:40.9pt;mso-position-horizontal-relative:page;mso-position-vertical-relative:page;z-index:-778456" coordorigin="4826,3449" coordsize="2666,818">
            <v:group style="position:absolute;left:4837;top:3460;width:2;height:393" coordorigin="4837,3460" coordsize="2,393">
              <v:shape style="position:absolute;left:4837;top:3460;width:2;height:393" coordorigin="4837,3460" coordsize="0,393" path="m4837,3460l4837,3852e" filled="false" stroked="true" strokeweight="1.140pt" strokecolor="#ffffff">
                <v:path arrowok="t"/>
              </v:shape>
            </v:group>
            <v:group style="position:absolute;left:4848;top:3460;width:2643;height:393" coordorigin="4848,3460" coordsize="2643,393">
              <v:shape style="position:absolute;left:4848;top:3460;width:2643;height:393" coordorigin="4848,3460" coordsize="2643,393" path="m4848,3852l7491,3852,7491,3460,4848,3460,4848,3852xe" filled="true" fillcolor="#ffffff" stroked="false">
                <v:path arrowok="t"/>
                <v:fill type="solid"/>
              </v:shape>
            </v:group>
            <v:group style="position:absolute;left:4837;top:3862;width:2;height:393" coordorigin="4837,3862" coordsize="2,393">
              <v:shape style="position:absolute;left:4837;top:3862;width:2;height:393" coordorigin="4837,3862" coordsize="0,393" path="m4837,3862l4837,4254e" filled="false" stroked="true" strokeweight="1.140pt" strokecolor="#ffffff">
                <v:path arrowok="t"/>
              </v:shape>
            </v:group>
            <v:group style="position:absolute;left:4848;top:3862;width:2643;height:393" coordorigin="4848,3862" coordsize="2643,393">
              <v:shape style="position:absolute;left:4848;top:3862;width:2643;height:393" coordorigin="4848,3862" coordsize="2643,393" path="m4848,4254l7491,4254,7491,3862,4848,3862,4848,4254xe" filled="true" fillcolor="#ffffff" stroked="false">
                <v:path arrowok="t"/>
                <v:fill type="solid"/>
              </v:shape>
            </v:group>
            <w10:wrap type="none"/>
          </v:group>
        </w:pict>
      </w:r>
    </w:p>
    <w:tbl>
      <w:tblPr>
        <w:tblW w:w="0" w:type="auto"/>
        <w:jc w:val="left"/>
        <w:tblInd w:w="1129" w:type="dxa"/>
        <w:tblLayout w:type="fixed"/>
        <w:tblCellMar>
          <w:top w:w="0" w:type="dxa"/>
          <w:left w:w="0" w:type="dxa"/>
          <w:bottom w:w="0" w:type="dxa"/>
          <w:right w:w="0" w:type="dxa"/>
        </w:tblCellMar>
        <w:tblLook w:val="01E0"/>
      </w:tblPr>
      <w:tblGrid>
        <w:gridCol w:w="3687"/>
        <w:gridCol w:w="736"/>
        <w:gridCol w:w="1962"/>
        <w:gridCol w:w="3184"/>
      </w:tblGrid>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26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95" w:right="0"/>
              <w:jc w:val="left"/>
              <w:rPr>
                <w:rFonts w:ascii="宋体" w:hAnsi="宋体" w:cs="宋体" w:eastAsia="宋体" w:hint="default"/>
                <w:sz w:val="18"/>
                <w:szCs w:val="18"/>
              </w:rPr>
            </w:pPr>
            <w:r>
              <w:rPr>
                <w:rFonts w:ascii="宋体"/>
                <w:sz w:val="18"/>
              </w:rPr>
              <w:t>30,890,593.60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14,891,168.23</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26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85" w:right="0"/>
              <w:jc w:val="left"/>
              <w:rPr>
                <w:rFonts w:ascii="宋体" w:hAnsi="宋体" w:cs="宋体" w:eastAsia="宋体" w:hint="default"/>
                <w:sz w:val="18"/>
                <w:szCs w:val="18"/>
              </w:rPr>
            </w:pPr>
            <w:r>
              <w:rPr>
                <w:rFonts w:ascii="宋体"/>
                <w:sz w:val="18"/>
              </w:rPr>
              <w:t>1,292,363.54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11,245,056.89</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26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95" w:right="0"/>
              <w:jc w:val="left"/>
              <w:rPr>
                <w:rFonts w:ascii="宋体" w:hAnsi="宋体" w:cs="宋体" w:eastAsia="宋体" w:hint="default"/>
                <w:sz w:val="18"/>
                <w:szCs w:val="18"/>
              </w:rPr>
            </w:pPr>
            <w:r>
              <w:rPr>
                <w:rFonts w:ascii="宋体"/>
                <w:sz w:val="18"/>
              </w:rPr>
              <w:t>-1,304,067.06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-4,424,512.89</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26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75" w:right="0"/>
              <w:jc w:val="left"/>
              <w:rPr>
                <w:rFonts w:ascii="宋体" w:hAnsi="宋体" w:cs="宋体" w:eastAsia="宋体" w:hint="default"/>
                <w:sz w:val="18"/>
                <w:szCs w:val="18"/>
              </w:rPr>
            </w:pPr>
            <w:r>
              <w:rPr>
                <w:rFonts w:ascii="宋体"/>
                <w:sz w:val="18"/>
              </w:rPr>
              <w:t>-184,047.50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494,861.33</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26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95" w:right="0"/>
              <w:jc w:val="left"/>
              <w:rPr>
                <w:rFonts w:ascii="宋体" w:hAnsi="宋体" w:cs="宋体" w:eastAsia="宋体" w:hint="default"/>
                <w:sz w:val="18"/>
                <w:szCs w:val="18"/>
              </w:rPr>
            </w:pPr>
            <w:r>
              <w:rPr>
                <w:rFonts w:ascii="宋体"/>
                <w:sz w:val="18"/>
              </w:rPr>
              <w:t>44,567,342.16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-121,746,078.04</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3"/>
                <w:sz w:val="18"/>
                <w:szCs w:val="18"/>
              </w:rPr>
              <w:t>经营性应收项目的减少（增加以“－”号填列</w:t>
            </w:r>
          </w:p>
        </w:tc>
        <w:tc>
          <w:tcPr>
            <w:tcW w:w="7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9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102,364,215.34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-35,685,014.31</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3"/>
                <w:sz w:val="18"/>
                <w:szCs w:val="18"/>
              </w:rPr>
              <w:t>经营性应付项目的增加（减少以“－”号填列</w:t>
            </w:r>
          </w:p>
        </w:tc>
        <w:tc>
          <w:tcPr>
            <w:tcW w:w="7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9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36,179,191.99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-125,471,088.60</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6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05" w:right="0"/>
              <w:jc w:val="left"/>
              <w:rPr>
                <w:rFonts w:ascii="宋体" w:hAnsi="宋体" w:cs="宋体" w:eastAsia="宋体" w:hint="default"/>
                <w:sz w:val="18"/>
                <w:szCs w:val="18"/>
              </w:rPr>
            </w:pPr>
            <w:r>
              <w:rPr>
                <w:rFonts w:ascii="宋体"/>
                <w:sz w:val="18"/>
              </w:rPr>
              <w:t>292,113,667.88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-108,829,372.04</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．不涉及现金收支的重大投资和筹资活动：</w:t>
            </w:r>
          </w:p>
        </w:tc>
        <w:tc>
          <w:tcPr>
            <w:tcW w:w="2698" w:type="dxa"/>
            <w:gridSpan w:val="2"/>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．现金及现金等价物净变动情况：</w:t>
            </w:r>
          </w:p>
        </w:tc>
        <w:tc>
          <w:tcPr>
            <w:tcW w:w="2698" w:type="dxa"/>
            <w:gridSpan w:val="2"/>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6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05" w:right="0"/>
              <w:jc w:val="left"/>
              <w:rPr>
                <w:rFonts w:ascii="宋体" w:hAnsi="宋体" w:cs="宋体" w:eastAsia="宋体" w:hint="default"/>
                <w:sz w:val="18"/>
                <w:szCs w:val="18"/>
              </w:rPr>
            </w:pPr>
            <w:r>
              <w:rPr>
                <w:rFonts w:ascii="宋体"/>
                <w:sz w:val="18"/>
              </w:rPr>
              <w:t>391,757,349.95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589,447,160.93</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6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05" w:right="0"/>
              <w:jc w:val="left"/>
              <w:rPr>
                <w:rFonts w:ascii="宋体" w:hAnsi="宋体" w:cs="宋体" w:eastAsia="宋体" w:hint="default"/>
                <w:sz w:val="18"/>
                <w:szCs w:val="18"/>
              </w:rPr>
            </w:pPr>
            <w:r>
              <w:rPr>
                <w:rFonts w:ascii="宋体"/>
                <w:sz w:val="18"/>
              </w:rPr>
              <w:t>589,447,160.93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508,152,143.47</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6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15" w:right="0"/>
              <w:jc w:val="left"/>
              <w:rPr>
                <w:rFonts w:ascii="宋体" w:hAnsi="宋体" w:cs="宋体" w:eastAsia="宋体" w:hint="default"/>
                <w:sz w:val="18"/>
                <w:szCs w:val="18"/>
              </w:rPr>
            </w:pPr>
            <w:r>
              <w:rPr>
                <w:rFonts w:ascii="宋体"/>
                <w:sz w:val="18"/>
              </w:rPr>
              <w:t>-197,689,810.98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81,295,017.46</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现金和现金等价物的构成" w:id="289"/>
      <w:bookmarkEnd w:id="289"/>
      <w:r>
        <w:rPr>
          <w:b w:val="0"/>
          <w:bCs w:val="0"/>
        </w:rPr>
      </w:r>
      <w:r>
        <w:rPr/>
        <w:t>（</w:t>
      </w:r>
      <w:r>
        <w:rPr>
          <w:rFonts w:ascii="宋体" w:hAnsi="宋体" w:cs="宋体" w:eastAsia="宋体" w:hint="default"/>
        </w:rPr>
        <w:t>2</w:t>
      </w:r>
      <w:r>
        <w:rPr/>
        <w:t>）现金和现金等价物的构成</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687"/>
        <w:gridCol w:w="2698"/>
        <w:gridCol w:w="3184"/>
      </w:tblGrid>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391,757,349.95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589,447,160.93</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2,986.70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7,754.00</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391,706,702.30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589,343,324.67</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47,660.95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96,082.26</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二、期末现金及现金等价物余额</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391,757,349.95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589,447,160.93</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46、所有权或使用权受到限制的资产" w:id="290"/>
      <w:bookmarkEnd w:id="290"/>
      <w:r>
        <w:rPr>
          <w:b w:val="0"/>
          <w:bCs w:val="0"/>
        </w:rPr>
      </w:r>
      <w:r>
        <w:rPr>
          <w:rFonts w:ascii="宋体" w:hAnsi="宋体" w:cs="宋体" w:eastAsia="宋体" w:hint="default"/>
        </w:rPr>
        <w:t>46</w:t>
      </w:r>
      <w:r>
        <w:rPr/>
        <w:t>、所有权或使用权受到限制的资产</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77"/>
              <w:jc w:val="right"/>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14,773,227.85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保函保证金</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77"/>
              <w:jc w:val="righ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14,773,227.85</w:t>
            </w:r>
          </w:p>
        </w:tc>
        <w:tc>
          <w:tcPr>
            <w:tcW w:w="318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47、外币货币性项目" w:id="291"/>
      <w:bookmarkEnd w:id="291"/>
      <w:r>
        <w:rPr>
          <w:b w:val="0"/>
          <w:bCs w:val="0"/>
        </w:rPr>
      </w:r>
      <w:r>
        <w:rPr>
          <w:rFonts w:ascii="宋体" w:hAnsi="宋体" w:cs="宋体" w:eastAsia="宋体" w:hint="default"/>
        </w:rPr>
        <w:t>47</w:t>
      </w:r>
      <w:r>
        <w:rPr/>
        <w:t>、外币货币性项目</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bookmarkStart w:name="（1）外币货币性项目" w:id="292"/>
      <w:bookmarkEnd w:id="292"/>
      <w:r>
        <w:rPr>
          <w:b w:val="0"/>
          <w:bCs w:val="0"/>
        </w:rPr>
      </w:r>
      <w:r>
        <w:rPr/>
        <w:t>（</w:t>
      </w:r>
      <w:r>
        <w:rPr>
          <w:rFonts w:ascii="宋体" w:hAnsi="宋体" w:cs="宋体" w:eastAsia="宋体" w:hint="default"/>
        </w:rPr>
        <w:t>1</w:t>
      </w:r>
      <w:r>
        <w:rPr/>
        <w:t>）外币货币性项目</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495"/>
        <w:gridCol w:w="2294"/>
        <w:gridCol w:w="2391"/>
        <w:gridCol w:w="2389"/>
      </w:tblGrid>
      <w:tr>
        <w:trPr>
          <w:trHeight w:val="403"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bl>
    <w:p>
      <w:pPr>
        <w:spacing w:after="0" w:line="240" w:lineRule="auto"/>
        <w:jc w:val="left"/>
        <w:rPr>
          <w:rFonts w:ascii="宋体" w:hAnsi="宋体" w:cs="宋体" w:eastAsia="宋体" w:hint="default"/>
          <w:sz w:val="18"/>
          <w:szCs w:val="18"/>
        </w:rPr>
        <w:sectPr>
          <w:pgSz w:w="11910" w:h="16840"/>
          <w:pgMar w:header="877" w:footer="1187" w:top="1100" w:bottom="138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124,765.47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19,188.65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124,603.42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7.0952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162.05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16,899,640.21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1,337,447.98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8,684,852.20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1,157,795.13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7.0952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8,214,788.01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117,842,253.40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18,147,445.70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117,842,253.40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35,230,646.53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5,411,643.33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35,141,047.13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9,240.00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7.0952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65,559.65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9.6159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24,039.75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425,831.99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65,577.18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425,831.99</w:t>
            </w:r>
          </w:p>
        </w:tc>
      </w:tr>
    </w:tbl>
    <w:p>
      <w:pPr>
        <w:spacing w:line="240" w:lineRule="auto" w:before="2"/>
        <w:rPr>
          <w:rFonts w:ascii="宋体" w:hAnsi="宋体" w:cs="宋体" w:eastAsia="宋体" w:hint="default"/>
          <w:sz w:val="19"/>
          <w:szCs w:val="19"/>
        </w:rPr>
      </w:pPr>
    </w:p>
    <w:p>
      <w:pPr>
        <w:pStyle w:val="Heading3"/>
        <w:spacing w:line="273" w:lineRule="auto" w:before="35"/>
        <w:ind w:left="1134" w:right="0"/>
        <w:jc w:val="left"/>
        <w:rPr>
          <w:b w:val="0"/>
          <w:bCs w:val="0"/>
        </w:rPr>
      </w:pPr>
      <w:bookmarkStart w:name="（2）境外经营实体说明，包括对于重要的境外经营实体，应披露其境外主要经营地、记账" w:id="293"/>
      <w:bookmarkEnd w:id="293"/>
      <w:r>
        <w:rPr>
          <w:b w:val="0"/>
          <w:bCs w:val="0"/>
        </w:rPr>
      </w:r>
      <w:r>
        <w:rPr/>
        <w:t>（</w:t>
      </w:r>
      <w:r>
        <w:rPr>
          <w:rFonts w:ascii="宋体" w:hAnsi="宋体" w:cs="宋体" w:eastAsia="宋体"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8"/>
        <w:rPr>
          <w:rFonts w:ascii="宋体" w:hAnsi="宋体" w:cs="宋体" w:eastAsia="宋体" w:hint="default"/>
          <w:b/>
          <w:bCs/>
          <w:sz w:val="25"/>
          <w:szCs w:val="25"/>
        </w:rPr>
      </w:pPr>
    </w:p>
    <w:p>
      <w:pPr>
        <w:pStyle w:val="BodyText"/>
        <w:spacing w:line="240" w:lineRule="auto"/>
        <w:ind w:right="0"/>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left="1134" w:right="0"/>
        <w:jc w:val="left"/>
        <w:rPr>
          <w:b w:val="0"/>
          <w:bCs w:val="0"/>
        </w:rPr>
      </w:pPr>
      <w:bookmarkStart w:name="八、合并范围的变更" w:id="294"/>
      <w:bookmarkEnd w:id="294"/>
      <w:r>
        <w:rPr>
          <w:b w:val="0"/>
          <w:bCs w:val="0"/>
        </w:rPr>
      </w: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其他原因的合并范围变动" w:id="295"/>
      <w:bookmarkEnd w:id="295"/>
      <w:r>
        <w:rPr>
          <w:b w:val="0"/>
          <w:bCs w:val="0"/>
        </w:rPr>
      </w:r>
      <w:r>
        <w:rPr/>
        <w:t>其他原因的合并范围变动</w:t>
      </w:r>
      <w:r>
        <w:rPr>
          <w:b w:val="0"/>
          <w:bCs w:val="0"/>
        </w:rPr>
      </w:r>
    </w:p>
    <w:p>
      <w:pPr>
        <w:spacing w:line="240" w:lineRule="auto" w:before="11"/>
        <w:rPr>
          <w:rFonts w:ascii="宋体" w:hAnsi="宋体" w:cs="宋体" w:eastAsia="宋体" w:hint="default"/>
          <w:b/>
          <w:bCs/>
          <w:sz w:val="27"/>
          <w:szCs w:val="27"/>
        </w:rPr>
      </w:pPr>
    </w:p>
    <w:p>
      <w:pPr>
        <w:pStyle w:val="BodyText"/>
        <w:spacing w:line="357" w:lineRule="auto"/>
        <w:ind w:left="1493" w:right="0" w:hanging="360"/>
        <w:jc w:val="left"/>
      </w:pPr>
      <w:r>
        <w:rPr/>
        <w:t>说明其他原因导致的合并范围变动（如，新设子公司、清算子公司等）及其相关情况： </w:t>
      </w:r>
      <w:r>
        <w:rPr>
          <w:spacing w:val="-2"/>
        </w:rPr>
        <w:t>报告期内，公司以自有资金</w:t>
      </w:r>
      <w:r>
        <w:rPr>
          <w:rFonts w:ascii="宋体" w:hAnsi="宋体" w:cs="宋体" w:eastAsia="宋体" w:hint="default"/>
          <w:spacing w:val="-2"/>
        </w:rPr>
        <w:t>700</w:t>
      </w:r>
      <w:r>
        <w:rPr>
          <w:spacing w:val="-2"/>
        </w:rPr>
        <w:t>万元出资设立聚联网络，出资比例和表决权比例均为</w:t>
      </w:r>
      <w:r>
        <w:rPr>
          <w:rFonts w:ascii="宋体" w:hAnsi="宋体" w:cs="宋体" w:eastAsia="宋体" w:hint="default"/>
          <w:spacing w:val="-2"/>
        </w:rPr>
        <w:t>70%</w:t>
      </w:r>
      <w:r>
        <w:rPr>
          <w:spacing w:val="-2"/>
        </w:rPr>
        <w:t>，聚联网络纳入公司合并报表范</w:t>
      </w:r>
    </w:p>
    <w:p>
      <w:pPr>
        <w:pStyle w:val="BodyText"/>
        <w:spacing w:line="224" w:lineRule="exact"/>
        <w:ind w:right="0"/>
        <w:jc w:val="left"/>
      </w:pPr>
      <w:r>
        <w:rPr/>
        <w:t>围。聚联网络于</w:t>
      </w:r>
      <w:r>
        <w:rPr>
          <w:rFonts w:ascii="宋体" w:hAnsi="宋体" w:cs="宋体" w:eastAsia="宋体" w:hint="default"/>
        </w:rPr>
        <w:t>2015</w:t>
      </w:r>
      <w:r>
        <w:rPr/>
        <w:t>年</w:t>
      </w:r>
      <w:r>
        <w:rPr>
          <w:rFonts w:ascii="宋体" w:hAnsi="宋体" w:cs="宋体" w:eastAsia="宋体" w:hint="default"/>
        </w:rPr>
        <w:t>5</w:t>
      </w:r>
      <w:r>
        <w:rPr/>
        <w:t>月</w:t>
      </w:r>
      <w:r>
        <w:rPr>
          <w:rFonts w:ascii="宋体" w:hAnsi="宋体" w:cs="宋体" w:eastAsia="宋体" w:hint="default"/>
        </w:rPr>
        <w:t>29</w:t>
      </w:r>
      <w:r>
        <w:rPr/>
        <w:t>日完成工商注册登记，注册资本为</w:t>
      </w:r>
      <w:r>
        <w:rPr>
          <w:rFonts w:ascii="宋体" w:hAnsi="宋体" w:cs="宋体" w:eastAsia="宋体" w:hint="default"/>
        </w:rPr>
        <w:t>1,000</w:t>
      </w:r>
      <w:r>
        <w:rPr/>
        <w:t>万元。</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九、在其他主体中的权益" w:id="296"/>
      <w:bookmarkEnd w:id="296"/>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在子公司中的权益" w:id="297"/>
      <w:bookmarkEnd w:id="297"/>
      <w:r>
        <w:rPr>
          <w:b w:val="0"/>
          <w:bCs w:val="0"/>
        </w:rPr>
      </w:r>
      <w:r>
        <w:rPr>
          <w:rFonts w:ascii="宋体" w:hAnsi="宋体" w:cs="宋体" w:eastAsia="宋体" w:hint="default"/>
        </w:rPr>
        <w:t>1</w:t>
      </w:r>
      <w:r>
        <w:rPr/>
        <w:t>、在子公司中的权益</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bookmarkStart w:name="（1）企业集团的构成" w:id="298"/>
      <w:bookmarkEnd w:id="298"/>
      <w:r>
        <w:rPr>
          <w:b w:val="0"/>
          <w:bCs w:val="0"/>
        </w:rPr>
      </w:r>
      <w:r>
        <w:rPr/>
        <w:t>（</w:t>
      </w:r>
      <w:r>
        <w:rPr>
          <w:rFonts w:ascii="宋体" w:hAnsi="宋体" w:cs="宋体" w:eastAsia="宋体" w:hint="default"/>
        </w:rPr>
        <w:t>1</w:t>
      </w:r>
      <w:r>
        <w:rPr/>
        <w:t>）企业集团的构成</w:t>
      </w:r>
      <w:r>
        <w:rPr>
          <w:b w:val="0"/>
          <w:bCs w:val="0"/>
        </w:rPr>
      </w:r>
    </w:p>
    <w:p>
      <w:pPr>
        <w:spacing w:line="240" w:lineRule="auto" w:before="12"/>
        <w:rPr>
          <w:rFonts w:ascii="宋体" w:hAnsi="宋体" w:cs="宋体" w:eastAsia="宋体" w:hint="default"/>
          <w:b/>
          <w:bCs/>
          <w:sz w:val="26"/>
          <w:szCs w:val="26"/>
        </w:rPr>
      </w:pPr>
    </w:p>
    <w:tbl>
      <w:tblPr>
        <w:tblW w:w="0" w:type="auto"/>
        <w:jc w:val="left"/>
        <w:tblInd w:w="1129" w:type="dxa"/>
        <w:tblLayout w:type="fixed"/>
        <w:tblCellMar>
          <w:top w:w="0" w:type="dxa"/>
          <w:left w:w="0" w:type="dxa"/>
          <w:bottom w:w="0" w:type="dxa"/>
          <w:right w:w="0" w:type="dxa"/>
        </w:tblCellMar>
        <w:tblLook w:val="01E0"/>
      </w:tblPr>
      <w:tblGrid>
        <w:gridCol w:w="2268"/>
        <w:gridCol w:w="851"/>
        <w:gridCol w:w="987"/>
        <w:gridCol w:w="1991"/>
        <w:gridCol w:w="1085"/>
        <w:gridCol w:w="1025"/>
        <w:gridCol w:w="1366"/>
      </w:tblGrid>
      <w:tr>
        <w:trPr>
          <w:trHeight w:val="402" w:hRule="exact"/>
        </w:trPr>
        <w:tc>
          <w:tcPr>
            <w:tcW w:w="226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678"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851" w:type="dxa"/>
            <w:vMerge w:val="restart"/>
            <w:tcBorders>
              <w:top w:val="single" w:sz="4" w:space="0" w:color="000000"/>
              <w:left w:val="single" w:sz="4" w:space="0" w:color="000000"/>
              <w:right w:val="single" w:sz="4" w:space="0" w:color="000000"/>
            </w:tcBorders>
          </w:tcPr>
          <w:p>
            <w:pPr>
              <w:pStyle w:val="TableParagraph"/>
              <w:spacing w:line="316" w:lineRule="auto" w:before="97"/>
              <w:ind w:left="330" w:right="59" w:hanging="270"/>
              <w:jc w:val="left"/>
              <w:rPr>
                <w:rFonts w:ascii="宋体" w:hAnsi="宋体" w:cs="宋体" w:eastAsia="宋体" w:hint="default"/>
                <w:sz w:val="18"/>
                <w:szCs w:val="18"/>
              </w:rPr>
            </w:pPr>
            <w:r>
              <w:rPr>
                <w:rFonts w:ascii="宋体" w:hAnsi="宋体" w:cs="宋体" w:eastAsia="宋体" w:hint="default"/>
                <w:sz w:val="18"/>
                <w:szCs w:val="18"/>
              </w:rPr>
              <w:t>主要经营 地</w:t>
            </w:r>
          </w:p>
        </w:tc>
        <w:tc>
          <w:tcPr>
            <w:tcW w:w="987"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1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991"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63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1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8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2268"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987" w:type="dxa"/>
            <w:vMerge/>
            <w:tcBorders>
              <w:left w:val="single" w:sz="4" w:space="0" w:color="000000"/>
              <w:bottom w:val="single" w:sz="4" w:space="0" w:color="000000"/>
              <w:right w:val="single" w:sz="4" w:space="0" w:color="000000"/>
            </w:tcBorders>
          </w:tcPr>
          <w:p>
            <w:pPr/>
          </w:p>
        </w:tc>
        <w:tc>
          <w:tcPr>
            <w:tcW w:w="1991" w:type="dxa"/>
            <w:vMerge/>
            <w:tcBorders>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56"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26"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1"/>
              <w:jc w:val="center"/>
              <w:rPr>
                <w:rFonts w:ascii="宋体" w:hAnsi="宋体" w:cs="宋体" w:eastAsia="宋体" w:hint="default"/>
                <w:sz w:val="18"/>
                <w:szCs w:val="18"/>
              </w:rPr>
            </w:pPr>
            <w:r>
              <w:rPr>
                <w:rFonts w:ascii="宋体" w:hAnsi="宋体" w:cs="宋体" w:eastAsia="宋体" w:hint="default"/>
                <w:sz w:val="18"/>
                <w:szCs w:val="18"/>
              </w:rPr>
              <w:t>武汉天喻通讯技术有限公司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50"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武汉市</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软件和信息技术服务业</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80.00%</w:t>
            </w:r>
          </w:p>
        </w:tc>
        <w:tc>
          <w:tcPr>
            <w:tcW w:w="102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1"/>
              <w:jc w:val="center"/>
              <w:rPr>
                <w:rFonts w:ascii="宋体" w:hAnsi="宋体" w:cs="宋体" w:eastAsia="宋体" w:hint="default"/>
                <w:sz w:val="18"/>
                <w:szCs w:val="18"/>
              </w:rPr>
            </w:pPr>
            <w:r>
              <w:rPr>
                <w:rFonts w:ascii="宋体" w:hAnsi="宋体" w:cs="宋体" w:eastAsia="宋体" w:hint="default"/>
                <w:sz w:val="18"/>
                <w:szCs w:val="18"/>
              </w:rPr>
              <w:t>武汉擎动网络科技有限公司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50"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武汉市</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互联网和相关服务</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100.00%</w:t>
            </w:r>
          </w:p>
        </w:tc>
        <w:tc>
          <w:tcPr>
            <w:tcW w:w="102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1"/>
              <w:jc w:val="center"/>
              <w:rPr>
                <w:rFonts w:ascii="宋体" w:hAnsi="宋体" w:cs="宋体" w:eastAsia="宋体" w:hint="default"/>
                <w:sz w:val="18"/>
                <w:szCs w:val="18"/>
              </w:rPr>
            </w:pPr>
            <w:r>
              <w:rPr>
                <w:rFonts w:ascii="宋体" w:hAnsi="宋体" w:cs="宋体" w:eastAsia="宋体" w:hint="default"/>
                <w:sz w:val="18"/>
                <w:szCs w:val="18"/>
              </w:rPr>
              <w:t>湖北百旺金赋科技有限公司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50"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武汉市</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软件和信息技术服务业</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80.00%</w:t>
            </w:r>
          </w:p>
        </w:tc>
        <w:tc>
          <w:tcPr>
            <w:tcW w:w="102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center"/>
        <w:rPr>
          <w:rFonts w:ascii="宋体" w:hAnsi="宋体" w:cs="宋体" w:eastAsia="宋体" w:hint="default"/>
          <w:sz w:val="18"/>
          <w:szCs w:val="18"/>
        </w:rPr>
        <w:sectPr>
          <w:pgSz w:w="11910" w:h="16840"/>
          <w:pgMar w:header="877" w:footer="1187" w:top="1100" w:bottom="1380" w:left="0" w:right="0"/>
        </w:sectPr>
      </w:pPr>
    </w:p>
    <w:p>
      <w:pPr>
        <w:spacing w:line="240" w:lineRule="auto" w:before="6"/>
        <w:rPr>
          <w:rFonts w:ascii="宋体" w:hAnsi="宋体" w:cs="宋体" w:eastAsia="宋体" w:hint="default"/>
          <w:b/>
          <w:bCs/>
          <w:sz w:val="24"/>
          <w:szCs w:val="24"/>
        </w:rPr>
      </w:pPr>
    </w:p>
    <w:tbl>
      <w:tblPr>
        <w:tblW w:w="0" w:type="auto"/>
        <w:jc w:val="left"/>
        <w:tblInd w:w="1129" w:type="dxa"/>
        <w:tblLayout w:type="fixed"/>
        <w:tblCellMar>
          <w:top w:w="0" w:type="dxa"/>
          <w:left w:w="0" w:type="dxa"/>
          <w:bottom w:w="0" w:type="dxa"/>
          <w:right w:w="0" w:type="dxa"/>
        </w:tblCellMar>
        <w:tblLook w:val="01E0"/>
      </w:tblPr>
      <w:tblGrid>
        <w:gridCol w:w="2268"/>
        <w:gridCol w:w="851"/>
        <w:gridCol w:w="987"/>
        <w:gridCol w:w="1991"/>
        <w:gridCol w:w="1085"/>
        <w:gridCol w:w="1025"/>
        <w:gridCol w:w="1366"/>
      </w:tblGrid>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武汉果核科技有限公司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0"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武汉市</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软件和信息技术服务业</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49.00%</w:t>
            </w:r>
          </w:p>
        </w:tc>
        <w:tc>
          <w:tcPr>
            <w:tcW w:w="102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武汉天喻信通制卡有限公司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武汉市</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5"/>
                <w:sz w:val="18"/>
                <w:szCs w:val="18"/>
              </w:rPr>
              <w:t>计算机、通信和其他电子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设备制造业</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100.00%</w:t>
            </w:r>
          </w:p>
        </w:tc>
        <w:tc>
          <w:tcPr>
            <w:tcW w:w="102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同一控制合并</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武汉天喻聚联网络有限公司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0"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武汉市</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软件和信息技术服务业</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70.00%</w:t>
            </w:r>
          </w:p>
        </w:tc>
        <w:tc>
          <w:tcPr>
            <w:tcW w:w="102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w:t>
            </w:r>
          </w:p>
        </w:tc>
      </w:tr>
    </w:tbl>
    <w:p>
      <w:pPr>
        <w:spacing w:line="240" w:lineRule="auto" w:before="9"/>
        <w:rPr>
          <w:rFonts w:ascii="宋体" w:hAnsi="宋体" w:cs="宋体" w:eastAsia="宋体" w:hint="default"/>
          <w:b/>
          <w:bCs/>
          <w:sz w:val="6"/>
          <w:szCs w:val="6"/>
        </w:rPr>
      </w:pPr>
    </w:p>
    <w:p>
      <w:pPr>
        <w:pStyle w:val="BodyText"/>
        <w:spacing w:line="357" w:lineRule="auto" w:before="44"/>
        <w:ind w:left="1494" w:right="0" w:hanging="360"/>
        <w:jc w:val="left"/>
      </w:pPr>
      <w:r>
        <w:rPr/>
        <w:t>在子公司的持股比例不同于表决权比例的说明： </w:t>
      </w:r>
      <w:r>
        <w:rPr>
          <w:spacing w:val="-2"/>
        </w:rPr>
        <w:t>本公司对果核科技的持股比例为</w:t>
      </w:r>
      <w:r>
        <w:rPr>
          <w:rFonts w:ascii="宋体" w:hAnsi="宋体" w:cs="宋体" w:eastAsia="宋体" w:hint="default"/>
          <w:spacing w:val="-2"/>
        </w:rPr>
        <w:t>49%</w:t>
      </w:r>
      <w:r>
        <w:rPr>
          <w:spacing w:val="-2"/>
        </w:rPr>
        <w:t>，根据公司与果核科技持股比例为</w:t>
      </w:r>
      <w:r>
        <w:rPr>
          <w:rFonts w:ascii="宋体" w:hAnsi="宋体" w:cs="宋体" w:eastAsia="宋体" w:hint="default"/>
          <w:spacing w:val="-2"/>
        </w:rPr>
        <w:t>25%</w:t>
      </w:r>
      <w:r>
        <w:rPr>
          <w:spacing w:val="-2"/>
        </w:rPr>
        <w:t>的股东陈吉签订的一致行动人协议，公司在果</w:t>
      </w:r>
    </w:p>
    <w:p>
      <w:pPr>
        <w:pStyle w:val="BodyText"/>
        <w:spacing w:line="224" w:lineRule="exact"/>
        <w:ind w:right="0"/>
        <w:jc w:val="left"/>
      </w:pPr>
      <w:r>
        <w:rPr/>
        <w:t>核科技的表决权比例为</w:t>
      </w:r>
      <w:r>
        <w:rPr>
          <w:rFonts w:ascii="宋体" w:hAnsi="宋体" w:cs="宋体" w:eastAsia="宋体" w:hint="default"/>
        </w:rPr>
        <w:t>74%</w:t>
      </w:r>
      <w:r>
        <w:rPr/>
        <w:t>，因此公司能够对果核科技实施控制。</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重要的非全资子公司" w:id="299"/>
      <w:bookmarkEnd w:id="299"/>
      <w:r>
        <w:rPr>
          <w:b w:val="0"/>
          <w:bCs w:val="0"/>
        </w:rPr>
      </w:r>
      <w:r>
        <w:rPr/>
        <w:t>（</w:t>
      </w:r>
      <w:r>
        <w:rPr>
          <w:rFonts w:ascii="宋体" w:hAnsi="宋体" w:cs="宋体" w:eastAsia="宋体" w:hint="default"/>
        </w:rPr>
        <w:t>2</w:t>
      </w:r>
      <w:r>
        <w:rPr/>
        <w:t>）重要的非全资子公司</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268"/>
        <w:gridCol w:w="1563"/>
        <w:gridCol w:w="1914"/>
        <w:gridCol w:w="1913"/>
        <w:gridCol w:w="1913"/>
      </w:tblGrid>
      <w:tr>
        <w:trPr>
          <w:trHeight w:val="76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678"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57"/>
              <w:jc w:val="righ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武汉果核科技有限公司</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-2,188,544.72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2,676,801.31</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武汉天喻聚联网络有限公司</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-96,694.00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2,903,306.00</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武汉天喻通讯技术有限公司</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1,401,426.48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-212,660.53</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湖北百旺金赋科技有限公司</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822,971.83</w:t>
            </w:r>
          </w:p>
        </w:tc>
      </w:tr>
    </w:tbl>
    <w:p>
      <w:pPr>
        <w:spacing w:after="0" w:line="240" w:lineRule="auto"/>
        <w:jc w:val="right"/>
        <w:rPr>
          <w:rFonts w:ascii="宋体" w:hAnsi="宋体" w:cs="宋体" w:eastAsia="宋体" w:hint="default"/>
          <w:sz w:val="18"/>
          <w:szCs w:val="18"/>
        </w:rPr>
        <w:sectPr>
          <w:pgSz w:w="11910" w:h="16840"/>
          <w:pgMar w:header="877" w:footer="1187" w:top="1100" w:bottom="1380" w:left="0" w:right="0"/>
        </w:sectPr>
      </w:pPr>
    </w:p>
    <w:p>
      <w:pPr>
        <w:spacing w:line="240" w:lineRule="auto" w:before="13"/>
        <w:rPr>
          <w:rFonts w:ascii="宋体" w:hAnsi="宋体" w:cs="宋体" w:eastAsia="宋体" w:hint="default"/>
          <w:sz w:val="23"/>
          <w:szCs w:val="23"/>
        </w:rPr>
      </w:pPr>
    </w:p>
    <w:p>
      <w:pPr>
        <w:pStyle w:val="Heading3"/>
        <w:spacing w:line="240" w:lineRule="auto"/>
        <w:ind w:left="840" w:right="0"/>
        <w:jc w:val="left"/>
        <w:rPr>
          <w:b w:val="0"/>
          <w:bCs w:val="0"/>
        </w:rPr>
      </w:pPr>
      <w:r>
        <w:rPr/>
        <w:pict>
          <v:group style="position:absolute;margin-left:70.5pt;margin-top:-.39635pt;width:701pt;height:.1pt;mso-position-horizontal-relative:page;mso-position-vertical-relative:paragraph;z-index:1696" coordorigin="1410,-8" coordsize="14020,2">
            <v:shape style="position:absolute;left:1410;top:-8;width:14020;height:2" coordorigin="1410,-8" coordsize="14020,0" path="m1410,-8l15430,-8e" filled="false" stroked="true" strokeweight=".72pt" strokecolor="#000000">
              <v:path arrowok="t"/>
            </v:shape>
            <w10:wrap type="none"/>
          </v:group>
        </w:pict>
      </w:r>
      <w:bookmarkStart w:name="（3）重要非全资子公司的主要财务信息" w:id="300"/>
      <w:bookmarkEnd w:id="300"/>
      <w:r>
        <w:rPr>
          <w:b w:val="0"/>
          <w:bCs w:val="0"/>
        </w:rPr>
      </w:r>
      <w:r>
        <w:rPr>
          <w:w w:val="95"/>
        </w:rPr>
        <w:t>（</w:t>
      </w:r>
      <w:r>
        <w:rPr>
          <w:rFonts w:ascii="宋体" w:hAnsi="宋体" w:cs="宋体" w:eastAsia="宋体" w:hint="default"/>
          <w:w w:val="95"/>
        </w:rPr>
        <w:t>3</w:t>
      </w:r>
      <w:r>
        <w:rPr>
          <w:w w:val="95"/>
        </w:rPr>
        <w:t>）重要非全资子公司的主要财务信息</w:t>
      </w:r>
      <w:r>
        <w:rPr>
          <w:b w:val="0"/>
          <w:bCs w:val="0"/>
        </w:rPr>
      </w:r>
    </w:p>
    <w:p>
      <w:pPr>
        <w:pStyle w:val="BodyText"/>
        <w:spacing w:line="240" w:lineRule="auto" w:before="15"/>
        <w:ind w:left="840" w:right="0"/>
        <w:jc w:val="left"/>
      </w:pPr>
      <w:r>
        <w:rPr/>
        <w:br w:type="column"/>
      </w:r>
      <w:r>
        <w:rPr/>
        <w:t>武汉天喻信息产业股份有限公司</w:t>
      </w:r>
      <w:r>
        <w:rPr>
          <w:spacing w:val="-46"/>
        </w:rPr>
        <w:t> </w:t>
      </w:r>
      <w:r>
        <w:rPr>
          <w:rFonts w:ascii="宋体" w:hAnsi="宋体" w:cs="宋体" w:eastAsia="宋体" w:hint="default"/>
        </w:rPr>
        <w:t>2015</w:t>
      </w:r>
      <w:r>
        <w:rPr>
          <w:rFonts w:ascii="宋体" w:hAnsi="宋体" w:cs="宋体" w:eastAsia="宋体" w:hint="default"/>
          <w:spacing w:val="-46"/>
        </w:rPr>
        <w:t> </w:t>
      </w:r>
      <w:r>
        <w:rPr/>
        <w:t>年度报告</w:t>
      </w:r>
    </w:p>
    <w:p>
      <w:pPr>
        <w:spacing w:after="0" w:line="240" w:lineRule="auto"/>
        <w:jc w:val="left"/>
        <w:sectPr>
          <w:headerReference w:type="default" r:id="rId46"/>
          <w:footerReference w:type="default" r:id="rId47"/>
          <w:pgSz w:w="16840" w:h="11910" w:orient="landscape"/>
          <w:pgMar w:header="0" w:footer="0" w:top="800" w:bottom="0" w:left="600" w:right="0"/>
          <w:cols w:num="2" w:equalWidth="0">
            <w:col w:w="4528" w:space="5741"/>
            <w:col w:w="5971"/>
          </w:cols>
        </w:sectPr>
      </w:pPr>
    </w:p>
    <w:p>
      <w:pPr>
        <w:spacing w:line="240" w:lineRule="auto" w:before="6"/>
        <w:rPr>
          <w:rFonts w:ascii="宋体" w:hAnsi="宋体" w:cs="宋体" w:eastAsia="宋体" w:hint="default"/>
          <w:sz w:val="24"/>
          <w:szCs w:val="24"/>
        </w:rPr>
      </w:pPr>
    </w:p>
    <w:p>
      <w:pPr>
        <w:pStyle w:val="BodyText"/>
        <w:spacing w:line="240" w:lineRule="auto" w:before="44"/>
        <w:ind w:left="0" w:right="1535"/>
        <w:jc w:val="right"/>
      </w:pPr>
      <w:r>
        <w:rPr/>
        <w:t>单位： 元</w:t>
      </w:r>
    </w:p>
    <w:p>
      <w:pPr>
        <w:spacing w:line="240" w:lineRule="auto" w:before="13"/>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1218"/>
        <w:gridCol w:w="1276"/>
        <w:gridCol w:w="1218"/>
        <w:gridCol w:w="1316"/>
        <w:gridCol w:w="1356"/>
        <w:gridCol w:w="714"/>
        <w:gridCol w:w="1317"/>
        <w:gridCol w:w="1316"/>
        <w:gridCol w:w="1175"/>
        <w:gridCol w:w="1343"/>
        <w:gridCol w:w="1275"/>
        <w:gridCol w:w="700"/>
        <w:gridCol w:w="1274"/>
      </w:tblGrid>
      <w:tr>
        <w:trPr>
          <w:trHeight w:val="402" w:hRule="exact"/>
        </w:trPr>
        <w:tc>
          <w:tcPr>
            <w:tcW w:w="12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5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719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708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1218" w:type="dxa"/>
            <w:vMerge/>
            <w:tcBorders>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资产合计</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72" w:right="79"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9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6"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64" w:right="73"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负债合计</w:t>
            </w:r>
          </w:p>
        </w:tc>
      </w:tr>
      <w:tr>
        <w:trPr>
          <w:trHeight w:val="714" w:hRule="exact"/>
        </w:trPr>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102"/>
              <w:jc w:val="left"/>
              <w:rPr>
                <w:rFonts w:ascii="宋体" w:hAnsi="宋体" w:cs="宋体" w:eastAsia="宋体" w:hint="default"/>
                <w:sz w:val="18"/>
                <w:szCs w:val="18"/>
              </w:rPr>
            </w:pPr>
            <w:r>
              <w:rPr>
                <w:rFonts w:ascii="宋体" w:hAnsi="宋体" w:cs="宋体" w:eastAsia="宋体" w:hint="default"/>
                <w:sz w:val="18"/>
                <w:szCs w:val="18"/>
              </w:rPr>
              <w:t>武汉果核科技 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7,831,684.70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617,666.97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8" w:right="0"/>
              <w:jc w:val="center"/>
              <w:rPr>
                <w:rFonts w:ascii="宋体" w:hAnsi="宋体" w:cs="宋体" w:eastAsia="宋体" w:hint="default"/>
                <w:sz w:val="18"/>
                <w:szCs w:val="18"/>
              </w:rPr>
            </w:pPr>
            <w:r>
              <w:rPr>
                <w:rFonts w:ascii="宋体"/>
                <w:sz w:val="18"/>
              </w:rPr>
              <w:t>8,449,351.67</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3,200,721.64</w:t>
            </w:r>
          </w:p>
        </w:tc>
        <w:tc>
          <w:tcPr>
            <w:tcW w:w="714"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3,200,721.64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10,537,053.17</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20,810.26</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10,557,863.43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1,017,969.25</w:t>
            </w:r>
          </w:p>
        </w:tc>
        <w:tc>
          <w:tcPr>
            <w:tcW w:w="70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1,017,969.25</w:t>
            </w:r>
          </w:p>
        </w:tc>
      </w:tr>
      <w:tr>
        <w:trPr>
          <w:trHeight w:val="714" w:hRule="exact"/>
        </w:trPr>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102"/>
              <w:jc w:val="left"/>
              <w:rPr>
                <w:rFonts w:ascii="宋体" w:hAnsi="宋体" w:cs="宋体" w:eastAsia="宋体" w:hint="default"/>
                <w:sz w:val="18"/>
                <w:szCs w:val="18"/>
              </w:rPr>
            </w:pPr>
            <w:r>
              <w:rPr>
                <w:rFonts w:ascii="宋体" w:hAnsi="宋体" w:cs="宋体" w:eastAsia="宋体" w:hint="default"/>
                <w:sz w:val="18"/>
                <w:szCs w:val="18"/>
              </w:rPr>
              <w:t>武汉天喻聚联 网络有限公司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9,873,813.46</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63,226.69</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8" w:right="0"/>
              <w:jc w:val="center"/>
              <w:rPr>
                <w:rFonts w:ascii="宋体" w:hAnsi="宋体" w:cs="宋体" w:eastAsia="宋体" w:hint="default"/>
                <w:sz w:val="18"/>
                <w:szCs w:val="18"/>
              </w:rPr>
            </w:pPr>
            <w:r>
              <w:rPr>
                <w:rFonts w:ascii="宋体"/>
                <w:sz w:val="18"/>
              </w:rPr>
              <w:t>9,937,040.15</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259,353.49</w:t>
            </w:r>
          </w:p>
        </w:tc>
        <w:tc>
          <w:tcPr>
            <w:tcW w:w="714"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259,353.49</w:t>
            </w:r>
          </w:p>
        </w:tc>
        <w:tc>
          <w:tcPr>
            <w:tcW w:w="1316"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02"/>
              <w:jc w:val="left"/>
              <w:rPr>
                <w:rFonts w:ascii="宋体" w:hAnsi="宋体" w:cs="宋体" w:eastAsia="宋体" w:hint="default"/>
                <w:sz w:val="18"/>
                <w:szCs w:val="18"/>
              </w:rPr>
            </w:pPr>
            <w:r>
              <w:rPr>
                <w:rFonts w:ascii="宋体" w:hAnsi="宋体" w:cs="宋体" w:eastAsia="宋体" w:hint="default"/>
                <w:sz w:val="18"/>
                <w:szCs w:val="18"/>
              </w:rPr>
              <w:t>武汉天喻通讯 技术有限公司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105,625,049.0</w:t>
            </w:r>
          </w:p>
          <w:p>
            <w:pPr>
              <w:pStyle w:val="TableParagraph"/>
              <w:spacing w:line="240" w:lineRule="auto" w:before="76"/>
              <w:ind w:right="20"/>
              <w:jc w:val="right"/>
              <w:rPr>
                <w:rFonts w:ascii="宋体" w:hAnsi="宋体" w:cs="宋体" w:eastAsia="宋体" w:hint="default"/>
                <w:sz w:val="18"/>
                <w:szCs w:val="18"/>
              </w:rPr>
            </w:pPr>
            <w:r>
              <w:rPr>
                <w:rFonts w:ascii="宋体"/>
                <w:sz w:val="18"/>
              </w:rPr>
              <w:t>1</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5,009,400.65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110,634,449.66</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110,797,752.32</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51" w:right="0"/>
              <w:jc w:val="left"/>
              <w:rPr>
                <w:rFonts w:ascii="宋体" w:hAnsi="宋体" w:cs="宋体" w:eastAsia="宋体" w:hint="default"/>
                <w:sz w:val="18"/>
                <w:szCs w:val="18"/>
              </w:rPr>
            </w:pPr>
            <w:r>
              <w:rPr>
                <w:rFonts w:ascii="宋体"/>
                <w:sz w:val="18"/>
              </w:rPr>
              <w:t>900,000</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111,697,752.32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100,478,578.17</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5,499,974.40</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105,978,552.57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93,140,766.22</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37" w:right="0"/>
              <w:jc w:val="left"/>
              <w:rPr>
                <w:rFonts w:ascii="宋体" w:hAnsi="宋体" w:cs="宋体" w:eastAsia="宋体" w:hint="default"/>
                <w:sz w:val="18"/>
                <w:szCs w:val="18"/>
              </w:rPr>
            </w:pPr>
            <w:r>
              <w:rPr>
                <w:rFonts w:ascii="宋体"/>
                <w:sz w:val="18"/>
              </w:rPr>
              <w:t>900,000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94,040,766.22</w:t>
            </w:r>
          </w:p>
        </w:tc>
      </w:tr>
      <w:tr>
        <w:trPr>
          <w:trHeight w:val="715" w:hRule="exact"/>
        </w:trPr>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102"/>
              <w:jc w:val="left"/>
              <w:rPr>
                <w:rFonts w:ascii="宋体" w:hAnsi="宋体" w:cs="宋体" w:eastAsia="宋体" w:hint="default"/>
                <w:sz w:val="18"/>
                <w:szCs w:val="18"/>
              </w:rPr>
            </w:pPr>
            <w:r>
              <w:rPr>
                <w:rFonts w:ascii="宋体" w:hAnsi="宋体" w:cs="宋体" w:eastAsia="宋体" w:hint="default"/>
                <w:sz w:val="18"/>
                <w:szCs w:val="18"/>
              </w:rPr>
              <w:t>湖北百旺金赋 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15,818,606.58</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1,279,765.77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8" w:right="0"/>
              <w:jc w:val="center"/>
              <w:rPr>
                <w:rFonts w:ascii="宋体" w:hAnsi="宋体" w:cs="宋体" w:eastAsia="宋体" w:hint="default"/>
                <w:sz w:val="18"/>
                <w:szCs w:val="18"/>
              </w:rPr>
            </w:pPr>
            <w:r>
              <w:rPr>
                <w:rFonts w:ascii="宋体"/>
                <w:sz w:val="18"/>
              </w:rPr>
              <w:t>17,098,372.35</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12,983,513.20</w:t>
            </w:r>
          </w:p>
        </w:tc>
        <w:tc>
          <w:tcPr>
            <w:tcW w:w="714"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12,983,513.20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4,144,183.67</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719,367.74</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4,863,551.41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2,349,457.51</w:t>
            </w:r>
          </w:p>
        </w:tc>
        <w:tc>
          <w:tcPr>
            <w:tcW w:w="70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2,349,457.51</w:t>
            </w:r>
          </w:p>
        </w:tc>
      </w:tr>
    </w:tbl>
    <w:p>
      <w:pPr>
        <w:spacing w:line="240" w:lineRule="auto" w:before="9"/>
        <w:rPr>
          <w:rFonts w:ascii="宋体" w:hAnsi="宋体" w:cs="宋体" w:eastAsia="宋体" w:hint="default"/>
          <w:sz w:val="6"/>
          <w:szCs w:val="6"/>
        </w:rPr>
      </w:pPr>
    </w:p>
    <w:p>
      <w:pPr>
        <w:pStyle w:val="BodyText"/>
        <w:spacing w:line="240" w:lineRule="auto" w:before="44"/>
        <w:ind w:left="0" w:right="1535"/>
        <w:jc w:val="right"/>
      </w:pPr>
      <w:r>
        <w:rPr/>
        <w:t>单位： 元</w:t>
      </w:r>
    </w:p>
    <w:p>
      <w:pPr>
        <w:spacing w:line="240" w:lineRule="auto" w:before="13"/>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2514"/>
        <w:gridCol w:w="1414"/>
        <w:gridCol w:w="1414"/>
        <w:gridCol w:w="1463"/>
        <w:gridCol w:w="1617"/>
        <w:gridCol w:w="1645"/>
        <w:gridCol w:w="1700"/>
        <w:gridCol w:w="1764"/>
        <w:gridCol w:w="1960"/>
      </w:tblGrid>
      <w:tr>
        <w:trPr>
          <w:trHeight w:val="402" w:hRule="exact"/>
        </w:trPr>
        <w:tc>
          <w:tcPr>
            <w:tcW w:w="251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80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590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07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14" w:type="dxa"/>
            <w:vMerge/>
            <w:tcBorders>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5"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1"/>
              <w:jc w:val="right"/>
              <w:rPr>
                <w:rFonts w:ascii="宋体" w:hAnsi="宋体" w:cs="宋体" w:eastAsia="宋体" w:hint="default"/>
                <w:sz w:val="18"/>
                <w:szCs w:val="18"/>
              </w:rPr>
            </w:pPr>
            <w:r>
              <w:rPr>
                <w:rFonts w:ascii="宋体" w:hAnsi="宋体" w:cs="宋体" w:eastAsia="宋体" w:hint="default"/>
                <w:sz w:val="18"/>
                <w:szCs w:val="18"/>
              </w:rPr>
              <w:t>经营活动现金流量</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7"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4" w:right="0"/>
              <w:jc w:val="left"/>
              <w:rPr>
                <w:rFonts w:ascii="宋体" w:hAnsi="宋体" w:cs="宋体" w:eastAsia="宋体" w:hint="default"/>
                <w:sz w:val="18"/>
                <w:szCs w:val="18"/>
              </w:rPr>
            </w:pPr>
            <w:r>
              <w:rPr>
                <w:rFonts w:ascii="宋体" w:hAnsi="宋体" w:cs="宋体" w:eastAsia="宋体" w:hint="default"/>
                <w:sz w:val="18"/>
                <w:szCs w:val="18"/>
              </w:rPr>
              <w:t>经营活动现金流量</w:t>
            </w:r>
          </w:p>
        </w:tc>
      </w:tr>
      <w:tr>
        <w:trPr>
          <w:trHeight w:val="402" w:hRule="exact"/>
        </w:trPr>
        <w:tc>
          <w:tcPr>
            <w:tcW w:w="2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武汉果核科技有限公司</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6,614,223.64</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-4,291,264.15</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-4,291,264.15</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-4,238,614.51</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871,914.56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-460,105.82</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-460,105.82</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-327,526.11</w:t>
            </w:r>
          </w:p>
        </w:tc>
      </w:tr>
      <w:tr>
        <w:trPr>
          <w:trHeight w:val="402" w:hRule="exact"/>
        </w:trPr>
        <w:tc>
          <w:tcPr>
            <w:tcW w:w="2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武汉天喻聚联网络有限公司</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428,190.14</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-322,313.34</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-322,313.34</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-488,363.54</w:t>
            </w:r>
          </w:p>
        </w:tc>
        <w:tc>
          <w:tcPr>
            <w:tcW w:w="164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c>
          <w:tcPr>
            <w:tcW w:w="19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武汉天喻通讯技术有限公司</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77,910,633.09</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-25,001,089.01</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-25,001,089.01</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-16,409,312.06</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97,396,022.70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-4,926,455.53</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-4,926,455.53</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-5,955,343.16</w:t>
            </w:r>
          </w:p>
        </w:tc>
      </w:tr>
      <w:tr>
        <w:trPr>
          <w:trHeight w:val="402" w:hRule="exact"/>
        </w:trPr>
        <w:tc>
          <w:tcPr>
            <w:tcW w:w="2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湖北百旺金赋科技有限公司</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28,511,850.83</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-4,499,234.75</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-4,499,234.75</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4,980,390.05</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3,746,838.12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-2,375,466.55</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-2,375,466.55</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-1,567,720.04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240" w:lineRule="auto"/>
        <w:ind w:left="7665" w:right="8263"/>
        <w:jc w:val="center"/>
        <w:rPr>
          <w:rFonts w:ascii="Times New Roman" w:hAnsi="Times New Roman" w:cs="Times New Roman" w:eastAsia="Times New Roman" w:hint="default"/>
        </w:rPr>
      </w:pPr>
      <w:r>
        <w:rPr/>
        <w:pict>
          <v:shape style="position:absolute;margin-left:201.919983pt;margin-top:28.502342pt;width:640pt;height:42pt;mso-position-horizontal-relative:page;mso-position-vertical-relative:paragraph;z-index:1720" type="#_x0000_t75" stroked="false">
            <v:imagedata r:id="rId22" o:title=""/>
          </v:shape>
        </w:pict>
      </w:r>
      <w:r>
        <w:rPr>
          <w:rFonts w:ascii="Times New Roman"/>
        </w:rPr>
        <w:t>130</w:t>
      </w:r>
    </w:p>
    <w:p>
      <w:pPr>
        <w:spacing w:after="0" w:line="240" w:lineRule="auto"/>
        <w:jc w:val="center"/>
        <w:rPr>
          <w:rFonts w:ascii="Times New Roman" w:hAnsi="Times New Roman" w:cs="Times New Roman" w:eastAsia="Times New Roman" w:hint="default"/>
        </w:rPr>
        <w:sectPr>
          <w:type w:val="continuous"/>
          <w:pgSz w:w="16840" w:h="11910" w:orient="landscape"/>
          <w:pgMar w:top="1580" w:bottom="840" w:left="600" w:right="0"/>
        </w:sectPr>
      </w:pPr>
    </w:p>
    <w:p>
      <w:pPr>
        <w:spacing w:line="240" w:lineRule="auto" w:before="7"/>
        <w:rPr>
          <w:rFonts w:ascii="Times New Roman" w:hAnsi="Times New Roman" w:cs="Times New Roman" w:eastAsia="Times New Roman" w:hint="default"/>
          <w:sz w:val="23"/>
          <w:szCs w:val="23"/>
        </w:rPr>
      </w:pPr>
    </w:p>
    <w:p>
      <w:pPr>
        <w:pStyle w:val="Heading3"/>
        <w:spacing w:line="240" w:lineRule="auto" w:before="35"/>
        <w:ind w:left="1134" w:right="0"/>
        <w:jc w:val="left"/>
        <w:rPr>
          <w:b w:val="0"/>
          <w:bCs w:val="0"/>
        </w:rPr>
      </w:pPr>
      <w:bookmarkStart w:name="2、在合营安排或联营企业中的权益" w:id="301"/>
      <w:bookmarkEnd w:id="301"/>
      <w:r>
        <w:rPr>
          <w:b w:val="0"/>
          <w:bCs w:val="0"/>
        </w:rPr>
      </w:r>
      <w:r>
        <w:rPr>
          <w:rFonts w:ascii="宋体" w:hAnsi="宋体" w:cs="宋体" w:eastAsia="宋体" w:hint="default"/>
        </w:rPr>
        <w:t>2</w:t>
      </w:r>
      <w:r>
        <w:rPr/>
        <w:t>、在合营安排或联营企业中的权益</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left="1134" w:right="0"/>
        <w:jc w:val="left"/>
        <w:rPr>
          <w:b w:val="0"/>
          <w:bCs w:val="0"/>
        </w:rPr>
      </w:pPr>
      <w:bookmarkStart w:name="（1）重要的合营企业或联营企业" w:id="302"/>
      <w:bookmarkEnd w:id="302"/>
      <w:r>
        <w:rPr>
          <w:b w:val="0"/>
          <w:bCs w:val="0"/>
        </w:rPr>
      </w:r>
      <w:r>
        <w:rPr/>
        <w:t>（</w:t>
      </w:r>
      <w:r>
        <w:rPr>
          <w:rFonts w:ascii="宋体" w:hAnsi="宋体" w:cs="宋体" w:eastAsia="宋体" w:hint="default"/>
        </w:rPr>
        <w:t>1</w:t>
      </w:r>
      <w:r>
        <w:rPr/>
        <w:t>）重要的合营企业或联营企业</w:t>
      </w:r>
      <w:r>
        <w:rPr>
          <w:b w:val="0"/>
          <w:bCs w:val="0"/>
        </w:rPr>
      </w:r>
    </w:p>
    <w:p>
      <w:pPr>
        <w:spacing w:line="240" w:lineRule="auto" w:before="12"/>
        <w:rPr>
          <w:rFonts w:ascii="宋体" w:hAnsi="宋体" w:cs="宋体" w:eastAsia="宋体" w:hint="default"/>
          <w:b/>
          <w:bCs/>
          <w:sz w:val="26"/>
          <w:szCs w:val="26"/>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tcPr>
          <w:p>
            <w:pPr>
              <w:pStyle w:val="TableParagraph"/>
              <w:spacing w:line="319"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武汉中天慧购电 商服务有限公司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互联网和相关服 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福建中教网络教 育服务有限公司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网络教育及信息 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49.00%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2）重要合营企业的主要财务信息" w:id="303"/>
      <w:bookmarkEnd w:id="303"/>
      <w:r>
        <w:rPr>
          <w:b w:val="0"/>
          <w:bCs w:val="0"/>
        </w:rPr>
      </w:r>
      <w:r>
        <w:rPr/>
        <w:t>（</w:t>
      </w:r>
      <w:r>
        <w:rPr>
          <w:rFonts w:ascii="宋体" w:hAnsi="宋体" w:cs="宋体" w:eastAsia="宋体" w:hint="default"/>
        </w:rPr>
        <w:t>2</w:t>
      </w:r>
      <w:r>
        <w:rPr/>
        <w:t>）重要合营企业的主要财务信息</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36"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34"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w:t>
            </w:r>
            <w:r>
              <w:rPr>
                <w:rFonts w:ascii="宋体" w:hAnsi="宋体" w:cs="宋体" w:eastAsia="宋体" w:hint="default"/>
                <w:sz w:val="18"/>
                <w:szCs w:val="18"/>
              </w:rPr>
              <w:t>上期发生额</w:t>
            </w:r>
          </w:p>
        </w:tc>
      </w:tr>
      <w:tr>
        <w:trPr>
          <w:trHeight w:val="402" w:hRule="exact"/>
        </w:trPr>
        <w:tc>
          <w:tcPr>
            <w:tcW w:w="3190" w:type="dxa"/>
            <w:vMerge/>
            <w:tcBorders>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1" w:right="0"/>
              <w:jc w:val="left"/>
              <w:rPr>
                <w:rFonts w:ascii="宋体" w:hAnsi="宋体" w:cs="宋体" w:eastAsia="宋体" w:hint="default"/>
                <w:sz w:val="18"/>
                <w:szCs w:val="18"/>
              </w:rPr>
            </w:pPr>
            <w:r>
              <w:rPr>
                <w:rFonts w:ascii="宋体" w:hAnsi="宋体" w:cs="宋体" w:eastAsia="宋体" w:hint="default"/>
                <w:sz w:val="18"/>
                <w:szCs w:val="18"/>
              </w:rPr>
              <w:t>武汉中天慧购电商服务有限公司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武汉中天慧购电商服务有限公司</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7,050,569.63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9,841,534.85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其中：现金和现金等价物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531,188.13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841,534.85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1,423,365.95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1,160,467.55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8,473,935.58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11,002,002.40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1,684,187.98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1,462,313.32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1,684,187.98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1,462,313.32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6,789,747.60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9,539,689.08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3,394,873.80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4,769,844.54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-143,295.19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-179,881.20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内部交易未实现利润</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-143,295.19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-179,881.20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对合营企业权益投资的账面价值</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3,251,578.61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4,589,963.34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42,960.64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-132,163.24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-3,228.74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-2,749,941.48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-460,310.92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-2,749,941.48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-460,310.92</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重要联营企业的主要财务信息" w:id="304"/>
      <w:bookmarkEnd w:id="304"/>
      <w:r>
        <w:rPr>
          <w:b w:val="0"/>
          <w:bCs w:val="0"/>
        </w:rPr>
      </w:r>
      <w:r>
        <w:rPr/>
        <w:t>（</w:t>
      </w:r>
      <w:r>
        <w:rPr>
          <w:rFonts w:ascii="宋体" w:hAnsi="宋体" w:cs="宋体" w:eastAsia="宋体" w:hint="default"/>
        </w:rPr>
        <w:t>3</w:t>
      </w:r>
      <w:r>
        <w:rPr/>
        <w:t>）重要联营企业的主要财务信息</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92"/>
      </w:tblGrid>
      <w:tr>
        <w:trPr>
          <w:trHeight w:val="402" w:hRule="exact"/>
        </w:trPr>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w:t>
            </w:r>
            <w:r>
              <w:rPr>
                <w:rFonts w:ascii="宋体" w:hAnsi="宋体" w:cs="宋体" w:eastAsia="宋体" w:hint="default"/>
                <w:sz w:val="18"/>
                <w:szCs w:val="18"/>
              </w:rPr>
              <w:t>本期发生额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w:t>
            </w:r>
            <w:r>
              <w:rPr>
                <w:rFonts w:ascii="宋体" w:hAnsi="宋体" w:cs="宋体" w:eastAsia="宋体" w:hint="default"/>
                <w:sz w:val="18"/>
                <w:szCs w:val="18"/>
              </w:rPr>
              <w:t>上期发生额</w:t>
            </w:r>
          </w:p>
        </w:tc>
      </w:tr>
      <w:tr>
        <w:trPr>
          <w:trHeight w:val="402" w:hRule="exact"/>
        </w:trPr>
        <w:tc>
          <w:tcPr>
            <w:tcW w:w="3190" w:type="dxa"/>
            <w:vMerge/>
            <w:tcBorders>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福建中教网络教育服务有限公司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福建中教网络教育服务有限公司</w:t>
            </w:r>
          </w:p>
        </w:tc>
      </w:tr>
    </w:tbl>
    <w:p>
      <w:pPr>
        <w:spacing w:after="0" w:line="240" w:lineRule="auto"/>
        <w:jc w:val="center"/>
        <w:rPr>
          <w:rFonts w:ascii="宋体" w:hAnsi="宋体" w:cs="宋体" w:eastAsia="宋体" w:hint="default"/>
          <w:sz w:val="18"/>
          <w:szCs w:val="18"/>
        </w:rPr>
        <w:sectPr>
          <w:footerReference w:type="default" r:id="rId48"/>
          <w:pgSz w:w="11910" w:h="16840"/>
          <w:pgMar w:footer="1187" w:header="0" w:top="1100" w:bottom="1380" w:left="0" w:right="0"/>
          <w:pgNumType w:start="131"/>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9,638,943.49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13,650.00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9,652,593.49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3,541.24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3,541.24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9,649,052.25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4,728,035.60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4,728,035.60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-350,947.75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-350,947.75</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4）不重要的合营企业和联营企业的汇总财务信息" w:id="305"/>
      <w:bookmarkEnd w:id="305"/>
      <w:r>
        <w:rPr>
          <w:b w:val="0"/>
          <w:bCs w:val="0"/>
        </w:rPr>
      </w:r>
      <w:r>
        <w:rPr/>
        <w:t>（</w:t>
      </w:r>
      <w:r>
        <w:rPr>
          <w:rFonts w:ascii="宋体" w:hAnsi="宋体" w:cs="宋体" w:eastAsia="宋体" w:hint="default"/>
        </w:rPr>
        <w:t>4</w:t>
      </w:r>
      <w:r>
        <w:rPr/>
        <w:t>）不重要的合营企业和联营企业的汇总财务信息</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68"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4,840,973.76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4,870,508.17</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净利润</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-29,534.41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-129,491.83</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综合收益总额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-29,534.41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-129,491.83</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十、与金融工具相关的风险" w:id="306"/>
      <w:bookmarkEnd w:id="306"/>
      <w:r>
        <w:rPr>
          <w:b w:val="0"/>
          <w:bCs w:val="0"/>
        </w:rPr>
      </w: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0" w:firstLine="360"/>
        <w:jc w:val="left"/>
      </w:pPr>
      <w:r>
        <w:rPr>
          <w:spacing w:val="-2"/>
        </w:rPr>
        <w:t>本公司的主要金融工具，包括货币资金、可供出售金融资产、借款等，这些金融工具的主要目的在于为本公司的运营融</w:t>
      </w:r>
      <w:r>
        <w:rPr/>
        <w:t> 资。本公司还有多种因经营而直接产生的其他金融资产和负债，比如应收账款、应收票据、应付账款及应付票据等。</w:t>
      </w:r>
    </w:p>
    <w:p>
      <w:pPr>
        <w:pStyle w:val="BodyText"/>
        <w:spacing w:line="316" w:lineRule="auto" w:before="19"/>
        <w:ind w:left="1493" w:right="4993"/>
        <w:jc w:val="left"/>
      </w:pPr>
      <w:r>
        <w:rPr/>
        <w:t>本公司金融工具导致的主要风险是信用风险、流动风险和市场风险。 </w:t>
      </w:r>
      <w:r>
        <w:rPr>
          <w:rFonts w:ascii="宋体" w:hAnsi="宋体" w:cs="宋体" w:eastAsia="宋体" w:hint="default"/>
        </w:rPr>
        <w:t>1</w:t>
      </w:r>
      <w:r>
        <w:rPr/>
        <w:t>、信用风险</w:t>
      </w:r>
    </w:p>
    <w:p>
      <w:pPr>
        <w:pStyle w:val="BodyText"/>
        <w:spacing w:line="316" w:lineRule="auto" w:before="19"/>
        <w:ind w:left="1493" w:right="0"/>
        <w:jc w:val="left"/>
      </w:pPr>
      <w:r>
        <w:rPr/>
        <w:t>信用风险，是指金融工具的一方不能履行义务，造成另一方发生财务损失的风险。 </w:t>
      </w:r>
      <w:r>
        <w:rPr>
          <w:spacing w:val="-2"/>
        </w:rPr>
        <w:t>本公司仅与经认可的、信誉良好的第三方进行交易。按照本公司的政策，需对所有要求采用信用方式进行交易的客户进</w:t>
      </w:r>
    </w:p>
    <w:p>
      <w:pPr>
        <w:pStyle w:val="BodyText"/>
        <w:spacing w:line="316" w:lineRule="auto" w:before="19"/>
        <w:ind w:right="0"/>
        <w:jc w:val="left"/>
      </w:pPr>
      <w:r>
        <w:rPr>
          <w:spacing w:val="-2"/>
        </w:rPr>
        <w:t>行信用审核。另外，本公司对应收账款余额进行持续监控，以确保本公司不致面临重大坏账风险。对于未采用相关经营单位</w:t>
      </w:r>
      <w:r>
        <w:rPr>
          <w:spacing w:val="-66"/>
        </w:rPr>
        <w:t> </w:t>
      </w:r>
      <w:r>
        <w:rPr>
          <w:spacing w:val="-66"/>
        </w:rPr>
      </w:r>
      <w:r>
        <w:rPr/>
        <w:t>的记账本位币结算的交易，除非本公司信用控制部门特别批准，否则本公司不提供信用交易条件。</w:t>
      </w:r>
    </w:p>
    <w:p>
      <w:pPr>
        <w:pStyle w:val="BodyText"/>
        <w:spacing w:line="316" w:lineRule="auto" w:before="19"/>
        <w:ind w:right="0" w:firstLine="360"/>
        <w:jc w:val="left"/>
      </w:pPr>
      <w:r>
        <w:rPr>
          <w:spacing w:val="-4"/>
        </w:rPr>
        <w:t>本公司其他金融资产包括货币资金、可供出售的金融资产及其他应收款等，这些金融资产的信用风险源自交易对手违约，</w:t>
      </w:r>
      <w:r>
        <w:rPr/>
        <w:t> 最大风险敞口等于这些工具的账面金额。</w:t>
      </w:r>
    </w:p>
    <w:p>
      <w:pPr>
        <w:pStyle w:val="BodyText"/>
        <w:spacing w:line="319" w:lineRule="auto" w:before="19"/>
        <w:ind w:right="0" w:firstLine="360"/>
        <w:jc w:val="left"/>
      </w:pPr>
      <w:r>
        <w:rPr>
          <w:spacing w:val="-4"/>
        </w:rPr>
        <w:t>本公司与客户间的贸易条款以信用交易为主，由于本公司仅与经认可的且信誉良好的第三方进行交易，所以无需担保物。</w:t>
      </w:r>
      <w:r>
        <w:rPr/>
        <w:t> 信用风险集中按照客户</w:t>
      </w:r>
      <w:r>
        <w:rPr>
          <w:rFonts w:ascii="宋体" w:hAnsi="宋体" w:cs="宋体" w:eastAsia="宋体" w:hint="default"/>
        </w:rPr>
        <w:t>/</w:t>
      </w:r>
      <w:r>
        <w:rPr/>
        <w:t>交易对手、地理区域和行业进行管理，本公司的应收账款客户群主要分布在金融、通信行业以及政</w:t>
      </w:r>
      <w:r>
        <w:rPr>
          <w:spacing w:val="-83"/>
        </w:rPr>
        <w:t> </w:t>
      </w:r>
      <w:r>
        <w:rPr>
          <w:spacing w:val="-83"/>
        </w:rPr>
      </w:r>
      <w:r>
        <w:rPr>
          <w:spacing w:val="-2"/>
        </w:rPr>
        <w:t>府及公共事业单位等，由于前述客户资本实力较强，信誉度较高，资金回收较为可靠，因此在本公司内部不存在重大信用风</w:t>
      </w:r>
      <w:r>
        <w:rPr>
          <w:spacing w:val="-66"/>
        </w:rPr>
        <w:t> </w:t>
      </w:r>
      <w:r>
        <w:rPr>
          <w:spacing w:val="-66"/>
        </w:rPr>
      </w:r>
      <w:r>
        <w:rPr>
          <w:spacing w:val="-2"/>
        </w:rPr>
        <w:t>险集中。截至报告期末，本公司的应收账款中应收账款前五名客户的款项占</w:t>
      </w:r>
      <w:r>
        <w:rPr>
          <w:rFonts w:ascii="宋体" w:hAnsi="宋体" w:cs="宋体" w:eastAsia="宋体" w:hint="default"/>
          <w:spacing w:val="-2"/>
        </w:rPr>
        <w:t>17.50%(</w:t>
      </w:r>
      <w:r>
        <w:rPr>
          <w:spacing w:val="-2"/>
        </w:rPr>
        <w:t>上年末为</w:t>
      </w:r>
      <w:r>
        <w:rPr>
          <w:rFonts w:ascii="宋体" w:hAnsi="宋体" w:cs="宋体" w:eastAsia="宋体" w:hint="default"/>
          <w:spacing w:val="-2"/>
        </w:rPr>
        <w:t>21.09%)</w:t>
      </w:r>
      <w:r>
        <w:rPr>
          <w:spacing w:val="-2"/>
        </w:rPr>
        <w:t>，本公司并未面临重大</w:t>
      </w:r>
      <w:r>
        <w:rPr>
          <w:spacing w:val="-52"/>
        </w:rPr>
        <w:t> </w:t>
      </w:r>
      <w:r>
        <w:rPr>
          <w:spacing w:val="-52"/>
        </w:rPr>
      </w:r>
      <w:r>
        <w:rPr/>
        <w:t>信用集中风险。</w:t>
      </w:r>
    </w:p>
    <w:p>
      <w:pPr>
        <w:pStyle w:val="BodyText"/>
        <w:spacing w:line="316" w:lineRule="auto" w:before="17"/>
        <w:ind w:left="1493" w:right="2833"/>
        <w:jc w:val="left"/>
      </w:pPr>
      <w:r>
        <w:rPr/>
        <w:t>本公司因应收账款和其他应收款产生的信用风险敞口的量化数据，参见附注七、</w:t>
      </w:r>
      <w:r>
        <w:rPr>
          <w:rFonts w:ascii="宋体" w:hAnsi="宋体" w:cs="宋体" w:eastAsia="宋体" w:hint="default"/>
        </w:rPr>
        <w:t>3</w:t>
      </w:r>
      <w:r>
        <w:rPr/>
        <w:t>和附注七、</w:t>
      </w:r>
      <w:r>
        <w:rPr>
          <w:rFonts w:ascii="宋体" w:hAnsi="宋体" w:cs="宋体" w:eastAsia="宋体" w:hint="default"/>
        </w:rPr>
        <w:t>6</w:t>
      </w:r>
      <w:r>
        <w:rPr/>
        <w:t>。 </w:t>
      </w:r>
      <w:r>
        <w:rPr>
          <w:rFonts w:ascii="宋体" w:hAnsi="宋体" w:cs="宋体" w:eastAsia="宋体" w:hint="default"/>
        </w:rPr>
        <w:t>2</w:t>
      </w:r>
      <w:r>
        <w:rPr/>
        <w:t>、流动风险</w:t>
      </w:r>
    </w:p>
    <w:p>
      <w:pPr>
        <w:spacing w:after="0" w:line="316" w:lineRule="auto"/>
        <w:jc w:val="left"/>
        <w:sectPr>
          <w:pgSz w:w="11910" w:h="16840"/>
          <w:pgMar w:header="0" w:footer="1187" w:top="1100" w:bottom="1380" w:left="0" w:right="0"/>
        </w:sectPr>
      </w:pPr>
    </w:p>
    <w:p>
      <w:pPr>
        <w:spacing w:line="240" w:lineRule="auto" w:before="12"/>
        <w:rPr>
          <w:rFonts w:ascii="宋体" w:hAnsi="宋体" w:cs="宋体" w:eastAsia="宋体" w:hint="default"/>
          <w:sz w:val="21"/>
          <w:szCs w:val="21"/>
        </w:rPr>
      </w:pPr>
    </w:p>
    <w:p>
      <w:pPr>
        <w:pStyle w:val="BodyText"/>
        <w:spacing w:line="338" w:lineRule="auto" w:before="44"/>
        <w:ind w:left="1134" w:right="0" w:firstLine="360"/>
        <w:jc w:val="left"/>
      </w:pPr>
      <w:r>
        <w:rPr>
          <w:spacing w:val="-2"/>
        </w:rPr>
        <w:t>流动风险，是指企业在履行以交付现金或其他金融资产的方式结算的义务时发生资金短缺的风险。本公司通过利用经营</w:t>
      </w:r>
      <w:r>
        <w:rPr/>
        <w:t> 业务产生的资金、银行贷款及债务维持资金延续性与灵活性之间的平衡，以管理其流动性风险。 金融负债按未折现的合同现金流量所作的到期期限分析如下：</w:t>
      </w:r>
    </w:p>
    <w:p>
      <w:pPr>
        <w:pStyle w:val="BodyText"/>
        <w:tabs>
          <w:tab w:pos="9505" w:val="left" w:leader="none"/>
        </w:tabs>
        <w:spacing w:line="240" w:lineRule="auto" w:before="43"/>
        <w:ind w:left="1494" w:right="0"/>
        <w:jc w:val="left"/>
      </w:pPr>
      <w:r>
        <w:rPr/>
        <w:t>期末余额：</w:t>
        <w:tab/>
        <w:t>单位： 元</w:t>
      </w:r>
    </w:p>
    <w:p>
      <w:pPr>
        <w:spacing w:line="240" w:lineRule="auto" w:before="0"/>
        <w:rPr>
          <w:rFonts w:ascii="宋体" w:hAnsi="宋体" w:cs="宋体" w:eastAsia="宋体" w:hint="default"/>
          <w:sz w:val="8"/>
          <w:szCs w:val="8"/>
        </w:rPr>
      </w:pPr>
    </w:p>
    <w:tbl>
      <w:tblPr>
        <w:tblW w:w="0" w:type="auto"/>
        <w:jc w:val="left"/>
        <w:tblInd w:w="1126" w:type="dxa"/>
        <w:tblLayout w:type="fixed"/>
        <w:tblCellMar>
          <w:top w:w="0" w:type="dxa"/>
          <w:left w:w="0" w:type="dxa"/>
          <w:bottom w:w="0" w:type="dxa"/>
          <w:right w:w="0" w:type="dxa"/>
        </w:tblCellMar>
        <w:tblLook w:val="01E0"/>
      </w:tblPr>
      <w:tblGrid>
        <w:gridCol w:w="2128"/>
        <w:gridCol w:w="1554"/>
        <w:gridCol w:w="840"/>
        <w:gridCol w:w="798"/>
        <w:gridCol w:w="798"/>
        <w:gridCol w:w="742"/>
        <w:gridCol w:w="939"/>
        <w:gridCol w:w="1777"/>
      </w:tblGrid>
      <w:tr>
        <w:trPr>
          <w:trHeight w:val="407" w:hRule="exact"/>
        </w:trPr>
        <w:tc>
          <w:tcPr>
            <w:tcW w:w="2128"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448"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金融负债</w:t>
            </w:r>
          </w:p>
        </w:tc>
      </w:tr>
      <w:tr>
        <w:trPr>
          <w:trHeight w:val="407" w:hRule="exact"/>
        </w:trPr>
        <w:tc>
          <w:tcPr>
            <w:tcW w:w="2128" w:type="dxa"/>
            <w:vMerge/>
            <w:tcBorders>
              <w:left w:val="single" w:sz="6" w:space="0" w:color="000000"/>
              <w:bottom w:val="single" w:sz="6" w:space="0" w:color="000000"/>
              <w:right w:val="single" w:sz="6" w:space="0" w:color="000000"/>
            </w:tcBorders>
          </w:tcPr>
          <w:p>
            <w:pP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45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87"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年</w:t>
            </w:r>
          </w:p>
        </w:tc>
        <w:tc>
          <w:tcPr>
            <w:tcW w:w="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66"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z w:val="18"/>
                <w:szCs w:val="18"/>
              </w:rPr>
              <w:t>年</w:t>
            </w:r>
          </w:p>
        </w:tc>
        <w:tc>
          <w:tcPr>
            <w:tcW w:w="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z w:val="18"/>
                <w:szCs w:val="18"/>
              </w:rPr>
              <w:t>年</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37"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z w:val="18"/>
                <w:szCs w:val="18"/>
              </w:rPr>
              <w:t>年</w:t>
            </w:r>
          </w:p>
        </w:tc>
        <w:tc>
          <w:tcPr>
            <w:tcW w:w="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46"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年以上</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7"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00" w:right="0"/>
              <w:jc w:val="left"/>
              <w:rPr>
                <w:rFonts w:ascii="宋体" w:hAnsi="宋体" w:cs="宋体" w:eastAsia="宋体" w:hint="default"/>
                <w:sz w:val="18"/>
                <w:szCs w:val="18"/>
              </w:rPr>
            </w:pPr>
            <w:r>
              <w:rPr>
                <w:rFonts w:ascii="宋体" w:hAnsi="宋体" w:cs="宋体" w:eastAsia="宋体" w:hint="default"/>
                <w:sz w:val="18"/>
                <w:szCs w:val="18"/>
              </w:rPr>
              <w:t>短期借款（含息）</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7"/>
              <w:jc w:val="right"/>
              <w:rPr>
                <w:rFonts w:ascii="宋体" w:hAnsi="宋体" w:cs="宋体" w:eastAsia="宋体" w:hint="default"/>
                <w:sz w:val="18"/>
                <w:szCs w:val="18"/>
              </w:rPr>
            </w:pPr>
            <w:r>
              <w:rPr>
                <w:rFonts w:ascii="宋体"/>
                <w:sz w:val="18"/>
              </w:rPr>
              <w:t>118,012,645.87</w:t>
            </w:r>
          </w:p>
        </w:tc>
        <w:tc>
          <w:tcPr>
            <w:tcW w:w="840" w:type="dxa"/>
            <w:tcBorders>
              <w:top w:val="single" w:sz="6" w:space="0" w:color="000000"/>
              <w:left w:val="single" w:sz="6" w:space="0" w:color="000000"/>
              <w:bottom w:val="single" w:sz="6" w:space="0" w:color="000000"/>
              <w:right w:val="single" w:sz="6" w:space="0" w:color="000000"/>
            </w:tcBorders>
          </w:tcPr>
          <w:p>
            <w:pPr/>
          </w:p>
        </w:tc>
        <w:tc>
          <w:tcPr>
            <w:tcW w:w="798" w:type="dxa"/>
            <w:tcBorders>
              <w:top w:val="single" w:sz="6" w:space="0" w:color="000000"/>
              <w:left w:val="single" w:sz="6" w:space="0" w:color="000000"/>
              <w:bottom w:val="single" w:sz="6" w:space="0" w:color="000000"/>
              <w:right w:val="single" w:sz="6" w:space="0" w:color="000000"/>
            </w:tcBorders>
          </w:tcPr>
          <w:p>
            <w:pPr/>
          </w:p>
        </w:tc>
        <w:tc>
          <w:tcPr>
            <w:tcW w:w="798"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939" w:type="dxa"/>
            <w:tcBorders>
              <w:top w:val="single" w:sz="6" w:space="0" w:color="000000"/>
              <w:left w:val="single" w:sz="6" w:space="0" w:color="000000"/>
              <w:bottom w:val="single" w:sz="6" w:space="0" w:color="000000"/>
              <w:right w:val="single" w:sz="6" w:space="0" w:color="000000"/>
            </w:tcBorders>
          </w:tcPr>
          <w:p>
            <w:pP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7"/>
              <w:jc w:val="right"/>
              <w:rPr>
                <w:rFonts w:ascii="宋体" w:hAnsi="宋体" w:cs="宋体" w:eastAsia="宋体" w:hint="default"/>
                <w:sz w:val="18"/>
                <w:szCs w:val="18"/>
              </w:rPr>
            </w:pPr>
            <w:r>
              <w:rPr>
                <w:rFonts w:ascii="宋体"/>
                <w:sz w:val="18"/>
              </w:rPr>
              <w:t>118,012,645.87</w:t>
            </w:r>
          </w:p>
        </w:tc>
      </w:tr>
      <w:tr>
        <w:trPr>
          <w:trHeight w:val="408"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00"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7"/>
              <w:jc w:val="right"/>
              <w:rPr>
                <w:rFonts w:ascii="宋体" w:hAnsi="宋体" w:cs="宋体" w:eastAsia="宋体" w:hint="default"/>
                <w:sz w:val="18"/>
                <w:szCs w:val="18"/>
              </w:rPr>
            </w:pPr>
            <w:r>
              <w:rPr>
                <w:rFonts w:ascii="宋体"/>
                <w:sz w:val="18"/>
              </w:rPr>
              <w:t>134,119,378.14</w:t>
            </w:r>
          </w:p>
        </w:tc>
        <w:tc>
          <w:tcPr>
            <w:tcW w:w="840" w:type="dxa"/>
            <w:tcBorders>
              <w:top w:val="single" w:sz="6" w:space="0" w:color="000000"/>
              <w:left w:val="single" w:sz="6" w:space="0" w:color="000000"/>
              <w:bottom w:val="single" w:sz="6" w:space="0" w:color="000000"/>
              <w:right w:val="single" w:sz="6" w:space="0" w:color="000000"/>
            </w:tcBorders>
          </w:tcPr>
          <w:p>
            <w:pPr/>
          </w:p>
        </w:tc>
        <w:tc>
          <w:tcPr>
            <w:tcW w:w="798" w:type="dxa"/>
            <w:tcBorders>
              <w:top w:val="single" w:sz="6" w:space="0" w:color="000000"/>
              <w:left w:val="single" w:sz="6" w:space="0" w:color="000000"/>
              <w:bottom w:val="single" w:sz="6" w:space="0" w:color="000000"/>
              <w:right w:val="single" w:sz="6" w:space="0" w:color="000000"/>
            </w:tcBorders>
          </w:tcPr>
          <w:p>
            <w:pPr/>
          </w:p>
        </w:tc>
        <w:tc>
          <w:tcPr>
            <w:tcW w:w="798"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939" w:type="dxa"/>
            <w:tcBorders>
              <w:top w:val="single" w:sz="6" w:space="0" w:color="000000"/>
              <w:left w:val="single" w:sz="6" w:space="0" w:color="000000"/>
              <w:bottom w:val="single" w:sz="6" w:space="0" w:color="000000"/>
              <w:right w:val="single" w:sz="6" w:space="0" w:color="000000"/>
            </w:tcBorders>
          </w:tcPr>
          <w:p>
            <w:pP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7"/>
              <w:jc w:val="right"/>
              <w:rPr>
                <w:rFonts w:ascii="宋体" w:hAnsi="宋体" w:cs="宋体" w:eastAsia="宋体" w:hint="default"/>
                <w:sz w:val="18"/>
                <w:szCs w:val="18"/>
              </w:rPr>
            </w:pPr>
            <w:r>
              <w:rPr>
                <w:rFonts w:ascii="宋体"/>
                <w:sz w:val="18"/>
              </w:rPr>
              <w:t>134,119,378.14</w:t>
            </w:r>
          </w:p>
        </w:tc>
      </w:tr>
      <w:tr>
        <w:trPr>
          <w:trHeight w:val="407"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宋体" w:hAnsi="宋体" w:cs="宋体" w:eastAsia="宋体" w:hint="default"/>
                <w:sz w:val="18"/>
                <w:szCs w:val="18"/>
              </w:rPr>
            </w:pPr>
            <w:r>
              <w:rPr>
                <w:rFonts w:ascii="宋体"/>
                <w:sz w:val="18"/>
              </w:rPr>
              <w:t>143,249,173.07</w:t>
            </w:r>
          </w:p>
        </w:tc>
        <w:tc>
          <w:tcPr>
            <w:tcW w:w="840" w:type="dxa"/>
            <w:tcBorders>
              <w:top w:val="single" w:sz="6" w:space="0" w:color="000000"/>
              <w:left w:val="single" w:sz="6" w:space="0" w:color="000000"/>
              <w:bottom w:val="single" w:sz="6" w:space="0" w:color="000000"/>
              <w:right w:val="single" w:sz="6" w:space="0" w:color="000000"/>
            </w:tcBorders>
          </w:tcPr>
          <w:p>
            <w:pPr/>
          </w:p>
        </w:tc>
        <w:tc>
          <w:tcPr>
            <w:tcW w:w="798" w:type="dxa"/>
            <w:tcBorders>
              <w:top w:val="single" w:sz="6" w:space="0" w:color="000000"/>
              <w:left w:val="single" w:sz="6" w:space="0" w:color="000000"/>
              <w:bottom w:val="single" w:sz="6" w:space="0" w:color="000000"/>
              <w:right w:val="single" w:sz="6" w:space="0" w:color="000000"/>
            </w:tcBorders>
          </w:tcPr>
          <w:p>
            <w:pPr/>
          </w:p>
        </w:tc>
        <w:tc>
          <w:tcPr>
            <w:tcW w:w="798"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939" w:type="dxa"/>
            <w:tcBorders>
              <w:top w:val="single" w:sz="6" w:space="0" w:color="000000"/>
              <w:left w:val="single" w:sz="6" w:space="0" w:color="000000"/>
              <w:bottom w:val="single" w:sz="6" w:space="0" w:color="000000"/>
              <w:right w:val="single" w:sz="6" w:space="0" w:color="000000"/>
            </w:tcBorders>
          </w:tcPr>
          <w:p>
            <w:pP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宋体" w:hAnsi="宋体" w:cs="宋体" w:eastAsia="宋体" w:hint="default"/>
                <w:sz w:val="18"/>
                <w:szCs w:val="18"/>
              </w:rPr>
            </w:pPr>
            <w:r>
              <w:rPr>
                <w:rFonts w:ascii="宋体"/>
                <w:sz w:val="18"/>
              </w:rPr>
              <w:t>143,249,173.07</w:t>
            </w:r>
          </w:p>
        </w:tc>
      </w:tr>
      <w:tr>
        <w:trPr>
          <w:trHeight w:val="407"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宋体" w:hAnsi="宋体" w:cs="宋体" w:eastAsia="宋体" w:hint="default"/>
                <w:sz w:val="18"/>
                <w:szCs w:val="18"/>
              </w:rPr>
            </w:pPr>
            <w:r>
              <w:rPr>
                <w:rFonts w:ascii="宋体"/>
                <w:sz w:val="18"/>
              </w:rPr>
              <w:t>425,831.99</w:t>
            </w:r>
          </w:p>
        </w:tc>
        <w:tc>
          <w:tcPr>
            <w:tcW w:w="840" w:type="dxa"/>
            <w:tcBorders>
              <w:top w:val="single" w:sz="6" w:space="0" w:color="000000"/>
              <w:left w:val="single" w:sz="6" w:space="0" w:color="000000"/>
              <w:bottom w:val="single" w:sz="6" w:space="0" w:color="000000"/>
              <w:right w:val="single" w:sz="6" w:space="0" w:color="000000"/>
            </w:tcBorders>
          </w:tcPr>
          <w:p>
            <w:pPr/>
          </w:p>
        </w:tc>
        <w:tc>
          <w:tcPr>
            <w:tcW w:w="798" w:type="dxa"/>
            <w:tcBorders>
              <w:top w:val="single" w:sz="6" w:space="0" w:color="000000"/>
              <w:left w:val="single" w:sz="6" w:space="0" w:color="000000"/>
              <w:bottom w:val="single" w:sz="6" w:space="0" w:color="000000"/>
              <w:right w:val="single" w:sz="6" w:space="0" w:color="000000"/>
            </w:tcBorders>
          </w:tcPr>
          <w:p>
            <w:pPr/>
          </w:p>
        </w:tc>
        <w:tc>
          <w:tcPr>
            <w:tcW w:w="798"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939" w:type="dxa"/>
            <w:tcBorders>
              <w:top w:val="single" w:sz="6" w:space="0" w:color="000000"/>
              <w:left w:val="single" w:sz="6" w:space="0" w:color="000000"/>
              <w:bottom w:val="single" w:sz="6" w:space="0" w:color="000000"/>
              <w:right w:val="single" w:sz="6" w:space="0" w:color="000000"/>
            </w:tcBorders>
          </w:tcPr>
          <w:p>
            <w:pP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宋体" w:hAnsi="宋体" w:cs="宋体" w:eastAsia="宋体" w:hint="default"/>
                <w:sz w:val="18"/>
                <w:szCs w:val="18"/>
              </w:rPr>
            </w:pPr>
            <w:r>
              <w:rPr>
                <w:rFonts w:ascii="宋体"/>
                <w:sz w:val="18"/>
              </w:rPr>
              <w:t>425,831.99</w:t>
            </w:r>
          </w:p>
        </w:tc>
      </w:tr>
      <w:tr>
        <w:trPr>
          <w:trHeight w:val="407"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宋体" w:hAnsi="宋体" w:cs="宋体" w:eastAsia="宋体" w:hint="default"/>
                <w:sz w:val="18"/>
                <w:szCs w:val="18"/>
              </w:rPr>
            </w:pPr>
            <w:r>
              <w:rPr>
                <w:rFonts w:ascii="宋体"/>
                <w:sz w:val="18"/>
              </w:rPr>
              <w:t>27,426,432.34</w:t>
            </w:r>
          </w:p>
        </w:tc>
        <w:tc>
          <w:tcPr>
            <w:tcW w:w="840" w:type="dxa"/>
            <w:tcBorders>
              <w:top w:val="single" w:sz="6" w:space="0" w:color="000000"/>
              <w:left w:val="single" w:sz="6" w:space="0" w:color="000000"/>
              <w:bottom w:val="single" w:sz="6" w:space="0" w:color="000000"/>
              <w:right w:val="single" w:sz="6" w:space="0" w:color="000000"/>
            </w:tcBorders>
          </w:tcPr>
          <w:p>
            <w:pPr/>
          </w:p>
        </w:tc>
        <w:tc>
          <w:tcPr>
            <w:tcW w:w="798" w:type="dxa"/>
            <w:tcBorders>
              <w:top w:val="single" w:sz="6" w:space="0" w:color="000000"/>
              <w:left w:val="single" w:sz="6" w:space="0" w:color="000000"/>
              <w:bottom w:val="single" w:sz="6" w:space="0" w:color="000000"/>
              <w:right w:val="single" w:sz="6" w:space="0" w:color="000000"/>
            </w:tcBorders>
          </w:tcPr>
          <w:p>
            <w:pPr/>
          </w:p>
        </w:tc>
        <w:tc>
          <w:tcPr>
            <w:tcW w:w="798"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939" w:type="dxa"/>
            <w:tcBorders>
              <w:top w:val="single" w:sz="6" w:space="0" w:color="000000"/>
              <w:left w:val="single" w:sz="6" w:space="0" w:color="000000"/>
              <w:bottom w:val="single" w:sz="6" w:space="0" w:color="000000"/>
              <w:right w:val="single" w:sz="6" w:space="0" w:color="000000"/>
            </w:tcBorders>
          </w:tcPr>
          <w:p>
            <w:pP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宋体" w:hAnsi="宋体" w:cs="宋体" w:eastAsia="宋体" w:hint="default"/>
                <w:sz w:val="18"/>
                <w:szCs w:val="18"/>
              </w:rPr>
            </w:pPr>
            <w:r>
              <w:rPr>
                <w:rFonts w:ascii="宋体"/>
                <w:sz w:val="18"/>
              </w:rPr>
              <w:t>27,426,432.34</w:t>
            </w:r>
          </w:p>
        </w:tc>
      </w:tr>
      <w:tr>
        <w:trPr>
          <w:trHeight w:val="407"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7"/>
              <w:jc w:val="right"/>
              <w:rPr>
                <w:rFonts w:ascii="宋体" w:hAnsi="宋体" w:cs="宋体" w:eastAsia="宋体" w:hint="default"/>
                <w:sz w:val="18"/>
                <w:szCs w:val="18"/>
              </w:rPr>
            </w:pPr>
            <w:r>
              <w:rPr>
                <w:rFonts w:ascii="宋体"/>
                <w:sz w:val="18"/>
              </w:rPr>
              <w:t>423,233,461.41</w:t>
            </w:r>
          </w:p>
        </w:tc>
        <w:tc>
          <w:tcPr>
            <w:tcW w:w="840" w:type="dxa"/>
            <w:tcBorders>
              <w:top w:val="single" w:sz="6" w:space="0" w:color="000000"/>
              <w:left w:val="single" w:sz="6" w:space="0" w:color="000000"/>
              <w:bottom w:val="single" w:sz="6" w:space="0" w:color="000000"/>
              <w:right w:val="single" w:sz="6" w:space="0" w:color="000000"/>
            </w:tcBorders>
          </w:tcPr>
          <w:p>
            <w:pPr/>
          </w:p>
        </w:tc>
        <w:tc>
          <w:tcPr>
            <w:tcW w:w="798" w:type="dxa"/>
            <w:tcBorders>
              <w:top w:val="single" w:sz="6" w:space="0" w:color="000000"/>
              <w:left w:val="single" w:sz="6" w:space="0" w:color="000000"/>
              <w:bottom w:val="single" w:sz="6" w:space="0" w:color="000000"/>
              <w:right w:val="single" w:sz="6" w:space="0" w:color="000000"/>
            </w:tcBorders>
          </w:tcPr>
          <w:p>
            <w:pPr/>
          </w:p>
        </w:tc>
        <w:tc>
          <w:tcPr>
            <w:tcW w:w="798"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939" w:type="dxa"/>
            <w:tcBorders>
              <w:top w:val="single" w:sz="6" w:space="0" w:color="000000"/>
              <w:left w:val="single" w:sz="6" w:space="0" w:color="000000"/>
              <w:bottom w:val="single" w:sz="6" w:space="0" w:color="000000"/>
              <w:right w:val="single" w:sz="6" w:space="0" w:color="000000"/>
            </w:tcBorders>
          </w:tcPr>
          <w:p>
            <w:pP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7"/>
              <w:jc w:val="right"/>
              <w:rPr>
                <w:rFonts w:ascii="宋体" w:hAnsi="宋体" w:cs="宋体" w:eastAsia="宋体" w:hint="default"/>
                <w:sz w:val="18"/>
                <w:szCs w:val="18"/>
              </w:rPr>
            </w:pPr>
            <w:r>
              <w:rPr>
                <w:rFonts w:ascii="宋体"/>
                <w:sz w:val="18"/>
              </w:rPr>
              <w:t>423,233,461.41</w:t>
            </w:r>
          </w:p>
        </w:tc>
      </w:tr>
    </w:tbl>
    <w:p>
      <w:pPr>
        <w:spacing w:line="240" w:lineRule="auto" w:before="6"/>
        <w:rPr>
          <w:rFonts w:ascii="宋体" w:hAnsi="宋体" w:cs="宋体" w:eastAsia="宋体" w:hint="default"/>
          <w:sz w:val="9"/>
          <w:szCs w:val="9"/>
        </w:rPr>
      </w:pPr>
    </w:p>
    <w:p>
      <w:pPr>
        <w:pStyle w:val="BodyText"/>
        <w:tabs>
          <w:tab w:pos="9505" w:val="left" w:leader="none"/>
        </w:tabs>
        <w:spacing w:line="240" w:lineRule="auto" w:before="44"/>
        <w:ind w:left="1494" w:right="0"/>
        <w:jc w:val="left"/>
      </w:pPr>
      <w:r>
        <w:rPr/>
        <w:t>期初余额：</w:t>
        <w:tab/>
        <w:t>单位： 元</w:t>
      </w:r>
    </w:p>
    <w:p>
      <w:pPr>
        <w:spacing w:line="240" w:lineRule="auto" w:before="0"/>
        <w:rPr>
          <w:rFonts w:ascii="宋体" w:hAnsi="宋体" w:cs="宋体" w:eastAsia="宋体" w:hint="default"/>
          <w:sz w:val="5"/>
          <w:szCs w:val="5"/>
        </w:rPr>
      </w:pPr>
    </w:p>
    <w:tbl>
      <w:tblPr>
        <w:tblW w:w="0" w:type="auto"/>
        <w:jc w:val="left"/>
        <w:tblInd w:w="1126" w:type="dxa"/>
        <w:tblLayout w:type="fixed"/>
        <w:tblCellMar>
          <w:top w:w="0" w:type="dxa"/>
          <w:left w:w="0" w:type="dxa"/>
          <w:bottom w:w="0" w:type="dxa"/>
          <w:right w:w="0" w:type="dxa"/>
        </w:tblCellMar>
        <w:tblLook w:val="01E0"/>
      </w:tblPr>
      <w:tblGrid>
        <w:gridCol w:w="2128"/>
        <w:gridCol w:w="1559"/>
        <w:gridCol w:w="851"/>
        <w:gridCol w:w="785"/>
        <w:gridCol w:w="784"/>
        <w:gridCol w:w="769"/>
        <w:gridCol w:w="923"/>
        <w:gridCol w:w="1777"/>
      </w:tblGrid>
      <w:tr>
        <w:trPr>
          <w:trHeight w:val="427" w:hRule="exact"/>
        </w:trPr>
        <w:tc>
          <w:tcPr>
            <w:tcW w:w="2128"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448"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金融负债</w:t>
            </w:r>
          </w:p>
        </w:tc>
      </w:tr>
      <w:tr>
        <w:trPr>
          <w:trHeight w:val="426" w:hRule="exact"/>
        </w:trPr>
        <w:tc>
          <w:tcPr>
            <w:tcW w:w="2128" w:type="dxa"/>
            <w:vMerge/>
            <w:tcBorders>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5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9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年</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59"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z w:val="18"/>
                <w:szCs w:val="18"/>
              </w:rPr>
              <w:t>年</w:t>
            </w:r>
          </w:p>
        </w:tc>
        <w:tc>
          <w:tcPr>
            <w:tcW w:w="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58"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z w:val="18"/>
                <w:szCs w:val="18"/>
              </w:rPr>
              <w:t>年</w:t>
            </w:r>
          </w:p>
        </w:tc>
        <w:tc>
          <w:tcPr>
            <w:tcW w:w="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52"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z w:val="18"/>
                <w:szCs w:val="18"/>
              </w:rPr>
              <w:t>年</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38"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年以上</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27"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短期借款（含息）</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7"/>
              <w:jc w:val="right"/>
              <w:rPr>
                <w:rFonts w:ascii="宋体" w:hAnsi="宋体" w:cs="宋体" w:eastAsia="宋体" w:hint="default"/>
                <w:sz w:val="18"/>
                <w:szCs w:val="18"/>
              </w:rPr>
            </w:pPr>
            <w:r>
              <w:rPr>
                <w:rFonts w:ascii="宋体"/>
                <w:sz w:val="18"/>
              </w:rPr>
              <w:t>518,798,960.91</w:t>
            </w:r>
          </w:p>
        </w:tc>
        <w:tc>
          <w:tcPr>
            <w:tcW w:w="851"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784" w:type="dxa"/>
            <w:tcBorders>
              <w:top w:val="single" w:sz="6" w:space="0" w:color="000000"/>
              <w:left w:val="single" w:sz="6" w:space="0" w:color="000000"/>
              <w:bottom w:val="single" w:sz="6" w:space="0" w:color="000000"/>
              <w:right w:val="single" w:sz="6" w:space="0" w:color="000000"/>
            </w:tcBorders>
          </w:tcPr>
          <w:p>
            <w:pPr/>
          </w:p>
        </w:tc>
        <w:tc>
          <w:tcPr>
            <w:tcW w:w="769" w:type="dxa"/>
            <w:tcBorders>
              <w:top w:val="single" w:sz="6" w:space="0" w:color="000000"/>
              <w:left w:val="single" w:sz="6" w:space="0" w:color="000000"/>
              <w:bottom w:val="single" w:sz="6" w:space="0" w:color="000000"/>
              <w:right w:val="single" w:sz="6" w:space="0" w:color="000000"/>
            </w:tcBorders>
          </w:tcPr>
          <w:p>
            <w:pPr/>
          </w:p>
        </w:tc>
        <w:tc>
          <w:tcPr>
            <w:tcW w:w="923" w:type="dxa"/>
            <w:tcBorders>
              <w:top w:val="single" w:sz="6" w:space="0" w:color="000000"/>
              <w:left w:val="single" w:sz="6" w:space="0" w:color="000000"/>
              <w:bottom w:val="single" w:sz="6" w:space="0" w:color="000000"/>
              <w:right w:val="single" w:sz="6" w:space="0" w:color="000000"/>
            </w:tcBorders>
          </w:tcPr>
          <w:p>
            <w:pP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9"/>
              <w:jc w:val="right"/>
              <w:rPr>
                <w:rFonts w:ascii="宋体" w:hAnsi="宋体" w:cs="宋体" w:eastAsia="宋体" w:hint="default"/>
                <w:sz w:val="18"/>
                <w:szCs w:val="18"/>
              </w:rPr>
            </w:pPr>
            <w:r>
              <w:rPr>
                <w:rFonts w:ascii="宋体"/>
                <w:sz w:val="18"/>
              </w:rPr>
              <w:t>518,798,960.91</w:t>
            </w:r>
          </w:p>
        </w:tc>
      </w:tr>
      <w:tr>
        <w:trPr>
          <w:trHeight w:val="427"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7"/>
              <w:jc w:val="right"/>
              <w:rPr>
                <w:rFonts w:ascii="宋体" w:hAnsi="宋体" w:cs="宋体" w:eastAsia="宋体" w:hint="default"/>
                <w:sz w:val="18"/>
                <w:szCs w:val="18"/>
              </w:rPr>
            </w:pPr>
            <w:r>
              <w:rPr>
                <w:rFonts w:ascii="宋体"/>
                <w:sz w:val="18"/>
              </w:rPr>
              <w:t>86,108,131.32</w:t>
            </w:r>
          </w:p>
        </w:tc>
        <w:tc>
          <w:tcPr>
            <w:tcW w:w="851"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784" w:type="dxa"/>
            <w:tcBorders>
              <w:top w:val="single" w:sz="6" w:space="0" w:color="000000"/>
              <w:left w:val="single" w:sz="6" w:space="0" w:color="000000"/>
              <w:bottom w:val="single" w:sz="6" w:space="0" w:color="000000"/>
              <w:right w:val="single" w:sz="6" w:space="0" w:color="000000"/>
            </w:tcBorders>
          </w:tcPr>
          <w:p>
            <w:pPr/>
          </w:p>
        </w:tc>
        <w:tc>
          <w:tcPr>
            <w:tcW w:w="769" w:type="dxa"/>
            <w:tcBorders>
              <w:top w:val="single" w:sz="6" w:space="0" w:color="000000"/>
              <w:left w:val="single" w:sz="6" w:space="0" w:color="000000"/>
              <w:bottom w:val="single" w:sz="6" w:space="0" w:color="000000"/>
              <w:right w:val="single" w:sz="6" w:space="0" w:color="000000"/>
            </w:tcBorders>
          </w:tcPr>
          <w:p>
            <w:pPr/>
          </w:p>
        </w:tc>
        <w:tc>
          <w:tcPr>
            <w:tcW w:w="923" w:type="dxa"/>
            <w:tcBorders>
              <w:top w:val="single" w:sz="6" w:space="0" w:color="000000"/>
              <w:left w:val="single" w:sz="6" w:space="0" w:color="000000"/>
              <w:bottom w:val="single" w:sz="6" w:space="0" w:color="000000"/>
              <w:right w:val="single" w:sz="6" w:space="0" w:color="000000"/>
            </w:tcBorders>
          </w:tcPr>
          <w:p>
            <w:pP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9"/>
              <w:jc w:val="right"/>
              <w:rPr>
                <w:rFonts w:ascii="宋体" w:hAnsi="宋体" w:cs="宋体" w:eastAsia="宋体" w:hint="default"/>
                <w:sz w:val="18"/>
                <w:szCs w:val="18"/>
              </w:rPr>
            </w:pPr>
            <w:r>
              <w:rPr>
                <w:rFonts w:ascii="宋体"/>
                <w:sz w:val="18"/>
              </w:rPr>
              <w:t>86,108,131.32</w:t>
            </w:r>
          </w:p>
        </w:tc>
      </w:tr>
      <w:tr>
        <w:trPr>
          <w:trHeight w:val="428"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7"/>
              <w:jc w:val="right"/>
              <w:rPr>
                <w:rFonts w:ascii="宋体" w:hAnsi="宋体" w:cs="宋体" w:eastAsia="宋体" w:hint="default"/>
                <w:sz w:val="18"/>
                <w:szCs w:val="18"/>
              </w:rPr>
            </w:pPr>
            <w:r>
              <w:rPr>
                <w:rFonts w:ascii="宋体"/>
                <w:sz w:val="18"/>
              </w:rPr>
              <w:t>136,650,096.45</w:t>
            </w:r>
          </w:p>
        </w:tc>
        <w:tc>
          <w:tcPr>
            <w:tcW w:w="851"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784" w:type="dxa"/>
            <w:tcBorders>
              <w:top w:val="single" w:sz="6" w:space="0" w:color="000000"/>
              <w:left w:val="single" w:sz="6" w:space="0" w:color="000000"/>
              <w:bottom w:val="single" w:sz="6" w:space="0" w:color="000000"/>
              <w:right w:val="single" w:sz="6" w:space="0" w:color="000000"/>
            </w:tcBorders>
          </w:tcPr>
          <w:p>
            <w:pPr/>
          </w:p>
        </w:tc>
        <w:tc>
          <w:tcPr>
            <w:tcW w:w="769" w:type="dxa"/>
            <w:tcBorders>
              <w:top w:val="single" w:sz="6" w:space="0" w:color="000000"/>
              <w:left w:val="single" w:sz="6" w:space="0" w:color="000000"/>
              <w:bottom w:val="single" w:sz="6" w:space="0" w:color="000000"/>
              <w:right w:val="single" w:sz="6" w:space="0" w:color="000000"/>
            </w:tcBorders>
          </w:tcPr>
          <w:p>
            <w:pPr/>
          </w:p>
        </w:tc>
        <w:tc>
          <w:tcPr>
            <w:tcW w:w="923" w:type="dxa"/>
            <w:tcBorders>
              <w:top w:val="single" w:sz="6" w:space="0" w:color="000000"/>
              <w:left w:val="single" w:sz="6" w:space="0" w:color="000000"/>
              <w:bottom w:val="single" w:sz="6" w:space="0" w:color="000000"/>
              <w:right w:val="single" w:sz="6" w:space="0" w:color="000000"/>
            </w:tcBorders>
          </w:tcPr>
          <w:p>
            <w:pP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9"/>
              <w:jc w:val="right"/>
              <w:rPr>
                <w:rFonts w:ascii="宋体" w:hAnsi="宋体" w:cs="宋体" w:eastAsia="宋体" w:hint="default"/>
                <w:sz w:val="18"/>
                <w:szCs w:val="18"/>
              </w:rPr>
            </w:pPr>
            <w:r>
              <w:rPr>
                <w:rFonts w:ascii="宋体"/>
                <w:sz w:val="18"/>
              </w:rPr>
              <w:t>136,650,096.45</w:t>
            </w:r>
          </w:p>
        </w:tc>
      </w:tr>
      <w:tr>
        <w:trPr>
          <w:trHeight w:val="427"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7"/>
              <w:jc w:val="right"/>
              <w:rPr>
                <w:rFonts w:ascii="宋体" w:hAnsi="宋体" w:cs="宋体" w:eastAsia="宋体" w:hint="default"/>
                <w:sz w:val="18"/>
                <w:szCs w:val="18"/>
              </w:rPr>
            </w:pPr>
            <w:r>
              <w:rPr>
                <w:rFonts w:ascii="宋体"/>
                <w:sz w:val="18"/>
              </w:rPr>
              <w:t>1,333,804.85</w:t>
            </w:r>
          </w:p>
        </w:tc>
        <w:tc>
          <w:tcPr>
            <w:tcW w:w="851"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784" w:type="dxa"/>
            <w:tcBorders>
              <w:top w:val="single" w:sz="6" w:space="0" w:color="000000"/>
              <w:left w:val="single" w:sz="6" w:space="0" w:color="000000"/>
              <w:bottom w:val="single" w:sz="6" w:space="0" w:color="000000"/>
              <w:right w:val="single" w:sz="6" w:space="0" w:color="000000"/>
            </w:tcBorders>
          </w:tcPr>
          <w:p>
            <w:pPr/>
          </w:p>
        </w:tc>
        <w:tc>
          <w:tcPr>
            <w:tcW w:w="769" w:type="dxa"/>
            <w:tcBorders>
              <w:top w:val="single" w:sz="6" w:space="0" w:color="000000"/>
              <w:left w:val="single" w:sz="6" w:space="0" w:color="000000"/>
              <w:bottom w:val="single" w:sz="6" w:space="0" w:color="000000"/>
              <w:right w:val="single" w:sz="6" w:space="0" w:color="000000"/>
            </w:tcBorders>
          </w:tcPr>
          <w:p>
            <w:pPr/>
          </w:p>
        </w:tc>
        <w:tc>
          <w:tcPr>
            <w:tcW w:w="923" w:type="dxa"/>
            <w:tcBorders>
              <w:top w:val="single" w:sz="6" w:space="0" w:color="000000"/>
              <w:left w:val="single" w:sz="6" w:space="0" w:color="000000"/>
              <w:bottom w:val="single" w:sz="6" w:space="0" w:color="000000"/>
              <w:right w:val="single" w:sz="6" w:space="0" w:color="000000"/>
            </w:tcBorders>
          </w:tcPr>
          <w:p>
            <w:pP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9"/>
              <w:jc w:val="right"/>
              <w:rPr>
                <w:rFonts w:ascii="宋体" w:hAnsi="宋体" w:cs="宋体" w:eastAsia="宋体" w:hint="default"/>
                <w:sz w:val="18"/>
                <w:szCs w:val="18"/>
              </w:rPr>
            </w:pPr>
            <w:r>
              <w:rPr>
                <w:rFonts w:ascii="宋体"/>
                <w:sz w:val="18"/>
              </w:rPr>
              <w:t>1,333,804.85</w:t>
            </w:r>
          </w:p>
        </w:tc>
      </w:tr>
      <w:tr>
        <w:trPr>
          <w:trHeight w:val="427"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7"/>
              <w:jc w:val="right"/>
              <w:rPr>
                <w:rFonts w:ascii="宋体" w:hAnsi="宋体" w:cs="宋体" w:eastAsia="宋体" w:hint="default"/>
                <w:sz w:val="18"/>
                <w:szCs w:val="18"/>
              </w:rPr>
            </w:pPr>
            <w:r>
              <w:rPr>
                <w:rFonts w:ascii="宋体"/>
                <w:sz w:val="18"/>
              </w:rPr>
              <w:t>17,514,538.62</w:t>
            </w:r>
          </w:p>
        </w:tc>
        <w:tc>
          <w:tcPr>
            <w:tcW w:w="851"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784" w:type="dxa"/>
            <w:tcBorders>
              <w:top w:val="single" w:sz="6" w:space="0" w:color="000000"/>
              <w:left w:val="single" w:sz="6" w:space="0" w:color="000000"/>
              <w:bottom w:val="single" w:sz="6" w:space="0" w:color="000000"/>
              <w:right w:val="single" w:sz="6" w:space="0" w:color="000000"/>
            </w:tcBorders>
          </w:tcPr>
          <w:p>
            <w:pPr/>
          </w:p>
        </w:tc>
        <w:tc>
          <w:tcPr>
            <w:tcW w:w="769" w:type="dxa"/>
            <w:tcBorders>
              <w:top w:val="single" w:sz="6" w:space="0" w:color="000000"/>
              <w:left w:val="single" w:sz="6" w:space="0" w:color="000000"/>
              <w:bottom w:val="single" w:sz="6" w:space="0" w:color="000000"/>
              <w:right w:val="single" w:sz="6" w:space="0" w:color="000000"/>
            </w:tcBorders>
          </w:tcPr>
          <w:p>
            <w:pPr/>
          </w:p>
        </w:tc>
        <w:tc>
          <w:tcPr>
            <w:tcW w:w="923" w:type="dxa"/>
            <w:tcBorders>
              <w:top w:val="single" w:sz="6" w:space="0" w:color="000000"/>
              <w:left w:val="single" w:sz="6" w:space="0" w:color="000000"/>
              <w:bottom w:val="single" w:sz="6" w:space="0" w:color="000000"/>
              <w:right w:val="single" w:sz="6" w:space="0" w:color="000000"/>
            </w:tcBorders>
          </w:tcPr>
          <w:p>
            <w:pP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9"/>
              <w:jc w:val="right"/>
              <w:rPr>
                <w:rFonts w:ascii="宋体" w:hAnsi="宋体" w:cs="宋体" w:eastAsia="宋体" w:hint="default"/>
                <w:sz w:val="18"/>
                <w:szCs w:val="18"/>
              </w:rPr>
            </w:pPr>
            <w:r>
              <w:rPr>
                <w:rFonts w:ascii="宋体"/>
                <w:sz w:val="18"/>
              </w:rPr>
              <w:t>17,514,538.62</w:t>
            </w:r>
          </w:p>
        </w:tc>
      </w:tr>
      <w:tr>
        <w:trPr>
          <w:trHeight w:val="426"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7"/>
              <w:jc w:val="right"/>
              <w:rPr>
                <w:rFonts w:ascii="宋体" w:hAnsi="宋体" w:cs="宋体" w:eastAsia="宋体" w:hint="default"/>
                <w:sz w:val="18"/>
                <w:szCs w:val="18"/>
              </w:rPr>
            </w:pPr>
            <w:r>
              <w:rPr>
                <w:rFonts w:ascii="宋体"/>
                <w:sz w:val="18"/>
              </w:rPr>
              <w:t>389,100.00</w:t>
            </w:r>
          </w:p>
        </w:tc>
        <w:tc>
          <w:tcPr>
            <w:tcW w:w="851"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784" w:type="dxa"/>
            <w:tcBorders>
              <w:top w:val="single" w:sz="6" w:space="0" w:color="000000"/>
              <w:left w:val="single" w:sz="6" w:space="0" w:color="000000"/>
              <w:bottom w:val="single" w:sz="6" w:space="0" w:color="000000"/>
              <w:right w:val="single" w:sz="6" w:space="0" w:color="000000"/>
            </w:tcBorders>
          </w:tcPr>
          <w:p>
            <w:pPr/>
          </w:p>
        </w:tc>
        <w:tc>
          <w:tcPr>
            <w:tcW w:w="769" w:type="dxa"/>
            <w:tcBorders>
              <w:top w:val="single" w:sz="6" w:space="0" w:color="000000"/>
              <w:left w:val="single" w:sz="6" w:space="0" w:color="000000"/>
              <w:bottom w:val="single" w:sz="6" w:space="0" w:color="000000"/>
              <w:right w:val="single" w:sz="6" w:space="0" w:color="000000"/>
            </w:tcBorders>
          </w:tcPr>
          <w:p>
            <w:pPr/>
          </w:p>
        </w:tc>
        <w:tc>
          <w:tcPr>
            <w:tcW w:w="923" w:type="dxa"/>
            <w:tcBorders>
              <w:top w:val="single" w:sz="6" w:space="0" w:color="000000"/>
              <w:left w:val="single" w:sz="6" w:space="0" w:color="000000"/>
              <w:bottom w:val="single" w:sz="6" w:space="0" w:color="000000"/>
              <w:right w:val="single" w:sz="6" w:space="0" w:color="000000"/>
            </w:tcBorders>
          </w:tcPr>
          <w:p>
            <w:pP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59"/>
              <w:jc w:val="right"/>
              <w:rPr>
                <w:rFonts w:ascii="宋体" w:hAnsi="宋体" w:cs="宋体" w:eastAsia="宋体" w:hint="default"/>
                <w:sz w:val="18"/>
                <w:szCs w:val="18"/>
              </w:rPr>
            </w:pPr>
            <w:r>
              <w:rPr>
                <w:rFonts w:ascii="宋体"/>
                <w:sz w:val="18"/>
              </w:rPr>
              <w:t>389,100.00</w:t>
            </w:r>
          </w:p>
        </w:tc>
      </w:tr>
      <w:tr>
        <w:trPr>
          <w:trHeight w:val="428"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7"/>
              <w:jc w:val="right"/>
              <w:rPr>
                <w:rFonts w:ascii="宋体" w:hAnsi="宋体" w:cs="宋体" w:eastAsia="宋体" w:hint="default"/>
                <w:sz w:val="18"/>
                <w:szCs w:val="18"/>
              </w:rPr>
            </w:pPr>
            <w:r>
              <w:rPr>
                <w:rFonts w:ascii="宋体"/>
                <w:sz w:val="18"/>
              </w:rPr>
              <w:t>760,794,632.15</w:t>
            </w:r>
          </w:p>
        </w:tc>
        <w:tc>
          <w:tcPr>
            <w:tcW w:w="851"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784" w:type="dxa"/>
            <w:tcBorders>
              <w:top w:val="single" w:sz="6" w:space="0" w:color="000000"/>
              <w:left w:val="single" w:sz="6" w:space="0" w:color="000000"/>
              <w:bottom w:val="single" w:sz="6" w:space="0" w:color="000000"/>
              <w:right w:val="single" w:sz="6" w:space="0" w:color="000000"/>
            </w:tcBorders>
          </w:tcPr>
          <w:p>
            <w:pPr/>
          </w:p>
        </w:tc>
        <w:tc>
          <w:tcPr>
            <w:tcW w:w="769" w:type="dxa"/>
            <w:tcBorders>
              <w:top w:val="single" w:sz="6" w:space="0" w:color="000000"/>
              <w:left w:val="single" w:sz="6" w:space="0" w:color="000000"/>
              <w:bottom w:val="single" w:sz="6" w:space="0" w:color="000000"/>
              <w:right w:val="single" w:sz="6" w:space="0" w:color="000000"/>
            </w:tcBorders>
          </w:tcPr>
          <w:p>
            <w:pPr/>
          </w:p>
        </w:tc>
        <w:tc>
          <w:tcPr>
            <w:tcW w:w="923" w:type="dxa"/>
            <w:tcBorders>
              <w:top w:val="single" w:sz="6" w:space="0" w:color="000000"/>
              <w:left w:val="single" w:sz="6" w:space="0" w:color="000000"/>
              <w:bottom w:val="single" w:sz="6" w:space="0" w:color="000000"/>
              <w:right w:val="single" w:sz="6" w:space="0" w:color="000000"/>
            </w:tcBorders>
          </w:tcPr>
          <w:p>
            <w:pP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9"/>
              <w:jc w:val="right"/>
              <w:rPr>
                <w:rFonts w:ascii="宋体" w:hAnsi="宋体" w:cs="宋体" w:eastAsia="宋体" w:hint="default"/>
                <w:sz w:val="18"/>
                <w:szCs w:val="18"/>
              </w:rPr>
            </w:pPr>
            <w:r>
              <w:rPr>
                <w:rFonts w:ascii="宋体"/>
                <w:sz w:val="18"/>
              </w:rPr>
              <w:t>760,794,632.15</w:t>
            </w:r>
          </w:p>
        </w:tc>
      </w:tr>
    </w:tbl>
    <w:p>
      <w:pPr>
        <w:spacing w:line="240" w:lineRule="auto" w:before="4"/>
        <w:rPr>
          <w:rFonts w:ascii="宋体" w:hAnsi="宋体" w:cs="宋体" w:eastAsia="宋体" w:hint="default"/>
          <w:sz w:val="9"/>
          <w:szCs w:val="9"/>
        </w:rPr>
      </w:pPr>
    </w:p>
    <w:p>
      <w:pPr>
        <w:pStyle w:val="BodyText"/>
        <w:spacing w:line="316" w:lineRule="auto" w:before="44"/>
        <w:ind w:left="1493" w:right="1118"/>
        <w:jc w:val="left"/>
      </w:pPr>
      <w:r>
        <w:rPr>
          <w:rFonts w:ascii="宋体" w:hAnsi="宋体" w:cs="宋体" w:eastAsia="宋体" w:hint="default"/>
        </w:rPr>
        <w:t>3</w:t>
      </w:r>
      <w:r>
        <w:rPr/>
        <w:t>、市场风险 </w:t>
      </w:r>
      <w:r>
        <w:rPr>
          <w:spacing w:val="-2"/>
        </w:rPr>
        <w:t>市场风险，是指金融工具的公允价值或未来现金流量因市场价格变动而发生波动的风险，包括汇率风险、利率风险和其</w:t>
      </w:r>
    </w:p>
    <w:p>
      <w:pPr>
        <w:pStyle w:val="BodyText"/>
        <w:spacing w:line="240" w:lineRule="auto" w:before="19"/>
        <w:ind w:right="0"/>
        <w:jc w:val="left"/>
      </w:pPr>
      <w:r>
        <w:rPr/>
        <w:t>他价格风险。</w:t>
      </w:r>
    </w:p>
    <w:p>
      <w:pPr>
        <w:pStyle w:val="BodyText"/>
        <w:spacing w:line="316" w:lineRule="auto" w:before="76"/>
        <w:ind w:left="1493" w:right="3373"/>
        <w:jc w:val="left"/>
      </w:pPr>
      <w:r>
        <w:rPr>
          <w:rFonts w:ascii="宋体" w:hAnsi="宋体" w:cs="宋体" w:eastAsia="宋体" w:hint="default"/>
        </w:rPr>
        <w:t>A</w:t>
      </w:r>
      <w:r>
        <w:rPr/>
        <w:t>、汇率风险 汇率风险，是指金融工具的公允价值或未来现金流量因外汇汇率变动而发生波动的风险。</w:t>
      </w:r>
    </w:p>
    <w:p>
      <w:pPr>
        <w:pStyle w:val="BodyText"/>
        <w:spacing w:line="316" w:lineRule="auto" w:before="19"/>
        <w:ind w:right="0" w:firstLine="360"/>
        <w:jc w:val="left"/>
      </w:pPr>
      <w:r>
        <w:rPr>
          <w:spacing w:val="-2"/>
        </w:rPr>
        <w:t>汇率风险的敏感性分析见下表，反映了在其他变量不变的假设下，以下所列外币汇率发生合理、可能的变动时，由于货</w:t>
      </w:r>
      <w:r>
        <w:rPr/>
        <w:t> 币性资产和货币性负债的公允价值变化将对净利润和股东权益产生的影响。</w:t>
      </w:r>
    </w:p>
    <w:p>
      <w:pPr>
        <w:pStyle w:val="BodyText"/>
        <w:spacing w:line="240" w:lineRule="auto" w:before="19"/>
        <w:ind w:left="0" w:right="1319"/>
        <w:jc w:val="right"/>
      </w:pPr>
      <w:r>
        <w:rPr/>
        <w:t>单位： 元</w:t>
      </w:r>
    </w:p>
    <w:p>
      <w:pPr>
        <w:spacing w:line="240" w:lineRule="auto" w:before="0"/>
        <w:rPr>
          <w:rFonts w:ascii="宋体" w:hAnsi="宋体" w:cs="宋体" w:eastAsia="宋体" w:hint="default"/>
          <w:sz w:val="5"/>
          <w:szCs w:val="5"/>
        </w:rPr>
      </w:pPr>
    </w:p>
    <w:tbl>
      <w:tblPr>
        <w:tblW w:w="0" w:type="auto"/>
        <w:jc w:val="left"/>
        <w:tblInd w:w="1126" w:type="dxa"/>
        <w:tblLayout w:type="fixed"/>
        <w:tblCellMar>
          <w:top w:w="0" w:type="dxa"/>
          <w:left w:w="0" w:type="dxa"/>
          <w:bottom w:w="0" w:type="dxa"/>
          <w:right w:w="0" w:type="dxa"/>
        </w:tblCellMar>
        <w:tblLook w:val="01E0"/>
      </w:tblPr>
      <w:tblGrid>
        <w:gridCol w:w="2536"/>
        <w:gridCol w:w="1860"/>
        <w:gridCol w:w="1700"/>
        <w:gridCol w:w="1810"/>
        <w:gridCol w:w="1700"/>
      </w:tblGrid>
      <w:tr>
        <w:trPr>
          <w:trHeight w:val="347" w:hRule="exact"/>
        </w:trPr>
        <w:tc>
          <w:tcPr>
            <w:tcW w:w="2536"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1"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35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59" w:right="0"/>
              <w:jc w:val="center"/>
              <w:rPr>
                <w:rFonts w:ascii="宋体" w:hAnsi="宋体" w:cs="宋体" w:eastAsia="宋体" w:hint="default"/>
                <w:sz w:val="18"/>
                <w:szCs w:val="18"/>
              </w:rPr>
            </w:pPr>
            <w:r>
              <w:rPr>
                <w:rFonts w:ascii="宋体" w:hAnsi="宋体" w:cs="宋体" w:eastAsia="宋体" w:hint="default"/>
                <w:sz w:val="18"/>
                <w:szCs w:val="18"/>
              </w:rPr>
              <w:t>上年</w:t>
            </w:r>
          </w:p>
        </w:tc>
      </w:tr>
      <w:tr>
        <w:trPr>
          <w:trHeight w:val="347" w:hRule="exact"/>
        </w:trPr>
        <w:tc>
          <w:tcPr>
            <w:tcW w:w="2536" w:type="dxa"/>
            <w:vMerge/>
            <w:tcBorders>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23" w:right="0"/>
              <w:jc w:val="left"/>
              <w:rPr>
                <w:rFonts w:ascii="宋体" w:hAnsi="宋体" w:cs="宋体" w:eastAsia="宋体" w:hint="default"/>
                <w:sz w:val="18"/>
                <w:szCs w:val="18"/>
              </w:rPr>
            </w:pPr>
            <w:r>
              <w:rPr>
                <w:rFonts w:ascii="宋体" w:hAnsi="宋体" w:cs="宋体" w:eastAsia="宋体" w:hint="default"/>
                <w:sz w:val="18"/>
                <w:szCs w:val="18"/>
              </w:rPr>
              <w:t>净利润变动</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82" w:right="0"/>
              <w:jc w:val="left"/>
              <w:rPr>
                <w:rFonts w:ascii="宋体" w:hAnsi="宋体" w:cs="宋体" w:eastAsia="宋体" w:hint="default"/>
                <w:sz w:val="18"/>
                <w:szCs w:val="18"/>
              </w:rPr>
            </w:pPr>
            <w:r>
              <w:rPr>
                <w:rFonts w:ascii="宋体" w:hAnsi="宋体" w:cs="宋体" w:eastAsia="宋体" w:hint="default"/>
                <w:sz w:val="18"/>
                <w:szCs w:val="18"/>
              </w:rPr>
              <w:t>股东权益变动</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05" w:right="0"/>
              <w:jc w:val="left"/>
              <w:rPr>
                <w:rFonts w:ascii="宋体" w:hAnsi="宋体" w:cs="宋体" w:eastAsia="宋体" w:hint="default"/>
                <w:sz w:val="18"/>
                <w:szCs w:val="18"/>
              </w:rPr>
            </w:pPr>
            <w:r>
              <w:rPr>
                <w:rFonts w:ascii="宋体" w:hAnsi="宋体" w:cs="宋体" w:eastAsia="宋体" w:hint="default"/>
                <w:sz w:val="18"/>
                <w:szCs w:val="18"/>
              </w:rPr>
              <w:t>净利润变动</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82" w:right="0"/>
              <w:jc w:val="left"/>
              <w:rPr>
                <w:rFonts w:ascii="宋体" w:hAnsi="宋体" w:cs="宋体" w:eastAsia="宋体" w:hint="default"/>
                <w:sz w:val="18"/>
                <w:szCs w:val="18"/>
              </w:rPr>
            </w:pPr>
            <w:r>
              <w:rPr>
                <w:rFonts w:ascii="宋体" w:hAnsi="宋体" w:cs="宋体" w:eastAsia="宋体" w:hint="default"/>
                <w:sz w:val="18"/>
                <w:szCs w:val="18"/>
              </w:rPr>
              <w:t>股东权益变动</w:t>
            </w:r>
          </w:p>
        </w:tc>
      </w:tr>
      <w:tr>
        <w:trPr>
          <w:trHeight w:val="34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人民币对美元贬值</w:t>
            </w:r>
            <w:r>
              <w:rPr>
                <w:rFonts w:ascii="宋体" w:hAnsi="宋体" w:cs="宋体" w:eastAsia="宋体" w:hint="default"/>
                <w:sz w:val="18"/>
                <w:szCs w:val="18"/>
              </w:rPr>
              <w:t>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59"/>
              <w:jc w:val="right"/>
              <w:rPr>
                <w:rFonts w:ascii="宋体" w:hAnsi="宋体" w:cs="宋体" w:eastAsia="宋体" w:hint="default"/>
                <w:sz w:val="18"/>
                <w:szCs w:val="18"/>
              </w:rPr>
            </w:pPr>
            <w:r>
              <w:rPr>
                <w:rFonts w:ascii="宋体"/>
                <w:sz w:val="18"/>
              </w:rPr>
              <w:t>-1,229,097.25</w:t>
            </w:r>
          </w:p>
        </w:tc>
        <w:tc>
          <w:tcPr>
            <w:tcW w:w="1700" w:type="dxa"/>
            <w:tcBorders>
              <w:top w:val="single" w:sz="6" w:space="0" w:color="000000"/>
              <w:left w:val="single" w:sz="6" w:space="0" w:color="000000"/>
              <w:bottom w:val="single" w:sz="6" w:space="0" w:color="000000"/>
              <w:right w:val="single" w:sz="6" w:space="0" w:color="000000"/>
            </w:tcBorders>
          </w:tcPr>
          <w:p>
            <w:pP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59"/>
              <w:jc w:val="right"/>
              <w:rPr>
                <w:rFonts w:ascii="宋体" w:hAnsi="宋体" w:cs="宋体" w:eastAsia="宋体" w:hint="default"/>
                <w:sz w:val="18"/>
                <w:szCs w:val="18"/>
              </w:rPr>
            </w:pPr>
            <w:r>
              <w:rPr>
                <w:rFonts w:ascii="宋体"/>
                <w:sz w:val="18"/>
              </w:rPr>
              <w:t>-3,344,851.10</w:t>
            </w: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人民币对美元升值</w:t>
            </w:r>
            <w:r>
              <w:rPr>
                <w:rFonts w:ascii="Times New Roman" w:hAnsi="Times New Roman" w:cs="Times New Roman" w:eastAsia="Times New Roman" w:hint="default"/>
                <w:sz w:val="18"/>
                <w:szCs w:val="18"/>
              </w:rPr>
              <w:t>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59"/>
              <w:jc w:val="right"/>
              <w:rPr>
                <w:rFonts w:ascii="宋体" w:hAnsi="宋体" w:cs="宋体" w:eastAsia="宋体" w:hint="default"/>
                <w:sz w:val="18"/>
                <w:szCs w:val="18"/>
              </w:rPr>
            </w:pPr>
            <w:r>
              <w:rPr>
                <w:rFonts w:ascii="宋体"/>
                <w:sz w:val="18"/>
              </w:rPr>
              <w:t>1,229,097.25</w:t>
            </w:r>
          </w:p>
        </w:tc>
        <w:tc>
          <w:tcPr>
            <w:tcW w:w="1700" w:type="dxa"/>
            <w:tcBorders>
              <w:top w:val="single" w:sz="6" w:space="0" w:color="000000"/>
              <w:left w:val="single" w:sz="6" w:space="0" w:color="000000"/>
              <w:bottom w:val="single" w:sz="6" w:space="0" w:color="000000"/>
              <w:right w:val="single" w:sz="6" w:space="0" w:color="000000"/>
            </w:tcBorders>
          </w:tcPr>
          <w:p>
            <w:pP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59"/>
              <w:jc w:val="right"/>
              <w:rPr>
                <w:rFonts w:ascii="宋体" w:hAnsi="宋体" w:cs="宋体" w:eastAsia="宋体" w:hint="default"/>
                <w:sz w:val="18"/>
                <w:szCs w:val="18"/>
              </w:rPr>
            </w:pPr>
            <w:r>
              <w:rPr>
                <w:rFonts w:ascii="宋体"/>
                <w:sz w:val="18"/>
              </w:rPr>
              <w:t>3,344,851.10</w:t>
            </w: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人民币对欧元贬值</w:t>
            </w:r>
            <w:r>
              <w:rPr>
                <w:rFonts w:ascii="Times New Roman" w:hAnsi="Times New Roman" w:cs="Times New Roman" w:eastAsia="Times New Roman" w:hint="default"/>
                <w:sz w:val="18"/>
                <w:szCs w:val="18"/>
              </w:rPr>
              <w:t>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59"/>
              <w:jc w:val="right"/>
              <w:rPr>
                <w:rFonts w:ascii="宋体" w:hAnsi="宋体" w:cs="宋体" w:eastAsia="宋体" w:hint="default"/>
                <w:sz w:val="18"/>
                <w:szCs w:val="18"/>
              </w:rPr>
            </w:pPr>
            <w:r>
              <w:rPr>
                <w:rFonts w:ascii="宋体"/>
                <w:sz w:val="18"/>
              </w:rPr>
              <w:t>69,269.82</w:t>
            </w:r>
          </w:p>
        </w:tc>
        <w:tc>
          <w:tcPr>
            <w:tcW w:w="1700" w:type="dxa"/>
            <w:tcBorders>
              <w:top w:val="single" w:sz="6" w:space="0" w:color="000000"/>
              <w:left w:val="single" w:sz="6" w:space="0" w:color="000000"/>
              <w:bottom w:val="single" w:sz="6" w:space="0" w:color="000000"/>
              <w:right w:val="single" w:sz="6" w:space="0" w:color="000000"/>
            </w:tcBorders>
          </w:tcPr>
          <w:p>
            <w:pP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59"/>
              <w:jc w:val="right"/>
              <w:rPr>
                <w:rFonts w:ascii="宋体" w:hAnsi="宋体" w:cs="宋体" w:eastAsia="宋体" w:hint="default"/>
                <w:sz w:val="18"/>
                <w:szCs w:val="18"/>
              </w:rPr>
            </w:pPr>
            <w:r>
              <w:rPr>
                <w:rFonts w:ascii="宋体"/>
                <w:sz w:val="18"/>
              </w:rPr>
              <w:t>-10,592.09</w:t>
            </w: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人民币对欧元升值</w:t>
            </w:r>
            <w:r>
              <w:rPr>
                <w:rFonts w:ascii="Times New Roman" w:hAnsi="Times New Roman" w:cs="Times New Roman" w:eastAsia="Times New Roman" w:hint="default"/>
                <w:sz w:val="18"/>
                <w:szCs w:val="18"/>
              </w:rPr>
              <w:t>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9"/>
              <w:jc w:val="right"/>
              <w:rPr>
                <w:rFonts w:ascii="宋体" w:hAnsi="宋体" w:cs="宋体" w:eastAsia="宋体" w:hint="default"/>
                <w:sz w:val="18"/>
                <w:szCs w:val="18"/>
              </w:rPr>
            </w:pPr>
            <w:r>
              <w:rPr>
                <w:rFonts w:ascii="宋体"/>
                <w:sz w:val="18"/>
              </w:rPr>
              <w:t>-69,269.82</w:t>
            </w:r>
          </w:p>
        </w:tc>
        <w:tc>
          <w:tcPr>
            <w:tcW w:w="1700" w:type="dxa"/>
            <w:tcBorders>
              <w:top w:val="single" w:sz="6" w:space="0" w:color="000000"/>
              <w:left w:val="single" w:sz="6" w:space="0" w:color="000000"/>
              <w:bottom w:val="single" w:sz="6" w:space="0" w:color="000000"/>
              <w:right w:val="single" w:sz="6" w:space="0" w:color="000000"/>
            </w:tcBorders>
          </w:tcPr>
          <w:p>
            <w:pP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9"/>
              <w:jc w:val="right"/>
              <w:rPr>
                <w:rFonts w:ascii="宋体" w:hAnsi="宋体" w:cs="宋体" w:eastAsia="宋体" w:hint="default"/>
                <w:sz w:val="18"/>
                <w:szCs w:val="18"/>
              </w:rPr>
            </w:pPr>
            <w:r>
              <w:rPr>
                <w:rFonts w:ascii="宋体"/>
                <w:sz w:val="18"/>
              </w:rPr>
              <w:t>10,592.09</w:t>
            </w:r>
          </w:p>
        </w:tc>
        <w:tc>
          <w:tcPr>
            <w:tcW w:w="1700"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0" w:footer="1187" w:top="1100" w:bottom="1380" w:left="0" w:right="0"/>
        </w:sectPr>
      </w:pPr>
    </w:p>
    <w:p>
      <w:pPr>
        <w:spacing w:line="240" w:lineRule="auto" w:before="6"/>
        <w:rPr>
          <w:rFonts w:ascii="宋体" w:hAnsi="宋体" w:cs="宋体" w:eastAsia="宋体" w:hint="default"/>
          <w:sz w:val="24"/>
          <w:szCs w:val="24"/>
        </w:rPr>
      </w:pPr>
    </w:p>
    <w:tbl>
      <w:tblPr>
        <w:tblW w:w="0" w:type="auto"/>
        <w:jc w:val="left"/>
        <w:tblInd w:w="1126" w:type="dxa"/>
        <w:tblLayout w:type="fixed"/>
        <w:tblCellMar>
          <w:top w:w="0" w:type="dxa"/>
          <w:left w:w="0" w:type="dxa"/>
          <w:bottom w:w="0" w:type="dxa"/>
          <w:right w:w="0" w:type="dxa"/>
        </w:tblCellMar>
        <w:tblLook w:val="01E0"/>
      </w:tblPr>
      <w:tblGrid>
        <w:gridCol w:w="2536"/>
        <w:gridCol w:w="1860"/>
        <w:gridCol w:w="1700"/>
        <w:gridCol w:w="1810"/>
        <w:gridCol w:w="1700"/>
      </w:tblGrid>
      <w:tr>
        <w:trPr>
          <w:trHeight w:val="34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人民币对英镑贬值</w:t>
            </w:r>
            <w:r>
              <w:rPr>
                <w:rFonts w:ascii="Times New Roman" w:hAnsi="Times New Roman" w:cs="Times New Roman" w:eastAsia="Times New Roman" w:hint="default"/>
                <w:sz w:val="18"/>
                <w:szCs w:val="18"/>
              </w:rPr>
              <w:t>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59"/>
              <w:jc w:val="right"/>
              <w:rPr>
                <w:rFonts w:ascii="宋体" w:hAnsi="宋体" w:cs="宋体" w:eastAsia="宋体" w:hint="default"/>
                <w:sz w:val="18"/>
                <w:szCs w:val="18"/>
              </w:rPr>
            </w:pPr>
            <w:r>
              <w:rPr>
                <w:rFonts w:ascii="宋体"/>
                <w:sz w:val="18"/>
              </w:rPr>
              <w:t>-204.34</w:t>
            </w:r>
          </w:p>
        </w:tc>
        <w:tc>
          <w:tcPr>
            <w:tcW w:w="1700" w:type="dxa"/>
            <w:tcBorders>
              <w:top w:val="single" w:sz="6" w:space="0" w:color="000000"/>
              <w:left w:val="single" w:sz="6" w:space="0" w:color="000000"/>
              <w:bottom w:val="single" w:sz="6" w:space="0" w:color="000000"/>
              <w:right w:val="single" w:sz="6" w:space="0" w:color="000000"/>
            </w:tcBorders>
          </w:tcPr>
          <w:p>
            <w:pP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59"/>
              <w:jc w:val="right"/>
              <w:rPr>
                <w:rFonts w:ascii="宋体" w:hAnsi="宋体" w:cs="宋体" w:eastAsia="宋体" w:hint="default"/>
                <w:sz w:val="18"/>
                <w:szCs w:val="18"/>
              </w:rPr>
            </w:pPr>
            <w:r>
              <w:rPr>
                <w:rFonts w:ascii="宋体"/>
                <w:sz w:val="18"/>
              </w:rPr>
              <w:t>-214.73</w:t>
            </w: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人民币对英镑升值</w:t>
            </w:r>
            <w:r>
              <w:rPr>
                <w:rFonts w:ascii="Times New Roman" w:hAnsi="Times New Roman" w:cs="Times New Roman" w:eastAsia="Times New Roman" w:hint="default"/>
                <w:sz w:val="18"/>
                <w:szCs w:val="18"/>
              </w:rPr>
              <w:t>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59"/>
              <w:jc w:val="right"/>
              <w:rPr>
                <w:rFonts w:ascii="宋体" w:hAnsi="宋体" w:cs="宋体" w:eastAsia="宋体" w:hint="default"/>
                <w:sz w:val="18"/>
                <w:szCs w:val="18"/>
              </w:rPr>
            </w:pPr>
            <w:r>
              <w:rPr>
                <w:rFonts w:ascii="宋体"/>
                <w:sz w:val="18"/>
              </w:rPr>
              <w:t>204.34</w:t>
            </w:r>
          </w:p>
        </w:tc>
        <w:tc>
          <w:tcPr>
            <w:tcW w:w="1700" w:type="dxa"/>
            <w:tcBorders>
              <w:top w:val="single" w:sz="6" w:space="0" w:color="000000"/>
              <w:left w:val="single" w:sz="6" w:space="0" w:color="000000"/>
              <w:bottom w:val="single" w:sz="6" w:space="0" w:color="000000"/>
              <w:right w:val="single" w:sz="6" w:space="0" w:color="000000"/>
            </w:tcBorders>
          </w:tcPr>
          <w:p>
            <w:pP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59"/>
              <w:jc w:val="right"/>
              <w:rPr>
                <w:rFonts w:ascii="宋体" w:hAnsi="宋体" w:cs="宋体" w:eastAsia="宋体" w:hint="default"/>
                <w:sz w:val="18"/>
                <w:szCs w:val="18"/>
              </w:rPr>
            </w:pPr>
            <w:r>
              <w:rPr>
                <w:rFonts w:ascii="宋体"/>
                <w:sz w:val="18"/>
              </w:rPr>
              <w:t>214.73</w:t>
            </w:r>
          </w:p>
        </w:tc>
        <w:tc>
          <w:tcPr>
            <w:tcW w:w="170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4"/>
        <w:rPr>
          <w:rFonts w:ascii="宋体" w:hAnsi="宋体" w:cs="宋体" w:eastAsia="宋体" w:hint="default"/>
          <w:sz w:val="9"/>
          <w:szCs w:val="9"/>
        </w:rPr>
      </w:pPr>
    </w:p>
    <w:p>
      <w:pPr>
        <w:pStyle w:val="BodyText"/>
        <w:spacing w:line="319" w:lineRule="auto" w:before="44"/>
        <w:ind w:left="1494" w:right="6702"/>
        <w:jc w:val="left"/>
      </w:pPr>
      <w:r>
        <w:rPr/>
        <w:t>注</w:t>
      </w:r>
      <w:r>
        <w:rPr>
          <w:rFonts w:ascii="宋体" w:hAnsi="宋体" w:cs="宋体" w:eastAsia="宋体" w:hint="default"/>
        </w:rPr>
        <w:t>1</w:t>
      </w:r>
      <w:r>
        <w:rPr/>
        <w:t>：上表以正数表示增加，以负数表示减少。 注</w:t>
      </w:r>
      <w:r>
        <w:rPr>
          <w:rFonts w:ascii="宋体" w:hAnsi="宋体" w:cs="宋体" w:eastAsia="宋体" w:hint="default"/>
        </w:rPr>
        <w:t>2</w:t>
      </w:r>
      <w:r>
        <w:rPr/>
        <w:t>：上表的股东权益变动不包括留存收益。 </w:t>
      </w:r>
      <w:r>
        <w:rPr>
          <w:rFonts w:ascii="宋体" w:hAnsi="宋体" w:cs="宋体" w:eastAsia="宋体" w:hint="default"/>
        </w:rPr>
        <w:t>B</w:t>
      </w:r>
      <w:r>
        <w:rPr/>
        <w:t>、利率风险</w:t>
      </w:r>
    </w:p>
    <w:p>
      <w:pPr>
        <w:pStyle w:val="BodyText"/>
        <w:spacing w:line="316" w:lineRule="auto" w:before="17"/>
        <w:ind w:left="1493" w:right="0"/>
        <w:jc w:val="left"/>
      </w:pPr>
      <w:r>
        <w:rPr/>
        <w:t>利率风险，是指金融工具的公允价值或未来现金流量因市场利率变动而发生波动的风险。 </w:t>
      </w:r>
      <w:r>
        <w:rPr>
          <w:spacing w:val="-2"/>
        </w:rPr>
        <w:t>本公司的利率风险产生于银行借款等带息债务。浮动利率的金融负债使本公司面临现金流量利率风险，固定利率的金融</w:t>
      </w:r>
    </w:p>
    <w:p>
      <w:pPr>
        <w:pStyle w:val="BodyText"/>
        <w:spacing w:line="316" w:lineRule="auto" w:before="19"/>
        <w:ind w:right="0"/>
        <w:jc w:val="left"/>
      </w:pPr>
      <w:r>
        <w:rPr>
          <w:spacing w:val="-2"/>
        </w:rPr>
        <w:t>负债使本公司面临公允价值利率风险。本公司根据当时的市场环境来决定固定利率及浮动利率合同的相对比例。于</w:t>
      </w:r>
      <w:r>
        <w:rPr>
          <w:rFonts w:ascii="宋体" w:hAnsi="宋体" w:cs="宋体" w:eastAsia="宋体" w:hint="default"/>
          <w:spacing w:val="-2"/>
        </w:rPr>
        <w:t>2015</w:t>
      </w:r>
      <w:r>
        <w:rPr>
          <w:spacing w:val="-2"/>
        </w:rPr>
        <w:t>年</w:t>
      </w:r>
      <w:r>
        <w:rPr>
          <w:rFonts w:ascii="宋体" w:hAnsi="宋体" w:cs="宋体" w:eastAsia="宋体" w:hint="default"/>
          <w:spacing w:val="-2"/>
        </w:rPr>
        <w:t>12</w:t>
      </w:r>
      <w:r>
        <w:rPr>
          <w:rFonts w:ascii="宋体" w:hAnsi="宋体" w:cs="宋体" w:eastAsia="宋体" w:hint="default"/>
          <w:spacing w:val="-57"/>
        </w:rPr>
        <w:t> </w:t>
      </w:r>
      <w:r>
        <w:rPr/>
        <w:t>月</w:t>
      </w:r>
      <w:r>
        <w:rPr>
          <w:rFonts w:ascii="宋体" w:hAnsi="宋体" w:cs="宋体" w:eastAsia="宋体" w:hint="default"/>
        </w:rPr>
        <w:t>31</w:t>
      </w:r>
      <w:r>
        <w:rPr/>
        <w:t>日，本公司的带息债务为以美元、欧元计价的固定利率借款合同，期末和期初均无浮动利率借款合同。</w:t>
      </w:r>
    </w:p>
    <w:p>
      <w:pPr>
        <w:pStyle w:val="BodyText"/>
        <w:spacing w:line="316" w:lineRule="auto" w:before="19"/>
        <w:ind w:left="1494" w:right="0"/>
        <w:jc w:val="left"/>
      </w:pPr>
      <w:r>
        <w:rPr>
          <w:rFonts w:ascii="宋体" w:hAnsi="宋体" w:cs="宋体" w:eastAsia="宋体" w:hint="default"/>
        </w:rPr>
        <w:t>C</w:t>
      </w:r>
      <w:r>
        <w:rPr/>
        <w:t>、其他价格风险 </w:t>
      </w:r>
      <w:r>
        <w:rPr>
          <w:spacing w:val="-2"/>
        </w:rPr>
        <w:t>其他价格风险，是指汇率风险和利率风险以外的市场价格变动而发生波动的风险，无论这些变动是由于与单项金融工具</w:t>
      </w:r>
    </w:p>
    <w:p>
      <w:pPr>
        <w:pStyle w:val="BodyText"/>
        <w:spacing w:line="316" w:lineRule="auto" w:before="19"/>
        <w:ind w:left="1493" w:right="0" w:hanging="360"/>
        <w:jc w:val="left"/>
      </w:pPr>
      <w:r>
        <w:rPr/>
        <w:t>或其发行方有关的因素而引起的，还是由于与市场内交易的所有类似金融工具有关的因素而引起的。 </w:t>
      </w:r>
      <w:r>
        <w:rPr>
          <w:spacing w:val="-2"/>
        </w:rPr>
        <w:t>本公司持有的可供出售上市权益工具投资在上海证券交易所上市，并在资产负债表日以市场报价计量。该可供出售权益</w:t>
      </w:r>
    </w:p>
    <w:p>
      <w:pPr>
        <w:pStyle w:val="BodyText"/>
        <w:spacing w:line="316" w:lineRule="auto" w:before="19"/>
        <w:ind w:left="1493" w:right="0" w:hanging="360"/>
        <w:jc w:val="left"/>
      </w:pPr>
      <w:r>
        <w:rPr/>
        <w:t>工具投资产生了投资价格风险。 </w:t>
      </w:r>
      <w:r>
        <w:rPr>
          <w:spacing w:val="-4"/>
        </w:rPr>
        <w:t>权益工具投资的其他价格风险的敏感性分析见下表，反映了在其他变量不变的假设下，权益工具的公允价值发生变动时，</w:t>
      </w:r>
    </w:p>
    <w:p>
      <w:pPr>
        <w:pStyle w:val="BodyText"/>
        <w:spacing w:line="240" w:lineRule="auto" w:before="19"/>
        <w:ind w:right="0"/>
        <w:jc w:val="left"/>
      </w:pPr>
      <w:r>
        <w:rPr/>
        <w:t>将对净利润和股东权益产生的影响。</w:t>
      </w:r>
    </w:p>
    <w:p>
      <w:pPr>
        <w:pStyle w:val="BodyText"/>
        <w:spacing w:line="240" w:lineRule="auto" w:before="76"/>
        <w:ind w:left="0" w:right="1319"/>
        <w:jc w:val="right"/>
      </w:pPr>
      <w:r>
        <w:rPr/>
        <w:t>单位： 元</w:t>
      </w:r>
    </w:p>
    <w:p>
      <w:pPr>
        <w:spacing w:line="240" w:lineRule="auto" w:before="0"/>
        <w:rPr>
          <w:rFonts w:ascii="宋体" w:hAnsi="宋体" w:cs="宋体" w:eastAsia="宋体" w:hint="default"/>
          <w:sz w:val="5"/>
          <w:szCs w:val="5"/>
        </w:rPr>
      </w:pPr>
    </w:p>
    <w:tbl>
      <w:tblPr>
        <w:tblW w:w="0" w:type="auto"/>
        <w:jc w:val="left"/>
        <w:tblInd w:w="1126" w:type="dxa"/>
        <w:tblLayout w:type="fixed"/>
        <w:tblCellMar>
          <w:top w:w="0" w:type="dxa"/>
          <w:left w:w="0" w:type="dxa"/>
          <w:bottom w:w="0" w:type="dxa"/>
          <w:right w:w="0" w:type="dxa"/>
        </w:tblCellMar>
        <w:tblLook w:val="01E0"/>
      </w:tblPr>
      <w:tblGrid>
        <w:gridCol w:w="3119"/>
        <w:gridCol w:w="1702"/>
        <w:gridCol w:w="1417"/>
        <w:gridCol w:w="1701"/>
        <w:gridCol w:w="1666"/>
      </w:tblGrid>
      <w:tr>
        <w:trPr>
          <w:trHeight w:val="427" w:hRule="exact"/>
        </w:trPr>
        <w:tc>
          <w:tcPr>
            <w:tcW w:w="3119"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1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336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上年</w:t>
            </w:r>
          </w:p>
        </w:tc>
      </w:tr>
      <w:tr>
        <w:trPr>
          <w:trHeight w:val="426" w:hRule="exact"/>
        </w:trPr>
        <w:tc>
          <w:tcPr>
            <w:tcW w:w="3119" w:type="dxa"/>
            <w:vMerge/>
            <w:tcBorders>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92" w:right="0"/>
              <w:jc w:val="left"/>
              <w:rPr>
                <w:rFonts w:ascii="宋体" w:hAnsi="宋体" w:cs="宋体" w:eastAsia="宋体" w:hint="default"/>
                <w:sz w:val="18"/>
                <w:szCs w:val="18"/>
              </w:rPr>
            </w:pPr>
            <w:r>
              <w:rPr>
                <w:rFonts w:ascii="宋体" w:hAnsi="宋体" w:cs="宋体" w:eastAsia="宋体" w:hint="default"/>
                <w:sz w:val="18"/>
                <w:szCs w:val="18"/>
              </w:rPr>
              <w:t>净利润变动</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60" w:right="0"/>
              <w:jc w:val="left"/>
              <w:rPr>
                <w:rFonts w:ascii="宋体" w:hAnsi="宋体" w:cs="宋体" w:eastAsia="宋体" w:hint="default"/>
                <w:sz w:val="18"/>
                <w:szCs w:val="18"/>
              </w:rPr>
            </w:pPr>
            <w:r>
              <w:rPr>
                <w:rFonts w:ascii="宋体" w:hAnsi="宋体" w:cs="宋体" w:eastAsia="宋体" w:hint="default"/>
                <w:sz w:val="18"/>
                <w:szCs w:val="18"/>
              </w:rPr>
              <w:t>股东权益变动</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92" w:right="0"/>
              <w:jc w:val="left"/>
              <w:rPr>
                <w:rFonts w:ascii="宋体" w:hAnsi="宋体" w:cs="宋体" w:eastAsia="宋体" w:hint="default"/>
                <w:sz w:val="18"/>
                <w:szCs w:val="18"/>
              </w:rPr>
            </w:pPr>
            <w:r>
              <w:rPr>
                <w:rFonts w:ascii="宋体" w:hAnsi="宋体" w:cs="宋体" w:eastAsia="宋体" w:hint="default"/>
                <w:sz w:val="18"/>
                <w:szCs w:val="18"/>
              </w:rPr>
              <w:t>净利润变动</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84" w:right="0"/>
              <w:jc w:val="left"/>
              <w:rPr>
                <w:rFonts w:ascii="宋体" w:hAnsi="宋体" w:cs="宋体" w:eastAsia="宋体" w:hint="default"/>
                <w:sz w:val="18"/>
                <w:szCs w:val="18"/>
              </w:rPr>
            </w:pPr>
            <w:r>
              <w:rPr>
                <w:rFonts w:ascii="宋体" w:hAnsi="宋体" w:cs="宋体" w:eastAsia="宋体" w:hint="default"/>
                <w:sz w:val="18"/>
                <w:szCs w:val="18"/>
              </w:rPr>
              <w:t>股东权益变动</w:t>
            </w:r>
          </w:p>
        </w:tc>
      </w:tr>
      <w:tr>
        <w:trPr>
          <w:trHeight w:val="42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可供出售金融资产公允价值增加</w:t>
            </w:r>
            <w:r>
              <w:rPr>
                <w:rFonts w:ascii="宋体" w:hAnsi="宋体" w:cs="宋体" w:eastAsia="宋体" w:hint="default"/>
                <w:sz w:val="18"/>
                <w:szCs w:val="18"/>
              </w:rPr>
              <w:t>5%</w:t>
            </w:r>
          </w:p>
        </w:tc>
        <w:tc>
          <w:tcPr>
            <w:tcW w:w="1702"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宋体" w:hAnsi="宋体" w:cs="宋体" w:eastAsia="宋体" w:hint="default"/>
                <w:sz w:val="18"/>
                <w:szCs w:val="18"/>
              </w:rPr>
            </w:pPr>
            <w:r>
              <w:rPr>
                <w:rFonts w:ascii="宋体"/>
                <w:sz w:val="18"/>
              </w:rPr>
              <w:t>267,872.40</w:t>
            </w:r>
          </w:p>
        </w:tc>
        <w:tc>
          <w:tcPr>
            <w:tcW w:w="1701"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宋体" w:hAnsi="宋体" w:cs="宋体" w:eastAsia="宋体" w:hint="default"/>
                <w:sz w:val="18"/>
                <w:szCs w:val="18"/>
              </w:rPr>
            </w:pPr>
            <w:r>
              <w:rPr>
                <w:rFonts w:ascii="宋体"/>
                <w:sz w:val="18"/>
              </w:rPr>
              <w:t>221,788.80</w:t>
            </w:r>
          </w:p>
        </w:tc>
      </w:tr>
      <w:tr>
        <w:trPr>
          <w:trHeight w:val="429"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可供出售金融资产公允价值减少</w:t>
            </w:r>
            <w:r>
              <w:rPr>
                <w:rFonts w:ascii="Times New Roman" w:hAnsi="Times New Roman" w:cs="Times New Roman" w:eastAsia="Times New Roman" w:hint="default"/>
                <w:sz w:val="18"/>
                <w:szCs w:val="18"/>
              </w:rPr>
              <w:t>5%</w:t>
            </w:r>
          </w:p>
        </w:tc>
        <w:tc>
          <w:tcPr>
            <w:tcW w:w="1702"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宋体" w:hAnsi="宋体" w:cs="宋体" w:eastAsia="宋体" w:hint="default"/>
                <w:sz w:val="18"/>
                <w:szCs w:val="18"/>
              </w:rPr>
            </w:pPr>
            <w:r>
              <w:rPr>
                <w:rFonts w:ascii="宋体"/>
                <w:sz w:val="18"/>
              </w:rPr>
              <w:t>-267,872.40</w:t>
            </w:r>
          </w:p>
        </w:tc>
        <w:tc>
          <w:tcPr>
            <w:tcW w:w="1701"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宋体" w:hAnsi="宋体" w:cs="宋体" w:eastAsia="宋体" w:hint="default"/>
                <w:sz w:val="18"/>
                <w:szCs w:val="18"/>
              </w:rPr>
            </w:pPr>
            <w:r>
              <w:rPr>
                <w:rFonts w:ascii="宋体"/>
                <w:sz w:val="18"/>
              </w:rPr>
              <w:t>-221,788.80</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十一、公允价值的披露" w:id="307"/>
      <w:bookmarkEnd w:id="307"/>
      <w:r>
        <w:rPr>
          <w:b w:val="0"/>
          <w:bCs w:val="0"/>
        </w:rPr>
      </w: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以公允价值计量的资产和负债的期末公允价值" w:id="308"/>
      <w:bookmarkEnd w:id="308"/>
      <w:r>
        <w:rPr>
          <w:b w:val="0"/>
          <w:bCs w:val="0"/>
        </w:rPr>
      </w:r>
      <w:r>
        <w:rPr>
          <w:rFonts w:ascii="宋体" w:hAnsi="宋体" w:cs="宋体" w:eastAsia="宋体" w:hint="default"/>
        </w:rPr>
        <w:t>1</w:t>
      </w:r>
      <w:r>
        <w:rPr/>
        <w:t>、以公允价值计量的资产和负债的期末公允价值</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268"/>
        <w:gridCol w:w="1985"/>
        <w:gridCol w:w="1985"/>
        <w:gridCol w:w="1985"/>
        <w:gridCol w:w="1348"/>
      </w:tblGrid>
      <w:tr>
        <w:trPr>
          <w:trHeight w:val="402" w:hRule="exact"/>
        </w:trPr>
        <w:tc>
          <w:tcPr>
            <w:tcW w:w="226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30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402" w:hRule="exact"/>
        </w:trPr>
        <w:tc>
          <w:tcPr>
            <w:tcW w:w="2268" w:type="dxa"/>
            <w:vMerge/>
            <w:tcBorders>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7"/>
              <w:jc w:val="right"/>
              <w:rPr>
                <w:rFonts w:ascii="宋体" w:hAnsi="宋体" w:cs="宋体" w:eastAsia="宋体" w:hint="default"/>
                <w:sz w:val="18"/>
                <w:szCs w:val="18"/>
              </w:rPr>
            </w:pPr>
            <w:r>
              <w:rPr>
                <w:rFonts w:ascii="宋体" w:hAnsi="宋体" w:cs="宋体" w:eastAsia="宋体" w:hint="default"/>
                <w:sz w:val="18"/>
                <w:szCs w:val="18"/>
              </w:rPr>
              <w:t>第一层次公允价值计量</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6"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6"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一、持续的公允价值计量</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权益工具投资</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6,302,880.00</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6,302,880.00</w:t>
            </w: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持续以公允价值计量的资产 总额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6,302,880.00</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6,302,880.00</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二、非持续的公允价值计量</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持续和非持续第一层次公允价值计量项目市价的确定依据" w:id="309"/>
      <w:bookmarkEnd w:id="309"/>
      <w:r>
        <w:rPr>
          <w:b w:val="0"/>
          <w:bCs w:val="0"/>
        </w:rPr>
      </w:r>
      <w:r>
        <w:rPr>
          <w:rFonts w:ascii="宋体" w:hAnsi="宋体" w:cs="宋体" w:eastAsia="宋体" w:hint="default"/>
        </w:rPr>
        <w:t>2</w:t>
      </w:r>
      <w:r>
        <w:rPr/>
        <w:t>、持续和非持续第一层次公允价值计量项目市价的确定依据</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1494" w:right="0"/>
        <w:jc w:val="left"/>
      </w:pPr>
      <w:r>
        <w:rPr/>
        <w:t>本公司持有的可供出售金融资产的第一层次公允价值计量的市价依据为股票收盘价。</w:t>
      </w:r>
    </w:p>
    <w:p>
      <w:pPr>
        <w:spacing w:after="0" w:line="240" w:lineRule="auto"/>
        <w:jc w:val="left"/>
        <w:sectPr>
          <w:pgSz w:w="11910" w:h="16840"/>
          <w:pgMar w:header="0" w:footer="1187" w:top="1100" w:bottom="1380" w:left="0" w:right="0"/>
        </w:sectPr>
      </w:pPr>
    </w:p>
    <w:p>
      <w:pPr>
        <w:spacing w:line="240" w:lineRule="auto" w:before="9"/>
        <w:rPr>
          <w:rFonts w:ascii="宋体" w:hAnsi="宋体" w:cs="宋体" w:eastAsia="宋体" w:hint="default"/>
          <w:sz w:val="19"/>
          <w:szCs w:val="19"/>
        </w:rPr>
      </w:pPr>
    </w:p>
    <w:p>
      <w:pPr>
        <w:pStyle w:val="Heading2"/>
        <w:spacing w:line="240" w:lineRule="auto" w:before="26"/>
        <w:ind w:left="1134" w:right="0"/>
        <w:jc w:val="left"/>
        <w:rPr>
          <w:b w:val="0"/>
          <w:bCs w:val="0"/>
        </w:rPr>
      </w:pPr>
      <w:bookmarkStart w:name="十二、关联方及关联交易" w:id="310"/>
      <w:bookmarkEnd w:id="310"/>
      <w:r>
        <w:rPr>
          <w:b w:val="0"/>
          <w:bCs w:val="0"/>
        </w:rPr>
      </w:r>
      <w:r>
        <w:rPr/>
        <w:t>十二、关联方及关联交易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本企业的母公司情况" w:id="311"/>
      <w:bookmarkEnd w:id="311"/>
      <w:r>
        <w:rPr>
          <w:b w:val="0"/>
          <w:bCs w:val="0"/>
        </w:rPr>
      </w:r>
      <w:r>
        <w:rPr>
          <w:rFonts w:ascii="宋体" w:hAnsi="宋体" w:cs="宋体" w:eastAsia="宋体" w:hint="default"/>
        </w:rPr>
        <w:t>1</w:t>
      </w:r>
      <w:r>
        <w:rPr/>
        <w:t>、本企业的母公司情况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129" w:type="dxa"/>
        <w:tblLayout w:type="fixed"/>
        <w:tblCellMar>
          <w:top w:w="0" w:type="dxa"/>
          <w:left w:w="0" w:type="dxa"/>
          <w:bottom w:w="0" w:type="dxa"/>
          <w:right w:w="0" w:type="dxa"/>
        </w:tblCellMar>
        <w:tblLook w:val="01E0"/>
      </w:tblPr>
      <w:tblGrid>
        <w:gridCol w:w="1595"/>
        <w:gridCol w:w="1241"/>
        <w:gridCol w:w="1948"/>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608"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120"/>
              <w:jc w:val="left"/>
              <w:rPr>
                <w:rFonts w:ascii="宋体" w:hAnsi="宋体" w:cs="宋体" w:eastAsia="宋体" w:hint="default"/>
                <w:sz w:val="18"/>
                <w:szCs w:val="18"/>
              </w:rPr>
            </w:pPr>
            <w:r>
              <w:rPr>
                <w:rFonts w:ascii="宋体" w:hAnsi="宋体" w:cs="宋体" w:eastAsia="宋体" w:hint="default"/>
                <w:sz w:val="18"/>
                <w:szCs w:val="18"/>
              </w:rPr>
              <w:t>武汉华工创业投资 有限责任公司</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武汉</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3"/>
              <w:jc w:val="both"/>
              <w:rPr>
                <w:rFonts w:ascii="宋体" w:hAnsi="宋体" w:cs="宋体" w:eastAsia="宋体" w:hint="default"/>
                <w:sz w:val="18"/>
                <w:szCs w:val="18"/>
              </w:rPr>
            </w:pPr>
            <w:r>
              <w:rPr>
                <w:rFonts w:ascii="宋体" w:hAnsi="宋体" w:cs="宋体" w:eastAsia="宋体" w:hint="default"/>
                <w:sz w:val="18"/>
                <w:szCs w:val="18"/>
              </w:rPr>
              <w:t>对高新技术产品和企业 的投资；投资咨询服务 企业管理咨询服务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26"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13,660.00</w:t>
            </w:r>
            <w:r>
              <w:rPr>
                <w:rFonts w:ascii="宋体" w:hAnsi="宋体" w:cs="宋体" w:eastAsia="宋体" w:hint="default"/>
                <w:spacing w:val="-6"/>
                <w:sz w:val="18"/>
                <w:szCs w:val="18"/>
              </w:rPr>
              <w:t> </w:t>
            </w:r>
            <w:r>
              <w:rPr>
                <w:rFonts w:ascii="宋体" w:hAnsi="宋体" w:cs="宋体" w:eastAsia="宋体" w:hint="default"/>
                <w:sz w:val="18"/>
                <w:szCs w:val="18"/>
              </w:rPr>
              <w:t>万元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21" w:right="0"/>
              <w:jc w:val="left"/>
              <w:rPr>
                <w:rFonts w:ascii="宋体" w:hAnsi="宋体" w:cs="宋体" w:eastAsia="宋体" w:hint="default"/>
                <w:sz w:val="18"/>
                <w:szCs w:val="18"/>
              </w:rPr>
            </w:pPr>
            <w:r>
              <w:rPr>
                <w:rFonts w:ascii="宋体"/>
                <w:sz w:val="18"/>
              </w:rPr>
              <w:t>26.14%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21" w:right="0"/>
              <w:jc w:val="left"/>
              <w:rPr>
                <w:rFonts w:ascii="宋体" w:hAnsi="宋体" w:cs="宋体" w:eastAsia="宋体" w:hint="default"/>
                <w:sz w:val="18"/>
                <w:szCs w:val="18"/>
              </w:rPr>
            </w:pPr>
            <w:r>
              <w:rPr>
                <w:rFonts w:ascii="宋体"/>
                <w:sz w:val="18"/>
              </w:rPr>
              <w:t>26.14%</w:t>
            </w:r>
          </w:p>
        </w:tc>
      </w:tr>
    </w:tbl>
    <w:p>
      <w:pPr>
        <w:spacing w:line="240" w:lineRule="auto" w:before="4"/>
        <w:rPr>
          <w:rFonts w:ascii="宋体" w:hAnsi="宋体" w:cs="宋体" w:eastAsia="宋体" w:hint="default"/>
          <w:b/>
          <w:bCs/>
          <w:sz w:val="9"/>
          <w:szCs w:val="9"/>
        </w:rPr>
      </w:pPr>
    </w:p>
    <w:p>
      <w:pPr>
        <w:pStyle w:val="BodyText"/>
        <w:spacing w:line="316" w:lineRule="auto" w:before="44"/>
        <w:ind w:right="1131" w:firstLine="360"/>
        <w:jc w:val="both"/>
      </w:pPr>
      <w:r>
        <w:rPr/>
        <w:pict>
          <v:group style="position:absolute;margin-left:296.140015pt;margin-top:-42.39827pt;width:78.1pt;height:20.8pt;mso-position-horizontal-relative:page;mso-position-vertical-relative:paragraph;z-index:-778384" coordorigin="5923,-848" coordsize="1562,416">
            <v:group style="position:absolute;left:5934;top:-837;width:2;height:393" coordorigin="5934,-837" coordsize="2,393">
              <v:shape style="position:absolute;left:5934;top:-837;width:2;height:393" coordorigin="5934,-837" coordsize="0,393" path="m5934,-837l5934,-444e" filled="false" stroked="true" strokeweight="1.140pt" strokecolor="#ffffff">
                <v:path arrowok="t"/>
              </v:shape>
            </v:group>
            <v:group style="position:absolute;left:5946;top:-837;width:1539;height:393" coordorigin="5946,-837" coordsize="1539,393">
              <v:shape style="position:absolute;left:5946;top:-837;width:1539;height:393" coordorigin="5946,-837" coordsize="1539,393" path="m5946,-444l7484,-444,7484,-837,5946,-837,5946,-444xe" filled="true" fillcolor="#ffffff" stroked="false">
                <v:path arrowok="t"/>
                <v:fill type="solid"/>
              </v:shape>
            </v:group>
            <w10:wrap type="none"/>
          </v:group>
        </w:pict>
      </w:r>
      <w:r>
        <w:rPr>
          <w:spacing w:val="-2"/>
        </w:rPr>
        <w:t>武汉华中科技大产业集团有限公司系武汉华工创业投资有限责任公司的母公司，同时武汉华中科技大产业集团有限公司</w:t>
      </w:r>
      <w:r>
        <w:rPr/>
        <w:t> 持有本公司</w:t>
      </w:r>
      <w:r>
        <w:rPr>
          <w:rFonts w:ascii="宋体" w:hAnsi="宋体" w:cs="宋体" w:eastAsia="宋体" w:hint="default"/>
        </w:rPr>
        <w:t>2,443.16</w:t>
      </w:r>
      <w:r>
        <w:rPr/>
        <w:t>万股，持股比例</w:t>
      </w:r>
      <w:r>
        <w:rPr>
          <w:rFonts w:ascii="宋体" w:hAnsi="宋体" w:cs="宋体" w:eastAsia="宋体" w:hint="default"/>
        </w:rPr>
        <w:t>5.68%</w:t>
      </w:r>
      <w:r>
        <w:rPr/>
        <w:t>。武汉华中科技大产业集团有限公司系华中科技大学全资子公司，因此华中科技 大学为本公司实际控制人。</w:t>
      </w:r>
    </w:p>
    <w:p>
      <w:pPr>
        <w:pStyle w:val="BodyText"/>
        <w:spacing w:line="240" w:lineRule="auto" w:before="59"/>
        <w:ind w:left="1493" w:right="0"/>
        <w:jc w:val="left"/>
      </w:pPr>
      <w:r>
        <w:rPr/>
        <w:t>本企业最终控制方是华中科技大学。</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本企业的子公司情况" w:id="312"/>
      <w:bookmarkEnd w:id="312"/>
      <w:r>
        <w:rPr>
          <w:b w:val="0"/>
          <w:bCs w:val="0"/>
        </w:rPr>
      </w:r>
      <w:r>
        <w:rPr>
          <w:rFonts w:ascii="宋体" w:hAnsi="宋体" w:cs="宋体" w:eastAsia="宋体" w:hint="default"/>
        </w:rPr>
        <w:t>2</w:t>
      </w:r>
      <w:r>
        <w:rPr/>
        <w:t>、本企业的子公司情况</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1493" w:right="0"/>
        <w:jc w:val="left"/>
      </w:pPr>
      <w:r>
        <w:rPr/>
        <w:t>本企业子公司的情况详见附注九、</w:t>
      </w:r>
      <w:r>
        <w:rPr>
          <w:rFonts w:ascii="宋体" w:hAnsi="宋体" w:cs="宋体" w:eastAsia="宋体" w:hint="default"/>
        </w:rPr>
        <w:t>1</w:t>
      </w:r>
      <w:r>
        <w:rPr/>
        <w:t>。</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本企业合营和联营企业情况" w:id="313"/>
      <w:bookmarkEnd w:id="313"/>
      <w:r>
        <w:rPr>
          <w:b w:val="0"/>
          <w:bCs w:val="0"/>
        </w:rPr>
      </w:r>
      <w:r>
        <w:rPr>
          <w:rFonts w:ascii="宋体" w:hAnsi="宋体" w:cs="宋体" w:eastAsia="宋体" w:hint="default"/>
        </w:rPr>
        <w:t>3</w:t>
      </w:r>
      <w:r>
        <w:rPr/>
        <w:t>、本企业合营和联营企业情况</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1493" w:right="0"/>
        <w:jc w:val="left"/>
      </w:pPr>
      <w:r>
        <w:rPr/>
        <w:t>本企业重要的合营或联营企业详见附注九、</w:t>
      </w:r>
      <w:r>
        <w:rPr>
          <w:rFonts w:ascii="宋体" w:hAnsi="宋体" w:cs="宋体" w:eastAsia="宋体" w:hint="default"/>
        </w:rPr>
        <w:t>2</w:t>
      </w:r>
      <w:r>
        <w:rPr/>
        <w:t>。</w:t>
      </w:r>
    </w:p>
    <w:p>
      <w:pPr>
        <w:spacing w:line="240" w:lineRule="auto" w:before="10"/>
        <w:rPr>
          <w:rFonts w:ascii="宋体" w:hAnsi="宋体" w:cs="宋体" w:eastAsia="宋体" w:hint="default"/>
          <w:sz w:val="26"/>
          <w:szCs w:val="26"/>
        </w:rPr>
      </w:pPr>
    </w:p>
    <w:p>
      <w:pPr>
        <w:pStyle w:val="Heading3"/>
        <w:spacing w:line="240" w:lineRule="auto"/>
        <w:ind w:left="1134" w:right="0"/>
        <w:jc w:val="left"/>
        <w:rPr>
          <w:b w:val="0"/>
          <w:bCs w:val="0"/>
        </w:rPr>
      </w:pPr>
      <w:bookmarkStart w:name="4、其他关联方情况" w:id="314"/>
      <w:bookmarkEnd w:id="314"/>
      <w:r>
        <w:rPr>
          <w:b w:val="0"/>
          <w:bCs w:val="0"/>
        </w:rPr>
      </w:r>
      <w:r>
        <w:rPr>
          <w:rFonts w:ascii="宋体" w:hAnsi="宋体" w:cs="宋体" w:eastAsia="宋体" w:hint="default"/>
        </w:rPr>
        <w:t>4</w:t>
      </w:r>
      <w:r>
        <w:rPr/>
        <w:t>、其他关联方情况</w:t>
      </w:r>
      <w:r>
        <w:rPr>
          <w:b w:val="0"/>
          <w:bCs w:val="0"/>
        </w:rPr>
      </w:r>
    </w:p>
    <w:p>
      <w:pPr>
        <w:spacing w:line="240" w:lineRule="auto" w:before="13"/>
        <w:rPr>
          <w:rFonts w:ascii="宋体" w:hAnsi="宋体" w:cs="宋体" w:eastAsia="宋体" w:hint="default"/>
          <w:b/>
          <w:bCs/>
          <w:sz w:val="26"/>
          <w:szCs w:val="26"/>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武汉华工鑫宏投资有限公司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同受一方控制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武汉城市一卡通有限公司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本公司关键管理人员对其有重大影响</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武汉华工大学科技园发展有限公司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同受一方控制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武汉华工激光工程有限责任公司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同受一方控制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武汉华工建设发展有限公司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同受一方控制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武汉华科物业管理有限公司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同受一方控制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华中科技大学后勤集团修建安装工程总公司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同受一方控制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武汉神阳饮品有限公司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同受一方控制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华中科技大学附属中学</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同受一方控制</w:t>
            </w:r>
          </w:p>
        </w:tc>
      </w:tr>
    </w:tbl>
    <w:p>
      <w:pPr>
        <w:spacing w:line="240" w:lineRule="auto" w:before="4"/>
        <w:rPr>
          <w:rFonts w:ascii="宋体" w:hAnsi="宋体" w:cs="宋体" w:eastAsia="宋体" w:hint="default"/>
          <w:b/>
          <w:bCs/>
          <w:sz w:val="9"/>
          <w:szCs w:val="9"/>
        </w:rPr>
      </w:pPr>
    </w:p>
    <w:p>
      <w:pPr>
        <w:pStyle w:val="BodyText"/>
        <w:spacing w:line="316" w:lineRule="auto" w:before="44"/>
        <w:ind w:right="0" w:firstLine="360"/>
        <w:jc w:val="left"/>
      </w:pPr>
      <w:r>
        <w:rPr>
          <w:spacing w:val="-2"/>
        </w:rPr>
        <w:t>公司总经理刘春自</w:t>
      </w:r>
      <w:r>
        <w:rPr>
          <w:rFonts w:ascii="宋体" w:hAnsi="宋体" w:cs="宋体" w:eastAsia="宋体" w:hint="default"/>
          <w:spacing w:val="-2"/>
        </w:rPr>
        <w:t>2011</w:t>
      </w:r>
      <w:r>
        <w:rPr>
          <w:spacing w:val="-2"/>
        </w:rPr>
        <w:t>年</w:t>
      </w:r>
      <w:r>
        <w:rPr>
          <w:rFonts w:ascii="宋体" w:hAnsi="宋体" w:cs="宋体" w:eastAsia="宋体" w:hint="default"/>
          <w:spacing w:val="-2"/>
        </w:rPr>
        <w:t>6</w:t>
      </w:r>
      <w:r>
        <w:rPr>
          <w:spacing w:val="-2"/>
        </w:rPr>
        <w:t>月至</w:t>
      </w:r>
      <w:r>
        <w:rPr>
          <w:rFonts w:ascii="宋体" w:hAnsi="宋体" w:cs="宋体" w:eastAsia="宋体" w:hint="default"/>
          <w:spacing w:val="-2"/>
        </w:rPr>
        <w:t>2014</w:t>
      </w:r>
      <w:r>
        <w:rPr>
          <w:spacing w:val="-2"/>
        </w:rPr>
        <w:t>年</w:t>
      </w:r>
      <w:r>
        <w:rPr>
          <w:rFonts w:ascii="宋体" w:hAnsi="宋体" w:cs="宋体" w:eastAsia="宋体" w:hint="default"/>
          <w:spacing w:val="-2"/>
        </w:rPr>
        <w:t>9</w:t>
      </w:r>
      <w:r>
        <w:rPr>
          <w:spacing w:val="-2"/>
        </w:rPr>
        <w:t>月担任武汉城市一卡通有限公司董事，根据《深圳证券交易所创业板股票上市规</w:t>
      </w:r>
      <w:r>
        <w:rPr/>
        <w:t> 则》相关规定，武汉城市一卡通有限公司自</w:t>
      </w:r>
      <w:r>
        <w:rPr>
          <w:rFonts w:ascii="宋体" w:hAnsi="宋体" w:cs="宋体" w:eastAsia="宋体" w:hint="default"/>
        </w:rPr>
        <w:t>2011</w:t>
      </w:r>
      <w:r>
        <w:rPr/>
        <w:t>年</w:t>
      </w:r>
      <w:r>
        <w:rPr>
          <w:rFonts w:ascii="宋体" w:hAnsi="宋体" w:cs="宋体" w:eastAsia="宋体" w:hint="default"/>
        </w:rPr>
        <w:t>6</w:t>
      </w:r>
      <w:r>
        <w:rPr/>
        <w:t>月至</w:t>
      </w:r>
      <w:r>
        <w:rPr>
          <w:rFonts w:ascii="宋体" w:hAnsi="宋体" w:cs="宋体" w:eastAsia="宋体" w:hint="default"/>
        </w:rPr>
        <w:t>2015</w:t>
      </w:r>
      <w:r>
        <w:rPr/>
        <w:t>年</w:t>
      </w:r>
      <w:r>
        <w:rPr>
          <w:rFonts w:ascii="宋体" w:hAnsi="宋体" w:cs="宋体" w:eastAsia="宋体" w:hint="default"/>
        </w:rPr>
        <w:t>9</w:t>
      </w:r>
      <w:r>
        <w:rPr/>
        <w:t>月为公司关联方。</w:t>
      </w:r>
    </w:p>
    <w:p>
      <w:pPr>
        <w:spacing w:after="0" w:line="316" w:lineRule="auto"/>
        <w:jc w:val="left"/>
        <w:sectPr>
          <w:pgSz w:w="11910" w:h="16840"/>
          <w:pgMar w:header="0" w:footer="1187" w:top="1100" w:bottom="1380" w:left="0" w:right="0"/>
        </w:sectPr>
      </w:pPr>
    </w:p>
    <w:p>
      <w:pPr>
        <w:spacing w:line="240" w:lineRule="auto" w:before="10"/>
        <w:rPr>
          <w:rFonts w:ascii="宋体" w:hAnsi="宋体" w:cs="宋体" w:eastAsia="宋体" w:hint="default"/>
          <w:sz w:val="20"/>
          <w:szCs w:val="20"/>
        </w:rPr>
      </w:pPr>
    </w:p>
    <w:p>
      <w:pPr>
        <w:pStyle w:val="Heading3"/>
        <w:spacing w:line="240" w:lineRule="auto" w:before="35"/>
        <w:ind w:left="1134" w:right="0"/>
        <w:jc w:val="left"/>
        <w:rPr>
          <w:b w:val="0"/>
          <w:bCs w:val="0"/>
        </w:rPr>
      </w:pPr>
      <w:bookmarkStart w:name="5、关联交易情况" w:id="315"/>
      <w:bookmarkEnd w:id="315"/>
      <w:r>
        <w:rPr>
          <w:b w:val="0"/>
          <w:bCs w:val="0"/>
        </w:rPr>
      </w:r>
      <w:r>
        <w:rPr>
          <w:rFonts w:ascii="宋体" w:hAnsi="宋体" w:cs="宋体" w:eastAsia="宋体" w:hint="default"/>
        </w:rPr>
        <w:t>5</w:t>
      </w:r>
      <w:r>
        <w:rPr/>
        <w:t>、关联交易情况</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left="1134" w:right="0"/>
        <w:jc w:val="left"/>
        <w:rPr>
          <w:b w:val="0"/>
          <w:bCs w:val="0"/>
        </w:rPr>
      </w:pPr>
      <w:bookmarkStart w:name="（1）购销商品、提供和接受劳务的关联交易" w:id="316"/>
      <w:bookmarkEnd w:id="316"/>
      <w:r>
        <w:rPr>
          <w:b w:val="0"/>
          <w:bCs w:val="0"/>
        </w:rPr>
      </w:r>
      <w:r>
        <w:rPr/>
        <w:t>（</w:t>
      </w:r>
      <w:r>
        <w:rPr>
          <w:rFonts w:ascii="宋体" w:hAnsi="宋体" w:cs="宋体" w:eastAsia="宋体" w:hint="default"/>
        </w:rPr>
        <w:t>1</w:t>
      </w:r>
      <w:r>
        <w:rPr/>
        <w:t>）购销商品、提供和接受劳务的关联交易</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1134" w:right="0"/>
        <w:jc w:val="left"/>
      </w:pPr>
      <w:r>
        <w:rPr/>
        <w:t>采购商品</w:t>
      </w:r>
      <w:r>
        <w:rPr>
          <w:rFonts w:ascii="宋体" w:hAnsi="宋体" w:cs="宋体" w:eastAsia="宋体" w:hint="default"/>
        </w:rPr>
        <w:t>/</w:t>
      </w:r>
      <w:r>
        <w:rPr/>
        <w:t>接受劳务情况表</w:t>
      </w:r>
    </w:p>
    <w:p>
      <w:pPr>
        <w:pStyle w:val="BodyText"/>
        <w:spacing w:line="240" w:lineRule="auto" w:before="116"/>
        <w:ind w:left="0" w:right="131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10"/>
        <w:gridCol w:w="1959"/>
        <w:gridCol w:w="1190"/>
        <w:gridCol w:w="1357"/>
        <w:gridCol w:w="1498"/>
        <w:gridCol w:w="1156"/>
      </w:tblGrid>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武汉城市一卡通有限公司</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采购、充值城市一卡通</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19,109.74</w:t>
            </w:r>
          </w:p>
        </w:tc>
        <w:tc>
          <w:tcPr>
            <w:tcW w:w="1357"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287,150.28</w:t>
            </w: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武汉城市一卡通有限公司</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3"/>
              <w:jc w:val="left"/>
              <w:rPr>
                <w:rFonts w:ascii="宋体" w:hAnsi="宋体" w:cs="宋体" w:eastAsia="宋体" w:hint="default"/>
                <w:sz w:val="18"/>
                <w:szCs w:val="18"/>
              </w:rPr>
            </w:pPr>
            <w:r>
              <w:rPr>
                <w:rFonts w:ascii="宋体" w:hAnsi="宋体" w:cs="宋体" w:eastAsia="宋体" w:hint="default"/>
                <w:sz w:val="18"/>
                <w:szCs w:val="18"/>
              </w:rPr>
              <w:t>手机武汉通白卡电子钱 包初始化服务</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44,000.00</w:t>
            </w:r>
          </w:p>
        </w:tc>
        <w:tc>
          <w:tcPr>
            <w:tcW w:w="1357"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351,000.00</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武汉华科物业管理有限公司</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1,630,275.09</w:t>
            </w:r>
          </w:p>
        </w:tc>
        <w:tc>
          <w:tcPr>
            <w:tcW w:w="1357"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1,056,255.64</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武汉华科物业管理有限公司</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停车场扩建工程</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131,100.00</w:t>
            </w:r>
          </w:p>
        </w:tc>
        <w:tc>
          <w:tcPr>
            <w:tcW w:w="1357"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武汉神阳饮品有限公司</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采购饮用水</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18,538.00</w:t>
            </w:r>
          </w:p>
        </w:tc>
        <w:tc>
          <w:tcPr>
            <w:tcW w:w="1357"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33,701.00</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华中科技大学</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1190"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481,900.00</w:t>
            </w: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武汉华工大学科技园发展有限 公司</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23,260.60</w:t>
            </w:r>
          </w:p>
        </w:tc>
        <w:tc>
          <w:tcPr>
            <w:tcW w:w="1357"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武汉华工激光工程有限公司</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激光打标机及附件</w:t>
            </w:r>
          </w:p>
        </w:tc>
        <w:tc>
          <w:tcPr>
            <w:tcW w:w="1190"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331,196.58</w:t>
            </w: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华中科技大学后勤集团修建安 装工程总公司</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监控工程光纤敷设费</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156,082.70</w:t>
            </w:r>
          </w:p>
        </w:tc>
        <w:tc>
          <w:tcPr>
            <w:tcW w:w="1357"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武汉华工鑫宏投资有限公司</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1190"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172,980.00</w:t>
            </w:r>
          </w:p>
        </w:tc>
      </w:tr>
    </w:tbl>
    <w:p>
      <w:pPr>
        <w:spacing w:line="240" w:lineRule="auto" w:before="9"/>
        <w:rPr>
          <w:rFonts w:ascii="宋体" w:hAnsi="宋体" w:cs="宋体" w:eastAsia="宋体" w:hint="default"/>
          <w:sz w:val="6"/>
          <w:szCs w:val="6"/>
        </w:rPr>
      </w:pPr>
    </w:p>
    <w:p>
      <w:pPr>
        <w:pStyle w:val="BodyText"/>
        <w:spacing w:line="240" w:lineRule="auto" w:before="44"/>
        <w:ind w:left="1134" w:right="0"/>
        <w:jc w:val="left"/>
      </w:pPr>
      <w:r>
        <w:rPr/>
        <w:t>出售商品</w:t>
      </w:r>
      <w:r>
        <w:rPr>
          <w:rFonts w:ascii="宋体" w:hAnsi="宋体" w:cs="宋体" w:eastAsia="宋体" w:hint="default"/>
        </w:rPr>
        <w:t>/</w:t>
      </w:r>
      <w:r>
        <w:rPr/>
        <w:t>提供劳务情况表</w:t>
      </w:r>
    </w:p>
    <w:p>
      <w:pPr>
        <w:pStyle w:val="BodyText"/>
        <w:spacing w:line="240" w:lineRule="auto" w:before="116"/>
        <w:ind w:left="0" w:right="131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694"/>
        <w:gridCol w:w="1962"/>
        <w:gridCol w:w="2260"/>
        <w:gridCol w:w="2652"/>
      </w:tblGrid>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武汉城市一卡通有限公司</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城市一卡通</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2,811,964.44</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5,277,690.20</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华中科技大学</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930,118.45</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64,615.38</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华中科技大学</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智能交通卡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219,891.88</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武汉中天慧购电商服务有限公司</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1,132,075.47</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关联租赁情况" w:id="317"/>
      <w:bookmarkEnd w:id="317"/>
      <w:r>
        <w:rPr>
          <w:b w:val="0"/>
          <w:bCs w:val="0"/>
        </w:rPr>
      </w:r>
      <w:r>
        <w:rPr/>
        <w:t>（</w:t>
      </w:r>
      <w:r>
        <w:rPr>
          <w:rFonts w:ascii="宋体" w:hAnsi="宋体" w:cs="宋体" w:eastAsia="宋体" w:hint="default"/>
        </w:rPr>
        <w:t>2</w:t>
      </w:r>
      <w:r>
        <w:rPr/>
        <w:t>）关联租赁情况</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1134" w:right="0"/>
        <w:jc w:val="left"/>
      </w:pPr>
      <w:r>
        <w:rPr/>
        <w:t>本公司作为承租方：</w:t>
      </w:r>
    </w:p>
    <w:p>
      <w:pPr>
        <w:pStyle w:val="BodyText"/>
        <w:spacing w:line="240" w:lineRule="auto" w:before="117"/>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武汉华工鑫宏投资有限公司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厂房</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2,258,796.00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4,373,592.00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武汉华工大学科技园发展有 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办公室</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1,755,797.00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937,780.00</w:t>
            </w:r>
          </w:p>
        </w:tc>
      </w:tr>
    </w:tbl>
    <w:p>
      <w:pPr>
        <w:spacing w:line="240" w:lineRule="auto" w:before="4"/>
        <w:rPr>
          <w:rFonts w:ascii="宋体" w:hAnsi="宋体" w:cs="宋体" w:eastAsia="宋体" w:hint="default"/>
          <w:sz w:val="9"/>
          <w:szCs w:val="9"/>
        </w:rPr>
      </w:pPr>
    </w:p>
    <w:p>
      <w:pPr>
        <w:pStyle w:val="BodyText"/>
        <w:spacing w:line="240" w:lineRule="auto" w:before="44"/>
        <w:ind w:left="1494" w:right="0"/>
        <w:jc w:val="left"/>
      </w:pPr>
      <w:r>
        <w:rPr/>
        <w:t>公司与武汉华工大学科技园发展有限公司签</w:t>
      </w:r>
      <w:r>
        <w:rPr>
          <w:spacing w:val="-88"/>
        </w:rPr>
        <w:t>订</w:t>
      </w:r>
      <w:r>
        <w:rPr/>
        <w:t>《华工科技园创新基地研发楼租赁合同</w:t>
      </w:r>
      <w:r>
        <w:rPr>
          <w:spacing w:val="-88"/>
        </w:rPr>
        <w:t>》，</w:t>
      </w:r>
      <w:r>
        <w:rPr/>
        <w:t>租赁建筑面积</w:t>
      </w:r>
      <w:r>
        <w:rPr>
          <w:spacing w:val="1"/>
        </w:rPr>
        <w:t>为</w:t>
      </w:r>
      <w:r>
        <w:rPr>
          <w:rFonts w:ascii="宋体" w:hAnsi="宋体" w:cs="宋体" w:eastAsia="宋体" w:hint="default"/>
        </w:rPr>
        <w:t>792.97</w:t>
      </w:r>
      <w:r>
        <w:rPr/>
        <w:t>平方米，</w:t>
      </w:r>
    </w:p>
    <w:p>
      <w:pPr>
        <w:spacing w:after="0" w:line="240" w:lineRule="auto"/>
        <w:jc w:val="left"/>
        <w:sectPr>
          <w:pgSz w:w="11910" w:h="16840"/>
          <w:pgMar w:header="0" w:footer="1187" w:top="1100" w:bottom="1380" w:left="0" w:right="0"/>
        </w:sectPr>
      </w:pPr>
    </w:p>
    <w:p>
      <w:pPr>
        <w:spacing w:line="240" w:lineRule="auto" w:before="12"/>
        <w:rPr>
          <w:rFonts w:ascii="宋体" w:hAnsi="宋体" w:cs="宋体" w:eastAsia="宋体" w:hint="default"/>
          <w:sz w:val="21"/>
          <w:szCs w:val="21"/>
        </w:rPr>
      </w:pPr>
    </w:p>
    <w:p>
      <w:pPr>
        <w:pStyle w:val="BodyText"/>
        <w:spacing w:line="316" w:lineRule="auto" w:before="44"/>
        <w:ind w:left="1493" w:right="0" w:hanging="360"/>
        <w:jc w:val="left"/>
        <w:rPr>
          <w:rFonts w:ascii="宋体" w:hAnsi="宋体" w:cs="宋体" w:eastAsia="宋体" w:hint="default"/>
        </w:rPr>
      </w:pPr>
      <w:r>
        <w:rPr/>
        <w:t>租赁期为</w:t>
      </w:r>
      <w:r>
        <w:rPr>
          <w:rFonts w:ascii="宋体" w:hAnsi="宋体" w:cs="宋体" w:eastAsia="宋体" w:hint="default"/>
        </w:rPr>
        <w:t>2015</w:t>
      </w:r>
      <w:r>
        <w:rPr/>
        <w:t>年</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2016</w:t>
      </w:r>
      <w:r>
        <w:rPr/>
        <w:t>年</w:t>
      </w:r>
      <w:r>
        <w:rPr>
          <w:rFonts w:ascii="宋体" w:hAnsi="宋体" w:cs="宋体" w:eastAsia="宋体" w:hint="default"/>
        </w:rPr>
        <w:t>12</w:t>
      </w:r>
      <w:r>
        <w:rPr/>
        <w:t>月</w:t>
      </w:r>
      <w:r>
        <w:rPr>
          <w:rFonts w:ascii="宋体" w:hAnsi="宋体" w:cs="宋体" w:eastAsia="宋体" w:hint="default"/>
        </w:rPr>
        <w:t>31</w:t>
      </w:r>
      <w:r>
        <w:rPr/>
        <w:t>日，租金每月</w:t>
      </w:r>
      <w:r>
        <w:rPr>
          <w:rFonts w:ascii="宋体" w:hAnsi="宋体" w:cs="宋体" w:eastAsia="宋体" w:hint="default"/>
        </w:rPr>
        <w:t>24</w:t>
      </w:r>
      <w:r>
        <w:rPr/>
        <w:t>元</w:t>
      </w:r>
      <w:r>
        <w:rPr>
          <w:rFonts w:ascii="宋体" w:hAnsi="宋体" w:cs="宋体" w:eastAsia="宋体" w:hint="default"/>
        </w:rPr>
        <w:t>/</w:t>
      </w:r>
      <w:r>
        <w:rPr/>
        <w:t>平方米，每月租金总额为</w:t>
      </w:r>
      <w:r>
        <w:rPr>
          <w:rFonts w:ascii="宋体" w:hAnsi="宋体" w:cs="宋体" w:eastAsia="宋体" w:hint="default"/>
        </w:rPr>
        <w:t>19,031.00</w:t>
      </w:r>
      <w:r>
        <w:rPr/>
        <w:t>元， </w:t>
      </w:r>
      <w:r>
        <w:rPr>
          <w:spacing w:val="-2"/>
        </w:rPr>
        <w:t>公司与武汉华工大学科技园发展有限公司签订《研发新址房屋租赁》，租赁建筑面积为</w:t>
      </w:r>
      <w:r>
        <w:rPr>
          <w:rFonts w:ascii="宋体" w:hAnsi="宋体" w:cs="宋体" w:eastAsia="宋体" w:hint="default"/>
          <w:spacing w:val="-2"/>
        </w:rPr>
        <w:t>2,741.08</w:t>
      </w:r>
      <w:r>
        <w:rPr>
          <w:spacing w:val="-2"/>
        </w:rPr>
        <w:t>平方米，租赁期为</w:t>
      </w:r>
      <w:r>
        <w:rPr>
          <w:rFonts w:ascii="宋体" w:hAnsi="宋体" w:cs="宋体" w:eastAsia="宋体" w:hint="default"/>
          <w:spacing w:val="-2"/>
        </w:rPr>
        <w:t>2014</w:t>
      </w:r>
    </w:p>
    <w:p>
      <w:pPr>
        <w:pStyle w:val="BodyText"/>
        <w:spacing w:line="316" w:lineRule="auto" w:before="19"/>
        <w:ind w:left="1493" w:right="0" w:hanging="360"/>
        <w:jc w:val="left"/>
      </w:pPr>
      <w:r>
        <w:rPr/>
        <w:t>年</w:t>
      </w:r>
      <w:r>
        <w:rPr>
          <w:rFonts w:ascii="宋体" w:hAnsi="宋体" w:cs="宋体" w:eastAsia="宋体" w:hint="default"/>
        </w:rPr>
        <w:t>1</w:t>
      </w:r>
      <w:r>
        <w:rPr/>
        <w:t>月</w:t>
      </w:r>
      <w:r>
        <w:rPr>
          <w:rFonts w:ascii="宋体" w:hAnsi="宋体" w:cs="宋体" w:eastAsia="宋体" w:hint="default"/>
        </w:rPr>
        <w:t>13</w:t>
      </w:r>
      <w:r>
        <w:rPr/>
        <w:t>日至</w:t>
      </w:r>
      <w:r>
        <w:rPr>
          <w:rFonts w:ascii="宋体" w:hAnsi="宋体" w:cs="宋体" w:eastAsia="宋体" w:hint="default"/>
        </w:rPr>
        <w:t>2016</w:t>
      </w:r>
      <w:r>
        <w:rPr/>
        <w:t>年</w:t>
      </w:r>
      <w:r>
        <w:rPr>
          <w:rFonts w:ascii="宋体" w:hAnsi="宋体" w:cs="宋体" w:eastAsia="宋体" w:hint="default"/>
        </w:rPr>
        <w:t>1</w:t>
      </w:r>
      <w:r>
        <w:rPr/>
        <w:t>月</w:t>
      </w:r>
      <w:r>
        <w:rPr>
          <w:rFonts w:ascii="宋体" w:hAnsi="宋体" w:cs="宋体" w:eastAsia="宋体" w:hint="default"/>
        </w:rPr>
        <w:t>12</w:t>
      </w:r>
      <w:r>
        <w:rPr/>
        <w:t>日，租金每月</w:t>
      </w:r>
      <w:r>
        <w:rPr>
          <w:rFonts w:ascii="宋体" w:hAnsi="宋体" w:cs="宋体" w:eastAsia="宋体" w:hint="default"/>
        </w:rPr>
        <w:t>24</w:t>
      </w:r>
      <w:r>
        <w:rPr/>
        <w:t>元</w:t>
      </w:r>
      <w:r>
        <w:rPr>
          <w:rFonts w:ascii="宋体" w:hAnsi="宋体" w:cs="宋体" w:eastAsia="宋体" w:hint="default"/>
        </w:rPr>
        <w:t>/</w:t>
      </w:r>
      <w:r>
        <w:rPr/>
        <w:t>平方米，每月租金总额为</w:t>
      </w:r>
      <w:r>
        <w:rPr>
          <w:rFonts w:ascii="宋体" w:hAnsi="宋体" w:cs="宋体" w:eastAsia="宋体" w:hint="default"/>
        </w:rPr>
        <w:t>65,786.00</w:t>
      </w:r>
      <w:r>
        <w:rPr/>
        <w:t>元。 </w:t>
      </w:r>
      <w:r>
        <w:rPr>
          <w:spacing w:val="-2"/>
        </w:rPr>
        <w:t>擎动网络与武汉华工大学科技园发展有限公司签订《擎动网络新址房屋租赁》，租赁建筑面积为</w:t>
      </w:r>
      <w:r>
        <w:rPr>
          <w:rFonts w:ascii="宋体" w:hAnsi="宋体" w:cs="宋体" w:eastAsia="宋体" w:hint="default"/>
          <w:spacing w:val="-2"/>
        </w:rPr>
        <w:t>1,457.93</w:t>
      </w:r>
      <w:r>
        <w:rPr>
          <w:spacing w:val="-2"/>
        </w:rPr>
        <w:t>平方米，租赁</w:t>
      </w:r>
    </w:p>
    <w:p>
      <w:pPr>
        <w:pStyle w:val="BodyText"/>
        <w:spacing w:line="316" w:lineRule="auto" w:before="19"/>
        <w:ind w:left="1493" w:right="0" w:hanging="360"/>
        <w:jc w:val="left"/>
      </w:pPr>
      <w:r>
        <w:rPr/>
        <w:t>期为</w:t>
      </w:r>
      <w:r>
        <w:rPr>
          <w:rFonts w:ascii="宋体" w:hAnsi="宋体" w:cs="宋体" w:eastAsia="宋体" w:hint="default"/>
        </w:rPr>
        <w:t>2014</w:t>
      </w:r>
      <w:r>
        <w:rPr/>
        <w:t>年</w:t>
      </w:r>
      <w:r>
        <w:rPr>
          <w:rFonts w:ascii="宋体" w:hAnsi="宋体" w:cs="宋体" w:eastAsia="宋体" w:hint="default"/>
        </w:rPr>
        <w:t>2</w:t>
      </w:r>
      <w:r>
        <w:rPr/>
        <w:t>月</w:t>
      </w:r>
      <w:r>
        <w:rPr>
          <w:rFonts w:ascii="宋体" w:hAnsi="宋体" w:cs="宋体" w:eastAsia="宋体" w:hint="default"/>
        </w:rPr>
        <w:t>10</w:t>
      </w:r>
      <w:r>
        <w:rPr/>
        <w:t>日至</w:t>
      </w:r>
      <w:r>
        <w:rPr>
          <w:rFonts w:ascii="宋体" w:hAnsi="宋体" w:cs="宋体" w:eastAsia="宋体" w:hint="default"/>
        </w:rPr>
        <w:t>2016</w:t>
      </w:r>
      <w:r>
        <w:rPr/>
        <w:t>年</w:t>
      </w:r>
      <w:r>
        <w:rPr>
          <w:rFonts w:ascii="宋体" w:hAnsi="宋体" w:cs="宋体" w:eastAsia="宋体" w:hint="default"/>
        </w:rPr>
        <w:t>2</w:t>
      </w:r>
      <w:r>
        <w:rPr/>
        <w:t>月</w:t>
      </w:r>
      <w:r>
        <w:rPr>
          <w:rFonts w:ascii="宋体" w:hAnsi="宋体" w:cs="宋体" w:eastAsia="宋体" w:hint="default"/>
        </w:rPr>
        <w:t>9</w:t>
      </w:r>
      <w:r>
        <w:rPr/>
        <w:t>日，租金每月</w:t>
      </w:r>
      <w:r>
        <w:rPr>
          <w:rFonts w:ascii="宋体" w:hAnsi="宋体" w:cs="宋体" w:eastAsia="宋体" w:hint="default"/>
        </w:rPr>
        <w:t>24</w:t>
      </w:r>
      <w:r>
        <w:rPr/>
        <w:t>元</w:t>
      </w:r>
      <w:r>
        <w:rPr>
          <w:rFonts w:ascii="宋体" w:hAnsi="宋体" w:cs="宋体" w:eastAsia="宋体" w:hint="default"/>
        </w:rPr>
        <w:t>/</w:t>
      </w:r>
      <w:r>
        <w:rPr/>
        <w:t>平方米，每月租金总额为</w:t>
      </w:r>
      <w:r>
        <w:rPr>
          <w:rFonts w:ascii="宋体" w:hAnsi="宋体" w:cs="宋体" w:eastAsia="宋体" w:hint="default"/>
        </w:rPr>
        <w:t>34,990.00</w:t>
      </w:r>
      <w:r>
        <w:rPr/>
        <w:t>元。 </w:t>
      </w:r>
      <w:r>
        <w:rPr>
          <w:spacing w:val="-2"/>
        </w:rPr>
        <w:t>公司与武汉华工鑫宏投资有限公司签订《厂房租赁合同》，租赁建筑面积为</w:t>
      </w:r>
      <w:r>
        <w:rPr>
          <w:rFonts w:ascii="宋体" w:hAnsi="宋体" w:cs="宋体" w:eastAsia="宋体" w:hint="default"/>
          <w:spacing w:val="-2"/>
        </w:rPr>
        <w:t>9,907.00</w:t>
      </w:r>
      <w:r>
        <w:rPr>
          <w:spacing w:val="-2"/>
        </w:rPr>
        <w:t>平方米，其中，租赁框架结构厂房</w:t>
      </w:r>
    </w:p>
    <w:p>
      <w:pPr>
        <w:pStyle w:val="BodyText"/>
        <w:spacing w:line="316" w:lineRule="auto" w:before="19"/>
        <w:ind w:right="1123"/>
        <w:jc w:val="left"/>
      </w:pPr>
      <w:r>
        <w:rPr/>
        <w:t>面积为</w:t>
      </w:r>
      <w:r>
        <w:rPr>
          <w:rFonts w:ascii="宋体" w:hAnsi="宋体" w:cs="宋体" w:eastAsia="宋体" w:hint="default"/>
        </w:rPr>
        <w:t>8,000.00</w:t>
      </w:r>
      <w:r>
        <w:rPr/>
        <w:t>平方米，租赁钢构厂房面积为</w:t>
      </w:r>
      <w:r>
        <w:rPr>
          <w:rFonts w:ascii="宋体" w:hAnsi="宋体" w:cs="宋体" w:eastAsia="宋体" w:hint="default"/>
        </w:rPr>
        <w:t>1,907</w:t>
      </w:r>
      <w:r>
        <w:rPr/>
        <w:t>平方米，租赁期为</w:t>
      </w:r>
      <w:r>
        <w:rPr>
          <w:rFonts w:ascii="宋体" w:hAnsi="宋体" w:cs="宋体" w:eastAsia="宋体" w:hint="default"/>
        </w:rPr>
        <w:t>2015</w:t>
      </w:r>
      <w:r>
        <w:rPr/>
        <w:t>年</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2015</w:t>
      </w:r>
      <w:r>
        <w:rPr/>
        <w:t>年</w:t>
      </w:r>
      <w:r>
        <w:rPr>
          <w:rFonts w:ascii="宋体" w:hAnsi="宋体" w:cs="宋体" w:eastAsia="宋体" w:hint="default"/>
        </w:rPr>
        <w:t>6</w:t>
      </w:r>
      <w:r>
        <w:rPr/>
        <w:t>月</w:t>
      </w:r>
      <w:r>
        <w:rPr>
          <w:rFonts w:ascii="宋体" w:hAnsi="宋体" w:cs="宋体" w:eastAsia="宋体" w:hint="default"/>
        </w:rPr>
        <w:t>30</w:t>
      </w:r>
      <w:r>
        <w:rPr/>
        <w:t>日，租金每月</w:t>
      </w:r>
      <w:r>
        <w:rPr>
          <w:rFonts w:ascii="宋体" w:hAnsi="宋体" w:cs="宋体" w:eastAsia="宋体" w:hint="default"/>
        </w:rPr>
        <w:t>38</w:t>
      </w:r>
      <w:r>
        <w:rPr/>
        <w:t>元</w:t>
      </w:r>
      <w:r>
        <w:rPr>
          <w:rFonts w:ascii="宋体" w:hAnsi="宋体" w:cs="宋体" w:eastAsia="宋体" w:hint="default"/>
        </w:rPr>
        <w:t>/</w:t>
      </w:r>
      <w:r>
        <w:rPr/>
        <w:t>平方 米，每月租金总额为</w:t>
      </w:r>
      <w:r>
        <w:rPr>
          <w:rFonts w:ascii="宋体" w:hAnsi="宋体" w:cs="宋体" w:eastAsia="宋体" w:hint="default"/>
        </w:rPr>
        <w:t>376,466.00</w:t>
      </w:r>
      <w:r>
        <w:rPr/>
        <w:t>元。</w:t>
      </w:r>
    </w:p>
    <w:p>
      <w:pPr>
        <w:pStyle w:val="BodyText"/>
        <w:spacing w:line="316" w:lineRule="auto" w:before="19"/>
        <w:ind w:right="1213" w:firstLine="360"/>
        <w:jc w:val="left"/>
      </w:pPr>
      <w:r>
        <w:rPr/>
        <w:t>湖北百旺与武汉华工大学科技园发展有限公司签订《华工科技园创新基地研发楼租赁合同》，租赁建筑面积为</w:t>
      </w:r>
      <w:r>
        <w:rPr>
          <w:rFonts w:ascii="宋体" w:hAnsi="宋体" w:cs="宋体" w:eastAsia="宋体" w:hint="default"/>
        </w:rPr>
        <w:t>652.25 </w:t>
      </w:r>
      <w:r>
        <w:rPr/>
        <w:t>平方米，租赁期为</w:t>
      </w:r>
      <w:r>
        <w:rPr>
          <w:rFonts w:ascii="宋体" w:hAnsi="宋体" w:cs="宋体" w:eastAsia="宋体" w:hint="default"/>
        </w:rPr>
        <w:t>2015</w:t>
      </w:r>
      <w:r>
        <w:rPr/>
        <w:t>年</w:t>
      </w:r>
      <w:r>
        <w:rPr>
          <w:rFonts w:ascii="宋体" w:hAnsi="宋体" w:cs="宋体" w:eastAsia="宋体" w:hint="default"/>
        </w:rPr>
        <w:t>5</w:t>
      </w:r>
      <w:r>
        <w:rPr/>
        <w:t>月</w:t>
      </w:r>
      <w:r>
        <w:rPr>
          <w:rFonts w:ascii="宋体" w:hAnsi="宋体" w:cs="宋体" w:eastAsia="宋体" w:hint="default"/>
        </w:rPr>
        <w:t>15</w:t>
      </w:r>
      <w:r>
        <w:rPr/>
        <w:t>日至</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14</w:t>
      </w:r>
      <w:r>
        <w:rPr/>
        <w:t>日，租金每月</w:t>
      </w:r>
      <w:r>
        <w:rPr>
          <w:rFonts w:ascii="宋体" w:hAnsi="宋体" w:cs="宋体" w:eastAsia="宋体" w:hint="default"/>
        </w:rPr>
        <w:t>37</w:t>
      </w:r>
      <w:r>
        <w:rPr/>
        <w:t>元</w:t>
      </w:r>
      <w:r>
        <w:rPr>
          <w:rFonts w:ascii="宋体" w:hAnsi="宋体" w:cs="宋体" w:eastAsia="宋体" w:hint="default"/>
        </w:rPr>
        <w:t>/</w:t>
      </w:r>
      <w:r>
        <w:rPr/>
        <w:t>平方米，每月租金总额为</w:t>
      </w:r>
      <w:r>
        <w:rPr>
          <w:rFonts w:ascii="宋体" w:hAnsi="宋体" w:cs="宋体" w:eastAsia="宋体" w:hint="default"/>
        </w:rPr>
        <w:t>24,133.00</w:t>
      </w:r>
      <w:r>
        <w:rPr/>
        <w:t>元。</w:t>
      </w:r>
    </w:p>
    <w:p>
      <w:pPr>
        <w:pStyle w:val="BodyText"/>
        <w:spacing w:line="316" w:lineRule="auto" w:before="19"/>
        <w:ind w:right="1213" w:firstLine="360"/>
        <w:jc w:val="left"/>
      </w:pPr>
      <w:r>
        <w:rPr/>
        <w:t>果核科技与武汉华工大学科技园发展有限公司签订《华工科技园创新基地研发楼租赁合同》，租赁建筑面积为</w:t>
      </w:r>
      <w:r>
        <w:rPr>
          <w:rFonts w:ascii="宋体" w:hAnsi="宋体" w:cs="宋体" w:eastAsia="宋体" w:hint="default"/>
        </w:rPr>
        <w:t>528.65 </w:t>
      </w:r>
      <w:r>
        <w:rPr/>
        <w:t>平方米，租赁期为</w:t>
      </w:r>
      <w:r>
        <w:rPr>
          <w:rFonts w:ascii="宋体" w:hAnsi="宋体" w:cs="宋体" w:eastAsia="宋体" w:hint="default"/>
        </w:rPr>
        <w:t>2015</w:t>
      </w:r>
      <w:r>
        <w:rPr/>
        <w:t>年</w:t>
      </w:r>
      <w:r>
        <w:rPr>
          <w:rFonts w:ascii="宋体" w:hAnsi="宋体" w:cs="宋体" w:eastAsia="宋体" w:hint="default"/>
        </w:rPr>
        <w:t>1</w:t>
      </w:r>
      <w:r>
        <w:rPr/>
        <w:t>月</w:t>
      </w:r>
      <w:r>
        <w:rPr>
          <w:rFonts w:ascii="宋体" w:hAnsi="宋体" w:cs="宋体" w:eastAsia="宋体" w:hint="default"/>
        </w:rPr>
        <w:t>5</w:t>
      </w:r>
      <w:r>
        <w:rPr/>
        <w:t>日至</w:t>
      </w: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4</w:t>
      </w:r>
      <w:r>
        <w:rPr/>
        <w:t>日，租金每月</w:t>
      </w:r>
      <w:r>
        <w:rPr>
          <w:rFonts w:ascii="宋体" w:hAnsi="宋体" w:cs="宋体" w:eastAsia="宋体" w:hint="default"/>
        </w:rPr>
        <w:t>24</w:t>
      </w:r>
      <w:r>
        <w:rPr/>
        <w:t>元</w:t>
      </w:r>
      <w:r>
        <w:rPr>
          <w:rFonts w:ascii="宋体" w:hAnsi="宋体" w:cs="宋体" w:eastAsia="宋体" w:hint="default"/>
        </w:rPr>
        <w:t>/</w:t>
      </w:r>
      <w:r>
        <w:rPr/>
        <w:t>平方米，每月租金总额为</w:t>
      </w:r>
      <w:r>
        <w:rPr>
          <w:rFonts w:ascii="宋体" w:hAnsi="宋体" w:cs="宋体" w:eastAsia="宋体" w:hint="default"/>
        </w:rPr>
        <w:t>12,688.00</w:t>
      </w:r>
      <w:r>
        <w:rPr/>
        <w:t>元。</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3）关键管理人员报酬" w:id="318"/>
      <w:bookmarkEnd w:id="318"/>
      <w:r>
        <w:rPr>
          <w:b w:val="0"/>
          <w:bCs w:val="0"/>
        </w:rPr>
      </w:r>
      <w:r>
        <w:rPr/>
        <w:t>（</w:t>
      </w:r>
      <w:r>
        <w:rPr>
          <w:rFonts w:ascii="宋体" w:hAnsi="宋体" w:cs="宋体" w:eastAsia="宋体" w:hint="default"/>
        </w:rPr>
        <w:t>3</w:t>
      </w:r>
      <w:r>
        <w:rPr/>
        <w:t>）关键管理人员报酬</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077" w:right="0"/>
              <w:jc w:val="left"/>
              <w:rPr>
                <w:rFonts w:ascii="宋体" w:hAnsi="宋体" w:cs="宋体" w:eastAsia="宋体" w:hint="default"/>
                <w:sz w:val="18"/>
                <w:szCs w:val="18"/>
              </w:rPr>
            </w:pPr>
            <w:r>
              <w:rPr>
                <w:rFonts w:ascii="宋体"/>
                <w:sz w:val="18"/>
              </w:rPr>
              <w:t>6,944,875.77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078" w:right="0"/>
              <w:jc w:val="left"/>
              <w:rPr>
                <w:rFonts w:ascii="宋体" w:hAnsi="宋体" w:cs="宋体" w:eastAsia="宋体" w:hint="default"/>
                <w:sz w:val="18"/>
                <w:szCs w:val="18"/>
              </w:rPr>
            </w:pPr>
            <w:r>
              <w:rPr>
                <w:rFonts w:ascii="宋体"/>
                <w:sz w:val="18"/>
              </w:rPr>
              <w:t>9,561,656.89</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6、关联方应收应付款项" w:id="319"/>
      <w:bookmarkEnd w:id="319"/>
      <w:r>
        <w:rPr>
          <w:b w:val="0"/>
          <w:bCs w:val="0"/>
        </w:rPr>
      </w:r>
      <w:r>
        <w:rPr>
          <w:rFonts w:ascii="宋体" w:hAnsi="宋体" w:cs="宋体" w:eastAsia="宋体" w:hint="default"/>
        </w:rPr>
        <w:t>6</w:t>
      </w:r>
      <w:r>
        <w:rPr/>
        <w:t>、关联方应收应付款项</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left="1134" w:right="0"/>
        <w:jc w:val="left"/>
        <w:rPr>
          <w:b w:val="0"/>
          <w:bCs w:val="0"/>
        </w:rPr>
      </w:pPr>
      <w:bookmarkStart w:name="（1）应收项目" w:id="320"/>
      <w:bookmarkEnd w:id="320"/>
      <w:r>
        <w:rPr>
          <w:b w:val="0"/>
          <w:bCs w:val="0"/>
        </w:rPr>
      </w:r>
      <w:r>
        <w:rPr/>
        <w:t>（</w:t>
      </w:r>
      <w:r>
        <w:rPr>
          <w:rFonts w:ascii="宋体" w:hAnsi="宋体" w:cs="宋体" w:eastAsia="宋体" w:hint="default"/>
        </w:rPr>
        <w:t>1</w:t>
      </w:r>
      <w:r>
        <w:rPr/>
        <w:t>）应收项目</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134"/>
        <w:gridCol w:w="2268"/>
        <w:gridCol w:w="1560"/>
        <w:gridCol w:w="1416"/>
        <w:gridCol w:w="1594"/>
        <w:gridCol w:w="1595"/>
      </w:tblGrid>
      <w:tr>
        <w:trPr>
          <w:trHeight w:val="402" w:hRule="exact"/>
        </w:trPr>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26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9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134" w:type="dxa"/>
            <w:vMerge/>
            <w:tcBorders>
              <w:left w:val="single" w:sz="4" w:space="0" w:color="000000"/>
              <w:bottom w:val="single" w:sz="4" w:space="0" w:color="000000"/>
              <w:right w:val="single" w:sz="4" w:space="0" w:color="000000"/>
            </w:tcBorders>
          </w:tcPr>
          <w:p>
            <w:pPr/>
          </w:p>
        </w:tc>
        <w:tc>
          <w:tcPr>
            <w:tcW w:w="2268"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1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武汉华工建设发展有限公司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40,232.00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40,232.00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40,232.00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12,069.60</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华中科技大学</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542,472.00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60,245.01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1,072,826.00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118,862.90</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华中科技大学附属中学</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87,731.61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87,731.61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87,731.61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87,731.61</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3"/>
              <w:jc w:val="left"/>
              <w:rPr>
                <w:rFonts w:ascii="宋体" w:hAnsi="宋体" w:cs="宋体" w:eastAsia="宋体" w:hint="default"/>
                <w:sz w:val="18"/>
                <w:szCs w:val="18"/>
              </w:rPr>
            </w:pPr>
            <w:r>
              <w:rPr>
                <w:rFonts w:ascii="宋体" w:hAnsi="宋体" w:cs="宋体" w:eastAsia="宋体" w:hint="default"/>
                <w:sz w:val="18"/>
                <w:szCs w:val="18"/>
              </w:rPr>
              <w:t>武汉中天慧购电商服务有限 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1,200,000.00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120,000.00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1,200,000.00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60,000.00</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3"/>
              <w:jc w:val="left"/>
              <w:rPr>
                <w:rFonts w:ascii="宋体" w:hAnsi="宋体" w:cs="宋体" w:eastAsia="宋体" w:hint="default"/>
                <w:sz w:val="18"/>
                <w:szCs w:val="18"/>
              </w:rPr>
            </w:pPr>
            <w:r>
              <w:rPr>
                <w:rFonts w:ascii="宋体" w:hAnsi="宋体" w:cs="宋体" w:eastAsia="宋体" w:hint="default"/>
                <w:sz w:val="18"/>
                <w:szCs w:val="18"/>
              </w:rPr>
              <w:t>武汉华工大学科技园发展有 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477,554.00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39,377.70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10,000.00</w:t>
            </w:r>
          </w:p>
        </w:tc>
      </w:tr>
      <w:tr>
        <w:trPr>
          <w:trHeight w:val="403"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武汉华科物业管理有限公司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569,300.00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56,180.00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664,300.00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33,215.00</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应付项目" w:id="321"/>
      <w:bookmarkEnd w:id="321"/>
      <w:r>
        <w:rPr>
          <w:b w:val="0"/>
          <w:bCs w:val="0"/>
        </w:rPr>
      </w:r>
      <w:r>
        <w:rPr/>
        <w:t>（</w:t>
      </w:r>
      <w:r>
        <w:rPr>
          <w:rFonts w:ascii="宋体" w:hAnsi="宋体" w:cs="宋体" w:eastAsia="宋体" w:hint="default"/>
        </w:rPr>
        <w:t>2</w:t>
      </w:r>
      <w:r>
        <w:rPr/>
        <w:t>）应付项目</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134"/>
        <w:gridCol w:w="3651"/>
        <w:gridCol w:w="2392"/>
        <w:gridCol w:w="2392"/>
      </w:tblGrid>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武汉华工激光工程有限责任公司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59" w:right="0"/>
              <w:jc w:val="left"/>
              <w:rPr>
                <w:rFonts w:ascii="宋体" w:hAnsi="宋体" w:cs="宋体" w:eastAsia="宋体" w:hint="default"/>
                <w:sz w:val="18"/>
                <w:szCs w:val="18"/>
              </w:rPr>
            </w:pPr>
            <w:r>
              <w:rPr>
                <w:rFonts w:ascii="宋体"/>
                <w:sz w:val="18"/>
              </w:rPr>
              <w:t>387,136.75</w:t>
            </w:r>
          </w:p>
        </w:tc>
      </w:tr>
    </w:tbl>
    <w:p>
      <w:pPr>
        <w:spacing w:after="0" w:line="240" w:lineRule="auto"/>
        <w:jc w:val="left"/>
        <w:rPr>
          <w:rFonts w:ascii="宋体" w:hAnsi="宋体" w:cs="宋体" w:eastAsia="宋体" w:hint="default"/>
          <w:sz w:val="18"/>
          <w:szCs w:val="18"/>
        </w:rPr>
        <w:sectPr>
          <w:pgSz w:w="11910" w:h="16840"/>
          <w:pgMar w:header="0" w:footer="1187" w:top="1100" w:bottom="138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134"/>
        <w:gridCol w:w="3651"/>
        <w:gridCol w:w="2392"/>
        <w:gridCol w:w="2392"/>
      </w:tblGrid>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华中科技大学后勤集团修建安装工程总公司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156,082.70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武汉华工大学科技园发展有限公司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58,453.00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29,820.00</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武汉华科物业管理有限公司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86,002.20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59,931.30</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华中科技大学</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174,000.00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174,000.00</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十三、资产负债表日后事项" w:id="322"/>
      <w:bookmarkEnd w:id="322"/>
      <w:r>
        <w:rPr>
          <w:b w:val="0"/>
          <w:bCs w:val="0"/>
        </w:rPr>
      </w:r>
      <w:r>
        <w:rPr/>
        <w:t>十三、资产负债表日后事项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利润分配情况" w:id="323"/>
      <w:bookmarkEnd w:id="323"/>
      <w:r>
        <w:rPr>
          <w:b w:val="0"/>
          <w:bCs w:val="0"/>
        </w:rPr>
      </w:r>
      <w:r>
        <w:rPr/>
        <w:t>利润分配情况</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21,502,800.00</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十四、其他重要事项" w:id="324"/>
      <w:bookmarkEnd w:id="324"/>
      <w:r>
        <w:rPr>
          <w:b w:val="0"/>
          <w:bCs w:val="0"/>
        </w:rPr>
      </w:r>
      <w:r>
        <w:rPr/>
        <w:t>十四、其他重要事项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分部信息" w:id="325"/>
      <w:bookmarkEnd w:id="325"/>
      <w:r>
        <w:rPr>
          <w:b w:val="0"/>
          <w:bCs w:val="0"/>
        </w:rPr>
      </w:r>
      <w:r>
        <w:rPr/>
        <w:t>分部信息</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bookmarkStart w:name="（1）报告分部的确定依据与会计政策" w:id="326"/>
      <w:bookmarkEnd w:id="326"/>
      <w:r>
        <w:rPr>
          <w:b w:val="0"/>
          <w:bCs w:val="0"/>
        </w:rPr>
      </w:r>
      <w:r>
        <w:rPr/>
        <w:t>（</w:t>
      </w:r>
      <w:r>
        <w:rPr>
          <w:rFonts w:ascii="宋体" w:hAnsi="宋体" w:cs="宋体" w:eastAsia="宋体" w:hint="default"/>
        </w:rPr>
        <w:t>1</w:t>
      </w:r>
      <w:r>
        <w:rPr/>
        <w:t>）报告分部的确定依据与会计政策</w:t>
      </w:r>
      <w:r>
        <w:rPr>
          <w:b w:val="0"/>
          <w:bCs w:val="0"/>
        </w:rPr>
      </w:r>
    </w:p>
    <w:p>
      <w:pPr>
        <w:spacing w:line="240" w:lineRule="auto" w:before="9"/>
        <w:rPr>
          <w:rFonts w:ascii="宋体" w:hAnsi="宋体" w:cs="宋体" w:eastAsia="宋体" w:hint="default"/>
          <w:b/>
          <w:bCs/>
          <w:sz w:val="27"/>
          <w:szCs w:val="27"/>
        </w:rPr>
      </w:pPr>
    </w:p>
    <w:p>
      <w:pPr>
        <w:pStyle w:val="BodyText"/>
        <w:spacing w:line="316" w:lineRule="auto"/>
        <w:ind w:right="1033" w:firstLine="360"/>
        <w:jc w:val="left"/>
      </w:pPr>
      <w:r>
        <w:rPr/>
        <w:t>本公司的经营业务根据业务的性质以及所提供的产品和服务分开组织和管理。本公司的每个经营分部是一个业务主体， 提供面临不同于其他经营分部的风险并取得不同于其他经营分部的报酬的产品和服务。</w:t>
      </w:r>
    </w:p>
    <w:p>
      <w:pPr>
        <w:pStyle w:val="BodyText"/>
        <w:spacing w:line="319" w:lineRule="auto" w:before="19"/>
        <w:ind w:left="1493" w:right="1123"/>
        <w:jc w:val="left"/>
      </w:pPr>
      <w:r>
        <w:rPr/>
        <w:t>本公司的经营分部的分类与内容如下： </w:t>
      </w:r>
      <w:r>
        <w:rPr>
          <w:rFonts w:ascii="宋体" w:hAnsi="宋体" w:cs="宋体" w:eastAsia="宋体" w:hint="default"/>
        </w:rPr>
        <w:t>A</w:t>
      </w:r>
      <w:r>
        <w:rPr/>
        <w:t>、数据安全业务：包括母公司及子公司天喻信通、果核科技、聚联网络，业务涵盖智能卡、终端、服务，产品应用于</w:t>
      </w:r>
    </w:p>
    <w:p>
      <w:pPr>
        <w:pStyle w:val="BodyText"/>
        <w:spacing w:line="316" w:lineRule="auto" w:before="17"/>
        <w:ind w:left="1494" w:right="1032" w:hanging="360"/>
        <w:jc w:val="left"/>
      </w:pPr>
      <w:r>
        <w:rPr/>
        <w:t>金融、通信、交通、政府等领域。 </w:t>
      </w:r>
      <w:r>
        <w:rPr>
          <w:rFonts w:ascii="宋体" w:hAnsi="宋体" w:cs="宋体" w:eastAsia="宋体" w:hint="default"/>
        </w:rPr>
        <w:t>B</w:t>
      </w:r>
      <w:r>
        <w:rPr/>
        <w:t>、在线教育业务：包括子公司天喻通讯，业务涵盖以国家教育信息化建设为背景的</w:t>
      </w:r>
      <w:r>
        <w:rPr>
          <w:rFonts w:ascii="宋体" w:hAnsi="宋体" w:cs="宋体" w:eastAsia="宋体" w:hint="default"/>
        </w:rPr>
        <w:t>K12</w:t>
      </w:r>
      <w:r>
        <w:rPr/>
        <w:t>阶段教育云平台与应用的开发、</w:t>
      </w:r>
    </w:p>
    <w:p>
      <w:pPr>
        <w:pStyle w:val="BodyText"/>
        <w:spacing w:line="316" w:lineRule="auto" w:before="19"/>
        <w:ind w:left="1494" w:right="1122" w:hanging="360"/>
        <w:jc w:val="left"/>
      </w:pPr>
      <w:r>
        <w:rPr/>
        <w:t>销售、运营业务及</w:t>
      </w:r>
      <w:r>
        <w:rPr>
          <w:rFonts w:ascii="宋体" w:hAnsi="宋体" w:cs="宋体" w:eastAsia="宋体" w:hint="default"/>
        </w:rPr>
        <w:t>K12</w:t>
      </w:r>
      <w:r>
        <w:rPr/>
        <w:t>阶段学生在线学习服务平台运营服务。 </w:t>
      </w:r>
      <w:r>
        <w:rPr>
          <w:rFonts w:ascii="宋体" w:hAnsi="宋体" w:cs="宋体" w:eastAsia="宋体" w:hint="default"/>
        </w:rPr>
        <w:t>C</w:t>
      </w:r>
      <w:r>
        <w:rPr/>
        <w:t>、供应链</w:t>
      </w:r>
      <w:r>
        <w:rPr>
          <w:rFonts w:ascii="宋体" w:hAnsi="宋体" w:cs="宋体" w:eastAsia="宋体" w:hint="default"/>
        </w:rPr>
        <w:t>O2O+</w:t>
      </w:r>
      <w:r>
        <w:rPr/>
        <w:t>金融支付服务业务：包括子公司擎动网络，主要为快消品、物流等流通领域供应链上下游企业提供供应</w:t>
      </w:r>
    </w:p>
    <w:p>
      <w:pPr>
        <w:pStyle w:val="BodyText"/>
        <w:spacing w:line="316" w:lineRule="auto" w:before="19"/>
        <w:ind w:left="1494" w:right="0" w:hanging="360"/>
        <w:jc w:val="left"/>
      </w:pPr>
      <w:r>
        <w:rPr/>
        <w:t>链</w:t>
      </w:r>
      <w:r>
        <w:rPr>
          <w:rFonts w:ascii="宋体" w:hAnsi="宋体" w:cs="宋体" w:eastAsia="宋体" w:hint="default"/>
        </w:rPr>
        <w:t>O2O+</w:t>
      </w:r>
      <w:r>
        <w:rPr/>
        <w:t>金融支付服务。 </w:t>
      </w:r>
      <w:r>
        <w:rPr>
          <w:spacing w:val="-2"/>
        </w:rPr>
        <w:t>管理层出于配置资源和评价业绩的目的，对各业务方向的经营分开进行管理。各经营分部业绩以报告的分部利润为基础</w:t>
      </w:r>
    </w:p>
    <w:p>
      <w:pPr>
        <w:pStyle w:val="BodyText"/>
        <w:spacing w:line="316" w:lineRule="auto" w:before="19"/>
        <w:ind w:left="1493" w:right="7333" w:hanging="360"/>
        <w:jc w:val="left"/>
      </w:pPr>
      <w:r>
        <w:rPr/>
        <w:t>进行评价。该指标与利润总额是一致的。 分部间的转移定价按照市场价值确认。</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报告分部的财务信息" w:id="327"/>
      <w:bookmarkEnd w:id="327"/>
      <w:r>
        <w:rPr>
          <w:b w:val="0"/>
          <w:bCs w:val="0"/>
        </w:rPr>
      </w:r>
      <w:r>
        <w:rPr/>
        <w:t>（</w:t>
      </w:r>
      <w:r>
        <w:rPr>
          <w:rFonts w:ascii="宋体" w:hAnsi="宋体" w:cs="宋体" w:eastAsia="宋体" w:hint="default"/>
        </w:rPr>
        <w:t>2</w:t>
      </w:r>
      <w:r>
        <w:rPr/>
        <w:t>）报告分部的财务信息</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0" w:right="131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876"/>
        <w:gridCol w:w="1526"/>
        <w:gridCol w:w="1419"/>
        <w:gridCol w:w="1367"/>
        <w:gridCol w:w="1185"/>
        <w:gridCol w:w="1134"/>
        <w:gridCol w:w="1063"/>
      </w:tblGrid>
      <w:tr>
        <w:trPr>
          <w:trHeight w:val="714" w:hRule="exact"/>
        </w:trPr>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数据安全业务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在线教育业务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37" w:right="24" w:hanging="112"/>
              <w:jc w:val="left"/>
              <w:rPr>
                <w:rFonts w:ascii="宋体" w:hAnsi="宋体" w:cs="宋体" w:eastAsia="宋体" w:hint="default"/>
                <w:sz w:val="18"/>
                <w:szCs w:val="18"/>
              </w:rPr>
            </w:pPr>
            <w:r>
              <w:rPr>
                <w:rFonts w:ascii="宋体" w:hAnsi="宋体" w:cs="宋体" w:eastAsia="宋体" w:hint="default"/>
                <w:sz w:val="18"/>
                <w:szCs w:val="18"/>
              </w:rPr>
              <w:t>供应链</w:t>
            </w:r>
            <w:r>
              <w:rPr>
                <w:rFonts w:ascii="宋体" w:hAnsi="宋体" w:cs="宋体" w:eastAsia="宋体" w:hint="default"/>
                <w:spacing w:val="-46"/>
                <w:sz w:val="18"/>
                <w:szCs w:val="18"/>
              </w:rPr>
              <w:t> </w:t>
            </w:r>
            <w:r>
              <w:rPr>
                <w:rFonts w:ascii="宋体" w:hAnsi="宋体" w:cs="宋体" w:eastAsia="宋体" w:hint="default"/>
                <w:sz w:val="18"/>
                <w:szCs w:val="18"/>
              </w:rPr>
              <w:t>O2O+</w:t>
            </w:r>
            <w:r>
              <w:rPr>
                <w:rFonts w:ascii="宋体" w:hAnsi="宋体" w:cs="宋体" w:eastAsia="宋体" w:hint="default"/>
                <w:sz w:val="18"/>
                <w:szCs w:val="18"/>
              </w:rPr>
              <w:t>金融 支付服务业务</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6"/>
              <w:jc w:val="right"/>
              <w:rPr>
                <w:rFonts w:ascii="宋体" w:hAnsi="宋体" w:cs="宋体" w:eastAsia="宋体" w:hint="default"/>
                <w:sz w:val="18"/>
                <w:szCs w:val="18"/>
              </w:rPr>
            </w:pPr>
            <w:r>
              <w:rPr>
                <w:rFonts w:ascii="宋体" w:hAnsi="宋体" w:cs="宋体" w:eastAsia="宋体" w:hint="default"/>
                <w:sz w:val="18"/>
                <w:szCs w:val="18"/>
              </w:rPr>
              <w:t>其他报告分部</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对外营业收入</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143,086.97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1,679.73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711.94</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2,850.96</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148,329.60</w:t>
            </w:r>
          </w:p>
        </w:tc>
      </w:tr>
      <w:tr>
        <w:trPr>
          <w:trHeight w:val="402" w:hRule="exact"/>
        </w:trPr>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分部间交易收入</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1,128.67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6,111.34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2.25</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0.21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-7,242.47</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10,821.30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4,260.34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858.76</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1,119.10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17,059.50</w:t>
            </w:r>
          </w:p>
        </w:tc>
      </w:tr>
      <w:tr>
        <w:trPr>
          <w:trHeight w:val="402" w:hRule="exact"/>
        </w:trPr>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502.51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17.67</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-30.71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492.96</w:t>
            </w:r>
          </w:p>
        </w:tc>
      </w:tr>
      <w:tr>
        <w:trPr>
          <w:trHeight w:val="402" w:hRule="exact"/>
        </w:trPr>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884.90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14.18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-30.71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868.37</w:t>
            </w:r>
          </w:p>
        </w:tc>
      </w:tr>
    </w:tbl>
    <w:p>
      <w:pPr>
        <w:spacing w:after="0" w:line="240" w:lineRule="auto"/>
        <w:jc w:val="right"/>
        <w:rPr>
          <w:rFonts w:ascii="宋体" w:hAnsi="宋体" w:cs="宋体" w:eastAsia="宋体" w:hint="default"/>
          <w:sz w:val="18"/>
          <w:szCs w:val="18"/>
        </w:rPr>
        <w:sectPr>
          <w:pgSz w:w="11910" w:h="16840"/>
          <w:pgMar w:header="0" w:footer="1187" w:top="1100" w:bottom="138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876"/>
        <w:gridCol w:w="1526"/>
        <w:gridCol w:w="1419"/>
        <w:gridCol w:w="1367"/>
        <w:gridCol w:w="1185"/>
        <w:gridCol w:w="1134"/>
        <w:gridCol w:w="1063"/>
      </w:tblGrid>
      <w:tr>
        <w:trPr>
          <w:trHeight w:val="714" w:hRule="exact"/>
        </w:trPr>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对联营企业和合营企业 的投资收益</w:t>
            </w:r>
          </w:p>
        </w:tc>
        <w:tc>
          <w:tcPr>
            <w:tcW w:w="152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-153.99</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-153.99</w:t>
            </w:r>
          </w:p>
        </w:tc>
      </w:tr>
      <w:tr>
        <w:trPr>
          <w:trHeight w:val="402" w:hRule="exact"/>
        </w:trPr>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2,315.55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558.41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245.75</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34.30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3,154.01</w:t>
            </w:r>
          </w:p>
        </w:tc>
      </w:tr>
      <w:tr>
        <w:trPr>
          <w:trHeight w:val="402" w:hRule="exact"/>
        </w:trPr>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折旧费和摊销费</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3,959.58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156.51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161.36</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16.22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4,294.98</w:t>
            </w:r>
          </w:p>
        </w:tc>
      </w:tr>
      <w:tr>
        <w:trPr>
          <w:trHeight w:val="402" w:hRule="exact"/>
        </w:trPr>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6,765.92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-2,500.11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-1,855.43</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-603.91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-36.66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1,769.81</w:t>
            </w:r>
          </w:p>
        </w:tc>
      </w:tr>
      <w:tr>
        <w:trPr>
          <w:trHeight w:val="402" w:hRule="exact"/>
        </w:trPr>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169,065.26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11,063.44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4,326.95</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19,325.33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-35,440.14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168,340.84</w:t>
            </w:r>
          </w:p>
        </w:tc>
      </w:tr>
      <w:tr>
        <w:trPr>
          <w:trHeight w:val="402" w:hRule="exact"/>
        </w:trPr>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62,407.06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11,169.78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687.55</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1,298.35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-19,004.25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56,558.49</w:t>
            </w:r>
          </w:p>
        </w:tc>
      </w:tr>
      <w:tr>
        <w:trPr>
          <w:trHeight w:val="714" w:hRule="exact"/>
        </w:trPr>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对联营企业和合营企业 的长期股权投资</w:t>
            </w:r>
          </w:p>
        </w:tc>
        <w:tc>
          <w:tcPr>
            <w:tcW w:w="152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1,282.06</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1,282.06</w:t>
            </w:r>
          </w:p>
        </w:tc>
      </w:tr>
      <w:tr>
        <w:trPr>
          <w:trHeight w:val="714" w:hRule="exact"/>
        </w:trPr>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长期股权投资以外的其 他非流动资产增加额</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7,321.57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133.08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98.97</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72.26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-21.15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7,604.73</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十五、母公司财务报表主要项目注释" w:id="328"/>
      <w:bookmarkEnd w:id="328"/>
      <w:r>
        <w:rPr>
          <w:b w:val="0"/>
          <w:bCs w:val="0"/>
        </w:rPr>
      </w:r>
      <w:r>
        <w:rPr/>
        <w:t>十五、母公司财务报表主要项目注释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账款" w:id="329"/>
      <w:bookmarkEnd w:id="329"/>
      <w:r>
        <w:rPr>
          <w:b w:val="0"/>
          <w:bCs w:val="0"/>
        </w:rPr>
      </w:r>
      <w:r>
        <w:rPr>
          <w:rFonts w:ascii="宋体" w:hAnsi="宋体" w:cs="宋体" w:eastAsia="宋体" w:hint="default"/>
        </w:rPr>
        <w:t>1</w:t>
      </w:r>
      <w:r>
        <w:rPr/>
        <w:t>、应收账款</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bookmarkStart w:name="（1）应收账款分类披露" w:id="330"/>
      <w:bookmarkEnd w:id="330"/>
      <w:r>
        <w:rPr>
          <w:b w:val="0"/>
          <w:bCs w:val="0"/>
        </w:rPr>
      </w:r>
      <w:r>
        <w:rPr/>
        <w:t>（</w:t>
      </w:r>
      <w:r>
        <w:rPr>
          <w:rFonts w:ascii="宋体" w:hAnsi="宋体" w:cs="宋体" w:eastAsia="宋体" w:hint="default"/>
        </w:rPr>
        <w:t>1</w:t>
      </w:r>
      <w:r>
        <w:rPr/>
        <w:t>）应收账款分类披露</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840"/>
        <w:gridCol w:w="1145"/>
        <w:gridCol w:w="619"/>
        <w:gridCol w:w="1082"/>
        <w:gridCol w:w="567"/>
        <w:gridCol w:w="1123"/>
        <w:gridCol w:w="1145"/>
        <w:gridCol w:w="618"/>
        <w:gridCol w:w="1037"/>
        <w:gridCol w:w="517"/>
        <w:gridCol w:w="1148"/>
      </w:tblGrid>
      <w:tr>
        <w:trPr>
          <w:trHeight w:val="402" w:hRule="exact"/>
        </w:trPr>
        <w:tc>
          <w:tcPr>
            <w:tcW w:w="8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3"/>
              <w:ind w:left="264" w:right="0"/>
              <w:jc w:val="left"/>
              <w:rPr>
                <w:rFonts w:ascii="宋体" w:hAnsi="宋体" w:cs="宋体" w:eastAsia="宋体" w:hint="default"/>
                <w:sz w:val="15"/>
                <w:szCs w:val="15"/>
              </w:rPr>
            </w:pPr>
            <w:r>
              <w:rPr>
                <w:rFonts w:ascii="宋体" w:hAnsi="宋体" w:cs="宋体" w:eastAsia="宋体" w:hint="default"/>
                <w:sz w:val="15"/>
                <w:szCs w:val="15"/>
              </w:rPr>
              <w:t>类别</w:t>
            </w:r>
          </w:p>
        </w:tc>
        <w:tc>
          <w:tcPr>
            <w:tcW w:w="453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446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402" w:hRule="exact"/>
        </w:trPr>
        <w:tc>
          <w:tcPr>
            <w:tcW w:w="840" w:type="dxa"/>
            <w:vMerge/>
            <w:tcBorders>
              <w:left w:val="single" w:sz="4" w:space="0" w:color="000000"/>
              <w:right w:val="single" w:sz="4" w:space="0" w:color="000000"/>
            </w:tcBorders>
          </w:tcPr>
          <w:p>
            <w:pPr/>
          </w:p>
        </w:tc>
        <w:tc>
          <w:tcPr>
            <w:tcW w:w="17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75"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6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18"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1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255" w:right="0"/>
              <w:jc w:val="left"/>
              <w:rPr>
                <w:rFonts w:ascii="宋体" w:hAnsi="宋体" w:cs="宋体" w:eastAsia="宋体" w:hint="default"/>
                <w:sz w:val="15"/>
                <w:szCs w:val="15"/>
              </w:rPr>
            </w:pPr>
            <w:r>
              <w:rPr>
                <w:rFonts w:ascii="宋体" w:hAnsi="宋体" w:cs="宋体" w:eastAsia="宋体" w:hint="default"/>
                <w:sz w:val="15"/>
                <w:szCs w:val="15"/>
              </w:rPr>
              <w:t>账面价值</w:t>
            </w:r>
          </w:p>
        </w:tc>
        <w:tc>
          <w:tcPr>
            <w:tcW w:w="17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75"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5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71"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14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268" w:right="0"/>
              <w:jc w:val="left"/>
              <w:rPr>
                <w:rFonts w:ascii="宋体" w:hAnsi="宋体" w:cs="宋体" w:eastAsia="宋体" w:hint="default"/>
                <w:sz w:val="15"/>
                <w:szCs w:val="15"/>
              </w:rPr>
            </w:pPr>
            <w:r>
              <w:rPr>
                <w:rFonts w:ascii="宋体" w:hAnsi="宋体" w:cs="宋体" w:eastAsia="宋体" w:hint="default"/>
                <w:sz w:val="15"/>
                <w:szCs w:val="15"/>
              </w:rPr>
              <w:t>账面价值</w:t>
            </w:r>
          </w:p>
        </w:tc>
      </w:tr>
      <w:tr>
        <w:trPr>
          <w:trHeight w:val="754" w:hRule="exact"/>
        </w:trPr>
        <w:tc>
          <w:tcPr>
            <w:tcW w:w="840" w:type="dxa"/>
            <w:vMerge/>
            <w:tcBorders>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比例</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432" w:lineRule="auto" w:before="74"/>
              <w:ind w:left="128" w:right="126"/>
              <w:jc w:val="left"/>
              <w:rPr>
                <w:rFonts w:ascii="宋体" w:hAnsi="宋体" w:cs="宋体" w:eastAsia="宋体" w:hint="default"/>
                <w:sz w:val="15"/>
                <w:szCs w:val="15"/>
              </w:rPr>
            </w:pPr>
            <w:r>
              <w:rPr>
                <w:rFonts w:ascii="宋体" w:hAnsi="宋体" w:cs="宋体" w:eastAsia="宋体" w:hint="default"/>
                <w:sz w:val="15"/>
                <w:szCs w:val="15"/>
              </w:rPr>
              <w:t>计提 比例</w:t>
            </w:r>
          </w:p>
        </w:tc>
        <w:tc>
          <w:tcPr>
            <w:tcW w:w="1123" w:type="dxa"/>
            <w:vMerge/>
            <w:tcBorders>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比例</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517" w:type="dxa"/>
            <w:tcBorders>
              <w:top w:val="single" w:sz="4" w:space="0" w:color="000000"/>
              <w:left w:val="single" w:sz="4" w:space="0" w:color="000000"/>
              <w:bottom w:val="single" w:sz="4" w:space="0" w:color="000000"/>
              <w:right w:val="single" w:sz="4" w:space="0" w:color="000000"/>
            </w:tcBorders>
          </w:tcPr>
          <w:p>
            <w:pPr>
              <w:pStyle w:val="TableParagraph"/>
              <w:spacing w:line="432" w:lineRule="auto" w:before="74"/>
              <w:ind w:left="103" w:right="102"/>
              <w:jc w:val="left"/>
              <w:rPr>
                <w:rFonts w:ascii="宋体" w:hAnsi="宋体" w:cs="宋体" w:eastAsia="宋体" w:hint="default"/>
                <w:sz w:val="15"/>
                <w:szCs w:val="15"/>
              </w:rPr>
            </w:pPr>
            <w:r>
              <w:rPr>
                <w:rFonts w:ascii="宋体" w:hAnsi="宋体" w:cs="宋体" w:eastAsia="宋体" w:hint="default"/>
                <w:sz w:val="15"/>
                <w:szCs w:val="15"/>
              </w:rPr>
              <w:t>计提 比例</w:t>
            </w:r>
          </w:p>
        </w:tc>
        <w:tc>
          <w:tcPr>
            <w:tcW w:w="1148" w:type="dxa"/>
            <w:vMerge/>
            <w:tcBorders>
              <w:left w:val="single" w:sz="4" w:space="0" w:color="000000"/>
              <w:bottom w:val="single" w:sz="4" w:space="0" w:color="000000"/>
              <w:right w:val="single" w:sz="4" w:space="0" w:color="000000"/>
            </w:tcBorders>
          </w:tcPr>
          <w:p>
            <w:pPr/>
          </w:p>
        </w:tc>
      </w:tr>
      <w:tr>
        <w:trPr>
          <w:trHeight w:val="1338"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5"/>
              <w:ind w:left="22" w:right="57"/>
              <w:jc w:val="both"/>
              <w:rPr>
                <w:rFonts w:ascii="宋体" w:hAnsi="宋体" w:cs="宋体" w:eastAsia="宋体" w:hint="default"/>
                <w:sz w:val="15"/>
                <w:szCs w:val="15"/>
              </w:rPr>
            </w:pPr>
            <w:r>
              <w:rPr>
                <w:rFonts w:ascii="宋体" w:hAnsi="宋体" w:cs="宋体" w:eastAsia="宋体" w:hint="default"/>
                <w:sz w:val="15"/>
                <w:szCs w:val="15"/>
              </w:rPr>
              <w:t>按信用风险 特征组合计 提坏账准备 的应收账款</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36" w:right="0"/>
              <w:jc w:val="center"/>
              <w:rPr>
                <w:rFonts w:ascii="宋体" w:hAnsi="宋体" w:cs="宋体" w:eastAsia="宋体" w:hint="default"/>
                <w:sz w:val="15"/>
                <w:szCs w:val="15"/>
              </w:rPr>
            </w:pPr>
            <w:r>
              <w:rPr>
                <w:rFonts w:ascii="宋体"/>
                <w:sz w:val="15"/>
              </w:rPr>
              <w:t>573,735,831.81</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37" w:right="0"/>
              <w:jc w:val="center"/>
              <w:rPr>
                <w:rFonts w:ascii="宋体" w:hAnsi="宋体" w:cs="宋体" w:eastAsia="宋体" w:hint="default"/>
                <w:sz w:val="15"/>
                <w:szCs w:val="15"/>
              </w:rPr>
            </w:pPr>
            <w:r>
              <w:rPr>
                <w:rFonts w:ascii="宋体"/>
                <w:sz w:val="15"/>
              </w:rPr>
              <w:t>100.00%</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50" w:right="0"/>
              <w:jc w:val="center"/>
              <w:rPr>
                <w:rFonts w:ascii="宋体" w:hAnsi="宋体" w:cs="宋体" w:eastAsia="宋体" w:hint="default"/>
                <w:sz w:val="15"/>
                <w:szCs w:val="15"/>
              </w:rPr>
            </w:pPr>
            <w:r>
              <w:rPr>
                <w:rFonts w:ascii="宋体"/>
                <w:sz w:val="15"/>
              </w:rPr>
              <w:t>85,164,774.80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14.84%</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488,571,057.01</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36" w:right="0"/>
              <w:jc w:val="center"/>
              <w:rPr>
                <w:rFonts w:ascii="宋体" w:hAnsi="宋体" w:cs="宋体" w:eastAsia="宋体" w:hint="default"/>
                <w:sz w:val="15"/>
                <w:szCs w:val="15"/>
              </w:rPr>
            </w:pPr>
            <w:r>
              <w:rPr>
                <w:rFonts w:ascii="宋体"/>
                <w:sz w:val="15"/>
              </w:rPr>
              <w:t>574,547,080.25</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35" w:right="0"/>
              <w:jc w:val="center"/>
              <w:rPr>
                <w:rFonts w:ascii="宋体" w:hAnsi="宋体" w:cs="宋体" w:eastAsia="宋体" w:hint="default"/>
                <w:sz w:val="15"/>
                <w:szCs w:val="15"/>
              </w:rPr>
            </w:pPr>
            <w:r>
              <w:rPr>
                <w:rFonts w:ascii="宋体"/>
                <w:sz w:val="15"/>
              </w:rPr>
              <w:t>100.00%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5"/>
                <w:szCs w:val="15"/>
              </w:rPr>
            </w:pPr>
            <w:r>
              <w:rPr>
                <w:rFonts w:ascii="宋体"/>
                <w:sz w:val="15"/>
              </w:rPr>
              <w:t>73,891,576.87</w:t>
            </w:r>
          </w:p>
        </w:tc>
        <w:tc>
          <w:tcPr>
            <w:tcW w:w="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12.86%</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500,655,503.38</w:t>
            </w:r>
          </w:p>
        </w:tc>
      </w:tr>
      <w:tr>
        <w:trPr>
          <w:trHeight w:val="403"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64"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6" w:right="0"/>
              <w:jc w:val="center"/>
              <w:rPr>
                <w:rFonts w:ascii="宋体" w:hAnsi="宋体" w:cs="宋体" w:eastAsia="宋体" w:hint="default"/>
                <w:sz w:val="15"/>
                <w:szCs w:val="15"/>
              </w:rPr>
            </w:pPr>
            <w:r>
              <w:rPr>
                <w:rFonts w:ascii="宋体"/>
                <w:sz w:val="15"/>
              </w:rPr>
              <w:t>573,735,831.81</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7" w:right="0"/>
              <w:jc w:val="center"/>
              <w:rPr>
                <w:rFonts w:ascii="宋体" w:hAnsi="宋体" w:cs="宋体" w:eastAsia="宋体" w:hint="default"/>
                <w:sz w:val="15"/>
                <w:szCs w:val="15"/>
              </w:rPr>
            </w:pPr>
            <w:r>
              <w:rPr>
                <w:rFonts w:ascii="宋体"/>
                <w:sz w:val="15"/>
              </w:rPr>
              <w:t>100.00%</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0" w:right="0"/>
              <w:jc w:val="center"/>
              <w:rPr>
                <w:rFonts w:ascii="宋体" w:hAnsi="宋体" w:cs="宋体" w:eastAsia="宋体" w:hint="default"/>
                <w:sz w:val="15"/>
                <w:szCs w:val="15"/>
              </w:rPr>
            </w:pPr>
            <w:r>
              <w:rPr>
                <w:rFonts w:ascii="宋体"/>
                <w:sz w:val="15"/>
              </w:rPr>
              <w:t>85,164,774.80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5"/>
                <w:szCs w:val="15"/>
              </w:rPr>
            </w:pPr>
            <w:r>
              <w:rPr>
                <w:rFonts w:ascii="宋体"/>
                <w:spacing w:val="-1"/>
                <w:sz w:val="15"/>
              </w:rPr>
              <w:t>14.84%</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宋体" w:hAnsi="宋体" w:cs="宋体" w:eastAsia="宋体" w:hint="default"/>
                <w:sz w:val="15"/>
                <w:szCs w:val="15"/>
              </w:rPr>
            </w:pPr>
            <w:r>
              <w:rPr>
                <w:rFonts w:ascii="宋体"/>
                <w:spacing w:val="-1"/>
                <w:sz w:val="15"/>
              </w:rPr>
              <w:t>488,571,057.01</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6" w:right="0"/>
              <w:jc w:val="center"/>
              <w:rPr>
                <w:rFonts w:ascii="宋体" w:hAnsi="宋体" w:cs="宋体" w:eastAsia="宋体" w:hint="default"/>
                <w:sz w:val="15"/>
                <w:szCs w:val="15"/>
              </w:rPr>
            </w:pPr>
            <w:r>
              <w:rPr>
                <w:rFonts w:ascii="宋体"/>
                <w:sz w:val="15"/>
              </w:rPr>
              <w:t>574,547,080.25</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5" w:right="0"/>
              <w:jc w:val="center"/>
              <w:rPr>
                <w:rFonts w:ascii="宋体" w:hAnsi="宋体" w:cs="宋体" w:eastAsia="宋体" w:hint="default"/>
                <w:sz w:val="15"/>
                <w:szCs w:val="15"/>
              </w:rPr>
            </w:pPr>
            <w:r>
              <w:rPr>
                <w:rFonts w:ascii="宋体"/>
                <w:sz w:val="15"/>
              </w:rPr>
              <w:t>100.00%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 w:right="0"/>
              <w:jc w:val="center"/>
              <w:rPr>
                <w:rFonts w:ascii="宋体" w:hAnsi="宋体" w:cs="宋体" w:eastAsia="宋体" w:hint="default"/>
                <w:sz w:val="15"/>
                <w:szCs w:val="15"/>
              </w:rPr>
            </w:pPr>
            <w:r>
              <w:rPr>
                <w:rFonts w:ascii="宋体"/>
                <w:sz w:val="15"/>
              </w:rPr>
              <w:t>73,891,576.87</w:t>
            </w:r>
          </w:p>
        </w:tc>
        <w:tc>
          <w:tcPr>
            <w:tcW w:w="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5"/>
                <w:szCs w:val="15"/>
              </w:rPr>
            </w:pPr>
            <w:r>
              <w:rPr>
                <w:rFonts w:ascii="宋体"/>
                <w:spacing w:val="-1"/>
                <w:sz w:val="15"/>
              </w:rPr>
              <w:t>12.86%</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宋体" w:hAnsi="宋体" w:cs="宋体" w:eastAsia="宋体" w:hint="default"/>
                <w:sz w:val="15"/>
                <w:szCs w:val="15"/>
              </w:rPr>
            </w:pPr>
            <w:r>
              <w:rPr>
                <w:rFonts w:ascii="宋体"/>
                <w:spacing w:val="-1"/>
                <w:sz w:val="15"/>
              </w:rPr>
              <w:t>500,655,503.38</w:t>
            </w:r>
          </w:p>
        </w:tc>
      </w:tr>
    </w:tbl>
    <w:p>
      <w:pPr>
        <w:spacing w:line="240" w:lineRule="auto" w:before="9"/>
        <w:rPr>
          <w:rFonts w:ascii="宋体" w:hAnsi="宋体" w:cs="宋体" w:eastAsia="宋体" w:hint="default"/>
          <w:sz w:val="6"/>
          <w:szCs w:val="6"/>
        </w:rPr>
      </w:pPr>
    </w:p>
    <w:p>
      <w:pPr>
        <w:pStyle w:val="BodyText"/>
        <w:spacing w:line="240" w:lineRule="auto" w:before="44"/>
        <w:ind w:left="1134" w:right="0"/>
        <w:jc w:val="left"/>
      </w:pPr>
      <w:r>
        <w:rPr/>
        <w:t>期末单项金额重大并单项计提坏账准备的应收账款：</w:t>
      </w:r>
    </w:p>
    <w:p>
      <w:pPr>
        <w:pStyle w:val="BodyText"/>
        <w:spacing w:line="240" w:lineRule="auto" w:before="116"/>
        <w:ind w:left="1134" w:right="0"/>
        <w:jc w:val="left"/>
      </w:pPr>
      <w:r>
        <w:rPr/>
        <w:t>□ 适用 √ 不适用</w:t>
      </w:r>
    </w:p>
    <w:p>
      <w:pPr>
        <w:spacing w:line="240" w:lineRule="auto" w:before="7"/>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10" w:h="16840"/>
          <w:pgMar w:header="0" w:footer="1187" w:top="1100" w:bottom="1380" w:left="0" w:right="0"/>
        </w:sectPr>
      </w:pPr>
    </w:p>
    <w:p>
      <w:pPr>
        <w:pStyle w:val="BodyText"/>
        <w:spacing w:line="240" w:lineRule="auto" w:before="44"/>
        <w:ind w:left="1134" w:right="-20"/>
        <w:jc w:val="left"/>
      </w:pPr>
      <w:r>
        <w:rPr/>
        <w:t>组合中，按账龄分析法计提坏账准备的应收账款：</w:t>
      </w:r>
    </w:p>
    <w:p>
      <w:pPr>
        <w:pStyle w:val="BodyText"/>
        <w:spacing w:line="240" w:lineRule="auto" w:before="117"/>
        <w:ind w:left="1134"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left="1115" w:right="1291"/>
        <w:jc w:val="center"/>
      </w:pPr>
      <w:r>
        <w:rPr/>
        <w:t>单位： 元</w:t>
      </w:r>
    </w:p>
    <w:p>
      <w:pPr>
        <w:spacing w:after="0" w:line="240" w:lineRule="auto"/>
        <w:jc w:val="center"/>
        <w:sectPr>
          <w:type w:val="continuous"/>
          <w:pgSz w:w="11910" w:h="16840"/>
          <w:pgMar w:top="1580" w:bottom="840" w:left="0" w:right="0"/>
          <w:cols w:num="2" w:equalWidth="0">
            <w:col w:w="5095" w:space="3555"/>
            <w:col w:w="326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494"/>
        <w:gridCol w:w="2295"/>
        <w:gridCol w:w="2391"/>
        <w:gridCol w:w="2389"/>
      </w:tblGrid>
      <w:tr>
        <w:trPr>
          <w:trHeight w:val="402" w:hRule="exact"/>
        </w:trPr>
        <w:tc>
          <w:tcPr>
            <w:tcW w:w="249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478,972,279.55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23,948,613.98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21,536,105.72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2,153,610.57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9,695,095.23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2,908,528.57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30.00%</w:t>
            </w:r>
          </w:p>
        </w:tc>
      </w:tr>
    </w:tbl>
    <w:p>
      <w:pPr>
        <w:spacing w:after="0" w:line="240" w:lineRule="auto"/>
        <w:jc w:val="right"/>
        <w:rPr>
          <w:rFonts w:ascii="宋体" w:hAnsi="宋体" w:cs="宋体" w:eastAsia="宋体" w:hint="default"/>
          <w:sz w:val="18"/>
          <w:szCs w:val="18"/>
        </w:rPr>
        <w:sectPr>
          <w:type w:val="continuous"/>
          <w:pgSz w:w="11910" w:h="16840"/>
          <w:pgMar w:top="1580" w:bottom="84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2494"/>
        <w:gridCol w:w="2295"/>
        <w:gridCol w:w="2391"/>
        <w:gridCol w:w="2389"/>
      </w:tblGrid>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15,450,025.42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15,450,025.42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27,500,890.50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27,500,890.50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13,203,105.76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13,203,105.76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566,357,502.18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85,164,774.80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15.04%</w:t>
            </w:r>
          </w:p>
        </w:tc>
      </w:tr>
    </w:tbl>
    <w:p>
      <w:pPr>
        <w:spacing w:line="240" w:lineRule="auto" w:before="9"/>
        <w:rPr>
          <w:rFonts w:ascii="宋体" w:hAnsi="宋体" w:cs="宋体" w:eastAsia="宋体" w:hint="default"/>
          <w:sz w:val="6"/>
          <w:szCs w:val="6"/>
        </w:rPr>
      </w:pPr>
    </w:p>
    <w:p>
      <w:pPr>
        <w:pStyle w:val="BodyText"/>
        <w:spacing w:line="240" w:lineRule="auto" w:before="44"/>
        <w:ind w:left="1134" w:right="0"/>
        <w:jc w:val="left"/>
      </w:pPr>
      <w:r>
        <w:rPr/>
        <w:t>组合中，采用余额百分比法计提坏账准备的应收账款：</w:t>
      </w:r>
    </w:p>
    <w:p>
      <w:pPr>
        <w:pStyle w:val="BodyText"/>
        <w:spacing w:line="439" w:lineRule="auto" w:before="117"/>
        <w:ind w:left="1134" w:right="6792"/>
        <w:jc w:val="left"/>
      </w:pPr>
      <w:r>
        <w:rPr/>
        <w:t>□ 适用 √ 不适用 组合中，采用其他方法计提坏账准备的应收账款：</w:t>
      </w:r>
    </w:p>
    <w:p>
      <w:pPr>
        <w:pStyle w:val="BodyText"/>
        <w:spacing w:line="202" w:lineRule="exact"/>
        <w:ind w:left="1494" w:right="0"/>
        <w:jc w:val="left"/>
      </w:pPr>
      <w:r>
        <w:rPr/>
        <w:t>应收账款中，对合并范围内的子公司的应收款项</w:t>
      </w:r>
      <w:r>
        <w:rPr>
          <w:rFonts w:ascii="宋体" w:hAnsi="宋体" w:cs="宋体" w:eastAsia="宋体" w:hint="default"/>
        </w:rPr>
        <w:t>7,378,329.63</w:t>
      </w:r>
      <w:r>
        <w:rPr/>
        <w:t>元，不计提坏账准备。</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本期计提、收回或转回的坏账准备情况" w:id="331"/>
      <w:bookmarkEnd w:id="331"/>
      <w:r>
        <w:rPr>
          <w:b w:val="0"/>
          <w:bCs w:val="0"/>
        </w:rPr>
      </w:r>
      <w:r>
        <w:rPr/>
        <w:t>（</w:t>
      </w:r>
      <w:r>
        <w:rPr>
          <w:rFonts w:ascii="宋体" w:hAnsi="宋体" w:cs="宋体" w:eastAsia="宋体" w:hint="default"/>
        </w:rPr>
        <w:t>2</w:t>
      </w:r>
      <w:r>
        <w:rPr/>
        <w:t>）本期计提、收回或转回的坏账准备情况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1493" w:right="0"/>
        <w:jc w:val="left"/>
      </w:pPr>
      <w:r>
        <w:rPr/>
        <w:t>本期计提坏账准备金额</w:t>
      </w:r>
      <w:r>
        <w:rPr>
          <w:spacing w:val="-46"/>
        </w:rPr>
        <w:t> </w:t>
      </w:r>
      <w:r>
        <w:rPr>
          <w:rFonts w:ascii="宋体" w:hAnsi="宋体" w:cs="宋体" w:eastAsia="宋体" w:hint="default"/>
        </w:rPr>
        <w:t>11,273,197.93</w:t>
      </w:r>
      <w:r>
        <w:rPr>
          <w:rFonts w:ascii="宋体" w:hAnsi="宋体" w:cs="宋体" w:eastAsia="宋体" w:hint="default"/>
          <w:spacing w:val="-46"/>
        </w:rPr>
        <w:t> </w:t>
      </w:r>
      <w:r>
        <w:rPr/>
        <w:t>元；本期收回或转回坏账准备金额</w:t>
      </w:r>
      <w:r>
        <w:rPr>
          <w:spacing w:val="-46"/>
        </w:rPr>
        <w:t> </w:t>
      </w:r>
      <w:r>
        <w:rPr>
          <w:rFonts w:ascii="宋体" w:hAnsi="宋体" w:cs="宋体" w:eastAsia="宋体" w:hint="default"/>
        </w:rPr>
        <w:t>0.00</w:t>
      </w:r>
      <w:r>
        <w:rPr>
          <w:rFonts w:ascii="宋体" w:hAnsi="宋体" w:cs="宋体" w:eastAsia="宋体" w:hint="default"/>
          <w:spacing w:val="-46"/>
        </w:rPr>
        <w:t> </w:t>
      </w:r>
      <w:r>
        <w:rPr/>
        <w:t>元。</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按欠款方归集的期末余额前五名的应收账款情况" w:id="332"/>
      <w:bookmarkEnd w:id="332"/>
      <w:r>
        <w:rPr>
          <w:b w:val="0"/>
          <w:bCs w:val="0"/>
        </w:rPr>
      </w:r>
      <w:r>
        <w:rPr/>
        <w:t>（</w:t>
      </w:r>
      <w:r>
        <w:rPr>
          <w:rFonts w:ascii="宋体" w:hAnsi="宋体" w:cs="宋体" w:eastAsia="宋体" w:hint="default"/>
        </w:rPr>
        <w:t>3</w:t>
      </w:r>
      <w:r>
        <w:rPr/>
        <w:t>）按欠款方归集的期末余额前五名的应收账款情况</w:t>
      </w:r>
      <w:r>
        <w:rPr>
          <w:b w:val="0"/>
          <w:bCs w:val="0"/>
        </w:rPr>
      </w:r>
    </w:p>
    <w:p>
      <w:pPr>
        <w:spacing w:line="240" w:lineRule="auto" w:before="11"/>
        <w:rPr>
          <w:rFonts w:ascii="宋体" w:hAnsi="宋体" w:cs="宋体" w:eastAsia="宋体" w:hint="default"/>
          <w:b/>
          <w:bCs/>
          <w:sz w:val="27"/>
          <w:szCs w:val="27"/>
        </w:rPr>
      </w:pPr>
    </w:p>
    <w:p>
      <w:pPr>
        <w:pStyle w:val="BodyText"/>
        <w:spacing w:line="316" w:lineRule="auto"/>
        <w:ind w:right="0" w:firstLine="360"/>
        <w:jc w:val="left"/>
      </w:pPr>
      <w:r>
        <w:rPr>
          <w:spacing w:val="-2"/>
        </w:rPr>
        <w:t>截至期末按欠款方归集的期末余额前五名应收账款汇总金额为</w:t>
      </w:r>
      <w:r>
        <w:rPr>
          <w:rFonts w:ascii="宋体" w:hAnsi="宋体" w:cs="宋体" w:eastAsia="宋体" w:hint="default"/>
          <w:spacing w:val="-2"/>
        </w:rPr>
        <w:t>106,963,201.33</w:t>
      </w:r>
      <w:r>
        <w:rPr>
          <w:spacing w:val="-2"/>
        </w:rPr>
        <w:t>元，占应收账款期末余额合计数的比例为</w:t>
      </w:r>
      <w:r>
        <w:rPr/>
        <w:t> </w:t>
      </w:r>
      <w:r>
        <w:rPr>
          <w:rFonts w:ascii="宋体" w:hAnsi="宋体" w:cs="宋体" w:eastAsia="宋体" w:hint="default"/>
        </w:rPr>
        <w:t>18.64%</w:t>
      </w:r>
      <w:r>
        <w:rPr/>
        <w:t>，相应计提的坏账准备期末余额汇总金额为</w:t>
      </w:r>
      <w:r>
        <w:rPr>
          <w:rFonts w:ascii="宋体" w:hAnsi="宋体" w:cs="宋体" w:eastAsia="宋体" w:hint="default"/>
        </w:rPr>
        <w:t>29,281,784.57</w:t>
      </w:r>
      <w:r>
        <w:rPr/>
        <w:t>元。</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其他应收款" w:id="333"/>
      <w:bookmarkEnd w:id="333"/>
      <w:r>
        <w:rPr>
          <w:b w:val="0"/>
          <w:bCs w:val="0"/>
        </w:rPr>
      </w:r>
      <w:r>
        <w:rPr>
          <w:rFonts w:ascii="宋体" w:hAnsi="宋体" w:cs="宋体" w:eastAsia="宋体" w:hint="default"/>
        </w:rPr>
        <w:t>2</w:t>
      </w:r>
      <w:r>
        <w:rPr/>
        <w:t>、其他应收款</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bookmarkStart w:name="（1）其他应收款分类披露" w:id="334"/>
      <w:bookmarkEnd w:id="334"/>
      <w:r>
        <w:rPr>
          <w:b w:val="0"/>
          <w:bCs w:val="0"/>
        </w:rPr>
      </w:r>
      <w:r>
        <w:rPr/>
        <w:t>（</w:t>
      </w:r>
      <w:r>
        <w:rPr>
          <w:rFonts w:ascii="宋体" w:hAnsi="宋体" w:cs="宋体" w:eastAsia="宋体" w:hint="default"/>
        </w:rPr>
        <w:t>1</w:t>
      </w:r>
      <w:r>
        <w:rPr/>
        <w:t>）其他应收款分类披露</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0" w:right="131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981"/>
        <w:gridCol w:w="1063"/>
        <w:gridCol w:w="617"/>
        <w:gridCol w:w="966"/>
        <w:gridCol w:w="476"/>
        <w:gridCol w:w="1064"/>
        <w:gridCol w:w="1072"/>
        <w:gridCol w:w="607"/>
        <w:gridCol w:w="1023"/>
        <w:gridCol w:w="497"/>
        <w:gridCol w:w="1202"/>
      </w:tblGrid>
      <w:tr>
        <w:trPr>
          <w:trHeight w:val="402" w:hRule="exact"/>
        </w:trPr>
        <w:tc>
          <w:tcPr>
            <w:tcW w:w="98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类别</w:t>
            </w:r>
          </w:p>
        </w:tc>
        <w:tc>
          <w:tcPr>
            <w:tcW w:w="418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440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402" w:hRule="exact"/>
        </w:trPr>
        <w:tc>
          <w:tcPr>
            <w:tcW w:w="981" w:type="dxa"/>
            <w:vMerge/>
            <w:tcBorders>
              <w:left w:val="single" w:sz="4" w:space="0" w:color="000000"/>
              <w:right w:val="single" w:sz="4" w:space="0" w:color="000000"/>
            </w:tcBorders>
          </w:tcPr>
          <w:p>
            <w:pPr/>
          </w:p>
        </w:tc>
        <w:tc>
          <w:tcPr>
            <w:tcW w:w="16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33"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4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15"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7" w:right="0"/>
              <w:jc w:val="left"/>
              <w:rPr>
                <w:rFonts w:ascii="宋体" w:hAnsi="宋体" w:cs="宋体" w:eastAsia="宋体" w:hint="default"/>
                <w:sz w:val="15"/>
                <w:szCs w:val="15"/>
              </w:rPr>
            </w:pPr>
            <w:r>
              <w:rPr>
                <w:rFonts w:ascii="宋体" w:hAnsi="宋体" w:cs="宋体" w:eastAsia="宋体" w:hint="default"/>
                <w:sz w:val="15"/>
                <w:szCs w:val="15"/>
              </w:rPr>
              <w:t>账面价值</w:t>
            </w:r>
          </w:p>
        </w:tc>
        <w:tc>
          <w:tcPr>
            <w:tcW w:w="16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33"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5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53"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5" w:right="0"/>
              <w:jc w:val="left"/>
              <w:rPr>
                <w:rFonts w:ascii="宋体" w:hAnsi="宋体" w:cs="宋体" w:eastAsia="宋体" w:hint="default"/>
                <w:sz w:val="15"/>
                <w:szCs w:val="15"/>
              </w:rPr>
            </w:pPr>
            <w:r>
              <w:rPr>
                <w:rFonts w:ascii="宋体" w:hAnsi="宋体" w:cs="宋体" w:eastAsia="宋体" w:hint="default"/>
                <w:sz w:val="15"/>
                <w:szCs w:val="15"/>
              </w:rPr>
              <w:t>账面价值</w:t>
            </w:r>
          </w:p>
        </w:tc>
      </w:tr>
      <w:tr>
        <w:trPr>
          <w:trHeight w:val="714" w:hRule="exact"/>
        </w:trPr>
        <w:tc>
          <w:tcPr>
            <w:tcW w:w="981" w:type="dxa"/>
            <w:vMerge/>
            <w:tcBorders>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比例</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金额</w:t>
            </w:r>
          </w:p>
        </w:tc>
        <w:tc>
          <w:tcPr>
            <w:tcW w:w="47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82" w:right="81"/>
              <w:jc w:val="left"/>
              <w:rPr>
                <w:rFonts w:ascii="宋体" w:hAnsi="宋体" w:cs="宋体" w:eastAsia="宋体" w:hint="default"/>
                <w:sz w:val="15"/>
                <w:szCs w:val="15"/>
              </w:rPr>
            </w:pPr>
            <w:r>
              <w:rPr>
                <w:rFonts w:ascii="宋体" w:hAnsi="宋体" w:cs="宋体" w:eastAsia="宋体" w:hint="default"/>
                <w:sz w:val="15"/>
                <w:szCs w:val="15"/>
              </w:rPr>
              <w:t>计提 比例</w:t>
            </w:r>
          </w:p>
        </w:tc>
        <w:tc>
          <w:tcPr>
            <w:tcW w:w="1064" w:type="dxa"/>
            <w:vMerge/>
            <w:tcBorders>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金额</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比例</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金额</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93" w:right="91"/>
              <w:jc w:val="left"/>
              <w:rPr>
                <w:rFonts w:ascii="宋体" w:hAnsi="宋体" w:cs="宋体" w:eastAsia="宋体" w:hint="default"/>
                <w:sz w:val="15"/>
                <w:szCs w:val="15"/>
              </w:rPr>
            </w:pPr>
            <w:r>
              <w:rPr>
                <w:rFonts w:ascii="宋体" w:hAnsi="宋体" w:cs="宋体" w:eastAsia="宋体" w:hint="default"/>
                <w:sz w:val="15"/>
                <w:szCs w:val="15"/>
              </w:rPr>
              <w:t>计提 比例</w:t>
            </w:r>
          </w:p>
        </w:tc>
        <w:tc>
          <w:tcPr>
            <w:tcW w:w="1202" w:type="dxa"/>
            <w:vMerge/>
            <w:tcBorders>
              <w:left w:val="single" w:sz="4" w:space="0" w:color="000000"/>
              <w:bottom w:val="single" w:sz="4" w:space="0" w:color="000000"/>
              <w:right w:val="single" w:sz="4" w:space="0" w:color="000000"/>
            </w:tcBorders>
          </w:tcPr>
          <w:p>
            <w:pPr/>
          </w:p>
        </w:tc>
      </w:tr>
      <w:tr>
        <w:trPr>
          <w:trHeight w:val="1338" w:hRule="exact"/>
        </w:trPr>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47"/>
              <w:jc w:val="both"/>
              <w:rPr>
                <w:rFonts w:ascii="宋体" w:hAnsi="宋体" w:cs="宋体" w:eastAsia="宋体" w:hint="default"/>
                <w:sz w:val="15"/>
                <w:szCs w:val="15"/>
              </w:rPr>
            </w:pPr>
            <w:r>
              <w:rPr>
                <w:rFonts w:ascii="宋体" w:hAnsi="宋体" w:cs="宋体" w:eastAsia="宋体" w:hint="default"/>
                <w:sz w:val="15"/>
                <w:szCs w:val="15"/>
              </w:rPr>
              <w:t>按信用风险特 征组合计提坏 账准备的其他 应收款</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3" w:right="0"/>
              <w:jc w:val="center"/>
              <w:rPr>
                <w:rFonts w:ascii="宋体" w:hAnsi="宋体" w:cs="宋体" w:eastAsia="宋体" w:hint="default"/>
                <w:sz w:val="15"/>
                <w:szCs w:val="15"/>
              </w:rPr>
            </w:pPr>
            <w:r>
              <w:rPr>
                <w:rFonts w:ascii="宋体"/>
                <w:sz w:val="15"/>
              </w:rPr>
              <w:t>96,049,825.82</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7" w:right="0"/>
              <w:jc w:val="center"/>
              <w:rPr>
                <w:rFonts w:ascii="宋体" w:hAnsi="宋体" w:cs="宋体" w:eastAsia="宋体" w:hint="default"/>
                <w:sz w:val="15"/>
                <w:szCs w:val="15"/>
              </w:rPr>
            </w:pPr>
            <w:r>
              <w:rPr>
                <w:rFonts w:ascii="宋体"/>
                <w:sz w:val="15"/>
              </w:rPr>
              <w:t>100.00%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8" w:right="0"/>
              <w:jc w:val="center"/>
              <w:rPr>
                <w:rFonts w:ascii="宋体" w:hAnsi="宋体" w:cs="宋体" w:eastAsia="宋体" w:hint="default"/>
                <w:sz w:val="15"/>
                <w:szCs w:val="15"/>
              </w:rPr>
            </w:pPr>
            <w:r>
              <w:rPr>
                <w:rFonts w:ascii="宋体"/>
                <w:sz w:val="15"/>
              </w:rPr>
              <w:t>2,284,449.01</w:t>
            </w:r>
          </w:p>
        </w:tc>
        <w:tc>
          <w:tcPr>
            <w:tcW w:w="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5" w:right="0"/>
              <w:jc w:val="center"/>
              <w:rPr>
                <w:rFonts w:ascii="宋体" w:hAnsi="宋体" w:cs="宋体" w:eastAsia="宋体" w:hint="default"/>
                <w:sz w:val="15"/>
                <w:szCs w:val="15"/>
              </w:rPr>
            </w:pPr>
            <w:r>
              <w:rPr>
                <w:rFonts w:ascii="宋体"/>
                <w:sz w:val="15"/>
              </w:rPr>
              <w:t>2.38%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4" w:right="0"/>
              <w:jc w:val="center"/>
              <w:rPr>
                <w:rFonts w:ascii="宋体" w:hAnsi="宋体" w:cs="宋体" w:eastAsia="宋体" w:hint="default"/>
                <w:sz w:val="15"/>
                <w:szCs w:val="15"/>
              </w:rPr>
            </w:pPr>
            <w:r>
              <w:rPr>
                <w:rFonts w:ascii="宋体"/>
                <w:sz w:val="15"/>
              </w:rPr>
              <w:t>93,765,376.81</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9" w:right="0"/>
              <w:jc w:val="center"/>
              <w:rPr>
                <w:rFonts w:ascii="宋体" w:hAnsi="宋体" w:cs="宋体" w:eastAsia="宋体" w:hint="default"/>
                <w:sz w:val="15"/>
                <w:szCs w:val="15"/>
              </w:rPr>
            </w:pPr>
            <w:r>
              <w:rPr>
                <w:rFonts w:ascii="宋体"/>
                <w:sz w:val="15"/>
              </w:rPr>
              <w:t>93,848,765.76</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7" w:right="0"/>
              <w:jc w:val="center"/>
              <w:rPr>
                <w:rFonts w:ascii="宋体" w:hAnsi="宋体" w:cs="宋体" w:eastAsia="宋体" w:hint="default"/>
                <w:sz w:val="15"/>
                <w:szCs w:val="15"/>
              </w:rPr>
            </w:pPr>
            <w:r>
              <w:rPr>
                <w:rFonts w:ascii="宋体"/>
                <w:sz w:val="15"/>
              </w:rPr>
              <w:t>100.00%</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64" w:right="0"/>
              <w:jc w:val="center"/>
              <w:rPr>
                <w:rFonts w:ascii="宋体" w:hAnsi="宋体" w:cs="宋体" w:eastAsia="宋体" w:hint="default"/>
                <w:sz w:val="15"/>
                <w:szCs w:val="15"/>
              </w:rPr>
            </w:pPr>
            <w:r>
              <w:rPr>
                <w:rFonts w:ascii="宋体"/>
                <w:sz w:val="15"/>
              </w:rPr>
              <w:t>3,698,714.53</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67" w:right="0"/>
              <w:jc w:val="center"/>
              <w:rPr>
                <w:rFonts w:ascii="宋体" w:hAnsi="宋体" w:cs="宋体" w:eastAsia="宋体" w:hint="default"/>
                <w:sz w:val="15"/>
                <w:szCs w:val="15"/>
              </w:rPr>
            </w:pPr>
            <w:r>
              <w:rPr>
                <w:rFonts w:ascii="宋体"/>
                <w:sz w:val="15"/>
              </w:rPr>
              <w:t>3.94%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90,150,051.23</w:t>
            </w:r>
          </w:p>
        </w:tc>
      </w:tr>
      <w:tr>
        <w:trPr>
          <w:trHeight w:val="402" w:hRule="exact"/>
        </w:trPr>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5"/>
                <w:szCs w:val="15"/>
              </w:rPr>
            </w:pPr>
            <w:r>
              <w:rPr>
                <w:rFonts w:ascii="宋体" w:hAnsi="宋体" w:cs="宋体" w:eastAsia="宋体" w:hint="default"/>
                <w:sz w:val="15"/>
                <w:szCs w:val="15"/>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3" w:right="0"/>
              <w:jc w:val="center"/>
              <w:rPr>
                <w:rFonts w:ascii="宋体" w:hAnsi="宋体" w:cs="宋体" w:eastAsia="宋体" w:hint="default"/>
                <w:sz w:val="15"/>
                <w:szCs w:val="15"/>
              </w:rPr>
            </w:pPr>
            <w:r>
              <w:rPr>
                <w:rFonts w:ascii="宋体"/>
                <w:sz w:val="15"/>
              </w:rPr>
              <w:t>96,049,825.82</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7" w:right="0"/>
              <w:jc w:val="center"/>
              <w:rPr>
                <w:rFonts w:ascii="宋体" w:hAnsi="宋体" w:cs="宋体" w:eastAsia="宋体" w:hint="default"/>
                <w:sz w:val="15"/>
                <w:szCs w:val="15"/>
              </w:rPr>
            </w:pPr>
            <w:r>
              <w:rPr>
                <w:rFonts w:ascii="宋体"/>
                <w:sz w:val="15"/>
              </w:rPr>
              <w:t>100.00%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8" w:right="0"/>
              <w:jc w:val="center"/>
              <w:rPr>
                <w:rFonts w:ascii="宋体" w:hAnsi="宋体" w:cs="宋体" w:eastAsia="宋体" w:hint="default"/>
                <w:sz w:val="15"/>
                <w:szCs w:val="15"/>
              </w:rPr>
            </w:pPr>
            <w:r>
              <w:rPr>
                <w:rFonts w:ascii="宋体"/>
                <w:sz w:val="15"/>
              </w:rPr>
              <w:t>2,284,449.01</w:t>
            </w:r>
          </w:p>
        </w:tc>
        <w:tc>
          <w:tcPr>
            <w:tcW w:w="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5" w:right="0"/>
              <w:jc w:val="center"/>
              <w:rPr>
                <w:rFonts w:ascii="宋体" w:hAnsi="宋体" w:cs="宋体" w:eastAsia="宋体" w:hint="default"/>
                <w:sz w:val="15"/>
                <w:szCs w:val="15"/>
              </w:rPr>
            </w:pPr>
            <w:r>
              <w:rPr>
                <w:rFonts w:ascii="宋体"/>
                <w:sz w:val="15"/>
              </w:rPr>
              <w:t>2.38%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4" w:right="0"/>
              <w:jc w:val="center"/>
              <w:rPr>
                <w:rFonts w:ascii="宋体" w:hAnsi="宋体" w:cs="宋体" w:eastAsia="宋体" w:hint="default"/>
                <w:sz w:val="15"/>
                <w:szCs w:val="15"/>
              </w:rPr>
            </w:pPr>
            <w:r>
              <w:rPr>
                <w:rFonts w:ascii="宋体"/>
                <w:sz w:val="15"/>
              </w:rPr>
              <w:t>93,765,376.81</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9" w:right="0"/>
              <w:jc w:val="center"/>
              <w:rPr>
                <w:rFonts w:ascii="宋体" w:hAnsi="宋体" w:cs="宋体" w:eastAsia="宋体" w:hint="default"/>
                <w:sz w:val="15"/>
                <w:szCs w:val="15"/>
              </w:rPr>
            </w:pPr>
            <w:r>
              <w:rPr>
                <w:rFonts w:ascii="宋体"/>
                <w:sz w:val="15"/>
              </w:rPr>
              <w:t>93,848,765.76</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7" w:right="0"/>
              <w:jc w:val="center"/>
              <w:rPr>
                <w:rFonts w:ascii="宋体" w:hAnsi="宋体" w:cs="宋体" w:eastAsia="宋体" w:hint="default"/>
                <w:sz w:val="15"/>
                <w:szCs w:val="15"/>
              </w:rPr>
            </w:pPr>
            <w:r>
              <w:rPr>
                <w:rFonts w:ascii="宋体"/>
                <w:sz w:val="15"/>
              </w:rPr>
              <w:t>100.00%</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64" w:right="0"/>
              <w:jc w:val="center"/>
              <w:rPr>
                <w:rFonts w:ascii="宋体" w:hAnsi="宋体" w:cs="宋体" w:eastAsia="宋体" w:hint="default"/>
                <w:sz w:val="15"/>
                <w:szCs w:val="15"/>
              </w:rPr>
            </w:pPr>
            <w:r>
              <w:rPr>
                <w:rFonts w:ascii="宋体"/>
                <w:sz w:val="15"/>
              </w:rPr>
              <w:t>3,698,714.53</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67" w:right="0"/>
              <w:jc w:val="center"/>
              <w:rPr>
                <w:rFonts w:ascii="宋体" w:hAnsi="宋体" w:cs="宋体" w:eastAsia="宋体" w:hint="default"/>
                <w:sz w:val="15"/>
                <w:szCs w:val="15"/>
              </w:rPr>
            </w:pPr>
            <w:r>
              <w:rPr>
                <w:rFonts w:ascii="宋体"/>
                <w:sz w:val="15"/>
              </w:rPr>
              <w:t>3.94%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宋体" w:hAnsi="宋体" w:cs="宋体" w:eastAsia="宋体" w:hint="default"/>
                <w:sz w:val="15"/>
                <w:szCs w:val="15"/>
              </w:rPr>
            </w:pPr>
            <w:r>
              <w:rPr>
                <w:rFonts w:ascii="宋体"/>
                <w:spacing w:val="-1"/>
                <w:sz w:val="15"/>
              </w:rPr>
              <w:t>90,150,051.23</w:t>
            </w:r>
          </w:p>
        </w:tc>
      </w:tr>
    </w:tbl>
    <w:p>
      <w:pPr>
        <w:spacing w:line="240" w:lineRule="auto" w:before="9"/>
        <w:rPr>
          <w:rFonts w:ascii="宋体" w:hAnsi="宋体" w:cs="宋体" w:eastAsia="宋体" w:hint="default"/>
          <w:sz w:val="6"/>
          <w:szCs w:val="6"/>
        </w:rPr>
      </w:pPr>
    </w:p>
    <w:p>
      <w:pPr>
        <w:pStyle w:val="BodyText"/>
        <w:spacing w:line="240" w:lineRule="auto" w:before="44"/>
        <w:ind w:left="1134" w:right="0"/>
        <w:jc w:val="left"/>
      </w:pPr>
      <w:r>
        <w:rPr/>
        <w:t>期末单项金额重大并单项计提坏账准备的其他应收款：</w:t>
      </w:r>
    </w:p>
    <w:p>
      <w:pPr>
        <w:pStyle w:val="BodyText"/>
        <w:spacing w:line="240" w:lineRule="auto" w:before="116"/>
        <w:ind w:left="1134" w:right="0"/>
        <w:jc w:val="left"/>
      </w:pPr>
      <w:r>
        <w:rPr/>
        <w:t>□ 适用 √ 不适用</w:t>
      </w:r>
    </w:p>
    <w:p>
      <w:pPr>
        <w:spacing w:line="240" w:lineRule="auto" w:before="8"/>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10" w:h="16840"/>
          <w:pgMar w:header="0" w:footer="1187" w:top="1100" w:bottom="1380" w:left="0" w:right="0"/>
        </w:sectPr>
      </w:pPr>
    </w:p>
    <w:p>
      <w:pPr>
        <w:pStyle w:val="BodyText"/>
        <w:spacing w:line="240" w:lineRule="auto" w:before="44"/>
        <w:ind w:left="1134" w:right="-20"/>
        <w:jc w:val="left"/>
      </w:pPr>
      <w:r>
        <w:rPr/>
        <w:t>组合中，按账龄分析法计提坏账准备的其他应收款：</w:t>
      </w:r>
    </w:p>
    <w:p>
      <w:pPr>
        <w:pStyle w:val="BodyText"/>
        <w:spacing w:line="240" w:lineRule="auto" w:before="117"/>
        <w:ind w:left="1134"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5" w:right="1291"/>
        <w:jc w:val="center"/>
      </w:pPr>
      <w:r>
        <w:rPr/>
        <w:t>单位： 元</w:t>
      </w:r>
    </w:p>
    <w:p>
      <w:pPr>
        <w:spacing w:after="0" w:line="240" w:lineRule="auto"/>
        <w:jc w:val="center"/>
        <w:sectPr>
          <w:type w:val="continuous"/>
          <w:pgSz w:w="11910" w:h="16840"/>
          <w:pgMar w:top="1580" w:bottom="840" w:left="0" w:right="0"/>
          <w:cols w:num="2" w:equalWidth="0">
            <w:col w:w="5275" w:space="3375"/>
            <w:col w:w="326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494"/>
        <w:gridCol w:w="2295"/>
        <w:gridCol w:w="2391"/>
        <w:gridCol w:w="2392"/>
      </w:tblGrid>
      <w:tr>
        <w:trPr>
          <w:trHeight w:val="402" w:hRule="exact"/>
        </w:trPr>
        <w:tc>
          <w:tcPr>
            <w:tcW w:w="249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494" w:type="dxa"/>
            <w:vMerge/>
            <w:tcBorders>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after="0" w:line="240" w:lineRule="auto"/>
        <w:jc w:val="center"/>
        <w:rPr>
          <w:rFonts w:ascii="宋体" w:hAnsi="宋体" w:cs="宋体" w:eastAsia="宋体" w:hint="default"/>
          <w:sz w:val="18"/>
          <w:szCs w:val="18"/>
        </w:rPr>
        <w:sectPr>
          <w:type w:val="continuous"/>
          <w:pgSz w:w="11910" w:h="16840"/>
          <w:pgMar w:top="1580" w:bottom="84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2494"/>
        <w:gridCol w:w="2295"/>
        <w:gridCol w:w="2391"/>
        <w:gridCol w:w="2389"/>
      </w:tblGrid>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4,839,857.13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241,992.86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2,739,271.64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273,927.16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708,155.23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212,446.57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516,632.40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516,632.40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388,815.59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388,815.59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650,634.43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650,634.43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9,843,366.42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2,284,449.01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23.21%</w:t>
            </w:r>
          </w:p>
        </w:tc>
      </w:tr>
    </w:tbl>
    <w:p>
      <w:pPr>
        <w:spacing w:line="240" w:lineRule="auto" w:before="9"/>
        <w:rPr>
          <w:rFonts w:ascii="宋体" w:hAnsi="宋体" w:cs="宋体" w:eastAsia="宋体" w:hint="default"/>
          <w:sz w:val="6"/>
          <w:szCs w:val="6"/>
        </w:rPr>
      </w:pPr>
    </w:p>
    <w:p>
      <w:pPr>
        <w:pStyle w:val="BodyText"/>
        <w:spacing w:line="240" w:lineRule="auto" w:before="44"/>
        <w:ind w:left="1134" w:right="0"/>
        <w:jc w:val="left"/>
      </w:pPr>
      <w:r>
        <w:rPr/>
        <w:t>组合中，采用余额百分比法计提坏账准备的其他应收款：</w:t>
      </w:r>
    </w:p>
    <w:p>
      <w:pPr>
        <w:pStyle w:val="BodyText"/>
        <w:spacing w:line="439" w:lineRule="auto" w:before="117"/>
        <w:ind w:left="1134" w:right="6612"/>
        <w:jc w:val="left"/>
      </w:pPr>
      <w:r>
        <w:rPr/>
        <w:t>□ 适用 √ 不适用 组合中，采用其他方法计提坏账准备的其他应收款：</w:t>
      </w:r>
    </w:p>
    <w:p>
      <w:pPr>
        <w:pStyle w:val="BodyText"/>
        <w:spacing w:line="203" w:lineRule="exact"/>
        <w:ind w:left="1134" w:right="0"/>
        <w:jc w:val="left"/>
      </w:pPr>
      <w:r>
        <w:rPr/>
        <w:t>√ 适用 □ 不适用</w:t>
      </w:r>
    </w:p>
    <w:p>
      <w:pPr>
        <w:pStyle w:val="BodyText"/>
        <w:spacing w:line="240" w:lineRule="auto" w:before="115"/>
        <w:ind w:left="1493" w:right="0"/>
        <w:jc w:val="left"/>
      </w:pPr>
      <w:r>
        <w:rPr/>
        <w:t>其他应收款中，对合并范围内的子公司的款项</w:t>
      </w:r>
      <w:r>
        <w:rPr>
          <w:rFonts w:ascii="宋体" w:hAnsi="宋体" w:cs="宋体" w:eastAsia="宋体" w:hint="default"/>
        </w:rPr>
        <w:t>86,206,459.40</w:t>
      </w:r>
      <w:r>
        <w:rPr/>
        <w:t>元，不计提坏账准备。</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本期计提、收回或转回的坏账准备情况" w:id="335"/>
      <w:bookmarkEnd w:id="335"/>
      <w:r>
        <w:rPr>
          <w:b w:val="0"/>
          <w:bCs w:val="0"/>
        </w:rPr>
      </w:r>
      <w:r>
        <w:rPr/>
        <w:t>（</w:t>
      </w:r>
      <w:r>
        <w:rPr>
          <w:rFonts w:ascii="宋体" w:hAnsi="宋体" w:cs="宋体" w:eastAsia="宋体" w:hint="default"/>
        </w:rPr>
        <w:t>2</w:t>
      </w:r>
      <w:r>
        <w:rPr/>
        <w:t>）本期计提、收回或转回的坏账准备情况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1493" w:right="0"/>
        <w:jc w:val="left"/>
      </w:pPr>
      <w:r>
        <w:rPr/>
        <w:t>本期计提坏账准备金额</w:t>
      </w:r>
      <w:r>
        <w:rPr>
          <w:rFonts w:ascii="宋体" w:hAnsi="宋体" w:cs="宋体" w:eastAsia="宋体" w:hint="default"/>
        </w:rPr>
        <w:t>-1,414,265.52</w:t>
      </w:r>
      <w:r>
        <w:rPr>
          <w:rFonts w:ascii="宋体" w:hAnsi="宋体" w:cs="宋体" w:eastAsia="宋体" w:hint="default"/>
          <w:spacing w:val="-46"/>
        </w:rPr>
        <w:t> </w:t>
      </w:r>
      <w:r>
        <w:rPr/>
        <w:t>元；本期收回或转回坏账准备金额</w:t>
      </w:r>
      <w:r>
        <w:rPr>
          <w:spacing w:val="-46"/>
        </w:rPr>
        <w:t> </w:t>
      </w:r>
      <w:r>
        <w:rPr>
          <w:rFonts w:ascii="宋体" w:hAnsi="宋体" w:cs="宋体" w:eastAsia="宋体" w:hint="default"/>
        </w:rPr>
        <w:t>0.00</w:t>
      </w:r>
      <w:r>
        <w:rPr>
          <w:rFonts w:ascii="宋体" w:hAnsi="宋体" w:cs="宋体" w:eastAsia="宋体" w:hint="default"/>
          <w:spacing w:val="-46"/>
        </w:rPr>
        <w:t> </w:t>
      </w:r>
      <w:r>
        <w:rPr/>
        <w:t>元。</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其他应收款按款项性质分类情况" w:id="336"/>
      <w:bookmarkEnd w:id="336"/>
      <w:r>
        <w:rPr>
          <w:b w:val="0"/>
          <w:bCs w:val="0"/>
        </w:rPr>
      </w:r>
      <w:r>
        <w:rPr/>
        <w:t>（</w:t>
      </w:r>
      <w:r>
        <w:rPr>
          <w:rFonts w:ascii="宋体" w:hAnsi="宋体" w:cs="宋体" w:eastAsia="宋体" w:hint="default"/>
        </w:rPr>
        <w:t>3</w:t>
      </w:r>
      <w:r>
        <w:rPr/>
        <w:t>）其他应收款按款项性质分类情况</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5,695,424.14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7,763,507.21</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1,015,272.81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1,135,729.29</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对子公司的应收款项</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86,206,459.40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81,660,350.11</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对其他关联公司的应收款项</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814,393.00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748,300.00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对非关联公司的应收款项</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2,261,969.57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2,435,323.01</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56,306.90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105,556.14</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96,049,825.82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93,848,765.76</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4）按欠款方归集的期末余额前五名的其他应收款情况" w:id="337"/>
      <w:bookmarkEnd w:id="337"/>
      <w:r>
        <w:rPr>
          <w:b w:val="0"/>
          <w:bCs w:val="0"/>
        </w:rPr>
      </w:r>
      <w:r>
        <w:rPr/>
        <w:t>（</w:t>
      </w:r>
      <w:r>
        <w:rPr>
          <w:rFonts w:ascii="宋体" w:hAnsi="宋体" w:cs="宋体" w:eastAsia="宋体" w:hint="default"/>
        </w:rPr>
        <w:t>4</w:t>
      </w:r>
      <w:r>
        <w:rPr/>
        <w:t>）按欠款方归集的期末余额前五名的其他应收款情况</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310"/>
        <w:jc w:val="right"/>
      </w:pPr>
      <w:r>
        <w:rPr/>
        <w:pict>
          <v:shape style="position:absolute;margin-left:391pt;margin-top:55.431725pt;width:83.75pt;height:15.65pt;mso-position-horizontal-relative:page;mso-position-vertical-relative:paragraph;z-index:-778360" type="#_x0000_t202" filled="false" stroked="false">
            <v:textbox inset="0,0,0,0">
              <w:txbxContent>
                <w:p>
                  <w:pPr>
                    <w:pStyle w:val="BodyText"/>
                    <w:spacing w:line="240" w:lineRule="auto" w:before="51"/>
                    <w:ind w:left="0" w:right="0"/>
                    <w:jc w:val="left"/>
                  </w:pPr>
                  <w:r>
                    <w:rPr/>
                    <w:t>；</w:t>
                  </w:r>
                </w:p>
              </w:txbxContent>
            </v:textbox>
            <w10:wrap type="none"/>
          </v:shape>
        </w:pict>
      </w:r>
      <w:r>
        <w:rPr/>
        <w:pict>
          <v:group style="position:absolute;margin-left:397.179993pt;margin-top:55.431725pt;width:77.55pt;height:15.65pt;mso-position-horizontal-relative:page;mso-position-vertical-relative:paragraph;z-index:-778336" coordorigin="7944,1109" coordsize="1551,313">
            <v:shape style="position:absolute;left:7944;top:1109;width:1551;height:313" coordorigin="7944,1109" coordsize="1551,313" path="m7944,1421l9494,1421,9494,1109,7944,1109,7944,1421xe" filled="true" fillcolor="#ffffff" stroked="false">
              <v:path arrowok="t"/>
              <v:fill type="solid"/>
            </v:shape>
            <w10:wrap type="none"/>
          </v:group>
        </w:pict>
      </w: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85"/>
        <w:gridCol w:w="1277"/>
        <w:gridCol w:w="1526"/>
        <w:gridCol w:w="2017"/>
        <w:gridCol w:w="526"/>
        <w:gridCol w:w="1034"/>
        <w:gridCol w:w="1205"/>
      </w:tblGrid>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9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53" w:right="54"/>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416" w:right="56" w:hanging="360"/>
              <w:jc w:val="left"/>
              <w:rPr>
                <w:rFonts w:ascii="宋体" w:hAnsi="宋体" w:cs="宋体" w:eastAsia="宋体" w:hint="default"/>
                <w:sz w:val="18"/>
                <w:szCs w:val="18"/>
              </w:rPr>
            </w:pPr>
            <w:r>
              <w:rPr>
                <w:rFonts w:ascii="宋体" w:hAnsi="宋体" w:cs="宋体" w:eastAsia="宋体" w:hint="default"/>
                <w:sz w:val="18"/>
                <w:szCs w:val="18"/>
              </w:rPr>
              <w:t>坏账准备期末 余额</w:t>
            </w:r>
          </w:p>
        </w:tc>
      </w:tr>
      <w:tr>
        <w:trPr>
          <w:trHeight w:val="102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50"/>
              <w:jc w:val="left"/>
              <w:rPr>
                <w:rFonts w:ascii="宋体" w:hAnsi="宋体" w:cs="宋体" w:eastAsia="宋体" w:hint="default"/>
                <w:sz w:val="18"/>
                <w:szCs w:val="18"/>
              </w:rPr>
            </w:pPr>
            <w:r>
              <w:rPr>
                <w:rFonts w:ascii="宋体" w:hAnsi="宋体" w:cs="宋体" w:eastAsia="宋体" w:hint="default"/>
                <w:sz w:val="18"/>
                <w:szCs w:val="18"/>
              </w:rPr>
              <w:t>武汉天喻通讯技术有限 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62"/>
              <w:jc w:val="left"/>
              <w:rPr>
                <w:rFonts w:ascii="宋体" w:hAnsi="宋体" w:cs="宋体" w:eastAsia="宋体" w:hint="default"/>
                <w:sz w:val="18"/>
                <w:szCs w:val="18"/>
              </w:rPr>
            </w:pPr>
            <w:r>
              <w:rPr>
                <w:rFonts w:ascii="宋体" w:hAnsi="宋体" w:cs="宋体" w:eastAsia="宋体" w:hint="default"/>
                <w:sz w:val="18"/>
                <w:szCs w:val="18"/>
              </w:rPr>
              <w:t>对子公司的应 收款项</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z w:val="18"/>
              </w:rPr>
              <w:t>86,000,027.80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55"/>
                <w:sz w:val="18"/>
                <w:szCs w:val="18"/>
              </w:rPr>
              <w:t> </w:t>
            </w:r>
            <w:r>
              <w:rPr>
                <w:rFonts w:ascii="宋体" w:hAnsi="宋体" w:cs="宋体" w:eastAsia="宋体" w:hint="default"/>
                <w:sz w:val="18"/>
                <w:szCs w:val="18"/>
              </w:rPr>
              <w:t>年以内</w:t>
            </w:r>
            <w:r>
              <w:rPr>
                <w:rFonts w:ascii="宋体" w:hAnsi="宋体" w:cs="宋体" w:eastAsia="宋体" w:hint="default"/>
                <w:spacing w:val="-55"/>
                <w:sz w:val="18"/>
                <w:szCs w:val="18"/>
              </w:rPr>
              <w:t> </w:t>
            </w:r>
            <w:r>
              <w:rPr>
                <w:rFonts w:ascii="宋体" w:hAnsi="宋体" w:cs="宋体" w:eastAsia="宋体" w:hint="default"/>
                <w:sz w:val="18"/>
                <w:szCs w:val="18"/>
              </w:rPr>
              <w:t>11,103,497.43</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42,496,064.40</w:t>
            </w:r>
            <w:r>
              <w:rPr>
                <w:rFonts w:ascii="宋体" w:hAnsi="宋体" w:cs="宋体" w:eastAsia="宋体" w:hint="default"/>
                <w:sz w:val="18"/>
                <w:szCs w:val="18"/>
              </w:rPr>
              <w:t>；</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32,400,465.97</w:t>
            </w:r>
          </w:p>
        </w:tc>
        <w:tc>
          <w:tcPr>
            <w:tcW w:w="526" w:type="dxa"/>
            <w:tcBorders>
              <w:top w:val="single" w:sz="4" w:space="0" w:color="000000"/>
              <w:left w:val="single" w:sz="4" w:space="0" w:color="000000"/>
              <w:bottom w:val="single" w:sz="4" w:space="0" w:color="000000"/>
              <w:right w:val="nil" w:sz="6" w:space="0" w:color="auto"/>
            </w:tcBorders>
          </w:tcPr>
          <w:p>
            <w:pPr/>
          </w:p>
        </w:tc>
        <w:tc>
          <w:tcPr>
            <w:tcW w:w="103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65" w:right="0"/>
              <w:jc w:val="left"/>
              <w:rPr>
                <w:rFonts w:ascii="宋体" w:hAnsi="宋体" w:cs="宋体" w:eastAsia="宋体" w:hint="default"/>
                <w:sz w:val="18"/>
                <w:szCs w:val="18"/>
              </w:rPr>
            </w:pPr>
            <w:r>
              <w:rPr>
                <w:rFonts w:ascii="宋体"/>
                <w:sz w:val="18"/>
              </w:rPr>
              <w:t>89.54%</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中国农业银行股份有限</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1,075,985.32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8"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r>
              <w:rPr>
                <w:rFonts w:ascii="宋体" w:hAnsi="宋体" w:cs="宋体" w:eastAsia="宋体" w:hint="default"/>
                <w:spacing w:val="-46"/>
                <w:sz w:val="18"/>
                <w:szCs w:val="18"/>
              </w:rPr>
              <w:t> </w:t>
            </w:r>
            <w:r>
              <w:rPr>
                <w:rFonts w:ascii="宋体" w:hAnsi="宋体" w:cs="宋体" w:eastAsia="宋体" w:hint="default"/>
                <w:sz w:val="18"/>
                <w:szCs w:val="18"/>
              </w:rPr>
              <w:t>1,006,929.74</w:t>
            </w:r>
            <w:r>
              <w:rPr>
                <w:rFonts w:ascii="宋体" w:hAnsi="宋体" w:cs="宋体" w:eastAsia="宋体" w:hint="default"/>
                <w:sz w:val="18"/>
                <w:szCs w:val="18"/>
              </w:rPr>
              <w:t>；</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1.12%</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1" w:right="0"/>
              <w:jc w:val="left"/>
              <w:rPr>
                <w:rFonts w:ascii="宋体" w:hAnsi="宋体" w:cs="宋体" w:eastAsia="宋体" w:hint="default"/>
                <w:sz w:val="18"/>
                <w:szCs w:val="18"/>
              </w:rPr>
            </w:pPr>
            <w:r>
              <w:rPr>
                <w:rFonts w:ascii="宋体"/>
                <w:sz w:val="18"/>
              </w:rPr>
              <w:t>57,252.05</w:t>
            </w:r>
          </w:p>
        </w:tc>
      </w:tr>
    </w:tbl>
    <w:p>
      <w:pPr>
        <w:spacing w:after="0" w:line="240" w:lineRule="auto"/>
        <w:jc w:val="left"/>
        <w:rPr>
          <w:rFonts w:ascii="宋体" w:hAnsi="宋体" w:cs="宋体" w:eastAsia="宋体" w:hint="default"/>
          <w:sz w:val="18"/>
          <w:szCs w:val="18"/>
        </w:rPr>
        <w:sectPr>
          <w:pgSz w:w="11910" w:h="16840"/>
          <w:pgMar w:header="0" w:footer="1187" w:top="1100" w:bottom="138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985"/>
        <w:gridCol w:w="1277"/>
        <w:gridCol w:w="1526"/>
        <w:gridCol w:w="2017"/>
        <w:gridCol w:w="1560"/>
        <w:gridCol w:w="1205"/>
      </w:tblGrid>
      <w:tr>
        <w:trPr>
          <w:trHeight w:val="36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公司吉林省分行</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69,055.58</w:t>
            </w:r>
          </w:p>
        </w:tc>
        <w:tc>
          <w:tcPr>
            <w:tcW w:w="156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中国石化销售有限公司 湖北武汉石油分公司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对非关联公司 的应收款项</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627,167.00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r>
              <w:rPr>
                <w:rFonts w:ascii="宋体" w:hAnsi="宋体" w:cs="宋体" w:eastAsia="宋体" w:hint="default"/>
                <w:spacing w:val="-46"/>
                <w:sz w:val="18"/>
                <w:szCs w:val="18"/>
              </w:rPr>
              <w:t> </w:t>
            </w:r>
            <w:r>
              <w:rPr>
                <w:rFonts w:ascii="宋体" w:hAnsi="宋体" w:cs="宋体" w:eastAsia="宋体" w:hint="default"/>
                <w:sz w:val="18"/>
                <w:szCs w:val="18"/>
              </w:rPr>
              <w:t>604,167.00</w:t>
            </w:r>
            <w:r>
              <w:rPr>
                <w:rFonts w:ascii="宋体" w:hAnsi="宋体" w:cs="宋体" w:eastAsia="宋体" w:hint="default"/>
                <w:sz w:val="18"/>
                <w:szCs w:val="18"/>
              </w:rPr>
              <w:t>；</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23,000.00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0.65%</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32,508.35</w:t>
            </w:r>
          </w:p>
        </w:tc>
      </w:tr>
      <w:tr>
        <w:trPr>
          <w:trHeight w:val="75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2"/>
              <w:ind w:left="22" w:right="150"/>
              <w:jc w:val="left"/>
              <w:rPr>
                <w:rFonts w:ascii="宋体" w:hAnsi="宋体" w:cs="宋体" w:eastAsia="宋体" w:hint="default"/>
                <w:sz w:val="18"/>
                <w:szCs w:val="18"/>
              </w:rPr>
            </w:pPr>
            <w:r>
              <w:rPr>
                <w:rFonts w:ascii="宋体" w:hAnsi="宋体" w:cs="宋体" w:eastAsia="宋体" w:hint="default"/>
                <w:sz w:val="18"/>
                <w:szCs w:val="18"/>
              </w:rPr>
              <w:t>武汉华科物业管理有限 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2"/>
              <w:ind w:left="22" w:right="162"/>
              <w:jc w:val="left"/>
              <w:rPr>
                <w:rFonts w:ascii="宋体" w:hAnsi="宋体" w:cs="宋体" w:eastAsia="宋体" w:hint="default"/>
                <w:sz w:val="18"/>
                <w:szCs w:val="18"/>
              </w:rPr>
            </w:pPr>
            <w:r>
              <w:rPr>
                <w:rFonts w:ascii="宋体" w:hAnsi="宋体" w:cs="宋体" w:eastAsia="宋体" w:hint="default"/>
                <w:sz w:val="18"/>
                <w:szCs w:val="18"/>
              </w:rPr>
              <w:t>对其他关联公 司的应收款项</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557,300.00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r>
              <w:rPr>
                <w:rFonts w:ascii="宋体" w:hAnsi="宋体" w:cs="宋体" w:eastAsia="宋体" w:hint="default"/>
                <w:spacing w:val="-46"/>
                <w:sz w:val="18"/>
                <w:szCs w:val="18"/>
              </w:rPr>
              <w:t> </w:t>
            </w:r>
            <w:r>
              <w:rPr>
                <w:rFonts w:ascii="宋体" w:hAnsi="宋体" w:cs="宋体" w:eastAsia="宋体" w:hint="default"/>
                <w:sz w:val="18"/>
                <w:szCs w:val="18"/>
              </w:rPr>
              <w:t>9,000.00</w:t>
            </w:r>
            <w:r>
              <w:rPr>
                <w:rFonts w:ascii="宋体" w:hAnsi="宋体" w:cs="宋体" w:eastAsia="宋体" w:hint="default"/>
                <w:sz w:val="18"/>
                <w:szCs w:val="18"/>
              </w:rPr>
              <w:t>；</w:t>
            </w:r>
          </w:p>
          <w:p>
            <w:pPr>
              <w:pStyle w:val="TableParagraph"/>
              <w:spacing w:line="240" w:lineRule="auto" w:before="117"/>
              <w:ind w:left="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548,300.00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z w:val="18"/>
              </w:rPr>
              <w:t>0.58%</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z w:val="18"/>
              </w:rPr>
              <w:t>55,280.00</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武汉中商平价超市连锁 有限公司曙光店</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对非关联公司 的应收款项</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448,500.00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0.47%</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22,425.00</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88,708,980.12</w:t>
            </w:r>
          </w:p>
        </w:tc>
        <w:tc>
          <w:tcPr>
            <w:tcW w:w="20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92.36%</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167,465.40</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长期股权投资" w:id="338"/>
      <w:bookmarkEnd w:id="338"/>
      <w:r>
        <w:rPr>
          <w:b w:val="0"/>
          <w:bCs w:val="0"/>
        </w:rPr>
      </w:r>
      <w:r>
        <w:rPr>
          <w:rFonts w:ascii="宋体" w:hAnsi="宋体" w:cs="宋体" w:eastAsia="宋体" w:hint="default"/>
        </w:rPr>
        <w:t>3</w:t>
      </w:r>
      <w:r>
        <w:rPr/>
        <w:t>、长期股权投资</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163,334,328.12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1" w:right="0"/>
              <w:jc w:val="center"/>
              <w:rPr>
                <w:rFonts w:ascii="宋体" w:hAnsi="宋体" w:cs="宋体" w:eastAsia="宋体" w:hint="default"/>
                <w:sz w:val="18"/>
                <w:szCs w:val="18"/>
              </w:rPr>
            </w:pPr>
            <w:r>
              <w:rPr>
                <w:rFonts w:ascii="宋体"/>
                <w:sz w:val="18"/>
              </w:rPr>
              <w:t>163,334,328.12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189,107,506.19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189,107,506.19</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12,820,587.97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center"/>
              <w:rPr>
                <w:rFonts w:ascii="宋体" w:hAnsi="宋体" w:cs="宋体" w:eastAsia="宋体" w:hint="default"/>
                <w:sz w:val="18"/>
                <w:szCs w:val="18"/>
              </w:rPr>
            </w:pPr>
            <w:r>
              <w:rPr>
                <w:rFonts w:ascii="宋体"/>
                <w:sz w:val="18"/>
              </w:rPr>
              <w:t>12,820,587.97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9,460,471.51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9,460,471.51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176,154,916.09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1" w:right="0"/>
              <w:jc w:val="center"/>
              <w:rPr>
                <w:rFonts w:ascii="宋体" w:hAnsi="宋体" w:cs="宋体" w:eastAsia="宋体" w:hint="default"/>
                <w:sz w:val="18"/>
                <w:szCs w:val="18"/>
              </w:rPr>
            </w:pPr>
            <w:r>
              <w:rPr>
                <w:rFonts w:ascii="宋体"/>
                <w:sz w:val="18"/>
              </w:rPr>
              <w:t>176,154,916.09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198,567,977.70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198,567,977.70</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1）对子公司投资" w:id="339"/>
      <w:bookmarkEnd w:id="339"/>
      <w:r>
        <w:rPr>
          <w:b w:val="0"/>
          <w:bCs w:val="0"/>
        </w:rPr>
      </w:r>
      <w:r>
        <w:rPr/>
        <w:t>（</w:t>
      </w:r>
      <w:r>
        <w:rPr>
          <w:rFonts w:ascii="宋体" w:hAnsi="宋体" w:cs="宋体" w:eastAsia="宋体" w:hint="default"/>
        </w:rPr>
        <w:t>1</w:t>
      </w:r>
      <w:r>
        <w:rPr/>
        <w:t>）对子公司投资</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武汉天喻通讯技 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武汉擎动网络科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湖北百旺金赋科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3,660,000.00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8,660,000.00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武汉天喻信通制 卡有限公司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39,207,506.19</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9" w:right="0"/>
              <w:jc w:val="center"/>
              <w:rPr>
                <w:rFonts w:ascii="宋体" w:hAnsi="宋体" w:cs="宋体" w:eastAsia="宋体" w:hint="default"/>
                <w:sz w:val="18"/>
                <w:szCs w:val="18"/>
              </w:rPr>
            </w:pPr>
            <w:r>
              <w:rPr>
                <w:rFonts w:ascii="宋体"/>
                <w:sz w:val="18"/>
              </w:rPr>
              <w:t>36,433,178.07</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2,774,328.12</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武汉果核科技有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4,900,000.00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4,900,000.00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武汉天喻聚联网 络有限公司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7,000,000.00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7,000,000.00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189,107,506.19</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10,660,000.00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9" w:right="0"/>
              <w:jc w:val="center"/>
              <w:rPr>
                <w:rFonts w:ascii="宋体" w:hAnsi="宋体" w:cs="宋体" w:eastAsia="宋体" w:hint="default"/>
                <w:sz w:val="18"/>
                <w:szCs w:val="18"/>
              </w:rPr>
            </w:pPr>
            <w:r>
              <w:rPr>
                <w:rFonts w:ascii="宋体"/>
                <w:sz w:val="18"/>
              </w:rPr>
              <w:t>36,433,178.07</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163,334,328.12</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87" w:top="1100" w:bottom="1380" w:left="0" w:right="0"/>
        </w:sectPr>
      </w:pPr>
    </w:p>
    <w:p>
      <w:pPr>
        <w:spacing w:line="240" w:lineRule="auto" w:before="10"/>
        <w:rPr>
          <w:rFonts w:ascii="宋体" w:hAnsi="宋体" w:cs="宋体" w:eastAsia="宋体" w:hint="default"/>
          <w:sz w:val="20"/>
          <w:szCs w:val="20"/>
        </w:rPr>
      </w:pPr>
    </w:p>
    <w:p>
      <w:pPr>
        <w:pStyle w:val="Heading3"/>
        <w:spacing w:line="240" w:lineRule="auto" w:before="35"/>
        <w:ind w:left="1134" w:right="0"/>
        <w:jc w:val="left"/>
        <w:rPr>
          <w:b w:val="0"/>
          <w:bCs w:val="0"/>
        </w:rPr>
      </w:pPr>
      <w:bookmarkStart w:name="（2）对联营、合营企业投资" w:id="340"/>
      <w:bookmarkEnd w:id="340"/>
      <w:r>
        <w:rPr>
          <w:b w:val="0"/>
          <w:bCs w:val="0"/>
        </w:rPr>
      </w:r>
      <w:r>
        <w:rPr/>
        <w:t>（</w:t>
      </w:r>
      <w:r>
        <w:rPr>
          <w:rFonts w:ascii="宋体" w:hAnsi="宋体" w:cs="宋体" w:eastAsia="宋体" w:hint="default"/>
        </w:rPr>
        <w:t>2</w:t>
      </w:r>
      <w:r>
        <w:rPr/>
        <w:t>）对联营、合营企业投资</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134"/>
        <w:gridCol w:w="982"/>
        <w:gridCol w:w="1008"/>
        <w:gridCol w:w="402"/>
        <w:gridCol w:w="1068"/>
        <w:gridCol w:w="740"/>
        <w:gridCol w:w="574"/>
        <w:gridCol w:w="1025"/>
        <w:gridCol w:w="572"/>
        <w:gridCol w:w="415"/>
        <w:gridCol w:w="848"/>
        <w:gridCol w:w="163"/>
        <w:gridCol w:w="643"/>
      </w:tblGrid>
      <w:tr>
        <w:trPr>
          <w:trHeight w:val="402" w:hRule="exact"/>
        </w:trPr>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1" w:right="0"/>
              <w:jc w:val="left"/>
              <w:rPr>
                <w:rFonts w:ascii="宋体" w:hAnsi="宋体" w:cs="宋体" w:eastAsia="宋体" w:hint="default"/>
                <w:sz w:val="15"/>
                <w:szCs w:val="15"/>
              </w:rPr>
            </w:pPr>
            <w:r>
              <w:rPr>
                <w:rFonts w:ascii="宋体" w:hAnsi="宋体" w:cs="宋体" w:eastAsia="宋体" w:hint="default"/>
                <w:sz w:val="15"/>
                <w:szCs w:val="15"/>
              </w:rPr>
              <w:t>投资单位</w:t>
            </w:r>
          </w:p>
        </w:tc>
        <w:tc>
          <w:tcPr>
            <w:tcW w:w="9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5" w:right="0"/>
              <w:jc w:val="left"/>
              <w:rPr>
                <w:rFonts w:ascii="宋体" w:hAnsi="宋体" w:cs="宋体" w:eastAsia="宋体" w:hint="default"/>
                <w:sz w:val="15"/>
                <w:szCs w:val="15"/>
              </w:rPr>
            </w:pPr>
            <w:r>
              <w:rPr>
                <w:rFonts w:ascii="宋体" w:hAnsi="宋体" w:cs="宋体" w:eastAsia="宋体" w:hint="default"/>
                <w:sz w:val="15"/>
                <w:szCs w:val="15"/>
              </w:rPr>
              <w:t>期初余额</w:t>
            </w:r>
          </w:p>
        </w:tc>
        <w:tc>
          <w:tcPr>
            <w:tcW w:w="580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0" w:right="0"/>
              <w:jc w:val="center"/>
              <w:rPr>
                <w:rFonts w:ascii="宋体" w:hAnsi="宋体" w:cs="宋体" w:eastAsia="宋体" w:hint="default"/>
                <w:sz w:val="15"/>
                <w:szCs w:val="15"/>
              </w:rPr>
            </w:pPr>
            <w:r>
              <w:rPr>
                <w:rFonts w:ascii="宋体" w:hAnsi="宋体" w:cs="宋体" w:eastAsia="宋体" w:hint="default"/>
                <w:sz w:val="15"/>
                <w:szCs w:val="15"/>
              </w:rPr>
              <w:t>本期增减变动</w:t>
            </w:r>
          </w:p>
        </w:tc>
        <w:tc>
          <w:tcPr>
            <w:tcW w:w="84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3"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806"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384" w:lineRule="auto" w:before="93"/>
              <w:ind w:left="172" w:right="23" w:hanging="150"/>
              <w:jc w:val="left"/>
              <w:rPr>
                <w:rFonts w:ascii="宋体" w:hAnsi="宋体" w:cs="宋体" w:eastAsia="宋体" w:hint="default"/>
                <w:sz w:val="15"/>
                <w:szCs w:val="15"/>
              </w:rPr>
            </w:pPr>
            <w:r>
              <w:rPr>
                <w:rFonts w:ascii="宋体" w:hAnsi="宋体" w:cs="宋体" w:eastAsia="宋体" w:hint="default"/>
                <w:sz w:val="15"/>
                <w:szCs w:val="15"/>
              </w:rPr>
              <w:t>减值准备期 末余额</w:t>
            </w:r>
          </w:p>
        </w:tc>
      </w:tr>
      <w:tr>
        <w:trPr>
          <w:trHeight w:val="714" w:hRule="exact"/>
        </w:trPr>
        <w:tc>
          <w:tcPr>
            <w:tcW w:w="1134" w:type="dxa"/>
            <w:vMerge/>
            <w:tcBorders>
              <w:left w:val="single" w:sz="4" w:space="0" w:color="000000"/>
              <w:bottom w:val="single" w:sz="4" w:space="0" w:color="000000"/>
              <w:right w:val="single" w:sz="4" w:space="0" w:color="000000"/>
            </w:tcBorders>
          </w:tcPr>
          <w:p>
            <w:pPr/>
          </w:p>
        </w:tc>
        <w:tc>
          <w:tcPr>
            <w:tcW w:w="982" w:type="dxa"/>
            <w:vMerge/>
            <w:tcBorders>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追加投资</w:t>
            </w:r>
          </w:p>
        </w:tc>
        <w:tc>
          <w:tcPr>
            <w:tcW w:w="402"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5"/>
              <w:ind w:left="46" w:right="43"/>
              <w:jc w:val="left"/>
              <w:rPr>
                <w:rFonts w:ascii="宋体" w:hAnsi="宋体" w:cs="宋体" w:eastAsia="宋体" w:hint="default"/>
                <w:sz w:val="15"/>
                <w:szCs w:val="15"/>
              </w:rPr>
            </w:pPr>
            <w:r>
              <w:rPr>
                <w:rFonts w:ascii="宋体" w:hAnsi="宋体" w:cs="宋体" w:eastAsia="宋体" w:hint="default"/>
                <w:sz w:val="15"/>
                <w:szCs w:val="15"/>
              </w:rPr>
              <w:t>减少 投资</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5"/>
              <w:ind w:left="154" w:right="77" w:hanging="76"/>
              <w:jc w:val="left"/>
              <w:rPr>
                <w:rFonts w:ascii="宋体" w:hAnsi="宋体" w:cs="宋体" w:eastAsia="宋体" w:hint="default"/>
                <w:sz w:val="15"/>
                <w:szCs w:val="15"/>
              </w:rPr>
            </w:pPr>
            <w:r>
              <w:rPr>
                <w:rFonts w:ascii="宋体" w:hAnsi="宋体" w:cs="宋体" w:eastAsia="宋体" w:hint="default"/>
                <w:sz w:val="15"/>
                <w:szCs w:val="15"/>
              </w:rPr>
              <w:t>权益法下确认 的投资损益</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5"/>
              <w:ind w:left="65" w:right="62"/>
              <w:jc w:val="left"/>
              <w:rPr>
                <w:rFonts w:ascii="宋体" w:hAnsi="宋体" w:cs="宋体" w:eastAsia="宋体" w:hint="default"/>
                <w:sz w:val="15"/>
                <w:szCs w:val="15"/>
              </w:rPr>
            </w:pPr>
            <w:r>
              <w:rPr>
                <w:rFonts w:ascii="宋体" w:hAnsi="宋体" w:cs="宋体" w:eastAsia="宋体" w:hint="default"/>
                <w:sz w:val="15"/>
                <w:szCs w:val="15"/>
              </w:rPr>
              <w:t>其他综合 收益调整</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5"/>
              <w:ind w:left="56" w:right="55"/>
              <w:jc w:val="left"/>
              <w:rPr>
                <w:rFonts w:ascii="宋体" w:hAnsi="宋体" w:cs="宋体" w:eastAsia="宋体" w:hint="default"/>
                <w:sz w:val="15"/>
                <w:szCs w:val="15"/>
              </w:rPr>
            </w:pPr>
            <w:r>
              <w:rPr>
                <w:rFonts w:ascii="宋体" w:hAnsi="宋体" w:cs="宋体" w:eastAsia="宋体" w:hint="default"/>
                <w:sz w:val="15"/>
                <w:szCs w:val="15"/>
              </w:rPr>
              <w:t>其他权 益变动</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5"/>
              <w:ind w:left="130" w:right="59" w:hanging="76"/>
              <w:jc w:val="left"/>
              <w:rPr>
                <w:rFonts w:ascii="宋体" w:hAnsi="宋体" w:cs="宋体" w:eastAsia="宋体" w:hint="default"/>
                <w:sz w:val="15"/>
                <w:szCs w:val="15"/>
              </w:rPr>
            </w:pPr>
            <w:r>
              <w:rPr>
                <w:rFonts w:ascii="宋体" w:hAnsi="宋体" w:cs="宋体" w:eastAsia="宋体" w:hint="default"/>
                <w:sz w:val="15"/>
                <w:szCs w:val="15"/>
              </w:rPr>
              <w:t>宣告发放现金 股利或利润</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5"/>
              <w:ind w:left="53" w:right="56"/>
              <w:jc w:val="left"/>
              <w:rPr>
                <w:rFonts w:ascii="宋体" w:hAnsi="宋体" w:cs="宋体" w:eastAsia="宋体" w:hint="default"/>
                <w:sz w:val="15"/>
                <w:szCs w:val="15"/>
              </w:rPr>
            </w:pPr>
            <w:r>
              <w:rPr>
                <w:rFonts w:ascii="宋体" w:hAnsi="宋体" w:cs="宋体" w:eastAsia="宋体" w:hint="default"/>
                <w:sz w:val="15"/>
                <w:szCs w:val="15"/>
              </w:rPr>
              <w:t>计提减 值准备</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77"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848" w:type="dxa"/>
            <w:vMerge/>
            <w:tcBorders>
              <w:left w:val="single" w:sz="4" w:space="0" w:color="000000"/>
              <w:bottom w:val="single" w:sz="4" w:space="0" w:color="000000"/>
              <w:right w:val="single" w:sz="4" w:space="0" w:color="000000"/>
            </w:tcBorders>
          </w:tcPr>
          <w:p>
            <w:pPr/>
          </w:p>
        </w:tc>
        <w:tc>
          <w:tcPr>
            <w:tcW w:w="806" w:type="dxa"/>
            <w:gridSpan w:val="2"/>
            <w:vMerge/>
            <w:tcBorders>
              <w:left w:val="single" w:sz="4" w:space="0" w:color="000000"/>
              <w:bottom w:val="single" w:sz="4" w:space="0" w:color="000000"/>
              <w:right w:val="single" w:sz="4" w:space="0" w:color="000000"/>
            </w:tcBorders>
          </w:tcPr>
          <w:p>
            <w:pPr/>
          </w:p>
        </w:tc>
      </w:tr>
      <w:tr>
        <w:trPr>
          <w:trHeight w:val="402" w:hRule="exact"/>
        </w:trPr>
        <w:tc>
          <w:tcPr>
            <w:tcW w:w="9575"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一、合营企业</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5"/>
              <w:ind w:left="22" w:right="51"/>
              <w:jc w:val="left"/>
              <w:rPr>
                <w:rFonts w:ascii="宋体" w:hAnsi="宋体" w:cs="宋体" w:eastAsia="宋体" w:hint="default"/>
                <w:sz w:val="15"/>
                <w:szCs w:val="15"/>
              </w:rPr>
            </w:pPr>
            <w:r>
              <w:rPr>
                <w:rFonts w:ascii="宋体" w:hAnsi="宋体" w:cs="宋体" w:eastAsia="宋体" w:hint="default"/>
                <w:sz w:val="15"/>
                <w:szCs w:val="15"/>
              </w:rPr>
              <w:t>武汉中天慧购电 商服务有限公司</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6" w:right="0"/>
              <w:jc w:val="center"/>
              <w:rPr>
                <w:rFonts w:ascii="宋体" w:hAnsi="宋体" w:cs="宋体" w:eastAsia="宋体" w:hint="default"/>
                <w:sz w:val="15"/>
                <w:szCs w:val="15"/>
              </w:rPr>
            </w:pPr>
            <w:r>
              <w:rPr>
                <w:rFonts w:ascii="宋体"/>
                <w:sz w:val="15"/>
              </w:rPr>
              <w:t>4,589,963.34</w:t>
            </w:r>
          </w:p>
        </w:tc>
        <w:tc>
          <w:tcPr>
            <w:tcW w:w="1008" w:type="dxa"/>
            <w:tcBorders>
              <w:top w:val="single" w:sz="4" w:space="0" w:color="000000"/>
              <w:left w:val="single" w:sz="4" w:space="0" w:color="000000"/>
              <w:bottom w:val="single" w:sz="4" w:space="0" w:color="000000"/>
              <w:right w:val="single" w:sz="4" w:space="0" w:color="000000"/>
            </w:tcBorders>
          </w:tcPr>
          <w:p>
            <w:pPr/>
          </w:p>
        </w:tc>
        <w:tc>
          <w:tcPr>
            <w:tcW w:w="402"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-1,338,384.73</w:t>
            </w:r>
          </w:p>
        </w:tc>
        <w:tc>
          <w:tcPr>
            <w:tcW w:w="740"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0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79" w:right="0"/>
              <w:jc w:val="left"/>
              <w:rPr>
                <w:rFonts w:ascii="宋体" w:hAnsi="宋体" w:cs="宋体" w:eastAsia="宋体" w:hint="default"/>
                <w:sz w:val="15"/>
                <w:szCs w:val="15"/>
              </w:rPr>
            </w:pPr>
            <w:r>
              <w:rPr>
                <w:rFonts w:ascii="宋体"/>
                <w:sz w:val="15"/>
              </w:rPr>
              <w:t>3,251,578.61</w:t>
            </w:r>
          </w:p>
        </w:tc>
        <w:tc>
          <w:tcPr>
            <w:tcW w:w="6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6" w:right="0"/>
              <w:jc w:val="center"/>
              <w:rPr>
                <w:rFonts w:ascii="宋体" w:hAnsi="宋体" w:cs="宋体" w:eastAsia="宋体" w:hint="default"/>
                <w:sz w:val="15"/>
                <w:szCs w:val="15"/>
              </w:rPr>
            </w:pPr>
            <w:r>
              <w:rPr>
                <w:rFonts w:ascii="宋体"/>
                <w:sz w:val="15"/>
              </w:rPr>
              <w:t>4,589,963.34</w:t>
            </w:r>
          </w:p>
        </w:tc>
        <w:tc>
          <w:tcPr>
            <w:tcW w:w="1008" w:type="dxa"/>
            <w:tcBorders>
              <w:top w:val="single" w:sz="4" w:space="0" w:color="000000"/>
              <w:left w:val="single" w:sz="4" w:space="0" w:color="000000"/>
              <w:bottom w:val="single" w:sz="4" w:space="0" w:color="000000"/>
              <w:right w:val="single" w:sz="4" w:space="0" w:color="000000"/>
            </w:tcBorders>
          </w:tcPr>
          <w:p>
            <w:pPr/>
          </w:p>
        </w:tc>
        <w:tc>
          <w:tcPr>
            <w:tcW w:w="402"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5"/>
                <w:szCs w:val="15"/>
              </w:rPr>
            </w:pPr>
            <w:r>
              <w:rPr>
                <w:rFonts w:ascii="宋体"/>
                <w:spacing w:val="-1"/>
                <w:sz w:val="15"/>
              </w:rPr>
              <w:t>-1,338,384.73</w:t>
            </w:r>
          </w:p>
        </w:tc>
        <w:tc>
          <w:tcPr>
            <w:tcW w:w="740"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0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9" w:right="0"/>
              <w:jc w:val="left"/>
              <w:rPr>
                <w:rFonts w:ascii="宋体" w:hAnsi="宋体" w:cs="宋体" w:eastAsia="宋体" w:hint="default"/>
                <w:sz w:val="15"/>
                <w:szCs w:val="15"/>
              </w:rPr>
            </w:pPr>
            <w:r>
              <w:rPr>
                <w:rFonts w:ascii="宋体"/>
                <w:sz w:val="15"/>
              </w:rPr>
              <w:t>3,251,578.61</w:t>
            </w:r>
          </w:p>
        </w:tc>
        <w:tc>
          <w:tcPr>
            <w:tcW w:w="6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5"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二、联营企业</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5"/>
              <w:ind w:left="22" w:right="51"/>
              <w:jc w:val="left"/>
              <w:rPr>
                <w:rFonts w:ascii="宋体" w:hAnsi="宋体" w:cs="宋体" w:eastAsia="宋体" w:hint="default"/>
                <w:sz w:val="15"/>
                <w:szCs w:val="15"/>
              </w:rPr>
            </w:pPr>
            <w:r>
              <w:rPr>
                <w:rFonts w:ascii="宋体" w:hAnsi="宋体" w:cs="宋体" w:eastAsia="宋体" w:hint="default"/>
                <w:sz w:val="15"/>
                <w:szCs w:val="15"/>
              </w:rPr>
              <w:t>福建中教网络教 育服务有限公司</w:t>
            </w:r>
          </w:p>
        </w:tc>
        <w:tc>
          <w:tcPr>
            <w:tcW w:w="98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2" w:right="0"/>
              <w:jc w:val="center"/>
              <w:rPr>
                <w:rFonts w:ascii="宋体" w:hAnsi="宋体" w:cs="宋体" w:eastAsia="宋体" w:hint="default"/>
                <w:sz w:val="15"/>
                <w:szCs w:val="15"/>
              </w:rPr>
            </w:pPr>
            <w:r>
              <w:rPr>
                <w:rFonts w:ascii="宋体"/>
                <w:sz w:val="15"/>
              </w:rPr>
              <w:t>4,900,000.00</w:t>
            </w:r>
          </w:p>
        </w:tc>
        <w:tc>
          <w:tcPr>
            <w:tcW w:w="402"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-171,964.40</w:t>
            </w:r>
          </w:p>
        </w:tc>
        <w:tc>
          <w:tcPr>
            <w:tcW w:w="740"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0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79" w:right="0"/>
              <w:jc w:val="left"/>
              <w:rPr>
                <w:rFonts w:ascii="宋体" w:hAnsi="宋体" w:cs="宋体" w:eastAsia="宋体" w:hint="default"/>
                <w:sz w:val="15"/>
                <w:szCs w:val="15"/>
              </w:rPr>
            </w:pPr>
            <w:r>
              <w:rPr>
                <w:rFonts w:ascii="宋体"/>
                <w:sz w:val="15"/>
              </w:rPr>
              <w:t>4,728,035.60</w:t>
            </w:r>
          </w:p>
        </w:tc>
        <w:tc>
          <w:tcPr>
            <w:tcW w:w="64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5"/>
              <w:ind w:left="22" w:right="51"/>
              <w:jc w:val="left"/>
              <w:rPr>
                <w:rFonts w:ascii="宋体" w:hAnsi="宋体" w:cs="宋体" w:eastAsia="宋体" w:hint="default"/>
                <w:sz w:val="15"/>
                <w:szCs w:val="15"/>
              </w:rPr>
            </w:pPr>
            <w:r>
              <w:rPr>
                <w:rFonts w:ascii="宋体" w:hAnsi="宋体" w:cs="宋体" w:eastAsia="宋体" w:hint="default"/>
                <w:sz w:val="15"/>
                <w:szCs w:val="15"/>
              </w:rPr>
              <w:t>武汉星合数媒科 技有限公司</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6" w:right="0"/>
              <w:jc w:val="center"/>
              <w:rPr>
                <w:rFonts w:ascii="宋体" w:hAnsi="宋体" w:cs="宋体" w:eastAsia="宋体" w:hint="default"/>
                <w:sz w:val="15"/>
                <w:szCs w:val="15"/>
              </w:rPr>
            </w:pPr>
            <w:r>
              <w:rPr>
                <w:rFonts w:ascii="宋体"/>
                <w:sz w:val="15"/>
              </w:rPr>
              <w:t>4,870,508.17</w:t>
            </w:r>
          </w:p>
        </w:tc>
        <w:tc>
          <w:tcPr>
            <w:tcW w:w="1008" w:type="dxa"/>
            <w:tcBorders>
              <w:top w:val="single" w:sz="4" w:space="0" w:color="000000"/>
              <w:left w:val="single" w:sz="4" w:space="0" w:color="000000"/>
              <w:bottom w:val="single" w:sz="4" w:space="0" w:color="000000"/>
              <w:right w:val="single" w:sz="4" w:space="0" w:color="000000"/>
            </w:tcBorders>
          </w:tcPr>
          <w:p>
            <w:pPr/>
          </w:p>
        </w:tc>
        <w:tc>
          <w:tcPr>
            <w:tcW w:w="402"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-29,534.41</w:t>
            </w:r>
          </w:p>
        </w:tc>
        <w:tc>
          <w:tcPr>
            <w:tcW w:w="740"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0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79" w:right="0"/>
              <w:jc w:val="left"/>
              <w:rPr>
                <w:rFonts w:ascii="宋体" w:hAnsi="宋体" w:cs="宋体" w:eastAsia="宋体" w:hint="default"/>
                <w:sz w:val="15"/>
                <w:szCs w:val="15"/>
              </w:rPr>
            </w:pPr>
            <w:r>
              <w:rPr>
                <w:rFonts w:ascii="宋体"/>
                <w:sz w:val="15"/>
              </w:rPr>
              <w:t>4,840,973.76</w:t>
            </w:r>
          </w:p>
        </w:tc>
        <w:tc>
          <w:tcPr>
            <w:tcW w:w="6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6" w:right="0"/>
              <w:jc w:val="center"/>
              <w:rPr>
                <w:rFonts w:ascii="宋体" w:hAnsi="宋体" w:cs="宋体" w:eastAsia="宋体" w:hint="default"/>
                <w:sz w:val="15"/>
                <w:szCs w:val="15"/>
              </w:rPr>
            </w:pPr>
            <w:r>
              <w:rPr>
                <w:rFonts w:ascii="宋体"/>
                <w:sz w:val="15"/>
              </w:rPr>
              <w:t>4,870,508.17</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2" w:right="0"/>
              <w:jc w:val="center"/>
              <w:rPr>
                <w:rFonts w:ascii="宋体" w:hAnsi="宋体" w:cs="宋体" w:eastAsia="宋体" w:hint="default"/>
                <w:sz w:val="15"/>
                <w:szCs w:val="15"/>
              </w:rPr>
            </w:pPr>
            <w:r>
              <w:rPr>
                <w:rFonts w:ascii="宋体"/>
                <w:sz w:val="15"/>
              </w:rPr>
              <w:t>4,900,000.00</w:t>
            </w:r>
          </w:p>
        </w:tc>
        <w:tc>
          <w:tcPr>
            <w:tcW w:w="402"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5"/>
                <w:szCs w:val="15"/>
              </w:rPr>
            </w:pPr>
            <w:r>
              <w:rPr>
                <w:rFonts w:ascii="宋体"/>
                <w:spacing w:val="-1"/>
                <w:sz w:val="15"/>
              </w:rPr>
              <w:t>-201,498.81</w:t>
            </w:r>
          </w:p>
        </w:tc>
        <w:tc>
          <w:tcPr>
            <w:tcW w:w="740"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0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9" w:right="0"/>
              <w:jc w:val="left"/>
              <w:rPr>
                <w:rFonts w:ascii="宋体" w:hAnsi="宋体" w:cs="宋体" w:eastAsia="宋体" w:hint="default"/>
                <w:sz w:val="15"/>
                <w:szCs w:val="15"/>
              </w:rPr>
            </w:pPr>
            <w:r>
              <w:rPr>
                <w:rFonts w:ascii="宋体"/>
                <w:sz w:val="15"/>
              </w:rPr>
              <w:t>9,569,009.36</w:t>
            </w:r>
          </w:p>
        </w:tc>
        <w:tc>
          <w:tcPr>
            <w:tcW w:w="6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5"/>
                <w:szCs w:val="15"/>
              </w:rPr>
            </w:pPr>
            <w:r>
              <w:rPr>
                <w:rFonts w:ascii="宋体" w:hAnsi="宋体" w:cs="宋体" w:eastAsia="宋体" w:hint="default"/>
                <w:sz w:val="15"/>
                <w:szCs w:val="15"/>
              </w:rPr>
              <w:t>合计</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6" w:right="0"/>
              <w:jc w:val="center"/>
              <w:rPr>
                <w:rFonts w:ascii="宋体" w:hAnsi="宋体" w:cs="宋体" w:eastAsia="宋体" w:hint="default"/>
                <w:sz w:val="15"/>
                <w:szCs w:val="15"/>
              </w:rPr>
            </w:pPr>
            <w:r>
              <w:rPr>
                <w:rFonts w:ascii="宋体"/>
                <w:sz w:val="15"/>
              </w:rPr>
              <w:t>9,460,471.51</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2" w:right="0"/>
              <w:jc w:val="center"/>
              <w:rPr>
                <w:rFonts w:ascii="宋体" w:hAnsi="宋体" w:cs="宋体" w:eastAsia="宋体" w:hint="default"/>
                <w:sz w:val="15"/>
                <w:szCs w:val="15"/>
              </w:rPr>
            </w:pPr>
            <w:r>
              <w:rPr>
                <w:rFonts w:ascii="宋体"/>
                <w:sz w:val="15"/>
              </w:rPr>
              <w:t>4,900,000.00</w:t>
            </w:r>
          </w:p>
        </w:tc>
        <w:tc>
          <w:tcPr>
            <w:tcW w:w="402"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5"/>
                <w:szCs w:val="15"/>
              </w:rPr>
            </w:pPr>
            <w:r>
              <w:rPr>
                <w:rFonts w:ascii="宋体"/>
                <w:spacing w:val="-1"/>
                <w:sz w:val="15"/>
              </w:rPr>
              <w:t>-1,539,883.54</w:t>
            </w:r>
          </w:p>
        </w:tc>
        <w:tc>
          <w:tcPr>
            <w:tcW w:w="740"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0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 w:right="0"/>
              <w:jc w:val="left"/>
              <w:rPr>
                <w:rFonts w:ascii="宋体" w:hAnsi="宋体" w:cs="宋体" w:eastAsia="宋体" w:hint="default"/>
                <w:sz w:val="15"/>
                <w:szCs w:val="15"/>
              </w:rPr>
            </w:pPr>
            <w:r>
              <w:rPr>
                <w:rFonts w:ascii="宋体"/>
                <w:sz w:val="15"/>
              </w:rPr>
              <w:t>12,820,587.97</w:t>
            </w:r>
          </w:p>
        </w:tc>
        <w:tc>
          <w:tcPr>
            <w:tcW w:w="64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其他说明" w:id="341"/>
      <w:bookmarkEnd w:id="341"/>
      <w:r>
        <w:rPr>
          <w:b w:val="0"/>
          <w:bCs w:val="0"/>
        </w:rPr>
      </w:r>
      <w:r>
        <w:rPr/>
        <w:t>（</w:t>
      </w:r>
      <w:r>
        <w:rPr>
          <w:rFonts w:ascii="宋体" w:hAnsi="宋体" w:cs="宋体" w:eastAsia="宋体" w:hint="default"/>
        </w:rPr>
        <w:t>3</w:t>
      </w:r>
      <w:r>
        <w:rPr/>
        <w:t>）其他说明</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1494" w:right="0"/>
        <w:jc w:val="left"/>
      </w:pPr>
      <w:r>
        <w:rPr/>
        <w:t>报告期，公司对子公司天喻信通的股权投资减少的原因详见附注七、</w:t>
      </w:r>
      <w:r>
        <w:rPr>
          <w:rFonts w:ascii="宋体" w:hAnsi="宋体" w:cs="宋体" w:eastAsia="宋体" w:hint="default"/>
        </w:rPr>
        <w:t>14</w:t>
      </w:r>
      <w:r>
        <w:rPr/>
        <w:t>。</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营业收入和营业成本" w:id="342"/>
      <w:bookmarkEnd w:id="342"/>
      <w:r>
        <w:rPr>
          <w:b w:val="0"/>
          <w:bCs w:val="0"/>
        </w:rPr>
      </w:r>
      <w:r>
        <w:rPr>
          <w:rFonts w:ascii="宋体" w:hAnsi="宋体" w:cs="宋体" w:eastAsia="宋体" w:hint="default"/>
        </w:rPr>
        <w:t>4</w:t>
      </w:r>
      <w:r>
        <w:rPr/>
        <w:t>、营业收入和营业成本</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95" w:type="dxa"/>
            <w:vMerge/>
            <w:tcBorders>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1,432,938,457.11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1,055,440,915.68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1,302,023,061.44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913,485,696.85</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4,449,286.06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174,912.00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5,807,968.36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2,813,739.85</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1,437,387,743.17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1,055,615,827.68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1,307,831,029.80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916,299,436.70</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5、投资收益" w:id="343"/>
      <w:bookmarkEnd w:id="343"/>
      <w:r>
        <w:rPr>
          <w:b w:val="0"/>
          <w:bCs w:val="0"/>
        </w:rPr>
      </w:r>
      <w:r>
        <w:rPr>
          <w:rFonts w:ascii="宋体" w:hAnsi="宋体" w:cs="宋体" w:eastAsia="宋体" w:hint="default"/>
        </w:rPr>
        <w:t>5</w:t>
      </w:r>
      <w:r>
        <w:rPr/>
        <w:t>、投资收益</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-1,539,883.54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-6,505,160.87</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-36,455,738.21</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47,520.00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95,040.00</w:t>
            </w:r>
          </w:p>
        </w:tc>
      </w:tr>
    </w:tbl>
    <w:p>
      <w:pPr>
        <w:spacing w:after="0" w:line="240" w:lineRule="auto"/>
        <w:jc w:val="right"/>
        <w:rPr>
          <w:rFonts w:ascii="宋体" w:hAnsi="宋体" w:cs="宋体" w:eastAsia="宋体" w:hint="default"/>
          <w:sz w:val="18"/>
          <w:szCs w:val="18"/>
        </w:rPr>
        <w:sectPr>
          <w:pgSz w:w="11910" w:h="16840"/>
          <w:pgMar w:header="0" w:footer="1187" w:top="1100" w:bottom="138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89"/>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55" w:right="0"/>
              <w:jc w:val="left"/>
              <w:rPr>
                <w:rFonts w:ascii="宋体" w:hAnsi="宋体" w:cs="宋体" w:eastAsia="宋体" w:hint="default"/>
                <w:sz w:val="18"/>
                <w:szCs w:val="18"/>
              </w:rPr>
            </w:pPr>
            <w:r>
              <w:rPr>
                <w:rFonts w:ascii="宋体"/>
                <w:sz w:val="18"/>
              </w:rPr>
              <w:t>-1,492,363.54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92" w:right="0"/>
              <w:jc w:val="left"/>
              <w:rPr>
                <w:rFonts w:ascii="宋体" w:hAnsi="宋体" w:cs="宋体" w:eastAsia="宋体" w:hint="default"/>
                <w:sz w:val="18"/>
                <w:szCs w:val="18"/>
              </w:rPr>
            </w:pPr>
            <w:r>
              <w:rPr>
                <w:rFonts w:ascii="宋体"/>
                <w:sz w:val="18"/>
              </w:rPr>
              <w:t>-42,865,859.08</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十六、补充资料" w:id="344"/>
      <w:bookmarkEnd w:id="344"/>
      <w:r>
        <w:rPr>
          <w:b w:val="0"/>
          <w:bCs w:val="0"/>
        </w:rPr>
      </w:r>
      <w:r>
        <w:rPr/>
        <w:t>十六、补充资料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4" w:right="0"/>
        <w:jc w:val="left"/>
        <w:rPr>
          <w:b w:val="0"/>
          <w:bCs w:val="0"/>
        </w:rPr>
      </w:pPr>
      <w:bookmarkStart w:name="1、当期非经常性损益明细表" w:id="345"/>
      <w:bookmarkEnd w:id="345"/>
      <w:r>
        <w:rPr>
          <w:b w:val="0"/>
          <w:bCs w:val="0"/>
        </w:rPr>
      </w:r>
      <w:r>
        <w:rPr>
          <w:rFonts w:ascii="宋体" w:hAnsi="宋体" w:cs="宋体" w:eastAsia="宋体" w:hint="default"/>
        </w:rPr>
        <w:t>1</w:t>
      </w:r>
      <w:r>
        <w:rPr/>
        <w:t>、当期非经常性损益明细表</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1134" w:right="0"/>
        <w:jc w:val="left"/>
      </w:pPr>
      <w:r>
        <w:rPr/>
        <w:t>√ 适用 □ 不适用</w:t>
      </w:r>
    </w:p>
    <w:p>
      <w:pPr>
        <w:pStyle w:val="BodyText"/>
        <w:spacing w:line="240" w:lineRule="auto" w:before="117"/>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396"/>
        <w:gridCol w:w="2408"/>
        <w:gridCol w:w="2765"/>
      </w:tblGrid>
      <w:tr>
        <w:trPr>
          <w:trHeight w:val="402"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-1,193,605.23</w:t>
            </w: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3"/>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 国家统一标准定额或定量享受的政府补助除外）</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6,699,393.00</w:t>
            </w: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520,560.80</w:t>
            </w: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852,016.91</w:t>
            </w: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112,800.93</w:t>
            </w: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5,061,530.73</w:t>
            </w:r>
          </w:p>
        </w:tc>
        <w:tc>
          <w:tcPr>
            <w:tcW w:w="276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6"/>
          <w:szCs w:val="6"/>
        </w:rPr>
      </w:pPr>
    </w:p>
    <w:p>
      <w:pPr>
        <w:pStyle w:val="BodyText"/>
        <w:spacing w:line="240" w:lineRule="auto" w:before="44"/>
        <w:ind w:left="1134" w:right="0"/>
        <w:jc w:val="left"/>
      </w:pPr>
      <w:r>
        <w:rPr>
          <w:spacing w:val="-3"/>
        </w:rPr>
        <w:t>对公司根据《公开发行证券的公司信息披露解释性公告第</w:t>
      </w:r>
      <w:r>
        <w:rPr>
          <w:spacing w:val="-39"/>
        </w:rPr>
        <w:t> </w:t>
      </w:r>
      <w:r>
        <w:rPr>
          <w:rFonts w:ascii="宋体" w:hAnsi="宋体" w:cs="宋体" w:eastAsia="宋体" w:hint="default"/>
        </w:rPr>
        <w:t>1</w:t>
      </w:r>
      <w:r>
        <w:rPr>
          <w:rFonts w:ascii="宋体" w:hAnsi="宋体" w:cs="宋体" w:eastAsia="宋体" w:hint="default"/>
          <w:spacing w:val="-40"/>
        </w:rPr>
        <w:t> </w:t>
      </w:r>
      <w:r>
        <w:rPr>
          <w:spacing w:val="-7"/>
        </w:rPr>
        <w:t>号——非经常性损益》定义界定的非经常性损益项目，以及把《公</w:t>
      </w:r>
    </w:p>
    <w:p>
      <w:pPr>
        <w:pStyle w:val="BodyText"/>
        <w:spacing w:line="319" w:lineRule="auto" w:before="76"/>
        <w:ind w:left="1134" w:right="1118"/>
        <w:jc w:val="left"/>
      </w:pPr>
      <w:r>
        <w:rPr/>
        <w:t>开发行证券的公司信息披露解释性公告第 </w:t>
      </w:r>
      <w:r>
        <w:rPr>
          <w:rFonts w:ascii="宋体" w:hAnsi="宋体" w:cs="宋体" w:eastAsia="宋体" w:hint="default"/>
        </w:rPr>
        <w:t>1</w:t>
      </w:r>
      <w:r>
        <w:rPr>
          <w:rFonts w:ascii="宋体" w:hAnsi="宋体" w:cs="宋体" w:eastAsia="宋体" w:hint="default"/>
          <w:spacing w:val="-71"/>
        </w:rPr>
        <w:t> </w:t>
      </w:r>
      <w:r>
        <w:rPr>
          <w:spacing w:val="-3"/>
        </w:rPr>
        <w:t>号——非经常性损益》中列举的非经常性损益项目界定为经常性损益的项目，应</w:t>
      </w:r>
      <w:r>
        <w:rPr/>
        <w:t> 说明原因。</w:t>
      </w:r>
    </w:p>
    <w:p>
      <w:pPr>
        <w:pStyle w:val="BodyText"/>
        <w:spacing w:line="240" w:lineRule="auto" w:before="58"/>
        <w:ind w:left="1134"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left="1134" w:right="0"/>
        <w:jc w:val="left"/>
        <w:rPr>
          <w:b w:val="0"/>
          <w:bCs w:val="0"/>
        </w:rPr>
      </w:pPr>
      <w:bookmarkStart w:name="2、净资产收益率及每股收益" w:id="346"/>
      <w:bookmarkEnd w:id="346"/>
      <w:r>
        <w:rPr>
          <w:b w:val="0"/>
          <w:bCs w:val="0"/>
        </w:rPr>
      </w:r>
      <w:r>
        <w:rPr>
          <w:rFonts w:ascii="宋体" w:hAnsi="宋体" w:cs="宋体" w:eastAsia="宋体" w:hint="default"/>
        </w:rPr>
        <w:t>2</w:t>
      </w:r>
      <w:r>
        <w:rPr/>
        <w:t>、净资产收益率及每股收益</w:t>
      </w:r>
      <w:r>
        <w:rPr>
          <w:b w:val="0"/>
          <w:bCs w:val="0"/>
        </w:rPr>
      </w:r>
    </w:p>
    <w:p>
      <w:pPr>
        <w:spacing w:line="240" w:lineRule="auto" w:before="13"/>
        <w:rPr>
          <w:rFonts w:ascii="宋体" w:hAnsi="宋体" w:cs="宋体" w:eastAsia="宋体" w:hint="default"/>
          <w:b/>
          <w:bCs/>
          <w:sz w:val="26"/>
          <w:szCs w:val="26"/>
        </w:rPr>
      </w:pPr>
    </w:p>
    <w:tbl>
      <w:tblPr>
        <w:tblW w:w="0" w:type="auto"/>
        <w:jc w:val="left"/>
        <w:tblInd w:w="1129" w:type="dxa"/>
        <w:tblLayout w:type="fixed"/>
        <w:tblCellMar>
          <w:top w:w="0" w:type="dxa"/>
          <w:left w:w="0" w:type="dxa"/>
          <w:bottom w:w="0" w:type="dxa"/>
          <w:right w:w="0" w:type="dxa"/>
        </w:tblCellMar>
        <w:tblLook w:val="01E0"/>
      </w:tblPr>
      <w:tblGrid>
        <w:gridCol w:w="2662"/>
        <w:gridCol w:w="3081"/>
        <w:gridCol w:w="1913"/>
        <w:gridCol w:w="1913"/>
      </w:tblGrid>
      <w:tr>
        <w:trPr>
          <w:trHeight w:val="402" w:hRule="exact"/>
        </w:trPr>
        <w:tc>
          <w:tcPr>
            <w:tcW w:w="266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2" w:hRule="exact"/>
        </w:trPr>
        <w:tc>
          <w:tcPr>
            <w:tcW w:w="2662" w:type="dxa"/>
            <w:vMerge/>
            <w:tcBorders>
              <w:left w:val="single" w:sz="4" w:space="0" w:color="000000"/>
              <w:bottom w:val="single" w:sz="4" w:space="0" w:color="000000"/>
              <w:right w:val="single" w:sz="4" w:space="0" w:color="000000"/>
            </w:tcBorders>
          </w:tcPr>
          <w:p>
            <w:pPr/>
          </w:p>
        </w:tc>
        <w:tc>
          <w:tcPr>
            <w:tcW w:w="3081" w:type="dxa"/>
            <w:vMerge/>
            <w:tcBorders>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z w:val="18"/>
                <w:szCs w:val="18"/>
              </w:rPr>
              <w:t>基本每股收益（元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z w:val="18"/>
                <w:szCs w:val="18"/>
              </w:rPr>
              <w:t>稀释每股收益（元</w:t>
            </w:r>
            <w:r>
              <w:rPr>
                <w:rFonts w:ascii="宋体" w:hAnsi="宋体" w:cs="宋体" w:eastAsia="宋体" w:hint="default"/>
                <w:sz w:val="18"/>
                <w:szCs w:val="18"/>
              </w:rPr>
              <w:t>/</w:t>
            </w:r>
            <w:r>
              <w:rPr>
                <w:rFonts w:ascii="宋体" w:hAnsi="宋体" w:cs="宋体" w:eastAsia="宋体" w:hint="default"/>
                <w:sz w:val="18"/>
                <w:szCs w:val="18"/>
              </w:rPr>
              <w:t>股）</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0.0163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0.0163</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0.0045</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3、境内外会计准则下会计数据差异" w:id="347"/>
      <w:bookmarkEnd w:id="347"/>
      <w:r>
        <w:rPr>
          <w:b w:val="0"/>
          <w:bCs w:val="0"/>
        </w:rPr>
      </w:r>
      <w:r>
        <w:rPr>
          <w:rFonts w:ascii="宋体" w:hAnsi="宋体" w:cs="宋体" w:eastAsia="宋体" w:hint="default"/>
        </w:rPr>
        <w:t>3</w:t>
      </w:r>
      <w:r>
        <w:rPr/>
        <w:t>、境内外会计准则下会计数据差异</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left="1134" w:right="0"/>
        <w:jc w:val="left"/>
        <w:rPr>
          <w:b w:val="0"/>
          <w:bCs w:val="0"/>
        </w:rPr>
      </w:pPr>
      <w:bookmarkStart w:name="（1）同时按照国际会计准则与按中国会计准则披露的财务报告中净利润和净资产差异情况" w:id="348"/>
      <w:bookmarkEnd w:id="348"/>
      <w:r>
        <w:rPr>
          <w:b w:val="0"/>
          <w:bCs w:val="0"/>
        </w:rPr>
      </w:r>
      <w:r>
        <w:rPr/>
        <w:t>（</w:t>
      </w:r>
      <w:r>
        <w:rPr>
          <w:rFonts w:ascii="宋体" w:hAnsi="宋体" w:cs="宋体" w:eastAsia="宋体" w:hint="default"/>
        </w:rPr>
        <w:t>1</w:t>
      </w:r>
      <w:r>
        <w:rPr/>
        <w:t>）同时按照国际会计准则与按中国会计准则披露的财务报告中净利润和净资产差异情况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1134"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left="1134" w:right="0"/>
        <w:jc w:val="left"/>
        <w:rPr>
          <w:b w:val="0"/>
          <w:bCs w:val="0"/>
        </w:rPr>
      </w:pPr>
      <w:bookmarkStart w:name="（2）同时按照境外会计准则与按中国会计准则披露的财务报告中净利润和净资产差异情况" w:id="349"/>
      <w:bookmarkEnd w:id="349"/>
      <w:r>
        <w:rPr>
          <w:b w:val="0"/>
          <w:bCs w:val="0"/>
        </w:rPr>
      </w:r>
      <w:r>
        <w:rPr/>
        <w:t>（</w:t>
      </w:r>
      <w:r>
        <w:rPr>
          <w:rFonts w:ascii="宋体" w:hAnsi="宋体" w:cs="宋体" w:eastAsia="宋体" w:hint="default"/>
        </w:rPr>
        <w:t>2</w:t>
      </w:r>
      <w:r>
        <w:rPr/>
        <w:t>）同时按照境外会计准则与按中国会计准则披露的财务报告中净利润和净资产差异情况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1134" w:right="0"/>
        <w:jc w:val="left"/>
      </w:pPr>
      <w:r>
        <w:rPr/>
        <w:t>□ 适用 √ 不适用</w:t>
      </w:r>
    </w:p>
    <w:p>
      <w:pPr>
        <w:spacing w:after="0" w:line="240" w:lineRule="auto"/>
        <w:jc w:val="left"/>
        <w:sectPr>
          <w:pgSz w:w="11910" w:h="16840"/>
          <w:pgMar w:header="0" w:footer="1187" w:top="1100" w:bottom="1380" w:left="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left="1129" w:right="1130"/>
        <w:jc w:val="center"/>
        <w:rPr>
          <w:b w:val="0"/>
          <w:bCs w:val="0"/>
        </w:rPr>
      </w:pPr>
      <w:bookmarkStart w:name="第十一节 备查文件目录" w:id="350"/>
      <w:bookmarkEnd w:id="350"/>
      <w:r>
        <w:rPr>
          <w:b w:val="0"/>
          <w:bCs w:val="0"/>
        </w:rPr>
      </w:r>
      <w:bookmarkStart w:name="_bookmark10" w:id="351"/>
      <w:bookmarkEnd w:id="351"/>
      <w:r>
        <w:rPr>
          <w:b w:val="0"/>
          <w:bCs w:val="0"/>
        </w:rPr>
      </w:r>
      <w:r>
        <w:rPr/>
        <w:t>第十一节</w:t>
      </w:r>
      <w:r>
        <w:rPr>
          <w:spacing w:val="-8"/>
        </w:rPr>
        <w:t> </w:t>
      </w:r>
      <w:r>
        <w:rPr/>
        <w:t>备查文件目录</w:t>
      </w:r>
      <w:r>
        <w:rPr>
          <w:b w:val="0"/>
          <w:bCs w:val="0"/>
        </w:rPr>
      </w:r>
    </w:p>
    <w:p>
      <w:pPr>
        <w:spacing w:line="240" w:lineRule="auto" w:before="8"/>
        <w:rPr>
          <w:rFonts w:ascii="宋体" w:hAnsi="宋体" w:cs="宋体" w:eastAsia="宋体" w:hint="default"/>
          <w:b/>
          <w:bCs/>
          <w:sz w:val="42"/>
          <w:szCs w:val="42"/>
        </w:rPr>
      </w:pPr>
    </w:p>
    <w:p>
      <w:pPr>
        <w:pStyle w:val="BodyText"/>
        <w:spacing w:line="357" w:lineRule="auto"/>
        <w:ind w:left="1134" w:right="3552"/>
        <w:jc w:val="left"/>
      </w:pPr>
      <w:r>
        <w:rPr/>
        <w:t>一、载有公司法定代表人、主管会计工作负责人、会计机构负责人签名并盖章的财务报表。 二、载有会计师事务所盖章、注册会计师签名并盖章的审计报告原件。 三、报告期内在中国证监会指定网站上公开披露过的所有公司文件的正本及公告的原稿。 四、其他相关资料。</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9"/>
          <w:szCs w:val="19"/>
        </w:rPr>
      </w:pPr>
    </w:p>
    <w:p>
      <w:pPr>
        <w:pStyle w:val="BodyText"/>
        <w:spacing w:line="360" w:lineRule="auto"/>
        <w:ind w:left="8253" w:right="1130"/>
        <w:jc w:val="center"/>
      </w:pPr>
      <w:r>
        <w:rPr/>
        <w:t>武汉天喻信息产业股份有限公司 董事长：张新访 二〇一六年四月十二日</w:t>
      </w:r>
    </w:p>
    <w:sectPr>
      <w:pgSz w:w="11910" w:h="16840"/>
      <w:pgMar w:header="0" w:footer="1187" w:top="1100" w:bottom="13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779104" type="#_x0000_t75" stroked="false">
          <v:imagedata r:id="rId1" o:titl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778528" type="#_x0000_t75" stroked="false">
          <v:imagedata r:id="rId1" o:title=""/>
        </v:shape>
      </w:pict>
    </w:r>
    <w:r>
      <w:rPr/>
      <w:pict>
        <v:shape style="position:absolute;margin-left:291.200012pt;margin-top:771.577942pt;width:13pt;height:11pt;mso-position-horizontal-relative:page;mso-position-vertical-relative:page;z-index:-7785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48</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1.919983pt;margin-top:553.320007pt;width:640pt;height:42pt;mso-position-horizontal-relative:page;mso-position-vertical-relative:page;z-index:-778456" type="#_x0000_t75" stroked="false">
          <v:imagedata r:id="rId1" o:title=""/>
        </v:shape>
      </w:pict>
    </w:r>
    <w:r>
      <w:rPr/>
      <w:pict>
        <v:shape style="position:absolute;margin-left:414.480011pt;margin-top:524.977966pt;width:13.05pt;height:11pt;mso-position-horizontal-relative:page;mso-position-vertical-relative:page;z-index:-7784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79</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1.919983pt;margin-top:553.320007pt;width:640pt;height:42pt;mso-position-horizontal-relative:page;mso-position-vertical-relative:page;z-index:-778408" type="#_x0000_t75" stroked="false">
          <v:imagedata r:id="rId1" o:title=""/>
        </v:shape>
      </w:pict>
    </w:r>
    <w:r>
      <w:rPr/>
      <w:pict>
        <v:shape style="position:absolute;margin-left:414.480011pt;margin-top:524.977966pt;width:13pt;height:11pt;mso-position-horizontal-relative:page;mso-position-vertical-relative:page;z-index:-7783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778312" type="#_x0000_t75" stroked="false">
          <v:imagedata r:id="rId1" o:title=""/>
        </v:shape>
      </w:pict>
    </w:r>
    <w:r>
      <w:rPr/>
      <w:pict>
        <v:shape style="position:absolute;margin-left:291.200012pt;margin-top:771.577942pt;width:13pt;height:11pt;mso-position-horizontal-relative:page;mso-position-vertical-relative:page;z-index:-7782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81</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778264" type="#_x0000_t75" stroked="false">
          <v:imagedata r:id="rId1" o:title=""/>
        </v:shape>
      </w:pict>
    </w:r>
    <w:r>
      <w:rPr/>
      <w:pict>
        <v:shape style="position:absolute;margin-left:73.699997pt;margin-top:755.965637pt;width:335pt;height:26.65pt;mso-position-horizontal-relative:page;mso-position-vertical-relative:page;z-index:-778240" type="#_x0000_t202" filled="false" stroked="false">
          <v:textbox inset="0,0,0,0">
            <w:txbxContent>
              <w:p>
                <w:pPr>
                  <w:pStyle w:val="BodyText"/>
                  <w:spacing w:line="200" w:lineRule="exact"/>
                  <w:ind w:left="20" w:right="0"/>
                  <w:jc w:val="left"/>
                </w:pPr>
                <w:r>
                  <w:rPr/>
                  <w:t>为执行销售合同或者劳务合同而持有的存货，其可变现净值以合同价格为基础计算。</w:t>
                </w:r>
              </w:p>
              <w:p>
                <w:pPr>
                  <w:pStyle w:val="BodyText"/>
                  <w:spacing w:line="240" w:lineRule="auto" w:before="109"/>
                  <w:ind w:left="4389"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89</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778216" type="#_x0000_t75" stroked="false">
          <v:imagedata r:id="rId1" o:title=""/>
        </v:shape>
      </w:pict>
    </w:r>
    <w:r>
      <w:rPr/>
      <w:pict>
        <v:shape style="position:absolute;margin-left:291.200012pt;margin-top:771.577942pt;width:13pt;height:11pt;mso-position-horizontal-relative:page;mso-position-vertical-relative:page;z-index:-7781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778168" type="#_x0000_t75" stroked="false">
          <v:imagedata r:id="rId1" o:title=""/>
        </v:shape>
      </w:pict>
    </w:r>
    <w:r>
      <w:rPr/>
      <w:pict>
        <v:shape style="position:absolute;margin-left:291.200012pt;margin-top:771.577942pt;width:13pt;height:11pt;mso-position-horizontal-relative:page;mso-position-vertical-relative:page;z-index:-7781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91</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778120" type="#_x0000_t75" stroked="false">
          <v:imagedata r:id="rId1" o:title=""/>
        </v:shape>
      </w:pict>
    </w:r>
    <w:r>
      <w:rPr/>
      <w:pict>
        <v:shape style="position:absolute;margin-left:291.200012pt;margin-top:771.577942pt;width:13pt;height:11pt;mso-position-horizontal-relative:page;mso-position-vertical-relative:page;z-index:-7780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96</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778072" type="#_x0000_t75" stroked="false">
          <v:imagedata r:id="rId1" o:title=""/>
        </v:shape>
      </w:pict>
    </w:r>
    <w:r>
      <w:rPr/>
      <w:pict>
        <v:shape style="position:absolute;margin-left:291.200012pt;margin-top:771.577942pt;width:13pt;height:11pt;mso-position-horizontal-relative:page;mso-position-vertical-relative:page;z-index:-7780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97</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778024" type="#_x0000_t75" stroked="false">
          <v:imagedata r:id="rId1" o:title=""/>
        </v:shape>
      </w:pict>
    </w:r>
    <w:r>
      <w:rPr/>
      <w:pict>
        <v:shape style="position:absolute;margin-left:289.920013pt;margin-top:771.577942pt;width:15.5pt;height:11pt;mso-position-horizontal-relative:page;mso-position-vertical-relative:page;z-index:-77800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779032" type="#_x0000_t75" stroked="false">
          <v:imagedata r:id="rId1" o:title=""/>
        </v:shape>
      </w:pict>
    </w:r>
    <w:r>
      <w:rPr/>
      <w:pict>
        <v:shape style="position:absolute;margin-left:291.200012pt;margin-top:771.577942pt;width:13pt;height:11pt;mso-position-horizontal-relative:page;mso-position-vertical-relative:page;z-index:-7790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777976" type="#_x0000_t75" stroked="false">
          <v:imagedata r:id="rId1" o:title=""/>
        </v:shape>
      </w:pict>
    </w:r>
    <w:r>
      <w:rPr/>
      <w:pict>
        <v:shape style="position:absolute;margin-left:288.920013pt;margin-top:771.577942pt;width:17.5pt;height:11pt;mso-position-horizontal-relative:page;mso-position-vertical-relative:page;z-index:-7779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777928" type="#_x0000_t75" stroked="false">
          <v:imagedata r:id="rId1" o:title=""/>
        </v:shape>
      </w:pict>
    </w:r>
    <w:r>
      <w:rPr/>
      <w:pict>
        <v:shape style="position:absolute;margin-left:288.920013pt;margin-top:771.577942pt;width:17.5pt;height:11pt;mso-position-horizontal-relative:page;mso-position-vertical-relative:page;z-index:-7779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131</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1.919983pt;margin-top:553.320007pt;width:640pt;height:42pt;mso-position-horizontal-relative:page;mso-position-vertical-relative:page;z-index:-778960" type="#_x0000_t75" stroked="false">
          <v:imagedata r:id="rId1" o:title=""/>
        </v:shape>
      </w:pict>
    </w:r>
    <w:r>
      <w:rPr/>
      <w:pict>
        <v:shape style="position:absolute;margin-left:414.480011pt;margin-top:524.977966pt;width:13pt;height:11pt;mso-position-horizontal-relative:page;mso-position-vertical-relative:page;z-index:-7789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19</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778864" type="#_x0000_t75" stroked="false">
          <v:imagedata r:id="rId1" o:title=""/>
        </v:shape>
      </w:pict>
    </w:r>
    <w:r>
      <w:rPr/>
      <w:pict>
        <v:shape style="position:absolute;margin-left:291.200012pt;margin-top:771.577942pt;width:13pt;height:11pt;mso-position-horizontal-relative:page;mso-position-vertical-relative:page;z-index:-7788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26</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1.919983pt;margin-top:553.320007pt;width:640pt;height:42pt;mso-position-horizontal-relative:page;mso-position-vertical-relative:page;z-index:-778792" type="#_x0000_t75" stroked="false">
          <v:imagedata r:id="rId1" o:title=""/>
        </v:shape>
      </w:pict>
    </w:r>
    <w:r>
      <w:rPr/>
      <w:pict>
        <v:shape style="position:absolute;margin-left:414.480011pt;margin-top:524.977966pt;width:13pt;height:11pt;mso-position-horizontal-relative:page;mso-position-vertical-relative:page;z-index:-7787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778696" type="#_x0000_t75" stroked="false">
          <v:imagedata r:id="rId1" o:title=""/>
        </v:shape>
      </w:pict>
    </w:r>
    <w:r>
      <w:rPr/>
      <w:pict>
        <v:shape style="position:absolute;margin-left:291.200012pt;margin-top:771.577942pt;width:13pt;height:11pt;mso-position-horizontal-relative:page;mso-position-vertical-relative:page;z-index:-7786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34</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1.919983pt;margin-top:553.320007pt;width:640pt;height:42pt;mso-position-horizontal-relative:page;mso-position-vertical-relative:page;z-index:-778624" type="#_x0000_t75" stroked="false">
          <v:imagedata r:id="rId1" o:title=""/>
        </v:shape>
      </w:pict>
    </w:r>
    <w:r>
      <w:rPr/>
      <w:pict>
        <v:shape style="position:absolute;margin-left:414.480011pt;margin-top:524.977966pt;width:13pt;height:11pt;mso-position-horizontal-relative:page;mso-position-vertical-relative:page;z-index:-7786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46</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779080"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53.160004pt;margin-top:42.865608pt;width:186.55pt;height:11pt;mso-position-horizontal-relative:page;mso-position-vertical-relative:page;z-index:-779056" type="#_x0000_t202" filled="false" stroked="false">
          <v:textbox inset="0,0,0,0">
            <w:txbxContent>
              <w:p>
                <w:pPr>
                  <w:pStyle w:val="BodyText"/>
                  <w:spacing w:line="200" w:lineRule="exact"/>
                  <w:ind w:left="20" w:right="0"/>
                  <w:jc w:val="left"/>
                </w:pPr>
                <w:r>
                  <w:rPr/>
                  <w:t>武汉天喻信息产业股份有限公司</w:t>
                </w:r>
                <w:r>
                  <w:rPr>
                    <w:spacing w:val="-46"/>
                  </w:rPr>
                  <w:t> </w:t>
                </w:r>
                <w:r>
                  <w:rPr>
                    <w:rFonts w:ascii="宋体" w:hAnsi="宋体" w:cs="宋体" w:eastAsia="宋体" w:hint="default"/>
                  </w:rPr>
                  <w:t>2015</w:t>
                </w:r>
                <w:r>
                  <w:rPr>
                    <w:rFonts w:ascii="宋体" w:hAnsi="宋体" w:cs="宋体" w:eastAsia="宋体" w:hint="default"/>
                    <w:spacing w:val="-46"/>
                  </w:rPr>
                  <w:t> </w:t>
                </w:r>
                <w:r>
                  <w:rPr/>
                  <w:t>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778360"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53.160004pt;margin-top:42.865608pt;width:186.55pt;height:11pt;mso-position-horizontal-relative:page;mso-position-vertical-relative:page;z-index:-778336" type="#_x0000_t202" filled="false" stroked="false">
          <v:textbox inset="0,0,0,0">
            <w:txbxContent>
              <w:p>
                <w:pPr>
                  <w:pStyle w:val="BodyText"/>
                  <w:spacing w:line="200" w:lineRule="exact"/>
                  <w:ind w:left="20" w:right="0"/>
                  <w:jc w:val="left"/>
                </w:pPr>
                <w:r>
                  <w:rPr/>
                  <w:t>武汉天喻信息产业股份有限公司</w:t>
                </w:r>
                <w:r>
                  <w:rPr>
                    <w:spacing w:val="-46"/>
                  </w:rPr>
                  <w:t> </w:t>
                </w:r>
                <w:r>
                  <w:rPr>
                    <w:rFonts w:ascii="宋体" w:hAnsi="宋体" w:cs="宋体" w:eastAsia="宋体" w:hint="default"/>
                  </w:rPr>
                  <w:t>2015</w:t>
                </w:r>
                <w:r>
                  <w:rPr>
                    <w:rFonts w:ascii="宋体" w:hAnsi="宋体" w:cs="宋体" w:eastAsia="宋体" w:hint="default"/>
                    <w:spacing w:val="-46"/>
                  </w:rPr>
                  <w:t> </w:t>
                </w:r>
                <w:r>
                  <w:rPr/>
                  <w:t>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4.460022pt;margin-top:42.865631pt;width:186.55pt;height:11pt;mso-position-horizontal-relative:page;mso-position-vertical-relative:page;z-index:-778984" type="#_x0000_t202" filled="false" stroked="false">
          <v:textbox inset="0,0,0,0">
            <w:txbxContent>
              <w:p>
                <w:pPr>
                  <w:pStyle w:val="BodyText"/>
                  <w:spacing w:line="200" w:lineRule="exact"/>
                  <w:ind w:left="20" w:right="0"/>
                  <w:jc w:val="left"/>
                </w:pPr>
                <w:r>
                  <w:rPr/>
                  <w:t>武汉天喻信息产业股份有限公司</w:t>
                </w:r>
                <w:r>
                  <w:rPr>
                    <w:spacing w:val="-46"/>
                  </w:rPr>
                  <w:t> </w:t>
                </w:r>
                <w:r>
                  <w:rPr>
                    <w:rFonts w:ascii="宋体" w:hAnsi="宋体" w:cs="宋体" w:eastAsia="宋体" w:hint="default"/>
                  </w:rPr>
                  <w:t>2015</w:t>
                </w:r>
                <w:r>
                  <w:rPr>
                    <w:rFonts w:ascii="宋体" w:hAnsi="宋体" w:cs="宋体" w:eastAsia="宋体" w:hint="default"/>
                    <w:spacing w:val="-46"/>
                  </w:rPr>
                  <w:t> </w:t>
                </w:r>
                <w:r>
                  <w:rPr/>
                  <w:t>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778912"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53.160004pt;margin-top:42.865608pt;width:186.55pt;height:11pt;mso-position-horizontal-relative:page;mso-position-vertical-relative:page;z-index:-778888" type="#_x0000_t202" filled="false" stroked="false">
          <v:textbox inset="0,0,0,0">
            <w:txbxContent>
              <w:p>
                <w:pPr>
                  <w:pStyle w:val="BodyText"/>
                  <w:spacing w:line="200" w:lineRule="exact"/>
                  <w:ind w:left="20" w:right="0"/>
                  <w:jc w:val="left"/>
                </w:pPr>
                <w:r>
                  <w:rPr/>
                  <w:t>武汉天喻信息产业股份有限公司</w:t>
                </w:r>
                <w:r>
                  <w:rPr>
                    <w:spacing w:val="-46"/>
                  </w:rPr>
                  <w:t> </w:t>
                </w:r>
                <w:r>
                  <w:rPr>
                    <w:rFonts w:ascii="宋体" w:hAnsi="宋体" w:cs="宋体" w:eastAsia="宋体" w:hint="default"/>
                  </w:rPr>
                  <w:t>2015</w:t>
                </w:r>
                <w:r>
                  <w:rPr>
                    <w:rFonts w:ascii="宋体" w:hAnsi="宋体" w:cs="宋体" w:eastAsia="宋体" w:hint="default"/>
                    <w:spacing w:val="-46"/>
                  </w:rPr>
                  <w:t> </w:t>
                </w:r>
                <w:r>
                  <w:rPr/>
                  <w:t>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4.460022pt;margin-top:42.865631pt;width:186.55pt;height:11pt;mso-position-horizontal-relative:page;mso-position-vertical-relative:page;z-index:-778816" type="#_x0000_t202" filled="false" stroked="false">
          <v:textbox inset="0,0,0,0">
            <w:txbxContent>
              <w:p>
                <w:pPr>
                  <w:pStyle w:val="BodyText"/>
                  <w:spacing w:line="200" w:lineRule="exact"/>
                  <w:ind w:left="20" w:right="0"/>
                  <w:jc w:val="left"/>
                </w:pPr>
                <w:r>
                  <w:rPr/>
                  <w:t>武汉天喻信息产业股份有限公司</w:t>
                </w:r>
                <w:r>
                  <w:rPr>
                    <w:spacing w:val="-46"/>
                  </w:rPr>
                  <w:t> </w:t>
                </w:r>
                <w:r>
                  <w:rPr>
                    <w:rFonts w:ascii="宋体" w:hAnsi="宋体" w:cs="宋体" w:eastAsia="宋体" w:hint="default"/>
                  </w:rPr>
                  <w:t>2015</w:t>
                </w:r>
                <w:r>
                  <w:rPr>
                    <w:rFonts w:ascii="宋体" w:hAnsi="宋体" w:cs="宋体" w:eastAsia="宋体" w:hint="default"/>
                    <w:spacing w:val="-46"/>
                  </w:rPr>
                  <w:t> </w:t>
                </w:r>
                <w:r>
                  <w:rPr/>
                  <w:t>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778744"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53.160004pt;margin-top:42.865608pt;width:186.55pt;height:11pt;mso-position-horizontal-relative:page;mso-position-vertical-relative:page;z-index:-778720" type="#_x0000_t202" filled="false" stroked="false">
          <v:textbox inset="0,0,0,0">
            <w:txbxContent>
              <w:p>
                <w:pPr>
                  <w:pStyle w:val="BodyText"/>
                  <w:spacing w:line="200" w:lineRule="exact"/>
                  <w:ind w:left="20" w:right="0"/>
                  <w:jc w:val="left"/>
                </w:pPr>
                <w:r>
                  <w:rPr/>
                  <w:t>武汉天喻信息产业股份有限公司</w:t>
                </w:r>
                <w:r>
                  <w:rPr>
                    <w:spacing w:val="-46"/>
                  </w:rPr>
                  <w:t> </w:t>
                </w:r>
                <w:r>
                  <w:rPr>
                    <w:rFonts w:ascii="宋体" w:hAnsi="宋体" w:cs="宋体" w:eastAsia="宋体" w:hint="default"/>
                  </w:rPr>
                  <w:t>2015</w:t>
                </w:r>
                <w:r>
                  <w:rPr>
                    <w:rFonts w:ascii="宋体" w:hAnsi="宋体" w:cs="宋体" w:eastAsia="宋体" w:hint="default"/>
                    <w:spacing w:val="-46"/>
                  </w:rPr>
                  <w:t> </w:t>
                </w:r>
                <w:r>
                  <w:rPr/>
                  <w:t>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4.460022pt;margin-top:42.865631pt;width:186.55pt;height:11pt;mso-position-horizontal-relative:page;mso-position-vertical-relative:page;z-index:-778648" type="#_x0000_t202" filled="false" stroked="false">
          <v:textbox inset="0,0,0,0">
            <w:txbxContent>
              <w:p>
                <w:pPr>
                  <w:pStyle w:val="BodyText"/>
                  <w:spacing w:line="200" w:lineRule="exact"/>
                  <w:ind w:left="20" w:right="0"/>
                  <w:jc w:val="left"/>
                </w:pPr>
                <w:r>
                  <w:rPr/>
                  <w:t>武汉天喻信息产业股份有限公司</w:t>
                </w:r>
                <w:r>
                  <w:rPr>
                    <w:spacing w:val="-46"/>
                  </w:rPr>
                  <w:t> </w:t>
                </w:r>
                <w:r>
                  <w:rPr>
                    <w:rFonts w:ascii="宋体" w:hAnsi="宋体" w:cs="宋体" w:eastAsia="宋体" w:hint="default"/>
                  </w:rPr>
                  <w:t>2015</w:t>
                </w:r>
                <w:r>
                  <w:rPr>
                    <w:rFonts w:ascii="宋体" w:hAnsi="宋体" w:cs="宋体" w:eastAsia="宋体" w:hint="default"/>
                    <w:spacing w:val="-46"/>
                  </w:rPr>
                  <w:t> </w:t>
                </w:r>
                <w:r>
                  <w:rPr/>
                  <w:t>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778576"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53.160004pt;margin-top:42.865608pt;width:186.55pt;height:11pt;mso-position-horizontal-relative:page;mso-position-vertical-relative:page;z-index:-778552" type="#_x0000_t202" filled="false" stroked="false">
          <v:textbox inset="0,0,0,0">
            <w:txbxContent>
              <w:p>
                <w:pPr>
                  <w:pStyle w:val="BodyText"/>
                  <w:spacing w:line="200" w:lineRule="exact"/>
                  <w:ind w:left="20" w:right="0"/>
                  <w:jc w:val="left"/>
                </w:pPr>
                <w:r>
                  <w:rPr/>
                  <w:t>武汉天喻信息产业股份有限公司</w:t>
                </w:r>
                <w:r>
                  <w:rPr>
                    <w:spacing w:val="-46"/>
                  </w:rPr>
                  <w:t> </w:t>
                </w:r>
                <w:r>
                  <w:rPr>
                    <w:rFonts w:ascii="宋体" w:hAnsi="宋体" w:cs="宋体" w:eastAsia="宋体" w:hint="default"/>
                  </w:rPr>
                  <w:t>2015</w:t>
                </w:r>
                <w:r>
                  <w:rPr>
                    <w:rFonts w:ascii="宋体" w:hAnsi="宋体" w:cs="宋体" w:eastAsia="宋体" w:hint="default"/>
                    <w:spacing w:val="-46"/>
                  </w:rPr>
                  <w:t> </w:t>
                </w:r>
                <w:r>
                  <w:rPr/>
                  <w:t>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4.460022pt;margin-top:42.865631pt;width:186.55pt;height:11pt;mso-position-horizontal-relative:page;mso-position-vertical-relative:page;z-index:-778480" type="#_x0000_t202" filled="false" stroked="false">
          <v:textbox inset="0,0,0,0">
            <w:txbxContent>
              <w:p>
                <w:pPr>
                  <w:pStyle w:val="BodyText"/>
                  <w:spacing w:line="200" w:lineRule="exact"/>
                  <w:ind w:left="20" w:right="0"/>
                  <w:jc w:val="left"/>
                </w:pPr>
                <w:r>
                  <w:rPr/>
                  <w:t>武汉天喻信息产业股份有限公司</w:t>
                </w:r>
                <w:r>
                  <w:rPr>
                    <w:spacing w:val="-46"/>
                  </w:rPr>
                  <w:t> </w:t>
                </w:r>
                <w:r>
                  <w:rPr>
                    <w:rFonts w:ascii="宋体" w:hAnsi="宋体" w:cs="宋体" w:eastAsia="宋体" w:hint="default"/>
                  </w:rPr>
                  <w:t>2015</w:t>
                </w:r>
                <w:r>
                  <w:rPr>
                    <w:rFonts w:ascii="宋体" w:hAnsi="宋体" w:cs="宋体" w:eastAsia="宋体" w:hint="default"/>
                    <w:spacing w:val="-46"/>
                  </w:rPr>
                  <w:t> </w:t>
                </w:r>
                <w:r>
                  <w:rPr/>
                  <w:t>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8"/>
      <w:ind w:left="1133"/>
    </w:pPr>
    <w:rPr>
      <w:rFonts w:ascii="宋体" w:hAnsi="宋体" w:eastAsia="宋体"/>
      <w:b/>
      <w:bCs/>
      <w:sz w:val="24"/>
      <w:szCs w:val="24"/>
    </w:rPr>
  </w:style>
  <w:style w:styleId="BodyText" w:type="paragraph">
    <w:name w:val="Body Text"/>
    <w:basedOn w:val="Normal"/>
    <w:uiPriority w:val="1"/>
    <w:qFormat/>
    <w:pPr>
      <w:ind w:left="1133"/>
    </w:pPr>
    <w:rPr>
      <w:rFonts w:ascii="宋体" w:hAnsi="宋体" w:eastAsia="宋体"/>
      <w:sz w:val="18"/>
      <w:szCs w:val="18"/>
    </w:rPr>
  </w:style>
  <w:style w:styleId="Heading1" w:type="paragraph">
    <w:name w:val="Heading 1"/>
    <w:basedOn w:val="Normal"/>
    <w:uiPriority w:val="1"/>
    <w:qFormat/>
    <w:pPr>
      <w:spacing w:before="1"/>
      <w:ind w:left="1130"/>
      <w:outlineLvl w:val="1"/>
    </w:pPr>
    <w:rPr>
      <w:rFonts w:ascii="宋体" w:hAnsi="宋体" w:eastAsia="宋体"/>
      <w:b/>
      <w:bCs/>
      <w:sz w:val="32"/>
      <w:szCs w:val="32"/>
    </w:rPr>
  </w:style>
  <w:style w:styleId="Heading2" w:type="paragraph">
    <w:name w:val="Heading 2"/>
    <w:basedOn w:val="Normal"/>
    <w:uiPriority w:val="1"/>
    <w:qFormat/>
    <w:pPr>
      <w:ind w:left="1133"/>
      <w:outlineLvl w:val="2"/>
    </w:pPr>
    <w:rPr>
      <w:rFonts w:ascii="宋体" w:hAnsi="宋体" w:eastAsia="宋体"/>
      <w:b/>
      <w:bCs/>
      <w:sz w:val="24"/>
      <w:szCs w:val="24"/>
    </w:rPr>
  </w:style>
  <w:style w:styleId="Heading3" w:type="paragraph">
    <w:name w:val="Heading 3"/>
    <w:basedOn w:val="Normal"/>
    <w:uiPriority w:val="1"/>
    <w:qFormat/>
    <w:pPr>
      <w:ind w:left="1133"/>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hyperlink" Target="http://baike.baidu.com/view/113466.htm" TargetMode="External"/><Relationship Id="rId10" Type="http://schemas.openxmlformats.org/officeDocument/2006/relationships/hyperlink" Target="http://www.whty.com.cn/" TargetMode="External"/><Relationship Id="rId11" Type="http://schemas.openxmlformats.org/officeDocument/2006/relationships/hyperlink" Target="mailto:tyobd@whty.com.cn" TargetMode="External"/><Relationship Id="rId12" Type="http://schemas.openxmlformats.org/officeDocument/2006/relationships/hyperlink" Target="mailto:js@whty.com.cn" TargetMode="External"/><Relationship Id="rId13" Type="http://schemas.openxmlformats.org/officeDocument/2006/relationships/hyperlink" Target="mailto:hej@whty.com.cn" TargetMode="External"/><Relationship Id="rId14" Type="http://schemas.openxmlformats.org/officeDocument/2006/relationships/hyperlink" Target="http://www.cninfo.com.cn/" TargetMode="External"/><Relationship Id="rId15" Type="http://schemas.openxmlformats.org/officeDocument/2006/relationships/header" Target="header2.xml"/><Relationship Id="rId16" Type="http://schemas.openxmlformats.org/officeDocument/2006/relationships/footer" Target="footer3.xml"/><Relationship Id="rId17" Type="http://schemas.openxmlformats.org/officeDocument/2006/relationships/header" Target="header3.xml"/><Relationship Id="rId18" Type="http://schemas.openxmlformats.org/officeDocument/2006/relationships/footer" Target="footer4.xml"/><Relationship Id="rId19" Type="http://schemas.openxmlformats.org/officeDocument/2006/relationships/image" Target="media/image1.png"/><Relationship Id="rId20" Type="http://schemas.openxmlformats.org/officeDocument/2006/relationships/header" Target="header4.xml"/><Relationship Id="rId21" Type="http://schemas.openxmlformats.org/officeDocument/2006/relationships/footer" Target="footer5.xml"/><Relationship Id="rId22" Type="http://schemas.openxmlformats.org/officeDocument/2006/relationships/image" Target="media/image3.png"/><Relationship Id="rId23" Type="http://schemas.openxmlformats.org/officeDocument/2006/relationships/footer" Target="footer6.xml"/><Relationship Id="rId24" Type="http://schemas.openxmlformats.org/officeDocument/2006/relationships/hyperlink" Target="http://irm.cninfo.com.cn/ssessgs/S300205/index.html" TargetMode="External"/><Relationship Id="rId25" Type="http://schemas.openxmlformats.org/officeDocument/2006/relationships/header" Target="header5.xml"/><Relationship Id="rId26" Type="http://schemas.openxmlformats.org/officeDocument/2006/relationships/footer" Target="footer7.xml"/><Relationship Id="rId27" Type="http://schemas.openxmlformats.org/officeDocument/2006/relationships/header" Target="header6.xml"/><Relationship Id="rId28" Type="http://schemas.openxmlformats.org/officeDocument/2006/relationships/footer" Target="footer8.xml"/><Relationship Id="rId29" Type="http://schemas.openxmlformats.org/officeDocument/2006/relationships/image" Target="media/image4.png"/><Relationship Id="rId30" Type="http://schemas.openxmlformats.org/officeDocument/2006/relationships/header" Target="header7.xml"/><Relationship Id="rId31" Type="http://schemas.openxmlformats.org/officeDocument/2006/relationships/footer" Target="footer9.xml"/><Relationship Id="rId32" Type="http://schemas.openxmlformats.org/officeDocument/2006/relationships/header" Target="header8.xml"/><Relationship Id="rId33" Type="http://schemas.openxmlformats.org/officeDocument/2006/relationships/footer" Target="footer10.xml"/><Relationship Id="rId34" Type="http://schemas.openxmlformats.org/officeDocument/2006/relationships/header" Target="header9.xml"/><Relationship Id="rId35" Type="http://schemas.openxmlformats.org/officeDocument/2006/relationships/footer" Target="footer11.xml"/><Relationship Id="rId36" Type="http://schemas.openxmlformats.org/officeDocument/2006/relationships/footer" Target="footer12.xml"/><Relationship Id="rId37" Type="http://schemas.openxmlformats.org/officeDocument/2006/relationships/header" Target="header10.xml"/><Relationship Id="rId38" Type="http://schemas.openxmlformats.org/officeDocument/2006/relationships/footer" Target="footer13.xml"/><Relationship Id="rId39" Type="http://schemas.openxmlformats.org/officeDocument/2006/relationships/footer" Target="footer14.xml"/><Relationship Id="rId40" Type="http://schemas.openxmlformats.org/officeDocument/2006/relationships/footer" Target="footer15.xml"/><Relationship Id="rId41" Type="http://schemas.openxmlformats.org/officeDocument/2006/relationships/footer" Target="footer16.xml"/><Relationship Id="rId42" Type="http://schemas.openxmlformats.org/officeDocument/2006/relationships/footer" Target="footer17.xml"/><Relationship Id="rId43" Type="http://schemas.openxmlformats.org/officeDocument/2006/relationships/footer" Target="footer18.xml"/><Relationship Id="rId44" Type="http://schemas.openxmlformats.org/officeDocument/2006/relationships/footer" Target="footer19.xml"/><Relationship Id="rId45" Type="http://schemas.openxmlformats.org/officeDocument/2006/relationships/footer" Target="footer20.xml"/><Relationship Id="rId46" Type="http://schemas.openxmlformats.org/officeDocument/2006/relationships/header" Target="header11.xml"/><Relationship Id="rId47" Type="http://schemas.openxmlformats.org/officeDocument/2006/relationships/footer" Target="footer21.xml"/><Relationship Id="rId48" Type="http://schemas.openxmlformats.org/officeDocument/2006/relationships/footer" Target="footer2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0.xml.rels><?xml version="1.0" encoding="UTF-8" standalone="yes"?>
<Relationships xmlns="http://schemas.openxmlformats.org/package/2006/relationships"><Relationship Id="rId1" Type="http://schemas.openxmlformats.org/officeDocument/2006/relationships/image" Target="media/image1.png"/></Relationships>

</file>

<file path=word/_rels/footer11.xml.rels><?xml version="1.0" encoding="UTF-8" standalone="yes"?>
<Relationships xmlns="http://schemas.openxmlformats.org/package/2006/relationships"><Relationship Id="rId1" Type="http://schemas.openxmlformats.org/officeDocument/2006/relationships/image" Target="media/image3.png"/></Relationships>

</file>

<file path=word/_rels/footer12.xml.rels><?xml version="1.0" encoding="UTF-8" standalone="yes"?>
<Relationships xmlns="http://schemas.openxmlformats.org/package/2006/relationships"><Relationship Id="rId1" Type="http://schemas.openxmlformats.org/officeDocument/2006/relationships/image" Target="media/image3.png"/></Relationships>

</file>

<file path=word/_rels/footer13.xml.rels><?xml version="1.0" encoding="UTF-8" standalone="yes"?>
<Relationships xmlns="http://schemas.openxmlformats.org/package/2006/relationships"><Relationship Id="rId1" Type="http://schemas.openxmlformats.org/officeDocument/2006/relationships/image" Target="media/image1.png"/></Relationships>

</file>

<file path=word/_rels/footer14.xml.rels><?xml version="1.0" encoding="UTF-8" standalone="yes"?>
<Relationships xmlns="http://schemas.openxmlformats.org/package/2006/relationships"><Relationship Id="rId1" Type="http://schemas.openxmlformats.org/officeDocument/2006/relationships/image" Target="media/image1.png"/></Relationships>

</file>

<file path=word/_rels/footer15.xml.rels><?xml version="1.0" encoding="UTF-8" standalone="yes"?>
<Relationships xmlns="http://schemas.openxmlformats.org/package/2006/relationships"><Relationship Id="rId1" Type="http://schemas.openxmlformats.org/officeDocument/2006/relationships/image" Target="media/image1.png"/></Relationships>

</file>

<file path=word/_rels/footer16.xml.rels><?xml version="1.0" encoding="UTF-8" standalone="yes"?>
<Relationships xmlns="http://schemas.openxmlformats.org/package/2006/relationships"><Relationship Id="rId1" Type="http://schemas.openxmlformats.org/officeDocument/2006/relationships/image" Target="media/image1.png"/></Relationships>

</file>

<file path=word/_rels/footer17.xml.rels><?xml version="1.0" encoding="UTF-8" standalone="yes"?>
<Relationships xmlns="http://schemas.openxmlformats.org/package/2006/relationships"><Relationship Id="rId1" Type="http://schemas.openxmlformats.org/officeDocument/2006/relationships/image" Target="media/image1.png"/></Relationships>

</file>

<file path=word/_rels/footer18.xml.rels><?xml version="1.0" encoding="UTF-8" standalone="yes"?>
<Relationships xmlns="http://schemas.openxmlformats.org/package/2006/relationships"><Relationship Id="rId1" Type="http://schemas.openxmlformats.org/officeDocument/2006/relationships/image" Target="media/image1.png"/></Relationships>

</file>

<file path=word/_rels/footer19.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20.xml.rels><?xml version="1.0" encoding="UTF-8" standalone="yes"?>
<Relationships xmlns="http://schemas.openxmlformats.org/package/2006/relationships"><Relationship Id="rId1" Type="http://schemas.openxmlformats.org/officeDocument/2006/relationships/image" Target="media/image1.png"/></Relationships>

</file>

<file path=word/_rels/footer2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3.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_rels/footer9.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武汉天喻信息产业股份有限公司</dc:creator>
  <dc:title>武汉天喻信息产业股份有限公司2015年年度报告全文</dc:title>
  <dcterms:created xsi:type="dcterms:W3CDTF">2020-05-04T16:14:35Z</dcterms:created>
  <dcterms:modified xsi:type="dcterms:W3CDTF">2020-05-04T16:14:35Z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2016-04-12T00:00:00Z</vt:filetime>
  </property>
  <property fmtid="{D5CDD505-2E9C-101B-9397-08002B2CF9AE}" pid="3" name="Creator">
    <vt:lpwstr>Microsoft® Office Word 2007</vt:lpwstr>
  </property>
  <property fmtid="{D5CDD505-2E9C-101B-9397-08002B2CF9AE}" pid="4" name="LastSaved">
    <vt:filetime>2020-05-04T00:00:00Z</vt:filetime>
  </property>
</Properties>
</file>