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1130" w:right="1130" w:firstLine="0"/>
        <w:jc w:val="center"/>
        <w:rPr>
          <w:rFonts w:ascii="宋体" w:hAnsi="宋体" w:cs="宋体" w:eastAsia="宋体" w:hint="default"/>
          <w:sz w:val="36"/>
          <w:szCs w:val="36"/>
        </w:rPr>
      </w:pPr>
      <w:r>
        <w:rPr>
          <w:rFonts w:ascii="宋体" w:hAnsi="宋体" w:cs="宋体" w:eastAsia="宋体" w:hint="default"/>
          <w:b/>
          <w:bCs/>
          <w:sz w:val="36"/>
          <w:szCs w:val="36"/>
        </w:rPr>
        <w:t>武汉天喻信息产业股份有限公司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30" w:right="1130" w:firstLine="0"/>
        <w:jc w:val="center"/>
        <w:rPr>
          <w:rFonts w:ascii="宋体" w:hAnsi="宋体" w:cs="宋体" w:eastAsia="宋体" w:hint="default"/>
          <w:sz w:val="32"/>
          <w:szCs w:val="32"/>
        </w:rPr>
      </w:pPr>
      <w:r>
        <w:rPr>
          <w:rFonts w:ascii="宋体" w:hAnsi="宋体" w:cs="宋体" w:eastAsia="宋体" w:hint="default"/>
          <w:b/>
          <w:bCs/>
          <w:sz w:val="32"/>
          <w:szCs w:val="32"/>
        </w:rPr>
        <w:t>2017</w:t>
      </w:r>
      <w:r>
        <w:rPr>
          <w:rFonts w:ascii="宋体" w:hAnsi="宋体" w:cs="宋体" w:eastAsia="宋体" w:hint="default"/>
          <w:b/>
          <w:bCs/>
          <w:spacing w:val="-86"/>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line="713" w:lineRule="exact"/>
        <w:ind w:left="3838"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718054" cy="45300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718054" cy="453009"/>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41"/>
          <w:szCs w:val="41"/>
        </w:rPr>
      </w:pPr>
    </w:p>
    <w:p>
      <w:pPr>
        <w:spacing w:before="0"/>
        <w:ind w:left="1131" w:right="1130"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3</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640" w:top="158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公司负责人张新访、主管会计工作负责人孙静及会计机构负责人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张艳菊声明：保证年度报告中财务报告的真实、准确、完整。</w:t>
      </w:r>
      <w:r>
        <w:rPr>
          <w:rFonts w:ascii="宋体" w:hAnsi="宋体" w:cs="宋体" w:eastAsia="宋体" w:hint="default"/>
          <w:sz w:val="28"/>
          <w:szCs w:val="28"/>
        </w:rPr>
      </w:r>
    </w:p>
    <w:p>
      <w:pPr>
        <w:spacing w:before="158"/>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2936"/>
        <w:gridCol w:w="2211"/>
        <w:gridCol w:w="2212"/>
        <w:gridCol w:w="2210"/>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吴俊军</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李健</w:t>
            </w:r>
          </w:p>
        </w:tc>
      </w:tr>
    </w:tbl>
    <w:p>
      <w:pPr>
        <w:spacing w:line="240" w:lineRule="auto" w:before="2"/>
        <w:rPr>
          <w:rFonts w:ascii="宋体" w:hAnsi="宋体" w:cs="宋体" w:eastAsia="宋体" w:hint="default"/>
          <w:b/>
          <w:bCs/>
          <w:sz w:val="13"/>
          <w:szCs w:val="13"/>
        </w:rPr>
      </w:pPr>
    </w:p>
    <w:p>
      <w:pPr>
        <w:spacing w:line="408" w:lineRule="auto" w:before="13"/>
        <w:ind w:left="113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本报告所涉及的公司发展战略、经营计划等前瞻性陈述，不构成公司对投</w:t>
      </w:r>
      <w:r>
        <w:rPr>
          <w:rFonts w:ascii="宋体" w:hAnsi="宋体" w:cs="宋体" w:eastAsia="宋体" w:hint="default"/>
          <w:b/>
          <w:bCs/>
          <w:w w:val="99"/>
          <w:sz w:val="28"/>
          <w:szCs w:val="28"/>
        </w:rPr>
        <w:t> </w:t>
      </w:r>
      <w:r>
        <w:rPr>
          <w:rFonts w:ascii="宋体" w:hAnsi="宋体" w:cs="宋体" w:eastAsia="宋体" w:hint="default"/>
          <w:b/>
          <w:bCs/>
          <w:sz w:val="28"/>
          <w:szCs w:val="28"/>
        </w:rPr>
        <w:t>资者及相关人士的实质承诺，敬请投资者注意投资风险。</w:t>
      </w:r>
      <w:r>
        <w:rPr>
          <w:rFonts w:ascii="宋体" w:hAnsi="宋体" w:cs="宋体" w:eastAsia="宋体" w:hint="default"/>
          <w:sz w:val="28"/>
          <w:szCs w:val="28"/>
        </w:rPr>
      </w:r>
    </w:p>
    <w:p>
      <w:pPr>
        <w:spacing w:line="410" w:lineRule="auto" w:before="160"/>
        <w:ind w:left="1134"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公司存在智能卡产品售价进一步下降、智慧教育业务盈利状况未能显著改</w:t>
      </w:r>
      <w:r>
        <w:rPr>
          <w:rFonts w:ascii="宋体" w:hAnsi="宋体" w:cs="宋体" w:eastAsia="宋体" w:hint="default"/>
          <w:b/>
          <w:bCs/>
          <w:w w:val="99"/>
          <w:sz w:val="28"/>
          <w:szCs w:val="28"/>
        </w:rPr>
        <w:t> </w:t>
      </w:r>
      <w:r>
        <w:rPr>
          <w:rFonts w:ascii="宋体" w:hAnsi="宋体" w:cs="宋体" w:eastAsia="宋体" w:hint="default"/>
          <w:b/>
          <w:bCs/>
          <w:sz w:val="28"/>
          <w:szCs w:val="28"/>
        </w:rPr>
        <w:t>善从而影响公司</w:t>
      </w:r>
      <w:r>
        <w:rPr>
          <w:rFonts w:ascii="宋体" w:hAnsi="宋体" w:cs="宋体" w:eastAsia="宋体" w:hint="default"/>
          <w:b/>
          <w:bCs/>
          <w:spacing w:val="-80"/>
          <w:sz w:val="28"/>
          <w:szCs w:val="28"/>
        </w:rPr>
        <w:t> </w:t>
      </w:r>
      <w:r>
        <w:rPr>
          <w:rFonts w:ascii="宋体" w:hAnsi="宋体" w:cs="宋体" w:eastAsia="宋体" w:hint="default"/>
          <w:b/>
          <w:bCs/>
          <w:sz w:val="28"/>
          <w:szCs w:val="28"/>
        </w:rPr>
        <w:t>2018</w:t>
      </w:r>
      <w:r>
        <w:rPr>
          <w:rFonts w:ascii="宋体" w:hAnsi="宋体" w:cs="宋体" w:eastAsia="宋体" w:hint="default"/>
          <w:b/>
          <w:bCs/>
          <w:spacing w:val="-81"/>
          <w:sz w:val="28"/>
          <w:szCs w:val="28"/>
        </w:rPr>
        <w:t> </w:t>
      </w:r>
      <w:r>
        <w:rPr>
          <w:rFonts w:ascii="宋体" w:hAnsi="宋体" w:cs="宋体" w:eastAsia="宋体" w:hint="default"/>
          <w:b/>
          <w:bCs/>
          <w:sz w:val="28"/>
          <w:szCs w:val="28"/>
        </w:rPr>
        <w:t>年整体经营业绩的风险。</w:t>
      </w:r>
      <w:r>
        <w:rPr>
          <w:rFonts w:ascii="宋体" w:hAnsi="宋体" w:cs="宋体" w:eastAsia="宋体" w:hint="default"/>
          <w:sz w:val="28"/>
          <w:szCs w:val="28"/>
        </w:rPr>
      </w:r>
    </w:p>
    <w:p>
      <w:pPr>
        <w:spacing w:before="158"/>
        <w:ind w:left="1696"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96"/>
          <w:sz w:val="28"/>
          <w:szCs w:val="28"/>
        </w:rPr>
        <w:t> </w:t>
      </w:r>
      <w:r>
        <w:rPr>
          <w:rFonts w:ascii="宋体" w:hAnsi="宋体" w:cs="宋体" w:eastAsia="宋体" w:hint="default"/>
          <w:b/>
          <w:bCs/>
          <w:spacing w:val="1"/>
          <w:w w:val="99"/>
          <w:sz w:val="28"/>
          <w:szCs w:val="28"/>
        </w:rPr>
        <w:t>430</w:t>
      </w:r>
      <w:r>
        <w:rPr>
          <w:rFonts w:ascii="宋体" w:hAnsi="宋体" w:cs="宋体" w:eastAsia="宋体" w:hint="default"/>
          <w:b/>
          <w:bCs/>
          <w:w w:val="99"/>
          <w:sz w:val="28"/>
          <w:szCs w:val="28"/>
        </w:rPr>
        <w:t>,0</w:t>
      </w:r>
      <w:r>
        <w:rPr>
          <w:rFonts w:ascii="宋体" w:hAnsi="宋体" w:cs="宋体" w:eastAsia="宋体" w:hint="default"/>
          <w:b/>
          <w:bCs/>
          <w:spacing w:val="1"/>
          <w:w w:val="99"/>
          <w:sz w:val="28"/>
          <w:szCs w:val="28"/>
        </w:rPr>
        <w:t>56</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0</w:t>
      </w:r>
      <w:r>
        <w:rPr>
          <w:rFonts w:ascii="宋体" w:hAnsi="宋体" w:cs="宋体" w:eastAsia="宋体" w:hint="default"/>
          <w:b/>
          <w:bCs/>
          <w:spacing w:val="1"/>
          <w:w w:val="99"/>
          <w:sz w:val="28"/>
          <w:szCs w:val="28"/>
        </w:rPr>
        <w:t>0</w:t>
      </w:r>
      <w:r>
        <w:rPr>
          <w:rFonts w:ascii="宋体" w:hAnsi="宋体" w:cs="宋体" w:eastAsia="宋体" w:hint="default"/>
          <w:b/>
          <w:bCs/>
          <w:w w:val="99"/>
          <w:sz w:val="28"/>
          <w:szCs w:val="28"/>
        </w:rPr>
        <w:t>0</w:t>
      </w:r>
      <w:r>
        <w:rPr>
          <w:rFonts w:ascii="宋体" w:hAnsi="宋体" w:cs="宋体" w:eastAsia="宋体" w:hint="default"/>
          <w:b/>
          <w:bCs/>
          <w:spacing w:val="-99"/>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
          <w:w w:val="99"/>
          <w:sz w:val="28"/>
          <w:szCs w:val="28"/>
        </w:rPr>
        <w:t>为基数，</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before="0"/>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70"/>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宋体" w:hAnsi="宋体" w:cs="宋体" w:eastAsia="宋体" w:hint="default"/>
          <w:b/>
          <w:bCs/>
          <w:spacing w:val="1"/>
          <w:w w:val="99"/>
          <w:sz w:val="28"/>
          <w:szCs w:val="28"/>
        </w:rPr>
        <w:t>0</w:t>
      </w:r>
      <w:r>
        <w:rPr>
          <w:rFonts w:ascii="宋体" w:hAnsi="宋体" w:cs="宋体" w:eastAsia="宋体" w:hint="default"/>
          <w:b/>
          <w:bCs/>
          <w:w w:val="99"/>
          <w:sz w:val="28"/>
          <w:szCs w:val="28"/>
        </w:rPr>
        <w:t>.3</w:t>
      </w:r>
      <w:r>
        <w:rPr>
          <w:rFonts w:ascii="宋体" w:hAnsi="宋体" w:cs="宋体" w:eastAsia="宋体" w:hint="default"/>
          <w:b/>
          <w:bCs/>
          <w:spacing w:val="-68"/>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77" w:footer="979" w:top="1100" w:bottom="1160" w:left="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1131" w:right="113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10761" w:val="right" w:leader="dot"/>
            </w:tabs>
            <w:spacing w:line="240" w:lineRule="auto" w:before="176"/>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10761"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10</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24</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36</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41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42</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52</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58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59</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153</w:t>
            </w:r>
            <w:r>
              <w:rPr>
                <w:rFonts w:ascii="宋体" w:hAnsi="宋体" w:cs="宋体" w:eastAsia="宋体" w:hint="default"/>
                <w:b w:val="0"/>
                <w:bCs w:val="0"/>
              </w:rPr>
            </w:r>
          </w:hyperlink>
        </w:p>
        <w:p>
          <w:pPr/>
          <w:r>
            <w:fldChar w:fldCharType="end"/>
          </w:r>
        </w:p>
      </w:sdtContent>
    </w:sdt>
    <w:p>
      <w:pPr>
        <w:spacing w:after="0"/>
        <w:sectPr>
          <w:pgSz w:w="11910" w:h="16840"/>
          <w:pgMar w:header="877" w:footer="979" w:top="1100" w:bottom="1160" w:left="0" w:right="0"/>
        </w:sectPr>
      </w:pPr>
    </w:p>
    <w:p>
      <w:pPr>
        <w:spacing w:before="893"/>
        <w:ind w:left="1131" w:right="11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30" w:type="dxa"/>
        <w:tblLayout w:type="fixed"/>
        <w:tblCellMar>
          <w:top w:w="0" w:type="dxa"/>
          <w:left w:w="0" w:type="dxa"/>
          <w:bottom w:w="0" w:type="dxa"/>
          <w:right w:w="0" w:type="dxa"/>
        </w:tblCellMar>
        <w:tblLook w:val="01E0"/>
      </w:tblPr>
      <w:tblGrid>
        <w:gridCol w:w="2211"/>
        <w:gridCol w:w="622"/>
        <w:gridCol w:w="6804"/>
      </w:tblGrid>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公司、本公司、天喻信息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天喻教育</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擎动网络</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果核科技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聚联网络</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天喻信通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现代教育</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山东爱书人现代教育科技有限公司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韦尔股份</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上海韦尔半导体股份有限公司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武信天喻</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武汉武信天喻科技投资有限公司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产业集团</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光谷基金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武汉光谷创业投资基金有限公司（原武汉光谷风险投资基金有限公司）</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和瑞投资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武汉和瑞投资有限公司（原湖北和瑞投资有限公司）</w:t>
            </w: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三通两平台</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国家教育信息化目标。三通：宽带网络校校通、优质资源班班通、网络学习空间人人 通，两平台：教育资源公共服务平台、教育管理公共服务平台</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国家教育信息化规划内的、以云技术为支撑的国家及地方教育资源公共服务平台</w:t>
            </w: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SaaS</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Software as a Service</w:t>
            </w:r>
            <w:r>
              <w:rPr>
                <w:rFonts w:ascii="宋体" w:hAnsi="宋体" w:cs="宋体" w:eastAsia="宋体" w:hint="default"/>
                <w:spacing w:val="-29"/>
                <w:sz w:val="18"/>
                <w:szCs w:val="18"/>
              </w:rPr>
              <w:t> </w:t>
            </w:r>
            <w:r>
              <w:rPr>
                <w:rFonts w:ascii="宋体" w:hAnsi="宋体" w:cs="宋体" w:eastAsia="宋体" w:hint="default"/>
                <w:spacing w:val="-4"/>
                <w:sz w:val="18"/>
                <w:szCs w:val="18"/>
              </w:rPr>
              <w:t>的缩写（软件即服务），是一种基于互联网提供软件服务的软</w:t>
            </w:r>
            <w:r>
              <w:rPr>
                <w:rFonts w:ascii="宋体" w:hAnsi="宋体" w:cs="宋体" w:eastAsia="宋体" w:hint="default"/>
                <w:sz w:val="18"/>
                <w:szCs w:val="18"/>
              </w:rPr>
              <w:t> 件应用模式</w:t>
            </w: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POS</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Point</w:t>
            </w:r>
            <w:r>
              <w:rPr>
                <w:rFonts w:ascii="宋体" w:hAnsi="宋体" w:cs="宋体" w:eastAsia="宋体" w:hint="default"/>
                <w:spacing w:val="-24"/>
                <w:sz w:val="18"/>
                <w:szCs w:val="18"/>
              </w:rPr>
              <w:t> </w:t>
            </w:r>
            <w:r>
              <w:rPr>
                <w:rFonts w:ascii="宋体" w:hAnsi="宋体" w:cs="宋体" w:eastAsia="宋体" w:hint="default"/>
                <w:sz w:val="18"/>
                <w:szCs w:val="18"/>
              </w:rPr>
              <w:t>of</w:t>
            </w:r>
            <w:r>
              <w:rPr>
                <w:rFonts w:ascii="宋体" w:hAnsi="宋体" w:cs="宋体" w:eastAsia="宋体" w:hint="default"/>
                <w:spacing w:val="-24"/>
                <w:sz w:val="18"/>
                <w:szCs w:val="18"/>
              </w:rPr>
              <w:t> </w:t>
            </w:r>
            <w:r>
              <w:rPr>
                <w:rFonts w:ascii="宋体" w:hAnsi="宋体" w:cs="宋体" w:eastAsia="宋体" w:hint="default"/>
                <w:sz w:val="18"/>
                <w:szCs w:val="18"/>
              </w:rPr>
              <w:t>sale</w:t>
            </w:r>
            <w:r>
              <w:rPr>
                <w:rFonts w:ascii="宋体" w:hAnsi="宋体" w:cs="宋体" w:eastAsia="宋体" w:hint="default"/>
                <w:spacing w:val="-46"/>
                <w:sz w:val="18"/>
                <w:szCs w:val="18"/>
              </w:rPr>
              <w:t> </w:t>
            </w:r>
            <w:r>
              <w:rPr>
                <w:rFonts w:ascii="宋体" w:hAnsi="宋体" w:cs="宋体" w:eastAsia="宋体" w:hint="default"/>
                <w:sz w:val="18"/>
                <w:szCs w:val="18"/>
              </w:rPr>
              <w:t>的缩写，即销售终端机，是一种具备消费、预授权、余额查询和转帐等 功能的终端设备</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PPP</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Public-Private Partnership</w:t>
            </w:r>
            <w:r>
              <w:rPr>
                <w:rFonts w:ascii="宋体" w:hAnsi="宋体" w:cs="宋体" w:eastAsia="宋体" w:hint="default"/>
                <w:spacing w:val="-46"/>
                <w:sz w:val="18"/>
                <w:szCs w:val="18"/>
              </w:rPr>
              <w:t> </w:t>
            </w:r>
            <w:r>
              <w:rPr>
                <w:rFonts w:ascii="宋体" w:hAnsi="宋体" w:cs="宋体" w:eastAsia="宋体" w:hint="default"/>
                <w:sz w:val="18"/>
                <w:szCs w:val="18"/>
              </w:rPr>
              <w:t>的缩写，政府和社会资本合作模式</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天喻信息</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300205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天喻信息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Wuhan Tianyu Information Industry Co., 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Tianyu Information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430223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430223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9">
              <w:r>
                <w:rPr>
                  <w:rFonts w:ascii="宋体"/>
                  <w:sz w:val="18"/>
                </w:rPr>
                <w:t>www.whty.com.cn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10">
              <w:r>
                <w:rPr>
                  <w:rFonts w:ascii="宋体"/>
                  <w:sz w:val="18"/>
                </w:rPr>
                <w:t>tyobd@whty.com.cn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757"/>
        <w:gridCol w:w="3912"/>
        <w:gridCol w:w="3912"/>
      </w:tblGrid>
      <w:tr>
        <w:trPr>
          <w:trHeight w:val="40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代恒</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何娟</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027-87920301</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027-87920306</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daih@whty.com.cn</w:t>
              </w:r>
            </w:hyperlink>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hyperlink r:id="rId12">
              <w:r>
                <w:rPr>
                  <w:rFonts w:ascii="宋体"/>
                  <w:sz w:val="18"/>
                </w:rPr>
                <w:t>hej@whty.com.cn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3">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公司聘请的会计师事务所</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湖北省武汉市武昌区东湖路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公司聘请的报告期内履行持续督导职责的保荐机构</w:t>
      </w:r>
    </w:p>
    <w:p>
      <w:pPr>
        <w:pStyle w:val="BodyText"/>
        <w:spacing w:line="439" w:lineRule="auto" w:before="117"/>
        <w:ind w:right="6792"/>
        <w:jc w:val="left"/>
      </w:pPr>
      <w:r>
        <w:rPr/>
        <w:t>□ 适用 √ 不适用 公司聘请的报告期内履行持续督导职责的财务顾问</w:t>
      </w:r>
    </w:p>
    <w:p>
      <w:pPr>
        <w:pStyle w:val="BodyText"/>
        <w:spacing w:line="203" w:lineRule="exact"/>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公司是否需追溯调整或重述以前年度会计数据</w:t>
      </w:r>
    </w:p>
    <w:p>
      <w:pPr>
        <w:pStyle w:val="BodyText"/>
        <w:spacing w:line="240" w:lineRule="auto" w:before="116"/>
        <w:ind w:left="1133" w:right="0"/>
        <w:jc w:val="left"/>
      </w:pPr>
      <w:r>
        <w:rPr/>
        <w:t>□ 是 √ 否</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78"/>
        <w:gridCol w:w="1539"/>
        <w:gridCol w:w="1738"/>
        <w:gridCol w:w="1737"/>
        <w:gridCol w:w="1585"/>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1,936,070,390.59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1,627,326,894.26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1,483,296,003.21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22,596,900.58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19,849,784.44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6,994,961.07</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2,896,903.84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2,172,884.77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33.32%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1,933,430.34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186,347,367.38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80,588,952.44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131.23%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292,113,667.88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0.0163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0.0163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0.15</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1,835,218,244.77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1,660,173,620.22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1,683,408,424.47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1,226,699,700.92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1,108,653,914.45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1,111,633,152.75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78"/>
        <w:gridCol w:w="1559"/>
        <w:gridCol w:w="1702"/>
        <w:gridCol w:w="1701"/>
        <w:gridCol w:w="1631"/>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516,068,446.12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544,296,765.79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390,918,976.71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484,786,201.97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6,665,898.37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22,913,794.51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3,457,813.36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-10,440,605.66</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5,313,397.95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21,301,310.03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3,301,388.99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-27,019,193.13</w:t>
            </w:r>
          </w:p>
        </w:tc>
      </w:tr>
      <w:tr>
        <w:trPr>
          <w:trHeight w:val="40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-256,051,709.88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-92,184,565.34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147,631,444.14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386,952,198.46</w:t>
            </w:r>
          </w:p>
        </w:tc>
      </w:tr>
    </w:tbl>
    <w:p>
      <w:pPr>
        <w:spacing w:line="240" w:lineRule="auto" w:before="8"/>
        <w:rPr>
          <w:rFonts w:ascii="宋体" w:hAnsi="宋体" w:cs="宋体" w:eastAsia="宋体" w:hint="default"/>
          <w:sz w:val="6"/>
          <w:szCs w:val="6"/>
        </w:rPr>
      </w:pPr>
    </w:p>
    <w:p>
      <w:pPr>
        <w:pStyle w:val="BodyText"/>
        <w:spacing w:line="319" w:lineRule="auto" w:before="44"/>
        <w:ind w:left="1133" w:right="0" w:firstLine="360"/>
        <w:jc w:val="left"/>
      </w:pPr>
      <w:r>
        <w:rPr>
          <w:spacing w:val="-2"/>
        </w:rPr>
        <w:t>报告期内，公司第二季度归属于上市公司股东的净利润高于其他季度，主要由于受市场需求变化影响，第二季度终端产</w:t>
      </w:r>
      <w:r>
        <w:rPr/>
        <w:t> 品销量和纳税户服务收入增加。</w:t>
      </w:r>
    </w:p>
    <w:p>
      <w:pPr>
        <w:pStyle w:val="BodyText"/>
        <w:spacing w:line="240" w:lineRule="auto" w:before="55"/>
        <w:ind w:left="1493" w:right="0"/>
        <w:jc w:val="left"/>
      </w:pPr>
      <w:r>
        <w:rPr/>
        <w:t>报告期内，公司第四季度归属于上市公司股东的净利润较前三季度大幅下降，主要是受公司计提员工年终绩效考核奖金</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的影响。</w:t>
      </w:r>
    </w:p>
    <w:p>
      <w:pPr>
        <w:pStyle w:val="BodyText"/>
        <w:spacing w:line="319" w:lineRule="auto" w:before="115"/>
        <w:ind w:right="0" w:firstLine="360"/>
        <w:jc w:val="left"/>
      </w:pPr>
      <w:r>
        <w:rPr>
          <w:spacing w:val="-2"/>
        </w:rPr>
        <w:t>报告期内，公司第四季度经营活动产生的现金流量净额大幅增长，主要由于银行等主要客户相对集中在年末对公司进行</w:t>
      </w:r>
      <w:r>
        <w:rPr/>
        <w:t> 货款结算，历年第四季度都是公司销售回款的高峰。</w:t>
      </w:r>
    </w:p>
    <w:p>
      <w:pPr>
        <w:pStyle w:val="BodyText"/>
        <w:spacing w:line="240" w:lineRule="auto" w:before="137"/>
        <w:ind w:right="0"/>
        <w:jc w:val="left"/>
      </w:pPr>
      <w:r>
        <w:rPr/>
        <w:t>上述财务指标或其加总数是否与公司已披露季度报告、半年度报告相关财务指标存在重大差异</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2293" w:hanging="360"/>
        <w:jc w:val="left"/>
      </w:pPr>
      <w:r>
        <w:rPr/>
        <w:t>□ 适用 √ 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19"/>
          <w:szCs w:val="19"/>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left="1493" w:right="2293" w:hanging="360"/>
        <w:jc w:val="left"/>
      </w:pPr>
      <w:r>
        <w:rPr/>
        <w:t>□ 适用 √ 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78" w:type="dxa"/>
        <w:tblLayout w:type="fixed"/>
        <w:tblCellMar>
          <w:top w:w="0" w:type="dxa"/>
          <w:left w:w="0" w:type="dxa"/>
          <w:bottom w:w="0" w:type="dxa"/>
          <w:right w:w="0" w:type="dxa"/>
        </w:tblCellMar>
        <w:tblLook w:val="01E0"/>
      </w:tblPr>
      <w:tblGrid>
        <w:gridCol w:w="5145"/>
        <w:gridCol w:w="1560"/>
        <w:gridCol w:w="1418"/>
        <w:gridCol w:w="1417"/>
      </w:tblGrid>
      <w:tr>
        <w:trPr>
          <w:trHeight w:val="402"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402"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1,241,739.79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330,798.46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-1,193,605.23</w:t>
            </w:r>
          </w:p>
        </w:tc>
      </w:tr>
      <w:tr>
        <w:trPr>
          <w:trHeight w:val="714"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22,302,769.57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20,411,480.74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6,699,393.00</w:t>
            </w:r>
          </w:p>
        </w:tc>
      </w:tr>
      <w:tr>
        <w:trPr>
          <w:trHeight w:val="402"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202,796.45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242,387.15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520,560.80</w:t>
            </w:r>
          </w:p>
        </w:tc>
      </w:tr>
      <w:tr>
        <w:trPr>
          <w:trHeight w:val="402"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3,231,106.59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2,885,383.32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852,016.91</w:t>
            </w:r>
          </w:p>
        </w:tc>
      </w:tr>
      <w:tr>
        <w:trPr>
          <w:trHeight w:val="402"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816,202.48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422,383.36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112,800.93</w:t>
            </w:r>
          </w:p>
        </w:tc>
      </w:tr>
      <w:tr>
        <w:trPr>
          <w:trHeight w:val="403" w:hRule="exact"/>
        </w:trPr>
        <w:tc>
          <w:tcPr>
            <w:tcW w:w="5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19,699,996.74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17,676,899.67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5,061,530.73</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right="0"/>
        <w:jc w:val="left"/>
      </w:pPr>
      <w:r>
        <w:rPr/>
        <w:t>□ 适用 √ 不适用</w:t>
      </w:r>
    </w:p>
    <w:p>
      <w:pPr>
        <w:pStyle w:val="BodyText"/>
        <w:spacing w:line="319" w:lineRule="auto" w:before="115"/>
        <w:ind w:left="1133" w:right="1116" w:firstLine="360"/>
        <w:jc w:val="left"/>
      </w:pPr>
      <w:r>
        <w:rPr/>
        <w:t>公司报告期不存在将根据《公开发行证券的公司信息披露解释性公告第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w:t>
      </w:r>
      <w:r>
        <w:rPr/>
        <w:t> 损益项目界定为经常性损益的项目的情形。</w:t>
      </w:r>
    </w:p>
    <w:p>
      <w:pPr>
        <w:spacing w:after="0" w:line="319"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4"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4" w:right="7692" w:hanging="360"/>
        <w:jc w:val="left"/>
      </w:pPr>
      <w:r>
        <w:rPr/>
        <w:t>公司是否需要遵守特殊行业的披露要求 否</w:t>
      </w:r>
    </w:p>
    <w:p>
      <w:pPr>
        <w:pStyle w:val="BodyText"/>
        <w:spacing w:line="319" w:lineRule="auto" w:before="25"/>
        <w:ind w:right="1131" w:firstLine="360"/>
        <w:jc w:val="both"/>
      </w:pPr>
      <w:r>
        <w:rPr>
          <w:spacing w:val="-2"/>
        </w:rPr>
        <w:t>报告期内，公司从事的主要业务包括涵盖智能卡（金融</w:t>
      </w:r>
      <w:r>
        <w:rPr>
          <w:rFonts w:ascii="宋体" w:hAnsi="宋体" w:cs="宋体" w:eastAsia="宋体" w:hint="default"/>
          <w:spacing w:val="-2"/>
        </w:rPr>
        <w:t>IC</w:t>
      </w:r>
      <w:r>
        <w:rPr>
          <w:spacing w:val="-2"/>
        </w:rPr>
        <w:t>卡、通信智能卡、城市通卡等智能卡产品）、终端（</w:t>
      </w:r>
      <w:r>
        <w:rPr>
          <w:rFonts w:ascii="宋体" w:hAnsi="宋体" w:cs="宋体" w:eastAsia="宋体" w:hint="default"/>
          <w:spacing w:val="-2"/>
        </w:rPr>
        <w:t>mPOS</w:t>
      </w:r>
      <w:r>
        <w:rPr>
          <w:spacing w:val="-2"/>
        </w:rPr>
        <w:t>、智</w:t>
      </w:r>
      <w:r>
        <w:rPr>
          <w:spacing w:val="-10"/>
        </w:rPr>
        <w:t> </w:t>
      </w:r>
      <w:r>
        <w:rPr/>
        <w:t>能</w:t>
      </w:r>
      <w:r>
        <w:rPr>
          <w:rFonts w:ascii="宋体" w:hAnsi="宋体" w:cs="宋体" w:eastAsia="宋体" w:hint="default"/>
        </w:rPr>
        <w:t>POS</w:t>
      </w:r>
      <w:r>
        <w:rPr/>
        <w:t>、刷卡设备等金融终端及税控盘产品）、服务（供应链金融服务、税务服务等）的数据安全业务和以国家教育信息化</w:t>
      </w:r>
      <w:r>
        <w:rPr>
          <w:spacing w:val="-83"/>
        </w:rPr>
        <w:t> </w:t>
      </w:r>
      <w:r>
        <w:rPr>
          <w:spacing w:val="-83"/>
        </w:rPr>
      </w:r>
      <w:r>
        <w:rPr/>
        <w:t>为背景的</w:t>
      </w:r>
      <w:r>
        <w:rPr>
          <w:rFonts w:ascii="宋体" w:hAnsi="宋体" w:cs="宋体" w:eastAsia="宋体" w:hint="default"/>
        </w:rPr>
        <w:t>K12</w:t>
      </w:r>
      <w:r>
        <w:rPr/>
        <w:t>智慧教育业务。</w:t>
      </w:r>
    </w:p>
    <w:p>
      <w:pPr>
        <w:pStyle w:val="BodyText"/>
        <w:spacing w:line="357" w:lineRule="auto" w:before="136"/>
        <w:ind w:left="1493" w:right="0" w:hanging="360"/>
        <w:jc w:val="left"/>
      </w:pPr>
      <w:r>
        <w:rPr/>
        <w:t>（一）数据安全业务 </w:t>
      </w:r>
      <w:r>
        <w:rPr>
          <w:spacing w:val="-2"/>
        </w:rPr>
        <w:t>金融</w:t>
      </w:r>
      <w:r>
        <w:rPr>
          <w:rFonts w:ascii="宋体" w:hAnsi="宋体" w:cs="宋体" w:eastAsia="宋体" w:hint="default"/>
          <w:spacing w:val="-2"/>
        </w:rPr>
        <w:t>IC</w:t>
      </w:r>
      <w:r>
        <w:rPr>
          <w:spacing w:val="-2"/>
        </w:rPr>
        <w:t>卡产品的销售对象为商业银行和社保机构等，通信智能卡产品的销售对象为电信运营商，城市通卡产品的销售对</w:t>
      </w:r>
    </w:p>
    <w:p>
      <w:pPr>
        <w:pStyle w:val="BodyText"/>
        <w:spacing w:line="224" w:lineRule="exact"/>
        <w:ind w:left="1133" w:right="0"/>
        <w:jc w:val="left"/>
      </w:pPr>
      <w:r>
        <w:rPr>
          <w:spacing w:val="-5"/>
        </w:rPr>
        <w:t>象为各地一卡通运营公司。公司主要通过参加商业银行、社保机构、电信运营商、一卡通运营公司的招投标获得供应商资格，</w:t>
      </w:r>
    </w:p>
    <w:p>
      <w:pPr>
        <w:pStyle w:val="BodyText"/>
        <w:spacing w:line="357" w:lineRule="auto" w:before="77"/>
        <w:ind w:left="1493" w:right="0" w:hanging="360"/>
        <w:jc w:val="left"/>
      </w:pPr>
      <w:r>
        <w:rPr/>
        <w:t>按照招投标确定的价格和分期下达的订单数量销售产品。上述业务主要的业绩驱动因素为卡片销量及销售价格。 </w:t>
      </w:r>
      <w:r>
        <w:rPr>
          <w:rFonts w:ascii="宋体" w:hAnsi="宋体" w:cs="宋体" w:eastAsia="宋体" w:hint="default"/>
          <w:spacing w:val="-4"/>
        </w:rPr>
        <w:t>mPOS</w:t>
      </w:r>
      <w:r>
        <w:rPr>
          <w:spacing w:val="-4"/>
        </w:rPr>
        <w:t>、智能</w:t>
      </w:r>
      <w:r>
        <w:rPr>
          <w:rFonts w:ascii="宋体" w:hAnsi="宋体" w:cs="宋体" w:eastAsia="宋体" w:hint="default"/>
          <w:spacing w:val="-4"/>
        </w:rPr>
        <w:t>POS</w:t>
      </w:r>
      <w:r>
        <w:rPr>
          <w:spacing w:val="-4"/>
        </w:rPr>
        <w:t>、刷卡设备等金融终端产品的销售对象主要为金融支付机构，公司主要根据客户对产品功能需求的差异、</w:t>
      </w:r>
    </w:p>
    <w:p>
      <w:pPr>
        <w:pStyle w:val="BodyText"/>
        <w:spacing w:line="224" w:lineRule="exact"/>
        <w:ind w:right="0"/>
        <w:jc w:val="left"/>
      </w:pPr>
      <w:r>
        <w:rPr/>
        <w:t>订购数量等因素协商确定销售价格，签订合同，实现销售。税控盘是国家规定的增值税纳税人必备的税控设备，其销售价格</w:t>
      </w:r>
    </w:p>
    <w:p>
      <w:pPr>
        <w:pStyle w:val="BodyText"/>
        <w:spacing w:line="319" w:lineRule="auto" w:before="76"/>
        <w:ind w:right="1133"/>
        <w:jc w:val="both"/>
      </w:pPr>
      <w:r>
        <w:rPr>
          <w:spacing w:val="-2"/>
        </w:rPr>
        <w:t>由国家发改委确定。公司销售税控盘产品，并通过现场服务、呼叫中心、客户端软件、微信等平台为纳税人提供后续税务及</w:t>
      </w:r>
      <w:r>
        <w:rPr>
          <w:spacing w:val="-66"/>
        </w:rPr>
        <w:t> </w:t>
      </w:r>
      <w:r>
        <w:rPr>
          <w:spacing w:val="-66"/>
        </w:rPr>
      </w:r>
      <w:r>
        <w:rPr>
          <w:spacing w:val="-2"/>
        </w:rPr>
        <w:t>增值服务，按年收取服务费。公司终端业务主要的业绩驱动因素为产品销量和成本控制。公司税务服务业务主要的业绩驱动</w:t>
      </w:r>
      <w:r>
        <w:rPr>
          <w:spacing w:val="-66"/>
        </w:rPr>
        <w:t> </w:t>
      </w:r>
      <w:r>
        <w:rPr>
          <w:spacing w:val="-66"/>
        </w:rPr>
      </w:r>
      <w:r>
        <w:rPr/>
        <w:t>因素为服务的纳税户数量。</w:t>
      </w:r>
    </w:p>
    <w:p>
      <w:pPr>
        <w:pStyle w:val="BodyText"/>
        <w:spacing w:line="319" w:lineRule="auto" w:before="55"/>
        <w:ind w:left="1133" w:right="1129" w:firstLine="360"/>
        <w:jc w:val="both"/>
      </w:pPr>
      <w:r>
        <w:rPr/>
        <w:t>公司供应链金融服务业务主要依托商业银行的企业客户资源与渠道，为快消品、物流等行业企业提供供应链管理服务</w:t>
      </w:r>
      <w:r>
        <w:rPr>
          <w:rFonts w:ascii="宋体" w:hAnsi="宋体" w:cs="宋体" w:eastAsia="宋体" w:hint="default"/>
        </w:rPr>
        <w:t>+ </w:t>
      </w:r>
      <w:r>
        <w:rPr/>
        <w:t>金融服务平台，帮助企业实现基于客户端软件、微信、</w:t>
      </w:r>
      <w:r>
        <w:rPr>
          <w:rFonts w:ascii="宋体" w:hAnsi="宋体" w:cs="宋体" w:eastAsia="宋体" w:hint="default"/>
        </w:rPr>
        <w:t>Web</w:t>
      </w:r>
      <w:r>
        <w:rPr/>
        <w:t>端的在线商品采购、库存管理、物流配送、财务管理、金融支付</w:t>
      </w:r>
    </w:p>
    <w:p>
      <w:pPr>
        <w:pStyle w:val="BodyText"/>
        <w:spacing w:line="319" w:lineRule="auto" w:before="17"/>
        <w:ind w:left="1133" w:right="1123"/>
        <w:jc w:val="left"/>
      </w:pPr>
      <w:r>
        <w:rPr/>
        <w:t>（含收单）及小额融资，提升企业的经营效率和资金归集效率。目前公司与中信银行合作推广“信</w:t>
      </w:r>
      <w:r>
        <w:rPr>
          <w:rFonts w:ascii="宋体" w:hAnsi="宋体" w:cs="宋体" w:eastAsia="宋体" w:hint="default"/>
        </w:rPr>
        <w:t>e</w:t>
      </w:r>
      <w:r>
        <w:rPr/>
        <w:t>付”平台，收取软件项</w:t>
      </w:r>
      <w:r>
        <w:rPr>
          <w:spacing w:val="-82"/>
        </w:rPr>
        <w:t> </w:t>
      </w:r>
      <w:r>
        <w:rPr>
          <w:spacing w:val="-82"/>
        </w:rPr>
      </w:r>
      <w:r>
        <w:rPr/>
        <w:t>目开发、维护、推广以及运营服务等费用。该业务主要的业绩驱动因素为服务平台的企业客户数。</w:t>
      </w:r>
    </w:p>
    <w:p>
      <w:pPr>
        <w:pStyle w:val="BodyText"/>
        <w:spacing w:line="357" w:lineRule="auto" w:before="136"/>
        <w:ind w:left="1493" w:right="1123" w:hanging="360"/>
        <w:jc w:val="left"/>
      </w:pPr>
      <w:r>
        <w:rPr/>
        <w:t>（二）智慧教育业务 公司从事的是以国家教育信息化为背景的</w:t>
      </w:r>
      <w:r>
        <w:rPr>
          <w:rFonts w:ascii="宋体" w:hAnsi="宋体" w:cs="宋体" w:eastAsia="宋体" w:hint="default"/>
        </w:rPr>
        <w:t>K12</w:t>
      </w:r>
      <w:r>
        <w:rPr/>
        <w:t>智慧教育业务。公司围绕教育部政策导向及各级教育主管部门、学校、教</w:t>
      </w:r>
    </w:p>
    <w:p>
      <w:pPr>
        <w:pStyle w:val="BodyText"/>
        <w:spacing w:line="224" w:lineRule="exact"/>
        <w:ind w:left="1133" w:right="0"/>
        <w:jc w:val="left"/>
      </w:pPr>
      <w:r>
        <w:rPr>
          <w:spacing w:val="-5"/>
        </w:rPr>
        <w:t>师、学生用户需求开发并持续完善智慧教育产品体系（教育云平台、智慧教学、智慧学习、智慧评价、智慧研修、智慧管理、</w:t>
      </w:r>
    </w:p>
    <w:p>
      <w:pPr>
        <w:pStyle w:val="BodyText"/>
        <w:spacing w:line="319" w:lineRule="auto" w:before="76"/>
        <w:ind w:left="1133" w:right="1033"/>
        <w:jc w:val="left"/>
      </w:pPr>
      <w:r>
        <w:rPr>
          <w:spacing w:val="-2"/>
        </w:rPr>
        <w:t>智慧校园），为教育主管部门、学校提供业务管理平台及应用，为教师、学生提供涵盖教学全过程的平台、应用及工具，为</w:t>
      </w:r>
      <w:r>
        <w:rPr>
          <w:spacing w:val="-71"/>
        </w:rPr>
        <w:t> </w:t>
      </w:r>
      <w:r>
        <w:rPr>
          <w:spacing w:val="-71"/>
        </w:rPr>
      </w:r>
      <w:r>
        <w:rPr>
          <w:spacing w:val="-2"/>
        </w:rPr>
        <w:t>学生、家长提供课内外精准化学习平台、应用及工具，为学校、教师和家长提供家校沟通平台。目前公司智慧教育业务主要</w:t>
      </w:r>
      <w:r>
        <w:rPr>
          <w:spacing w:val="-66"/>
        </w:rPr>
        <w:t> </w:t>
      </w:r>
      <w:r>
        <w:rPr>
          <w:spacing w:val="-66"/>
        </w:rPr>
      </w:r>
      <w:r>
        <w:rPr/>
        <w:t>的市场开拓模式是以“铺平台”作为市场切入点，在获得省、市、区、县教育云平台的建设</w:t>
      </w:r>
      <w:r>
        <w:rPr>
          <w:rFonts w:ascii="宋体" w:hAnsi="宋体" w:cs="宋体" w:eastAsia="宋体" w:hint="default"/>
        </w:rPr>
        <w:t>/</w:t>
      </w:r>
      <w:r>
        <w:rPr/>
        <w:t>运营权后，借助教育云平台自</w:t>
      </w:r>
      <w:r>
        <w:rPr>
          <w:spacing w:val="-84"/>
        </w:rPr>
        <w:t> </w:t>
      </w:r>
      <w:r>
        <w:rPr>
          <w:spacing w:val="-84"/>
        </w:rPr>
      </w:r>
      <w:r>
        <w:rPr/>
        <w:t>上而下的政策推动向云平台落地区域（教育主管部门、中小学）销售智慧教育、智慧校园整体解决方案，以及涵盖教、学、</w:t>
      </w:r>
      <w:r>
        <w:rPr>
          <w:spacing w:val="-87"/>
        </w:rPr>
        <w:t> </w:t>
      </w:r>
      <w:r>
        <w:rPr>
          <w:spacing w:val="-87"/>
        </w:rPr>
      </w:r>
      <w:r>
        <w:rPr>
          <w:spacing w:val="-2"/>
        </w:rPr>
        <w:t>考、评、管的智慧教育软硬件产品和服务（核心教学应用、精准教学内容、考试测评系统、校园管理平台、教</w:t>
      </w:r>
      <w:r>
        <w:rPr>
          <w:rFonts w:ascii="宋体" w:hAnsi="宋体" w:cs="宋体" w:eastAsia="宋体" w:hint="default"/>
          <w:spacing w:val="-2"/>
        </w:rPr>
        <w:t>&amp;</w:t>
      </w:r>
      <w:r>
        <w:rPr>
          <w:spacing w:val="-2"/>
        </w:rPr>
        <w:t>学</w:t>
      </w:r>
      <w:r>
        <w:rPr>
          <w:rFonts w:ascii="宋体" w:hAnsi="宋体" w:cs="宋体" w:eastAsia="宋体" w:hint="default"/>
          <w:spacing w:val="-2"/>
        </w:rPr>
        <w:t>&amp;</w:t>
      </w:r>
      <w:r>
        <w:rPr>
          <w:spacing w:val="-2"/>
        </w:rPr>
        <w:t>管智慧终</w:t>
      </w:r>
      <w:r>
        <w:rPr>
          <w:spacing w:val="-69"/>
        </w:rPr>
        <w:t> </w:t>
      </w:r>
      <w:r>
        <w:rPr>
          <w:spacing w:val="-69"/>
        </w:rPr>
      </w:r>
      <w:r>
        <w:rPr>
          <w:spacing w:val="-2"/>
        </w:rPr>
        <w:t>端等）。目前该业务的产品及服务采购方主要为各级教育主管部门及学校，主要的业绩驱动因素为产品覆盖的区域、学校数</w:t>
      </w:r>
      <w:r>
        <w:rPr>
          <w:spacing w:val="-66"/>
        </w:rPr>
        <w:t> </w:t>
      </w:r>
      <w:r>
        <w:rPr>
          <w:spacing w:val="-66"/>
        </w:rPr>
      </w:r>
      <w:r>
        <w:rPr/>
        <w:t>量及项目合同金额。</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BodyText"/>
        <w:spacing w:line="240" w:lineRule="auto" w:before="44"/>
        <w:ind w:left="0" w:right="1140"/>
        <w:jc w:val="right"/>
      </w:pPr>
      <w:r>
        <w:rPr/>
        <w:pict>
          <v:shape style="position:absolute;margin-left:56.459999pt;margin-top:-36.608284pt;width:479.2pt;height:56.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15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5"/>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5"/>
                          <w:jc w:val="right"/>
                          <w:rPr>
                            <w:rFonts w:ascii="宋体" w:hAnsi="宋体" w:cs="宋体" w:eastAsia="宋体" w:hint="default"/>
                            <w:sz w:val="18"/>
                            <w:szCs w:val="18"/>
                          </w:rPr>
                        </w:pPr>
                        <w:r>
                          <w:rPr>
                            <w:rFonts w:ascii="宋体" w:hAnsi="宋体" w:cs="宋体" w:eastAsia="宋体" w:hint="default"/>
                            <w:sz w:val="18"/>
                            <w:szCs w:val="18"/>
                          </w:rPr>
                          <w:t>股权资产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可供出售金融资产较期初增加</w:t>
                        </w:r>
                        <w:r>
                          <w:rPr>
                            <w:rFonts w:ascii="宋体" w:hAnsi="宋体" w:cs="宋体" w:eastAsia="宋体" w:hint="default"/>
                            <w:spacing w:val="-46"/>
                            <w:sz w:val="18"/>
                            <w:szCs w:val="18"/>
                          </w:rPr>
                          <w:t> </w:t>
                        </w:r>
                        <w:r>
                          <w:rPr>
                            <w:rFonts w:ascii="宋体" w:hAnsi="宋体" w:cs="宋体" w:eastAsia="宋体" w:hint="default"/>
                            <w:sz w:val="18"/>
                            <w:szCs w:val="18"/>
                          </w:rPr>
                          <w:t>645.45%</w:t>
                        </w:r>
                        <w:r>
                          <w:rPr>
                            <w:rFonts w:ascii="宋体" w:hAnsi="宋体" w:cs="宋体" w:eastAsia="宋体" w:hint="default"/>
                            <w:sz w:val="18"/>
                            <w:szCs w:val="18"/>
                          </w:rPr>
                          <w:t>，主要由于报告期内公司参股公司韦尔股份首次公开发行股票并 </w:t>
                        </w:r>
                        <w:r>
                          <w:rPr>
                            <w:rFonts w:ascii="宋体" w:hAnsi="宋体" w:cs="宋体" w:eastAsia="宋体" w:hint="default"/>
                            <w:spacing w:val="-3"/>
                            <w:sz w:val="18"/>
                            <w:szCs w:val="18"/>
                          </w:rPr>
                          <w:t>上市，公司对持有的韦尔股份股权由按成本计量改为按公允价值计量，股价变动导致股权公允价值变动</w:t>
                        </w:r>
                      </w:p>
                    </w:tc>
                  </w:tr>
                </w:tbl>
                <w:p>
                  <w:pPr/>
                </w:p>
              </w:txbxContent>
            </v:textbox>
            <w10:wrap type="none"/>
          </v:shape>
        </w:pict>
      </w:r>
      <w:r>
        <w:rPr/>
        <w:t>。</w:t>
      </w:r>
    </w:p>
    <w:p>
      <w:pPr>
        <w:spacing w:after="0" w:line="240" w:lineRule="auto"/>
        <w:jc w:val="righ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7693" w:hanging="360"/>
        <w:jc w:val="left"/>
      </w:pPr>
      <w:r>
        <w:rPr/>
        <w:t>公司是否需要遵守特殊行业的披露要求 否</w:t>
      </w:r>
    </w:p>
    <w:p>
      <w:pPr>
        <w:pStyle w:val="BodyText"/>
        <w:spacing w:line="316" w:lineRule="auto" w:before="28"/>
        <w:ind w:left="1133" w:right="1033" w:firstLine="360"/>
        <w:jc w:val="left"/>
      </w:pPr>
      <w:r>
        <w:rPr/>
        <w:t>公司顺应市场需求持续投入产品研发和创新，努力提升核心竞争力。报告期内，公司申报专利</w:t>
      </w:r>
      <w:r>
        <w:rPr>
          <w:rFonts w:ascii="宋体" w:hAnsi="宋体" w:cs="宋体" w:eastAsia="宋体" w:hint="default"/>
        </w:rPr>
        <w:t>36</w:t>
      </w:r>
      <w:r>
        <w:rPr/>
        <w:t>项，其中发明专利</w:t>
      </w:r>
      <w:r>
        <w:rPr>
          <w:rFonts w:ascii="宋体" w:hAnsi="宋体" w:cs="宋体" w:eastAsia="宋体" w:hint="default"/>
        </w:rPr>
        <w:t>20 </w:t>
      </w:r>
      <w:r>
        <w:rPr>
          <w:spacing w:val="-2"/>
        </w:rPr>
        <w:t>项，实用新型专利</w:t>
      </w:r>
      <w:r>
        <w:rPr>
          <w:rFonts w:ascii="宋体" w:hAnsi="宋体" w:cs="宋体" w:eastAsia="宋体" w:hint="default"/>
          <w:spacing w:val="-2"/>
        </w:rPr>
        <w:t>12</w:t>
      </w:r>
      <w:r>
        <w:rPr>
          <w:spacing w:val="-2"/>
        </w:rPr>
        <w:t>项，外观设计专利</w:t>
      </w:r>
      <w:r>
        <w:rPr>
          <w:rFonts w:ascii="宋体" w:hAnsi="宋体" w:cs="宋体" w:eastAsia="宋体" w:hint="default"/>
          <w:spacing w:val="-2"/>
        </w:rPr>
        <w:t>4</w:t>
      </w:r>
      <w:r>
        <w:rPr>
          <w:spacing w:val="-2"/>
        </w:rPr>
        <w:t>项；新增专利</w:t>
      </w:r>
      <w:r>
        <w:rPr>
          <w:rFonts w:ascii="宋体" w:hAnsi="宋体" w:cs="宋体" w:eastAsia="宋体" w:hint="default"/>
          <w:spacing w:val="-2"/>
        </w:rPr>
        <w:t>19</w:t>
      </w:r>
      <w:r>
        <w:rPr>
          <w:spacing w:val="-2"/>
        </w:rPr>
        <w:t>项，其中发明专利</w:t>
      </w:r>
      <w:r>
        <w:rPr>
          <w:rFonts w:ascii="宋体" w:hAnsi="宋体" w:cs="宋体" w:eastAsia="宋体" w:hint="default"/>
          <w:spacing w:val="-2"/>
        </w:rPr>
        <w:t>9</w:t>
      </w:r>
      <w:r>
        <w:rPr>
          <w:spacing w:val="-2"/>
        </w:rPr>
        <w:t>项，实用新型专利</w:t>
      </w:r>
      <w:r>
        <w:rPr>
          <w:rFonts w:ascii="宋体" w:hAnsi="宋体" w:cs="宋体" w:eastAsia="宋体" w:hint="default"/>
          <w:spacing w:val="-2"/>
        </w:rPr>
        <w:t>6</w:t>
      </w:r>
      <w:r>
        <w:rPr>
          <w:spacing w:val="-2"/>
        </w:rPr>
        <w:t>项，外观设计专利</w:t>
      </w:r>
      <w:r>
        <w:rPr>
          <w:rFonts w:ascii="宋体" w:hAnsi="宋体" w:cs="宋体" w:eastAsia="宋体" w:hint="default"/>
          <w:spacing w:val="-2"/>
        </w:rPr>
        <w:t>4</w:t>
      </w:r>
      <w:r>
        <w:rPr>
          <w:spacing w:val="-2"/>
        </w:rPr>
        <w:t>项；新增</w:t>
      </w:r>
      <w:r>
        <w:rPr>
          <w:spacing w:val="-64"/>
        </w:rPr>
        <w:t> </w:t>
      </w:r>
      <w:r>
        <w:rPr>
          <w:spacing w:val="-64"/>
        </w:rPr>
      </w:r>
      <w:r>
        <w:rPr/>
        <w:t>软件著作权</w:t>
      </w:r>
      <w:r>
        <w:rPr>
          <w:rFonts w:ascii="宋体" w:hAnsi="宋体" w:cs="宋体" w:eastAsia="宋体" w:hint="default"/>
        </w:rPr>
        <w:t>83</w:t>
      </w:r>
      <w:r>
        <w:rPr/>
        <w:t>项。公司</w:t>
      </w:r>
      <w:r>
        <w:rPr>
          <w:rFonts w:ascii="宋体" w:hAnsi="宋体" w:cs="宋体" w:eastAsia="宋体" w:hint="default"/>
        </w:rPr>
        <w:t>38</w:t>
      </w:r>
      <w:r>
        <w:rPr/>
        <w:t>款智能卡、终端及相关应用产品通过第三方检测机构的合计</w:t>
      </w:r>
      <w:r>
        <w:rPr>
          <w:rFonts w:ascii="宋体" w:hAnsi="宋体" w:cs="宋体" w:eastAsia="宋体" w:hint="default"/>
        </w:rPr>
        <w:t>182</w:t>
      </w:r>
      <w:r>
        <w:rPr/>
        <w:t>项检测，其中</w:t>
      </w:r>
      <w:r>
        <w:rPr>
          <w:rFonts w:ascii="宋体" w:hAnsi="宋体" w:cs="宋体" w:eastAsia="宋体" w:hint="default"/>
        </w:rPr>
        <w:t>10</w:t>
      </w:r>
      <w:r>
        <w:rPr/>
        <w:t>款金融</w:t>
      </w:r>
      <w:r>
        <w:rPr>
          <w:rFonts w:ascii="宋体" w:hAnsi="宋体" w:cs="宋体" w:eastAsia="宋体" w:hint="default"/>
        </w:rPr>
        <w:t>IC</w:t>
      </w:r>
      <w:r>
        <w:rPr/>
        <w:t>卡产品通</w:t>
      </w:r>
      <w:r>
        <w:rPr>
          <w:spacing w:val="-82"/>
        </w:rPr>
        <w:t> </w:t>
      </w:r>
      <w:r>
        <w:rPr>
          <w:spacing w:val="-2"/>
        </w:rPr>
        <w:t>过</w:t>
      </w:r>
      <w:r>
        <w:rPr>
          <w:rFonts w:ascii="宋体" w:hAnsi="宋体" w:cs="宋体" w:eastAsia="宋体" w:hint="default"/>
          <w:spacing w:val="-2"/>
        </w:rPr>
        <w:t>VISA</w:t>
      </w:r>
      <w:r>
        <w:rPr>
          <w:spacing w:val="-2"/>
        </w:rPr>
        <w:t>、</w:t>
      </w:r>
      <w:r>
        <w:rPr>
          <w:rFonts w:ascii="宋体" w:hAnsi="宋体" w:cs="宋体" w:eastAsia="宋体" w:hint="default"/>
          <w:spacing w:val="-2"/>
        </w:rPr>
        <w:t>MasterCard</w:t>
      </w:r>
      <w:r>
        <w:rPr>
          <w:spacing w:val="-2"/>
        </w:rPr>
        <w:t>、</w:t>
      </w:r>
      <w:r>
        <w:rPr>
          <w:rFonts w:ascii="宋体" w:hAnsi="宋体" w:cs="宋体" w:eastAsia="宋体" w:hint="default"/>
          <w:spacing w:val="-2"/>
        </w:rPr>
        <w:t>JCB</w:t>
      </w:r>
      <w:r>
        <w:rPr>
          <w:spacing w:val="-2"/>
        </w:rPr>
        <w:t>产品认证。公司通过</w:t>
      </w:r>
      <w:r>
        <w:rPr>
          <w:rFonts w:ascii="宋体" w:hAnsi="宋体" w:cs="宋体" w:eastAsia="宋体" w:hint="default"/>
          <w:spacing w:val="-2"/>
        </w:rPr>
        <w:t>CMMI5</w:t>
      </w:r>
      <w:r>
        <w:rPr>
          <w:spacing w:val="-2"/>
        </w:rPr>
        <w:t>级（最高等级）认证复审，软件技术研发实力和项目管理水平保持高水</w:t>
      </w:r>
      <w:r>
        <w:rPr>
          <w:spacing w:val="-46"/>
        </w:rPr>
        <w:t> </w:t>
      </w:r>
      <w:r>
        <w:rPr>
          <w:spacing w:val="-46"/>
        </w:rPr>
      </w:r>
      <w:r>
        <w:rPr/>
        <w:t>准。公司依托在教育大数据领域的核心产品和技术，与华中师范大学等单位共建的“教育大数据应用技术国家工程实验室”</w:t>
      </w:r>
      <w:r>
        <w:rPr>
          <w:spacing w:val="-83"/>
        </w:rPr>
        <w:t> </w:t>
      </w:r>
      <w:r>
        <w:rPr>
          <w:spacing w:val="-83"/>
        </w:rPr>
      </w:r>
      <w:r>
        <w:rPr>
          <w:spacing w:val="-2"/>
        </w:rPr>
        <w:t>正式启动，该实验室是中国首个面向教育行业、专门从事教育大数据研究和应用创新的国家工程实验室，也是国家发改委首</w:t>
      </w:r>
      <w:r>
        <w:rPr>
          <w:spacing w:val="-66"/>
        </w:rPr>
        <w:t> </w:t>
      </w:r>
      <w:r>
        <w:rPr>
          <w:spacing w:val="-66"/>
        </w:rPr>
      </w:r>
      <w:r>
        <w:rPr>
          <w:spacing w:val="-2"/>
        </w:rPr>
        <w:t>次在教育行业设立的大数据实验室。公司凭借在国家教育信息化教育云平台领域较强实力，与中央电化教育馆、华中师范大</w:t>
      </w:r>
      <w:r>
        <w:rPr>
          <w:spacing w:val="-66"/>
        </w:rPr>
        <w:t> </w:t>
      </w:r>
      <w:r>
        <w:rPr>
          <w:spacing w:val="-66"/>
        </w:rPr>
      </w:r>
      <w:r>
        <w:rPr>
          <w:spacing w:val="-2"/>
        </w:rPr>
        <w:t>学等单位共同承担的“十二五”国家科技支撑计划项目“教育云规模化应用示范”通过科技部高新司专家组的验收。公司基</w:t>
      </w:r>
      <w:r>
        <w:rPr>
          <w:spacing w:val="-68"/>
        </w:rPr>
        <w:t> </w:t>
      </w:r>
      <w:r>
        <w:rPr>
          <w:spacing w:val="-68"/>
        </w:rPr>
      </w:r>
      <w:r>
        <w:rPr/>
        <w:t>于教育云的“智慧课堂”应用研发及示范项目入选中国光谷“互联网</w:t>
      </w:r>
      <w:r>
        <w:rPr>
          <w:rFonts w:ascii="宋体" w:hAnsi="宋体" w:cs="宋体" w:eastAsia="宋体" w:hint="default"/>
        </w:rPr>
        <w:t>+</w:t>
      </w:r>
      <w:r>
        <w:rPr/>
        <w:t>”示范应用项目。</w:t>
      </w:r>
    </w:p>
    <w:p>
      <w:pPr>
        <w:spacing w:after="0" w:line="316"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1" w:firstLine="360"/>
        <w:jc w:val="both"/>
      </w:pPr>
      <w:r>
        <w:rPr>
          <w:spacing w:val="-2"/>
        </w:rPr>
        <w:t>报告期内，公司积极应对国内智能卡行业量、价下滑的不利局面，降低产品成本，大力拓展金融终端产品市场，进一步</w:t>
      </w:r>
      <w:r>
        <w:rPr/>
        <w:t> </w:t>
      </w:r>
      <w:r>
        <w:rPr>
          <w:spacing w:val="-2"/>
        </w:rPr>
        <w:t>扩大产品收入规模，努力稳定公司数据安全业务的盈利水平；公司加快区域教育云平台及智慧教学、智慧课堂、智慧校园等</w:t>
      </w:r>
      <w:r>
        <w:rPr>
          <w:spacing w:val="-66"/>
        </w:rPr>
        <w:t> </w:t>
      </w:r>
      <w:r>
        <w:rPr>
          <w:spacing w:val="-66"/>
        </w:rPr>
      </w:r>
      <w:r>
        <w:rPr/>
        <w:t>产品的市场拓展，实现该业务收入规模的增长。</w:t>
      </w:r>
    </w:p>
    <w:p>
      <w:pPr>
        <w:pStyle w:val="BodyText"/>
        <w:spacing w:line="319" w:lineRule="auto" w:before="55"/>
        <w:ind w:left="1133" w:right="1129" w:firstLine="360"/>
        <w:jc w:val="both"/>
      </w:pPr>
      <w:r>
        <w:rPr/>
        <w:t>报告期内，公司实现营业收入</w:t>
      </w:r>
      <w:r>
        <w:rPr>
          <w:rFonts w:ascii="宋体" w:hAnsi="宋体" w:cs="宋体" w:eastAsia="宋体" w:hint="default"/>
        </w:rPr>
        <w:t>19.36</w:t>
      </w:r>
      <w:r>
        <w:rPr/>
        <w:t>亿元，同比增长</w:t>
      </w:r>
      <w:r>
        <w:rPr>
          <w:rFonts w:ascii="宋体" w:hAnsi="宋体" w:cs="宋体" w:eastAsia="宋体" w:hint="default"/>
        </w:rPr>
        <w:t>18.97%</w:t>
      </w:r>
      <w:r>
        <w:rPr/>
        <w:t>；实现归属于上市公司股东的净利润</w:t>
      </w:r>
      <w:r>
        <w:rPr>
          <w:rFonts w:ascii="宋体" w:hAnsi="宋体" w:cs="宋体" w:eastAsia="宋体" w:hint="default"/>
        </w:rPr>
        <w:t>2,259.69</w:t>
      </w:r>
      <w:r>
        <w:rPr/>
        <w:t>万元，同比增 </w:t>
      </w:r>
      <w:r>
        <w:rPr>
          <w:spacing w:val="-2"/>
        </w:rPr>
        <w:t>长</w:t>
      </w:r>
      <w:r>
        <w:rPr>
          <w:rFonts w:ascii="宋体" w:hAnsi="宋体" w:cs="宋体" w:eastAsia="宋体" w:hint="default"/>
          <w:spacing w:val="-2"/>
        </w:rPr>
        <w:t>13.84%</w:t>
      </w:r>
      <w:r>
        <w:rPr>
          <w:spacing w:val="-2"/>
        </w:rPr>
        <w:t>。公司营业收入同比增长的主要原因是金融终端产品销量同比大幅增加，同时由于公司收到的税收返还款增加，归</w:t>
      </w:r>
      <w:r>
        <w:rPr>
          <w:spacing w:val="-60"/>
        </w:rPr>
        <w:t> </w:t>
      </w:r>
      <w:r>
        <w:rPr>
          <w:spacing w:val="-60"/>
        </w:rPr>
      </w:r>
      <w:r>
        <w:rPr/>
        <w:t>属于上市公司股东的净利润同比增长。</w:t>
      </w:r>
    </w:p>
    <w:p>
      <w:pPr>
        <w:pStyle w:val="BodyText"/>
        <w:spacing w:line="357" w:lineRule="auto" w:before="136"/>
        <w:ind w:left="1493" w:right="0" w:hanging="360"/>
        <w:jc w:val="left"/>
      </w:pPr>
      <w:r>
        <w:rPr/>
        <w:t>（一）数据安全业务 </w:t>
      </w:r>
      <w:r>
        <w:rPr>
          <w:spacing w:val="-2"/>
        </w:rPr>
        <w:t>报告期内，公司努力拓展金融</w:t>
      </w:r>
      <w:r>
        <w:rPr>
          <w:rFonts w:ascii="宋体" w:hAnsi="宋体" w:cs="宋体" w:eastAsia="宋体" w:hint="default"/>
          <w:spacing w:val="-2"/>
        </w:rPr>
        <w:t>IC</w:t>
      </w:r>
      <w:r>
        <w:rPr>
          <w:spacing w:val="-2"/>
        </w:rPr>
        <w:t>卡产品市场，新入围多个金融</w:t>
      </w:r>
      <w:r>
        <w:rPr>
          <w:rFonts w:ascii="宋体" w:hAnsi="宋体" w:cs="宋体" w:eastAsia="宋体" w:hint="default"/>
          <w:spacing w:val="-2"/>
        </w:rPr>
        <w:t>IC</w:t>
      </w:r>
      <w:r>
        <w:rPr>
          <w:spacing w:val="-2"/>
        </w:rPr>
        <w:t>卡</w:t>
      </w:r>
      <w:r>
        <w:rPr>
          <w:rFonts w:ascii="宋体" w:hAnsi="宋体" w:cs="宋体" w:eastAsia="宋体" w:hint="default"/>
          <w:spacing w:val="-2"/>
        </w:rPr>
        <w:t>/</w:t>
      </w:r>
      <w:r>
        <w:rPr>
          <w:spacing w:val="-2"/>
        </w:rPr>
        <w:t>金融社保卡</w:t>
      </w:r>
      <w:r>
        <w:rPr>
          <w:rFonts w:ascii="宋体" w:hAnsi="宋体" w:cs="宋体" w:eastAsia="宋体" w:hint="default"/>
          <w:spacing w:val="-2"/>
        </w:rPr>
        <w:t>/</w:t>
      </w:r>
      <w:r>
        <w:rPr>
          <w:spacing w:val="-2"/>
        </w:rPr>
        <w:t>居民健康卡项目，但受行业发卡量下降</w:t>
      </w:r>
    </w:p>
    <w:p>
      <w:pPr>
        <w:pStyle w:val="BodyText"/>
        <w:spacing w:line="224" w:lineRule="exact"/>
        <w:ind w:left="1133" w:right="0"/>
        <w:jc w:val="left"/>
      </w:pPr>
      <w:r>
        <w:rPr/>
        <w:t>及竞争加剧影响，公司金融</w:t>
      </w:r>
      <w:r>
        <w:rPr>
          <w:rFonts w:ascii="宋体" w:hAnsi="宋体" w:cs="宋体" w:eastAsia="宋体" w:hint="default"/>
        </w:rPr>
        <w:t>IC</w:t>
      </w:r>
      <w:r>
        <w:rPr/>
        <w:t>卡产品销量、销售收入及毛利同比下降。</w:t>
      </w:r>
      <w:r>
        <w:rPr>
          <w:rFonts w:ascii="宋体" w:hAnsi="宋体" w:cs="宋体" w:eastAsia="宋体" w:hint="default"/>
        </w:rPr>
        <w:t>2018</w:t>
      </w:r>
      <w:r>
        <w:rPr/>
        <w:t>年公司将努力保持国内金融</w:t>
      </w:r>
      <w:r>
        <w:rPr>
          <w:rFonts w:ascii="宋体" w:hAnsi="宋体" w:cs="宋体" w:eastAsia="宋体" w:hint="default"/>
        </w:rPr>
        <w:t>IC</w:t>
      </w:r>
      <w:r>
        <w:rPr/>
        <w:t>卡产品市场份额，</w:t>
      </w:r>
    </w:p>
    <w:p>
      <w:pPr>
        <w:pStyle w:val="BodyText"/>
        <w:spacing w:line="319" w:lineRule="auto" w:before="76"/>
        <w:ind w:right="1131"/>
        <w:jc w:val="both"/>
      </w:pPr>
      <w:r>
        <w:rPr>
          <w:spacing w:val="-2"/>
        </w:rPr>
        <w:t>积极扩大国际金融</w:t>
      </w:r>
      <w:r>
        <w:rPr>
          <w:rFonts w:ascii="宋体" w:hAnsi="宋体" w:cs="宋体" w:eastAsia="宋体" w:hint="default"/>
          <w:spacing w:val="-2"/>
        </w:rPr>
        <w:t>IC</w:t>
      </w:r>
      <w:r>
        <w:rPr>
          <w:spacing w:val="-2"/>
        </w:rPr>
        <w:t>卡产品销售规模，进一步加强供应链和生产管理以降低产品成本，快速推进个性化制卡服务业务，稳定</w:t>
      </w:r>
      <w:r>
        <w:rPr>
          <w:spacing w:val="-64"/>
        </w:rPr>
        <w:t> </w:t>
      </w:r>
      <w:r>
        <w:rPr>
          <w:spacing w:val="-64"/>
        </w:rPr>
      </w:r>
      <w:r>
        <w:rPr/>
        <w:t>金融</w:t>
      </w:r>
      <w:r>
        <w:rPr>
          <w:rFonts w:ascii="宋体" w:hAnsi="宋体" w:cs="宋体" w:eastAsia="宋体" w:hint="default"/>
        </w:rPr>
        <w:t>IC</w:t>
      </w:r>
      <w:r>
        <w:rPr/>
        <w:t>卡产品盈利水平；利用金融</w:t>
      </w:r>
      <w:r>
        <w:rPr>
          <w:rFonts w:ascii="宋体" w:hAnsi="宋体" w:cs="宋体" w:eastAsia="宋体" w:hint="default"/>
        </w:rPr>
        <w:t>IC</w:t>
      </w:r>
      <w:r>
        <w:rPr/>
        <w:t>卡业务积累的银行资源，落地并推广围绕银行中小企业信贷客户的金融服务业务。</w:t>
      </w:r>
    </w:p>
    <w:p>
      <w:pPr>
        <w:pStyle w:val="BodyText"/>
        <w:spacing w:line="319" w:lineRule="auto" w:before="56"/>
        <w:ind w:left="1133" w:right="1129" w:firstLine="360"/>
        <w:jc w:val="both"/>
      </w:pPr>
      <w:r>
        <w:rPr>
          <w:spacing w:val="-2"/>
        </w:rPr>
        <w:t>国内通信智能卡行业市场竞争日益白热化。报告期内，公司通信智能卡产品销量、销售价格同比下降，产品毛利、毛利</w:t>
      </w:r>
      <w:r>
        <w:rPr/>
        <w:t> 率降幅较大。</w:t>
      </w:r>
      <w:r>
        <w:rPr>
          <w:rFonts w:ascii="宋体" w:hAnsi="宋体" w:cs="宋体" w:eastAsia="宋体" w:hint="default"/>
        </w:rPr>
        <w:t>2018</w:t>
      </w:r>
      <w:r>
        <w:rPr/>
        <w:t>年公司将努力降成本、控费用，适时调整产品供货策略，积极探索嵌入式</w:t>
      </w:r>
      <w:r>
        <w:rPr>
          <w:rFonts w:ascii="宋体" w:hAnsi="宋体" w:cs="宋体" w:eastAsia="宋体" w:hint="default"/>
        </w:rPr>
        <w:t>SIM</w:t>
      </w:r>
      <w:r>
        <w:rPr/>
        <w:t>卡等数据安全产品在互联网</w:t>
      </w:r>
      <w:r>
        <w:rPr>
          <w:spacing w:val="-82"/>
        </w:rPr>
        <w:t> </w:t>
      </w:r>
      <w:r>
        <w:rPr>
          <w:spacing w:val="-82"/>
        </w:rPr>
      </w:r>
      <w:r>
        <w:rPr/>
        <w:t>汽车、物联网领域的市场机会。</w:t>
      </w:r>
    </w:p>
    <w:p>
      <w:pPr>
        <w:pStyle w:val="BodyText"/>
        <w:spacing w:line="319" w:lineRule="auto" w:before="55"/>
        <w:ind w:right="1131" w:firstLine="360"/>
        <w:jc w:val="both"/>
      </w:pPr>
      <w:r>
        <w:rPr/>
        <w:t>报告期内，公司紧抓</w:t>
      </w:r>
      <w:r>
        <w:rPr>
          <w:rFonts w:ascii="宋体" w:hAnsi="宋体" w:cs="宋体" w:eastAsia="宋体" w:hint="default"/>
        </w:rPr>
        <w:t>POS</w:t>
      </w:r>
      <w:r>
        <w:rPr/>
        <w:t>机具产品小型化、便利化的市场趋势，持续推出符合市场需求的高性价比产品，高效拓展销售 </w:t>
      </w:r>
      <w:r>
        <w:rPr>
          <w:spacing w:val="-2"/>
        </w:rPr>
        <w:t>渠道，公司</w:t>
      </w:r>
      <w:r>
        <w:rPr>
          <w:rFonts w:ascii="宋体" w:hAnsi="宋体" w:cs="宋体" w:eastAsia="宋体" w:hint="default"/>
          <w:spacing w:val="-2"/>
        </w:rPr>
        <w:t>mPOS</w:t>
      </w:r>
      <w:r>
        <w:rPr>
          <w:spacing w:val="-2"/>
        </w:rPr>
        <w:t>、刷卡设备等金融终端产品销量同比大幅增长。受益于产品销售结构的持续优化，公司金融终端产品毛利率</w:t>
      </w:r>
      <w:r>
        <w:rPr>
          <w:spacing w:val="-62"/>
        </w:rPr>
        <w:t> </w:t>
      </w:r>
      <w:r>
        <w:rPr>
          <w:spacing w:val="-62"/>
        </w:rPr>
      </w:r>
      <w:r>
        <w:rPr>
          <w:spacing w:val="-2"/>
        </w:rPr>
        <w:t>同比提升。</w:t>
      </w:r>
      <w:r>
        <w:rPr>
          <w:rFonts w:ascii="宋体" w:hAnsi="宋体" w:cs="宋体" w:eastAsia="宋体" w:hint="default"/>
          <w:spacing w:val="-2"/>
        </w:rPr>
        <w:t>2018</w:t>
      </w:r>
      <w:r>
        <w:rPr>
          <w:spacing w:val="-2"/>
        </w:rPr>
        <w:t>年公司将紧跟二维码等新型金融终端产品、智能</w:t>
      </w:r>
      <w:r>
        <w:rPr>
          <w:rFonts w:ascii="宋体" w:hAnsi="宋体" w:cs="宋体" w:eastAsia="宋体" w:hint="default"/>
          <w:spacing w:val="-2"/>
        </w:rPr>
        <w:t>POS</w:t>
      </w:r>
      <w:r>
        <w:rPr>
          <w:spacing w:val="-2"/>
        </w:rPr>
        <w:t>产品、传统</w:t>
      </w:r>
      <w:r>
        <w:rPr>
          <w:rFonts w:ascii="宋体" w:hAnsi="宋体" w:cs="宋体" w:eastAsia="宋体" w:hint="default"/>
          <w:spacing w:val="-2"/>
        </w:rPr>
        <w:t>POS</w:t>
      </w:r>
      <w:r>
        <w:rPr>
          <w:spacing w:val="-2"/>
        </w:rPr>
        <w:t>产品市场的变化趋势，把握机遇，努力推</w:t>
      </w:r>
      <w:r>
        <w:rPr>
          <w:spacing w:val="-57"/>
        </w:rPr>
        <w:t> </w:t>
      </w:r>
      <w:r>
        <w:rPr>
          <w:spacing w:val="-57"/>
        </w:rPr>
      </w:r>
      <w:r>
        <w:rPr/>
        <w:t>动公司金融终端业务收入规模的持续增长。</w:t>
      </w:r>
    </w:p>
    <w:p>
      <w:pPr>
        <w:pStyle w:val="BodyText"/>
        <w:spacing w:line="319" w:lineRule="auto" w:before="55"/>
        <w:ind w:left="1133" w:right="1130" w:firstLine="360"/>
        <w:jc w:val="both"/>
      </w:pPr>
      <w:r>
        <w:rPr>
          <w:rFonts w:ascii="宋体" w:hAnsi="宋体" w:cs="宋体" w:eastAsia="宋体" w:hint="default"/>
          <w:spacing w:val="-2"/>
        </w:rPr>
        <w:t>2017</w:t>
      </w:r>
      <w:r>
        <w:rPr>
          <w:spacing w:val="-2"/>
        </w:rPr>
        <w:t>年是国家“营改增”税制转换完成后的第一年，税控盘市场需求以自然增长和更新替换为主，公司税控盘产品销量</w:t>
      </w:r>
      <w:r>
        <w:rPr/>
        <w:t> 同比下滑。公司按国家发改委要求自</w:t>
      </w:r>
      <w:r>
        <w:rPr>
          <w:rFonts w:ascii="宋体" w:hAnsi="宋体" w:cs="宋体" w:eastAsia="宋体" w:hint="default"/>
        </w:rPr>
        <w:t>2017</w:t>
      </w:r>
      <w:r>
        <w:rPr/>
        <w:t>年</w:t>
      </w:r>
      <w:r>
        <w:rPr>
          <w:rFonts w:ascii="宋体" w:hAnsi="宋体" w:cs="宋体" w:eastAsia="宋体" w:hint="default"/>
        </w:rPr>
        <w:t>8</w:t>
      </w:r>
      <w:r>
        <w:rPr/>
        <w:t>月起下调了税控盘价格及相关服务费，对公司税控业务的收入及盈利水平带来</w:t>
      </w:r>
      <w:r>
        <w:rPr>
          <w:spacing w:val="-83"/>
        </w:rPr>
        <w:t> </w:t>
      </w:r>
      <w:r>
        <w:rPr>
          <w:spacing w:val="-83"/>
        </w:rPr>
      </w:r>
      <w:r>
        <w:rPr/>
        <w:t>一定影响。公司快速推出低成本税控盘产品</w:t>
      </w:r>
      <w:r>
        <w:rPr>
          <w:rFonts w:ascii="宋体" w:hAnsi="宋体" w:cs="宋体" w:eastAsia="宋体" w:hint="default"/>
        </w:rPr>
        <w:t>/</w:t>
      </w:r>
      <w:r>
        <w:rPr/>
        <w:t>方案，同时围绕税控盘用户需求积极推进线上线下相结合的税务服务业务，以</w:t>
      </w:r>
      <w:r>
        <w:rPr>
          <w:spacing w:val="-83"/>
        </w:rPr>
        <w:t> </w:t>
      </w:r>
      <w:r>
        <w:rPr>
          <w:spacing w:val="-83"/>
        </w:rPr>
      </w:r>
      <w:r>
        <w:rPr>
          <w:rFonts w:ascii="宋体" w:hAnsi="宋体" w:cs="宋体" w:eastAsia="宋体" w:hint="default"/>
          <w:spacing w:val="-2"/>
        </w:rPr>
        <w:t>580</w:t>
      </w:r>
      <w:r>
        <w:rPr>
          <w:spacing w:val="-2"/>
        </w:rPr>
        <w:t>旺票为代表的电子发票解决方案、以</w:t>
      </w:r>
      <w:r>
        <w:rPr>
          <w:rFonts w:ascii="宋体" w:hAnsi="宋体" w:cs="宋体" w:eastAsia="宋体" w:hint="default"/>
          <w:spacing w:val="-2"/>
        </w:rPr>
        <w:t>580</w:t>
      </w:r>
      <w:r>
        <w:rPr>
          <w:spacing w:val="-2"/>
        </w:rPr>
        <w:t>百赋通为代表的纳税人开票办税服务解决方案等产品实现销售，税务服务收入同</w:t>
      </w:r>
      <w:r>
        <w:rPr>
          <w:spacing w:val="-58"/>
        </w:rPr>
        <w:t> </w:t>
      </w:r>
      <w:r>
        <w:rPr>
          <w:spacing w:val="-58"/>
        </w:rPr>
      </w:r>
      <w:r>
        <w:rPr/>
        <w:t>比增长。</w:t>
      </w:r>
      <w:r>
        <w:rPr>
          <w:rFonts w:ascii="宋体" w:hAnsi="宋体" w:cs="宋体" w:eastAsia="宋体" w:hint="default"/>
        </w:rPr>
        <w:t>2018</w:t>
      </w:r>
      <w:r>
        <w:rPr/>
        <w:t>年公司将努力扩大低成本税控盘产品销售，加大百旺</w:t>
      </w:r>
      <w:r>
        <w:rPr>
          <w:rFonts w:ascii="宋体" w:hAnsi="宋体" w:cs="宋体" w:eastAsia="宋体" w:hint="default"/>
        </w:rPr>
        <w:t>580</w:t>
      </w:r>
      <w:r>
        <w:rPr/>
        <w:t>系列增值服务产品的市场推广力度，实现公司税控业</w:t>
      </w:r>
      <w:r>
        <w:rPr>
          <w:spacing w:val="-83"/>
        </w:rPr>
        <w:t> </w:t>
      </w:r>
      <w:r>
        <w:rPr>
          <w:spacing w:val="-83"/>
        </w:rPr>
      </w:r>
      <w:r>
        <w:rPr/>
        <w:t>务的持续发展。</w:t>
      </w:r>
    </w:p>
    <w:p>
      <w:pPr>
        <w:pStyle w:val="BodyText"/>
        <w:spacing w:line="319" w:lineRule="auto" w:before="56"/>
        <w:ind w:left="1133" w:right="1129" w:firstLine="360"/>
        <w:jc w:val="both"/>
      </w:pPr>
      <w:r>
        <w:rPr>
          <w:spacing w:val="-2"/>
        </w:rPr>
        <w:t>报告期内，公司不断优化供应链金融服务业务产品及服务，继续围绕流通领域供应链上下游企业用户的需求，持续完善</w:t>
      </w:r>
      <w:r>
        <w:rPr/>
        <w:t> </w:t>
      </w:r>
      <w:r>
        <w:rPr>
          <w:spacing w:val="-2"/>
        </w:rPr>
        <w:t>供应链管理服务平台的基础管理服务、运营支撑服务、金融服务和支付服务功能；进一步丰富刷卡、扫码等支付方式，联合</w:t>
      </w:r>
      <w:r>
        <w:rPr>
          <w:spacing w:val="-66"/>
        </w:rPr>
        <w:t> </w:t>
      </w:r>
      <w:r>
        <w:rPr>
          <w:spacing w:val="-66"/>
        </w:rPr>
      </w:r>
      <w:r>
        <w:rPr>
          <w:spacing w:val="-2"/>
        </w:rPr>
        <w:t>中信银行推出“线上白条”服务功能，以满足上下游企业各种支付及小额融资需求。</w:t>
      </w:r>
      <w:r>
        <w:rPr>
          <w:rFonts w:ascii="宋体" w:hAnsi="宋体" w:cs="宋体" w:eastAsia="宋体" w:hint="default"/>
          <w:spacing w:val="-2"/>
        </w:rPr>
        <w:t>2018</w:t>
      </w:r>
      <w:r>
        <w:rPr>
          <w:spacing w:val="-2"/>
        </w:rPr>
        <w:t>年公司将继续围绕中信银行全行推</w:t>
      </w:r>
      <w:r>
        <w:rPr>
          <w:spacing w:val="-62"/>
        </w:rPr>
        <w:t> </w:t>
      </w:r>
      <w:r>
        <w:rPr/>
        <w:t>进以“信</w:t>
      </w:r>
      <w:r>
        <w:rPr>
          <w:rFonts w:ascii="宋体" w:hAnsi="宋体" w:cs="宋体" w:eastAsia="宋体" w:hint="default"/>
        </w:rPr>
        <w:t>e</w:t>
      </w:r>
      <w:r>
        <w:rPr/>
        <w:t>付”为主体产品的供应链支付服务业务，努力提升服务用户数，加大力度拓展“线上白条”等供应链金融服务业</w:t>
      </w:r>
      <w:r>
        <w:rPr>
          <w:spacing w:val="-83"/>
        </w:rPr>
        <w:t> </w:t>
      </w:r>
      <w:r>
        <w:rPr>
          <w:spacing w:val="-83"/>
        </w:rPr>
      </w:r>
      <w:r>
        <w:rPr/>
        <w:t>务市场，夯实该业务的发展基础。</w:t>
      </w:r>
    </w:p>
    <w:p>
      <w:pPr>
        <w:pStyle w:val="BodyText"/>
        <w:spacing w:line="357" w:lineRule="auto" w:before="136"/>
        <w:ind w:left="1493" w:right="0" w:hanging="360"/>
        <w:jc w:val="left"/>
      </w:pPr>
      <w:r>
        <w:rPr/>
        <w:t>（二）智慧教育业务 </w:t>
      </w:r>
      <w:r>
        <w:rPr>
          <w:spacing w:val="-2"/>
        </w:rPr>
        <w:t>报告期内，公司持续投入智慧教育产品研发，增强产品市场竞争力；坚持贯彻“铺平台、拓渠道、全产品、大项目”的</w:t>
      </w:r>
    </w:p>
    <w:p>
      <w:pPr>
        <w:pStyle w:val="BodyText"/>
        <w:spacing w:line="224" w:lineRule="exact"/>
        <w:ind w:left="1133" w:right="0"/>
        <w:jc w:val="left"/>
      </w:pPr>
      <w:r>
        <w:rPr/>
        <w:t>市场策略，承接了广东、江苏、山东、浙江、河南、湖北、河北、陕西、广西、黑龙江、吉林、云南、西藏、天津、重庆等</w:t>
      </w:r>
    </w:p>
    <w:p>
      <w:pPr>
        <w:pStyle w:val="BodyText"/>
        <w:spacing w:line="316" w:lineRule="auto" w:before="77"/>
        <w:ind w:right="1129"/>
        <w:jc w:val="both"/>
      </w:pPr>
      <w:r>
        <w:rPr/>
        <w:t>多个省（直辖市）的市、县（区）级平台的建设、运营</w:t>
      </w:r>
      <w:r>
        <w:rPr>
          <w:rFonts w:ascii="宋体" w:hAnsi="宋体" w:cs="宋体" w:eastAsia="宋体" w:hint="default"/>
        </w:rPr>
        <w:t>/</w:t>
      </w:r>
      <w:r>
        <w:rPr/>
        <w:t>运维项目，教育云平台市场占有率继续保持行业领先；承接了上海</w:t>
      </w:r>
      <w:r>
        <w:rPr>
          <w:spacing w:val="-83"/>
        </w:rPr>
        <w:t> </w:t>
      </w:r>
      <w:r>
        <w:rPr>
          <w:spacing w:val="-83"/>
        </w:rPr>
      </w:r>
      <w:r>
        <w:rPr>
          <w:spacing w:val="-2"/>
        </w:rPr>
        <w:t>市、天津市、武汉市、杭州市、宁波市、扬州市、长春市等多个地区学校的智慧课堂、智慧校园等产品的建设部署及运营服</w:t>
      </w:r>
      <w:r>
        <w:rPr>
          <w:spacing w:val="-72"/>
        </w:rPr>
        <w:t> </w:t>
      </w:r>
      <w:r>
        <w:rPr>
          <w:spacing w:val="-72"/>
        </w:rPr>
      </w:r>
      <w:r>
        <w:rPr>
          <w:spacing w:val="-2"/>
        </w:rPr>
        <w:t>务项目。公司各类智慧教育产品在公司教育云平台覆盖区域的销售态势良好，并通过发展销售、服务型代理渠道进一步扩大</w:t>
      </w:r>
      <w:r>
        <w:rPr>
          <w:spacing w:val="-66"/>
        </w:rPr>
        <w:t> </w:t>
      </w:r>
      <w:r>
        <w:rPr>
          <w:spacing w:val="-66"/>
        </w:rPr>
      </w:r>
      <w:r>
        <w:rPr/>
        <w:t>产品销售区域。公司参与了张家口市、海南昌江县等地方政府的教育信息化</w:t>
      </w:r>
      <w:r>
        <w:rPr>
          <w:rFonts w:ascii="宋体" w:hAnsi="宋体" w:cs="宋体" w:eastAsia="宋体" w:hint="default"/>
        </w:rPr>
        <w:t>PPP</w:t>
      </w:r>
      <w:r>
        <w:rPr/>
        <w:t>项目。公司持续加大“天喻教育”品牌的建</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22"/>
        <w:jc w:val="left"/>
      </w:pPr>
      <w:r>
        <w:rPr/>
        <w:t>设力度，积极参与教育装备展会，发布“天喻</w:t>
      </w:r>
      <w:r>
        <w:rPr>
          <w:rFonts w:ascii="宋体" w:hAnsi="宋体" w:cs="宋体" w:eastAsia="宋体" w:hint="default"/>
        </w:rPr>
        <w:t>+</w:t>
      </w:r>
      <w:r>
        <w:rPr/>
        <w:t>”生态行动计划，广泛寻求与应用、内容、终端厂商的合作，共建智慧教育</w:t>
      </w:r>
      <w:r>
        <w:rPr>
          <w:spacing w:val="-84"/>
        </w:rPr>
        <w:t> </w:t>
      </w:r>
      <w:r>
        <w:rPr>
          <w:spacing w:val="-84"/>
        </w:rPr>
      </w:r>
      <w:r>
        <w:rPr/>
        <w:t>生态，为后续市场开拓奠定了良好基础。</w:t>
      </w:r>
    </w:p>
    <w:p>
      <w:pPr>
        <w:pStyle w:val="BodyText"/>
        <w:spacing w:line="319" w:lineRule="auto" w:before="55"/>
        <w:ind w:left="1133" w:right="1129" w:firstLine="360"/>
        <w:jc w:val="both"/>
      </w:pPr>
      <w:r>
        <w:rPr>
          <w:spacing w:val="-2"/>
        </w:rPr>
        <w:t>报告期内，公司智慧教育业务收入同比增长，但由于在研发、市场方面的投入仍较大，该业务尚未实现盈利。</w:t>
      </w:r>
      <w:r>
        <w:rPr>
          <w:rFonts w:ascii="宋体" w:hAnsi="宋体" w:cs="宋体" w:eastAsia="宋体" w:hint="default"/>
          <w:spacing w:val="-2"/>
        </w:rPr>
        <w:t>2018</w:t>
      </w:r>
      <w:r>
        <w:rPr>
          <w:spacing w:val="-2"/>
        </w:rPr>
        <w:t>年公</w:t>
      </w:r>
      <w:r>
        <w:rPr>
          <w:spacing w:val="1"/>
        </w:rPr>
        <w:t> </w:t>
      </w:r>
      <w:r>
        <w:rPr/>
        <w:t>司将围绕“平台</w:t>
      </w:r>
      <w:r>
        <w:rPr>
          <w:rFonts w:ascii="宋体" w:hAnsi="宋体" w:cs="宋体" w:eastAsia="宋体" w:hint="default"/>
        </w:rPr>
        <w:t>+</w:t>
      </w:r>
      <w:r>
        <w:rPr/>
        <w:t>生态”的业务战略，坚持既定市场策略，在进一步扩大公司教育云平台市场覆盖区域的基础上，深耕公司</w:t>
      </w:r>
      <w:r>
        <w:rPr>
          <w:spacing w:val="-83"/>
        </w:rPr>
        <w:t> </w:t>
      </w:r>
      <w:r>
        <w:rPr>
          <w:spacing w:val="-83"/>
        </w:rPr>
      </w:r>
      <w:r>
        <w:rPr>
          <w:spacing w:val="-4"/>
        </w:rPr>
        <w:t>平台覆盖区域的智慧教育、智慧校园整体解决方案等产品市场，积极运作区域教育信息化</w:t>
      </w:r>
      <w:r>
        <w:rPr>
          <w:rFonts w:ascii="宋体" w:hAnsi="宋体" w:cs="宋体" w:eastAsia="宋体" w:hint="default"/>
          <w:spacing w:val="-4"/>
        </w:rPr>
        <w:t>PPP</w:t>
      </w:r>
      <w:r>
        <w:rPr>
          <w:spacing w:val="-4"/>
        </w:rPr>
        <w:t>项目；继续深化渠道体系建设，</w:t>
      </w:r>
      <w:r>
        <w:rPr>
          <w:spacing w:val="-40"/>
        </w:rPr>
        <w:t> </w:t>
      </w:r>
      <w:r>
        <w:rPr>
          <w:spacing w:val="-40"/>
        </w:rPr>
      </w:r>
      <w:r>
        <w:rPr/>
        <w:t>大力拓展区域总代理商，共同构建更高效的产品分销网络和区域运营服务体系；持续推进“天喻</w:t>
      </w:r>
      <w:r>
        <w:rPr>
          <w:rFonts w:ascii="宋体" w:hAnsi="宋体" w:cs="宋体" w:eastAsia="宋体" w:hint="default"/>
        </w:rPr>
        <w:t>+</w:t>
      </w:r>
      <w:r>
        <w:rPr/>
        <w:t>”生态行动计划，整合优</w:t>
      </w:r>
      <w:r>
        <w:rPr>
          <w:spacing w:val="-83"/>
        </w:rPr>
        <w:t> </w:t>
      </w:r>
      <w:r>
        <w:rPr>
          <w:spacing w:val="-83"/>
        </w:rPr>
      </w:r>
      <w:r>
        <w:rPr/>
        <w:t>质合作伙伴资源，共同挖掘市场机会，推动公司智慧教育业务收入规模的持续增长。</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概述" w:id="26"/>
      <w:bookmarkEnd w:id="26"/>
      <w:r>
        <w:rPr>
          <w:b w:val="0"/>
          <w:bCs w:val="0"/>
        </w:rPr>
      </w:r>
      <w:r>
        <w:rPr>
          <w:rFonts w:ascii="宋体" w:hAnsi="宋体" w:cs="宋体" w:eastAsia="宋体" w:hint="default"/>
        </w:rPr>
        <w:t>1</w:t>
      </w:r>
      <w:r>
        <w:rPr/>
        <w:t>、概述</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133" w:right="1033" w:firstLine="360"/>
        <w:jc w:val="left"/>
      </w:pPr>
      <w:r>
        <w:rPr/>
        <w:t>报告期内，公司实现营业收入</w:t>
      </w:r>
      <w:r>
        <w:rPr>
          <w:rFonts w:ascii="宋体" w:hAnsi="宋体" w:cs="宋体" w:eastAsia="宋体" w:hint="default"/>
        </w:rPr>
        <w:t>193,607.04</w:t>
      </w:r>
      <w:r>
        <w:rPr/>
        <w:t>万元，发生营业成本</w:t>
      </w:r>
      <w:r>
        <w:rPr>
          <w:rFonts w:ascii="宋体" w:hAnsi="宋体" w:cs="宋体" w:eastAsia="宋体" w:hint="default"/>
        </w:rPr>
        <w:t>146,038.79</w:t>
      </w:r>
      <w:r>
        <w:rPr/>
        <w:t>万元，分别较上年同期增长</w:t>
      </w:r>
      <w:r>
        <w:rPr>
          <w:rFonts w:ascii="宋体" w:hAnsi="宋体" w:cs="宋体" w:eastAsia="宋体" w:hint="default"/>
        </w:rPr>
        <w:t>18.97%</w:t>
      </w:r>
      <w:r>
        <w:rPr/>
        <w:t>和</w:t>
      </w:r>
      <w:r>
        <w:rPr>
          <w:rFonts w:ascii="宋体" w:hAnsi="宋体" w:cs="宋体" w:eastAsia="宋体" w:hint="default"/>
        </w:rPr>
        <w:t>25.73%</w:t>
      </w:r>
      <w:r>
        <w:rPr/>
        <w:t>， 主要缘于金融终端产品销量增长，同时由于公司收到的税收返还款增加，公司实现归属于上市公司股东的净利润</w:t>
      </w:r>
      <w:r>
        <w:rPr>
          <w:rFonts w:ascii="宋体" w:hAnsi="宋体" w:cs="宋体" w:eastAsia="宋体" w:hint="default"/>
        </w:rPr>
        <w:t>2,259.69</w:t>
      </w:r>
      <w:r>
        <w:rPr>
          <w:rFonts w:ascii="宋体" w:hAnsi="宋体" w:cs="宋体" w:eastAsia="宋体" w:hint="default"/>
          <w:spacing w:val="2"/>
        </w:rPr>
        <w:t> </w:t>
      </w:r>
      <w:r>
        <w:rPr/>
        <w:t>万元，较上年同期增长</w:t>
      </w:r>
      <w:r>
        <w:rPr>
          <w:rFonts w:ascii="宋体" w:hAnsi="宋体" w:cs="宋体" w:eastAsia="宋体" w:hint="default"/>
        </w:rPr>
        <w:t>13.84%</w:t>
      </w:r>
      <w:r>
        <w:rPr/>
        <w:t>。</w:t>
      </w:r>
    </w:p>
    <w:p>
      <w:pPr>
        <w:pStyle w:val="BodyText"/>
        <w:spacing w:line="316" w:lineRule="auto" w:before="19"/>
        <w:ind w:left="1133" w:right="0" w:firstLine="360"/>
        <w:jc w:val="left"/>
      </w:pPr>
      <w:r>
        <w:rPr>
          <w:spacing w:val="-2"/>
        </w:rPr>
        <w:t>报告期内，公司发生期间费用</w:t>
      </w:r>
      <w:r>
        <w:rPr>
          <w:rFonts w:ascii="宋体" w:hAnsi="宋体" w:cs="宋体" w:eastAsia="宋体" w:hint="default"/>
          <w:spacing w:val="-2"/>
        </w:rPr>
        <w:t>45,172.22</w:t>
      </w:r>
      <w:r>
        <w:rPr>
          <w:spacing w:val="-2"/>
        </w:rPr>
        <w:t>万元，较上年同期增长</w:t>
      </w:r>
      <w:r>
        <w:rPr>
          <w:rFonts w:ascii="宋体" w:hAnsi="宋体" w:cs="宋体" w:eastAsia="宋体" w:hint="default"/>
          <w:spacing w:val="-2"/>
        </w:rPr>
        <w:t>5.53%</w:t>
      </w:r>
      <w:r>
        <w:rPr>
          <w:spacing w:val="-2"/>
        </w:rPr>
        <w:t>，主要由于为抢占终端产品市场份额，公司加大了</w:t>
      </w:r>
      <w:r>
        <w:rPr/>
        <w:t> 终端业务新产品、新市场的投入，销售费用较上年同期增长</w:t>
      </w:r>
      <w:r>
        <w:rPr>
          <w:rFonts w:ascii="宋体" w:hAnsi="宋体" w:cs="宋体" w:eastAsia="宋体" w:hint="default"/>
        </w:rPr>
        <w:t>14.33%</w:t>
      </w:r>
      <w:r>
        <w:rPr/>
        <w:t>。</w:t>
      </w:r>
    </w:p>
    <w:p>
      <w:pPr>
        <w:pStyle w:val="BodyText"/>
        <w:spacing w:line="316" w:lineRule="auto" w:before="19"/>
        <w:ind w:left="1133" w:right="1123" w:firstLine="360"/>
        <w:jc w:val="left"/>
      </w:pPr>
      <w:r>
        <w:rPr/>
        <w:t>报告期内，公司经营活动产生的现金流量净额为</w:t>
      </w:r>
      <w:r>
        <w:rPr>
          <w:rFonts w:ascii="宋体" w:hAnsi="宋体" w:cs="宋体" w:eastAsia="宋体" w:hint="default"/>
        </w:rPr>
        <w:t>18,634.74</w:t>
      </w:r>
      <w:r>
        <w:rPr/>
        <w:t>万元，较上年同期增加</w:t>
      </w:r>
      <w:r>
        <w:rPr>
          <w:rFonts w:ascii="宋体" w:hAnsi="宋体" w:cs="宋体" w:eastAsia="宋体" w:hint="default"/>
        </w:rPr>
        <w:t>10,575.84</w:t>
      </w:r>
      <w:r>
        <w:rPr/>
        <w:t>万元，增长</w:t>
      </w:r>
      <w:r>
        <w:rPr>
          <w:rFonts w:ascii="宋体" w:hAnsi="宋体" w:cs="宋体" w:eastAsia="宋体" w:hint="default"/>
        </w:rPr>
        <w:t>131.23%</w:t>
      </w:r>
      <w:r>
        <w:rPr/>
        <w:t>，主要 由于公司持续加强客户信用管理和合同生命周期管理，销售回款同比增加。</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133" w:right="0"/>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1,936,070,390.59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1,627,326,894.26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1"/>
                <w:sz w:val="18"/>
                <w:szCs w:val="18"/>
              </w:rPr>
              <w:t>：</w:t>
            </w: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1,931,962,306.16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1,622,918,894.36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1,931,962,306.16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1,622,918,894.36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19.04%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846,152,838.53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1,058,657,669.99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894,192,901.08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402,727,216.65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178,681,186.89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136,387,027.31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12,935,379.66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25,146,980.41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1,869,883,299.93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1,543,114,850.97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62,079,006.23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79,804,043.39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-22.21%</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100" w:bottom="1160" w:left="0" w:right="0"/>
        </w:sectPr>
      </w:pPr>
    </w:p>
    <w:p>
      <w:pPr>
        <w:pStyle w:val="BodyText"/>
        <w:spacing w:line="357" w:lineRule="auto" w:before="44"/>
        <w:ind w:right="-20"/>
        <w:jc w:val="left"/>
      </w:pPr>
      <w:r>
        <w:rPr/>
        <w:t>√ 适用 □ 不适用 公司是否需要遵守特殊行业的披露要求</w:t>
      </w:r>
    </w:p>
    <w:p>
      <w:pPr>
        <w:pStyle w:val="BodyText"/>
        <w:spacing w:line="240" w:lineRule="auto" w:before="29"/>
        <w:ind w:left="1475" w:right="2499"/>
        <w:jc w:val="center"/>
      </w:pP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5" w:right="1471"/>
        <w:jc w:val="center"/>
      </w:pPr>
      <w:r>
        <w:rPr/>
        <w:t>单位：元</w:t>
      </w:r>
    </w:p>
    <w:p>
      <w:pPr>
        <w:spacing w:after="0" w:line="240" w:lineRule="auto"/>
        <w:jc w:val="center"/>
        <w:sectPr>
          <w:type w:val="continuous"/>
          <w:pgSz w:w="11910" w:h="16840"/>
          <w:pgMar w:top="1580" w:bottom="840" w:left="0" w:right="0"/>
          <w:cols w:num="2" w:equalWidth="0">
            <w:col w:w="4195" w:space="4365"/>
            <w:col w:w="335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610"/>
        <w:gridCol w:w="1559"/>
        <w:gridCol w:w="994"/>
        <w:gridCol w:w="1416"/>
        <w:gridCol w:w="1419"/>
        <w:gridCol w:w="1225"/>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3" w:right="71"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4" w:right="72"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1,931,962,306.16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1,459,247,763.02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-3.96</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846,152,838.53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639,243,483.71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-18.30%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-1.64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894,192,901.08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743,707,915.29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141.73%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-6.78</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178,681,186.89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68,638,744.83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27.91%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0.94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1,869,883,299.93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1,414,105,876.01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27.27%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-3.63</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bl>
    <w:p>
      <w:pPr>
        <w:spacing w:line="240" w:lineRule="auto" w:before="9"/>
        <w:rPr>
          <w:rFonts w:ascii="宋体" w:hAnsi="宋体" w:cs="宋体" w:eastAsia="宋体" w:hint="default"/>
          <w:sz w:val="6"/>
          <w:szCs w:val="6"/>
        </w:rPr>
      </w:pPr>
    </w:p>
    <w:p>
      <w:pPr>
        <w:pStyle w:val="BodyText"/>
        <w:spacing w:line="357" w:lineRule="auto" w:before="44"/>
        <w:ind w:left="1493" w:right="1123"/>
        <w:jc w:val="left"/>
      </w:pPr>
      <w:r>
        <w:rPr>
          <w:spacing w:val="-3"/>
        </w:rPr>
        <w:t>报告期内，公司智能卡产品营业收入同比下降</w:t>
      </w:r>
      <w:r>
        <w:rPr>
          <w:spacing w:val="-15"/>
        </w:rPr>
        <w:t> </w:t>
      </w:r>
      <w:r>
        <w:rPr>
          <w:rFonts w:ascii="宋体" w:hAnsi="宋体" w:cs="宋体" w:eastAsia="宋体" w:hint="default"/>
          <w:spacing w:val="-3"/>
        </w:rPr>
        <w:t>20.07%</w:t>
      </w:r>
      <w:r>
        <w:rPr>
          <w:spacing w:val="-3"/>
        </w:rPr>
        <w:t>，主要由于受市场竞争加剧影响，产品销量和销售价格同比下降。</w:t>
      </w:r>
      <w:r>
        <w:rPr>
          <w:spacing w:val="-83"/>
        </w:rPr>
        <w:t> </w:t>
      </w:r>
      <w:r>
        <w:rPr>
          <w:spacing w:val="-83"/>
        </w:rPr>
      </w:r>
      <w:r>
        <w:rPr/>
        <w:t>报告期内，公司终端产品营业收入和营业成本同比分别增长</w:t>
      </w:r>
      <w:r>
        <w:rPr>
          <w:spacing w:val="-45"/>
        </w:rPr>
        <w:t> </w:t>
      </w:r>
      <w:r>
        <w:rPr>
          <w:rFonts w:ascii="宋体" w:hAnsi="宋体" w:cs="宋体" w:eastAsia="宋体" w:hint="default"/>
        </w:rPr>
        <w:t>122.03%</w:t>
      </w:r>
      <w:r>
        <w:rPr/>
        <w:t>和</w:t>
      </w:r>
      <w:r>
        <w:rPr>
          <w:spacing w:val="-46"/>
        </w:rPr>
        <w:t> </w:t>
      </w:r>
      <w:r>
        <w:rPr>
          <w:rFonts w:ascii="宋体" w:hAnsi="宋体" w:cs="宋体" w:eastAsia="宋体" w:hint="default"/>
        </w:rPr>
        <w:t>141.73%</w:t>
      </w:r>
      <w:r>
        <w:rPr/>
        <w:t>，主要由于金融终端产品销量增长，但</w:t>
      </w:r>
    </w:p>
    <w:p>
      <w:pPr>
        <w:pStyle w:val="BodyText"/>
        <w:spacing w:line="225" w:lineRule="exact"/>
        <w:ind w:left="1133" w:right="0"/>
        <w:jc w:val="left"/>
      </w:pPr>
      <w:r>
        <w:rPr/>
        <w:t>受终端产品销售结构变化影响，毛利率同比减少</w:t>
      </w:r>
      <w:r>
        <w:rPr>
          <w:spacing w:val="-45"/>
        </w:rPr>
        <w:t> </w:t>
      </w:r>
      <w:r>
        <w:rPr>
          <w:rFonts w:ascii="宋体" w:hAnsi="宋体" w:cs="宋体" w:eastAsia="宋体" w:hint="default"/>
        </w:rPr>
        <w:t>6.78</w:t>
      </w:r>
      <w:r>
        <w:rPr>
          <w:rFonts w:ascii="宋体" w:hAnsi="宋体" w:cs="宋体" w:eastAsia="宋体" w:hint="default"/>
          <w:spacing w:val="-46"/>
        </w:rPr>
        <w:t> </w:t>
      </w:r>
      <w:r>
        <w:rPr/>
        <w:t>个百分点。</w:t>
      </w:r>
    </w:p>
    <w:p>
      <w:pPr>
        <w:pStyle w:val="BodyText"/>
        <w:spacing w:line="439" w:lineRule="auto" w:before="116"/>
        <w:ind w:right="1887" w:firstLine="360"/>
        <w:jc w:val="left"/>
      </w:pPr>
      <w:r>
        <w:rPr/>
        <w:t>报告期内，公司技术服务与开发收入同比增长</w:t>
      </w:r>
      <w:r>
        <w:rPr>
          <w:spacing w:val="-45"/>
        </w:rPr>
        <w:t> </w:t>
      </w:r>
      <w:r>
        <w:rPr>
          <w:rFonts w:ascii="宋体" w:hAnsi="宋体" w:cs="宋体" w:eastAsia="宋体" w:hint="default"/>
        </w:rPr>
        <w:t>31.01%</w:t>
      </w:r>
      <w:r>
        <w:rPr/>
        <w:t>，主要缘于智慧教育业务、纳税户服务等收入的增加。 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03" w:lineRule="exact"/>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291,202,766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332,406,788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-12.40%</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288,897,593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331,092,302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-12.74%</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9,356,418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-24.64%</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240" w:lineRule="auto" w:before="117"/>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type w:val="continuous"/>
          <w:pgSz w:w="11910" w:h="16840"/>
          <w:pgMar w:top="1580" w:bottom="84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行业分类</w:t>
      </w:r>
    </w:p>
    <w:p>
      <w:pPr>
        <w:pStyle w:val="BodyText"/>
        <w:spacing w:line="240" w:lineRule="auto" w:before="116"/>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8"/>
        <w:gridCol w:w="1247"/>
        <w:gridCol w:w="1367"/>
        <w:gridCol w:w="1367"/>
        <w:gridCol w:w="1367"/>
        <w:gridCol w:w="1367"/>
        <w:gridCol w:w="1273"/>
      </w:tblGrid>
      <w:tr>
        <w:trPr>
          <w:trHeight w:val="402" w:hRule="exact"/>
        </w:trPr>
        <w:tc>
          <w:tcPr>
            <w:tcW w:w="15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4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88"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3" w:type="dxa"/>
            <w:vMerge/>
            <w:tcBorders>
              <w:left w:val="single" w:sz="4" w:space="0" w:color="000000"/>
              <w:bottom w:val="single" w:sz="4" w:space="0" w:color="000000"/>
              <w:right w:val="single" w:sz="4" w:space="0" w:color="000000"/>
            </w:tcBorders>
          </w:tcPr>
          <w:p>
            <w:pPr/>
          </w:p>
        </w:tc>
      </w:tr>
      <w:tr>
        <w:trPr>
          <w:trHeight w:val="71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计算机、通信和其他</w:t>
            </w:r>
            <w:r>
              <w:rPr>
                <w:rFonts w:ascii="宋体" w:hAnsi="宋体" w:cs="宋体" w:eastAsia="宋体" w:hint="default"/>
                <w:sz w:val="18"/>
                <w:szCs w:val="18"/>
              </w:rPr>
              <w:t> 电子制造业</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720,847,452.96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813,311,707.91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0" w:right="0"/>
              <w:jc w:val="left"/>
              <w:rPr>
                <w:rFonts w:ascii="宋体" w:hAnsi="宋体" w:cs="宋体" w:eastAsia="宋体" w:hint="default"/>
                <w:sz w:val="18"/>
                <w:szCs w:val="18"/>
              </w:rPr>
            </w:pPr>
            <w:r>
              <w:rPr>
                <w:rFonts w:ascii="宋体"/>
                <w:sz w:val="18"/>
              </w:rPr>
              <w:t>-11.37%</w:t>
            </w:r>
          </w:p>
        </w:tc>
      </w:tr>
    </w:tbl>
    <w:p>
      <w:pPr>
        <w:spacing w:line="240" w:lineRule="auto" w:before="8"/>
        <w:rPr>
          <w:rFonts w:ascii="宋体" w:hAnsi="宋体" w:cs="宋体" w:eastAsia="宋体" w:hint="default"/>
          <w:sz w:val="6"/>
          <w:szCs w:val="6"/>
        </w:rPr>
      </w:pPr>
    </w:p>
    <w:p>
      <w:pPr>
        <w:pStyle w:val="BodyText"/>
        <w:spacing w:line="319" w:lineRule="auto" w:before="44"/>
        <w:ind w:left="1133" w:right="1139" w:firstLine="360"/>
        <w:jc w:val="both"/>
        <w:rPr>
          <w:rFonts w:ascii="MS Gothic" w:hAnsi="MS Gothic" w:cs="MS Gothic" w:eastAsia="MS Gothic" w:hint="default"/>
        </w:rPr>
      </w:pPr>
      <w:r>
        <w:rPr/>
        <w:t>报告期内，公司产品原材料成本较上年同期下降</w:t>
      </w:r>
      <w:r>
        <w:rPr>
          <w:rFonts w:ascii="宋体" w:hAnsi="宋体" w:cs="宋体" w:eastAsia="宋体" w:hint="default"/>
        </w:rPr>
        <w:t>11.37%</w:t>
      </w:r>
      <w:r>
        <w:rPr/>
        <w:t>，原材料成本占总营业成本比重下降</w:t>
      </w:r>
      <w:r>
        <w:rPr>
          <w:rFonts w:ascii="宋体" w:hAnsi="宋体" w:cs="宋体" w:eastAsia="宋体" w:hint="default"/>
        </w:rPr>
        <w:t>20.66</w:t>
      </w:r>
      <w:r>
        <w:rPr/>
        <w:t>个百分点，主要由于 采取外协加工生产模式的金融终端产品销量大幅增长，因此加工成本占比增加，原材料成本占比减少</w:t>
      </w:r>
      <w:r>
        <w:rPr>
          <w:rFonts w:ascii="MS Gothic" w:hAnsi="MS Gothic" w:cs="MS Gothic" w:eastAsia="MS Gothic" w:hint="default"/>
        </w:rPr>
        <w:t>｡</w:t>
      </w:r>
    </w:p>
    <w:p>
      <w:pPr>
        <w:spacing w:line="240" w:lineRule="auto" w:before="3"/>
        <w:rPr>
          <w:rFonts w:ascii="MS Gothic" w:hAnsi="MS Gothic" w:cs="MS Gothic" w:eastAsia="MS Gothic" w:hint="default"/>
          <w:sz w:val="22"/>
          <w:szCs w:val="22"/>
        </w:rPr>
      </w:pPr>
    </w:p>
    <w:p>
      <w:pPr>
        <w:pStyle w:val="Heading3"/>
        <w:spacing w:line="240" w:lineRule="auto"/>
        <w:ind w:left="1133"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3" w:right="0"/>
        <w:jc w:val="left"/>
      </w:pPr>
      <w:r>
        <w:rPr/>
        <w:t>√ 是 □ 否</w:t>
      </w:r>
    </w:p>
    <w:p>
      <w:pPr>
        <w:pStyle w:val="BodyText"/>
        <w:spacing w:line="319" w:lineRule="auto" w:before="115"/>
        <w:ind w:left="1133" w:right="1130" w:firstLine="360"/>
        <w:jc w:val="both"/>
      </w:pPr>
      <w:r>
        <w:rPr>
          <w:spacing w:val="-2"/>
        </w:rPr>
        <w:t>报告期内，公司子公司天喻教育投资设立的上海天喻云企业发展有限公司和贵州天喻通慧教育科技有限公司纳入公司合</w:t>
      </w:r>
      <w:r>
        <w:rPr/>
        <w:t> </w:t>
      </w:r>
      <w:r>
        <w:rPr>
          <w:spacing w:val="-2"/>
        </w:rPr>
        <w:t>并范围，天喻教育对上述两家公司的持股比例和表决权比例分别为</w:t>
      </w:r>
      <w:r>
        <w:rPr>
          <w:rFonts w:ascii="宋体" w:hAnsi="宋体" w:cs="宋体" w:eastAsia="宋体" w:hint="default"/>
          <w:spacing w:val="-2"/>
        </w:rPr>
        <w:t>51%</w:t>
      </w:r>
      <w:r>
        <w:rPr>
          <w:spacing w:val="-2"/>
        </w:rPr>
        <w:t>和</w:t>
      </w:r>
      <w:r>
        <w:rPr>
          <w:rFonts w:ascii="宋体" w:hAnsi="宋体" w:cs="宋体" w:eastAsia="宋体" w:hint="default"/>
          <w:spacing w:val="-2"/>
        </w:rPr>
        <w:t>65%</w:t>
      </w:r>
      <w:r>
        <w:rPr>
          <w:spacing w:val="-2"/>
        </w:rPr>
        <w:t>。截至报告期末，上述两家公司已完成工商注册</w:t>
      </w:r>
      <w:r>
        <w:rPr>
          <w:spacing w:val="-63"/>
        </w:rPr>
        <w:t> </w:t>
      </w:r>
      <w:r>
        <w:rPr>
          <w:spacing w:val="-63"/>
        </w:rPr>
      </w:r>
      <w:r>
        <w:rPr/>
        <w:t>登记，股东尚未实缴出资。</w:t>
      </w:r>
    </w:p>
    <w:p>
      <w:pPr>
        <w:pStyle w:val="BodyText"/>
        <w:spacing w:line="240" w:lineRule="auto" w:before="58"/>
        <w:ind w:left="1493" w:right="0"/>
        <w:jc w:val="left"/>
      </w:pPr>
      <w:r>
        <w:rPr/>
        <w:t>报告期内，公司子公司天喻信通已完成工商注销登记，不再纳入公司合并范围。</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690"/>
        <w:gridCol w:w="4886"/>
      </w:tblGrid>
      <w:tr>
        <w:trPr>
          <w:trHeight w:val="402" w:hRule="exact"/>
        </w:trPr>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566,745,693.62</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29.27%</w:t>
            </w:r>
          </w:p>
        </w:tc>
      </w:tr>
      <w:tr>
        <w:trPr>
          <w:trHeight w:val="403" w:hRule="exact"/>
        </w:trPr>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230,104,437.62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115,279,658.13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90,517,179.51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65,861,367.56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64,983,050.80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566,745,693.62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29.27%</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主要客户其他情况说明</w:t>
      </w:r>
    </w:p>
    <w:p>
      <w:pPr>
        <w:pStyle w:val="BodyText"/>
        <w:spacing w:line="240" w:lineRule="auto" w:before="117"/>
        <w:ind w:right="0"/>
        <w:jc w:val="left"/>
      </w:pPr>
      <w:r>
        <w:rPr/>
        <w:t>□ 适用 √ 不适用</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1133"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07"/>
        <w:gridCol w:w="4827"/>
      </w:tblGrid>
      <w:tr>
        <w:trPr>
          <w:trHeight w:val="40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1,026,426,484.27</w:t>
            </w:r>
          </w:p>
        </w:tc>
      </w:tr>
      <w:tr>
        <w:trPr>
          <w:trHeight w:val="40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64.46%</w:t>
            </w:r>
          </w:p>
        </w:tc>
      </w:tr>
      <w:tr>
        <w:trPr>
          <w:trHeight w:val="404"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409,297,442.22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226,265,271.26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179,982,949.80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147,795,011.43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63,085,809.56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1,026,426,484.27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64.46%</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47"/>
        <w:gridCol w:w="1637"/>
        <w:gridCol w:w="1638"/>
        <w:gridCol w:w="1460"/>
        <w:gridCol w:w="3593"/>
      </w:tblGrid>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217,095,916.86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189,892,538.10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14.33%</w:t>
            </w:r>
          </w:p>
        </w:tc>
        <w:tc>
          <w:tcPr>
            <w:tcW w:w="35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228,823,092.47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228,791,622.25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w:t>
            </w:r>
          </w:p>
        </w:tc>
        <w:tc>
          <w:tcPr>
            <w:tcW w:w="35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5,803,223.98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9,356,441.49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-37.98%</w:t>
            </w:r>
          </w:p>
        </w:tc>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MS Gothic" w:hAnsi="MS Gothic" w:cs="MS Gothic" w:eastAsia="MS Gothic" w:hint="default"/>
                <w:sz w:val="18"/>
                <w:szCs w:val="18"/>
              </w:rPr>
            </w:pPr>
            <w:r>
              <w:rPr>
                <w:rFonts w:ascii="宋体" w:hAnsi="宋体" w:cs="宋体" w:eastAsia="宋体" w:hint="default"/>
                <w:spacing w:val="-4"/>
                <w:sz w:val="18"/>
                <w:szCs w:val="18"/>
              </w:rPr>
              <w:t>公司通过实施汇率风险管理，汇兑损益同比减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少，以及对进口业务的结算采取预付策略下获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取的现金折扣同比增加</w:t>
            </w:r>
            <w:r>
              <w:rPr>
                <w:rFonts w:ascii="MS Gothic" w:hAnsi="MS Gothic" w:cs="MS Gothic" w:eastAsia="MS Gothic"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5173" w:hanging="360"/>
        <w:jc w:val="left"/>
      </w:pPr>
      <w:r>
        <w:rPr/>
        <w:t>√ 适用 □ 不适用 报告期内，公司持续投入各项业务的产品研发，提升产品竞争力。</w:t>
      </w:r>
    </w:p>
    <w:p>
      <w:pPr>
        <w:pStyle w:val="BodyText"/>
        <w:spacing w:line="319" w:lineRule="auto" w:before="25"/>
        <w:ind w:left="1133" w:right="0" w:firstLine="360"/>
        <w:jc w:val="left"/>
      </w:pPr>
      <w:r>
        <w:rPr>
          <w:spacing w:val="-2"/>
        </w:rPr>
        <w:t>公司围绕智能卡技术的演进不断迭代产品，丰富产品线，积极跟进国际规范研发新产品，建立健全系统的智能卡安全评</w:t>
      </w:r>
      <w:r>
        <w:rPr/>
        <w:t> 估体系，保证产品性能；优化</w:t>
      </w:r>
      <w:r>
        <w:rPr>
          <w:rFonts w:ascii="宋体" w:hAnsi="宋体" w:cs="宋体" w:eastAsia="宋体" w:hint="default"/>
        </w:rPr>
        <w:t>eSIM</w:t>
      </w:r>
      <w:r>
        <w:rPr/>
        <w:t>（嵌入式</w:t>
      </w:r>
      <w:r>
        <w:rPr>
          <w:rFonts w:ascii="宋体" w:hAnsi="宋体" w:cs="宋体" w:eastAsia="宋体" w:hint="default"/>
        </w:rPr>
        <w:t>SIM</w:t>
      </w:r>
      <w:r>
        <w:rPr/>
        <w:t>卡）连接管理系统，完成该系统第一阶段</w:t>
      </w:r>
      <w:r>
        <w:rPr>
          <w:rFonts w:ascii="宋体" w:hAnsi="宋体" w:cs="宋体" w:eastAsia="宋体" w:hint="default"/>
        </w:rPr>
        <w:t>GSMA</w:t>
      </w:r>
      <w:r>
        <w:rPr>
          <w:rFonts w:ascii="宋体" w:hAnsi="宋体" w:cs="宋体" w:eastAsia="宋体" w:hint="default"/>
          <w:spacing w:val="-58"/>
        </w:rPr>
        <w:t> </w:t>
      </w:r>
      <w:r>
        <w:rPr>
          <w:rFonts w:ascii="宋体" w:hAnsi="宋体" w:cs="宋体" w:eastAsia="宋体" w:hint="default"/>
        </w:rPr>
        <w:t>SAS-SM</w:t>
      </w:r>
      <w:r>
        <w:rPr/>
        <w:t>认证（全球移动通信系 </w:t>
      </w:r>
      <w:r>
        <w:rPr>
          <w:spacing w:val="-2"/>
        </w:rPr>
        <w:t>统协会安全标准认证），并通过电信运营商研究院测试，为后续进入物联网市场奠定产品基础。公司持续改进终端业务产品</w:t>
      </w:r>
      <w:r>
        <w:rPr>
          <w:spacing w:val="-66"/>
        </w:rPr>
        <w:t> </w:t>
      </w:r>
      <w:r>
        <w:rPr>
          <w:spacing w:val="-66"/>
        </w:rPr>
      </w:r>
      <w:r>
        <w:rPr>
          <w:spacing w:val="-2"/>
        </w:rPr>
        <w:t>结构，优化技术方案以进一步降低产品成本；完成传统</w:t>
      </w:r>
      <w:r>
        <w:rPr>
          <w:rFonts w:ascii="宋体" w:hAnsi="宋体" w:cs="宋体" w:eastAsia="宋体" w:hint="default"/>
          <w:spacing w:val="-2"/>
        </w:rPr>
        <w:t>POS</w:t>
      </w:r>
      <w:r>
        <w:rPr>
          <w:spacing w:val="-2"/>
        </w:rPr>
        <w:t>机、智能</w:t>
      </w:r>
      <w:r>
        <w:rPr>
          <w:rFonts w:ascii="宋体" w:hAnsi="宋体" w:cs="宋体" w:eastAsia="宋体" w:hint="default"/>
          <w:spacing w:val="-2"/>
        </w:rPr>
        <w:t>POS</w:t>
      </w:r>
      <w:r>
        <w:rPr>
          <w:spacing w:val="-2"/>
        </w:rPr>
        <w:t>机产品的银联认证；</w:t>
      </w:r>
      <w:r>
        <w:rPr>
          <w:rFonts w:ascii="宋体" w:hAnsi="宋体" w:cs="宋体" w:eastAsia="宋体" w:hint="default"/>
          <w:spacing w:val="-2"/>
        </w:rPr>
        <w:t>mPOS</w:t>
      </w:r>
      <w:r>
        <w:rPr>
          <w:spacing w:val="-2"/>
        </w:rPr>
        <w:t>、智能</w:t>
      </w:r>
      <w:r>
        <w:rPr>
          <w:rFonts w:ascii="宋体" w:hAnsi="宋体" w:cs="宋体" w:eastAsia="宋体" w:hint="default"/>
          <w:spacing w:val="-2"/>
        </w:rPr>
        <w:t>POS</w:t>
      </w:r>
      <w:r>
        <w:rPr>
          <w:spacing w:val="-2"/>
        </w:rPr>
        <w:t>产品通过国际</w:t>
      </w:r>
      <w:r>
        <w:rPr>
          <w:rFonts w:ascii="宋体" w:hAnsi="宋体" w:cs="宋体" w:eastAsia="宋体" w:hint="default"/>
          <w:spacing w:val="-2"/>
        </w:rPr>
        <w:t>PCI</w:t>
      </w:r>
      <w:r>
        <w:rPr>
          <w:rFonts w:ascii="宋体" w:hAnsi="宋体" w:cs="宋体" w:eastAsia="宋体" w:hint="default"/>
          <w:spacing w:val="-51"/>
        </w:rPr>
        <w:t> </w:t>
      </w:r>
      <w:r>
        <w:rPr>
          <w:rFonts w:ascii="宋体" w:hAnsi="宋体" w:cs="宋体" w:eastAsia="宋体" w:hint="default"/>
          <w:spacing w:val="-4"/>
        </w:rPr>
        <w:t>SSC</w:t>
      </w:r>
      <w:r>
        <w:rPr>
          <w:spacing w:val="-4"/>
        </w:rPr>
        <w:t>（支付卡产业安全标准委员会）认证，为产品进入海外市场奠定基础；积极研发新型收单终端产品以应对扫码支付市场。</w:t>
      </w:r>
      <w:r>
        <w:rPr>
          <w:spacing w:val="-42"/>
        </w:rPr>
        <w:t> </w:t>
      </w:r>
      <w:r>
        <w:rPr>
          <w:spacing w:val="-42"/>
        </w:rPr>
      </w:r>
      <w:r>
        <w:rPr/>
        <w:t>公司积极推进税务业务场景化体验升级，推出提高纳税人办税效率的“</w:t>
      </w:r>
      <w:r>
        <w:rPr>
          <w:rFonts w:ascii="宋体" w:hAnsi="宋体" w:cs="宋体" w:eastAsia="宋体" w:hint="default"/>
        </w:rPr>
        <w:t>580</w:t>
      </w:r>
      <w:r>
        <w:rPr/>
        <w:t>百赋通”等增值服务产品，针对增值税发票电子</w:t>
      </w:r>
      <w:r>
        <w:rPr>
          <w:spacing w:val="-83"/>
        </w:rPr>
        <w:t> </w:t>
      </w:r>
      <w:r>
        <w:rPr>
          <w:spacing w:val="-83"/>
        </w:rPr>
      </w:r>
      <w:r>
        <w:rPr/>
        <w:t>化的趋势完成面向行业企业的电子发票解决方案的开发。公司在与中信银行合作的“信</w:t>
      </w:r>
      <w:r>
        <w:rPr>
          <w:rFonts w:ascii="宋体" w:hAnsi="宋体" w:cs="宋体" w:eastAsia="宋体" w:hint="default"/>
        </w:rPr>
        <w:t>e</w:t>
      </w:r>
      <w:r>
        <w:rPr/>
        <w:t>付”平台的基础上完善供应链</w:t>
      </w:r>
      <w:r>
        <w:rPr>
          <w:rFonts w:ascii="宋体" w:hAnsi="宋体" w:cs="宋体" w:eastAsia="宋体" w:hint="default"/>
        </w:rPr>
        <w:t>SaaS</w:t>
      </w:r>
      <w:r>
        <w:rPr>
          <w:rFonts w:ascii="宋体" w:hAnsi="宋体" w:cs="宋体" w:eastAsia="宋体" w:hint="default"/>
          <w:spacing w:val="-82"/>
        </w:rPr>
        <w:t> </w:t>
      </w:r>
      <w:r>
        <w:rPr>
          <w:spacing w:val="-4"/>
        </w:rPr>
        <w:t>平台，为中小型企业提供供应链管理</w:t>
      </w:r>
      <w:r>
        <w:rPr>
          <w:rFonts w:ascii="宋体" w:hAnsi="宋体" w:cs="宋体" w:eastAsia="宋体" w:hint="default"/>
          <w:spacing w:val="-4"/>
        </w:rPr>
        <w:t>SaaS</w:t>
      </w:r>
      <w:r>
        <w:rPr>
          <w:spacing w:val="-4"/>
        </w:rPr>
        <w:t>服务；根据银行授信风险管理需求开发面向银行核心企业用户的综合金融服务平台，</w:t>
      </w:r>
      <w:r>
        <w:rPr>
          <w:spacing w:val="-36"/>
        </w:rPr>
        <w:t> </w:t>
      </w:r>
      <w:r>
        <w:rPr>
          <w:spacing w:val="-36"/>
        </w:rPr>
      </w:r>
      <w:r>
        <w:rPr/>
        <w:t>为企业用户提供综合金融服务。</w:t>
      </w:r>
    </w:p>
    <w:p>
      <w:pPr>
        <w:pStyle w:val="BodyText"/>
        <w:spacing w:line="240" w:lineRule="auto" w:before="55"/>
        <w:ind w:left="1494" w:right="0"/>
        <w:jc w:val="left"/>
      </w:pPr>
      <w:r>
        <w:rPr/>
        <w:t>公司基于“云校一体化”、“云端一体化”、“云服务一体化”的产品理念，围绕教育云平台，继续深化智慧教育产品</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30"/>
        <w:jc w:val="both"/>
      </w:pPr>
      <w:r>
        <w:rPr>
          <w:spacing w:val="-2"/>
        </w:rPr>
        <w:t>体系构建。公司参与搭建国家数字教育资源公共服务体系和多个省级数字教育资源公共服务体系，为实现各级平台互通打下</w:t>
      </w:r>
      <w:r>
        <w:rPr>
          <w:spacing w:val="-64"/>
        </w:rPr>
        <w:t> </w:t>
      </w:r>
      <w:r>
        <w:rPr>
          <w:spacing w:val="-64"/>
        </w:rPr>
      </w:r>
      <w:r>
        <w:rPr>
          <w:spacing w:val="-2"/>
        </w:rPr>
        <w:t>基础；搭建大数据基础平台，开启教育云平台大数据环境下的精准教学、精准学习和精准管理；发布多种互动学科工具、智</w:t>
      </w:r>
      <w:r>
        <w:rPr>
          <w:spacing w:val="-66"/>
        </w:rPr>
        <w:t> </w:t>
      </w:r>
      <w:r>
        <w:rPr>
          <w:spacing w:val="-66"/>
        </w:rPr>
      </w:r>
      <w:r>
        <w:rPr/>
        <w:t>能学习终端，整合优质教</w:t>
      </w:r>
      <w:r>
        <w:rPr>
          <w:rFonts w:ascii="宋体" w:hAnsi="宋体" w:cs="宋体" w:eastAsia="宋体" w:hint="default"/>
        </w:rPr>
        <w:t>&amp;</w:t>
      </w:r>
      <w:r>
        <w:rPr/>
        <w:t>学资源，使教师在不改变备课习惯的同时提升备授课质量，提高学生课堂学习效率；通过建设校</w:t>
      </w:r>
      <w:r>
        <w:rPr>
          <w:spacing w:val="-83"/>
        </w:rPr>
        <w:t> </w:t>
      </w:r>
      <w:r>
        <w:rPr>
          <w:spacing w:val="-83"/>
        </w:rPr>
      </w:r>
      <w:r>
        <w:rPr>
          <w:spacing w:val="-2"/>
        </w:rPr>
        <w:t>园开放平台，整合一卡通、电子班牌、智慧图书馆、校园监控等软硬一体化应用，打造集校园管理、学习和生活于一体的智</w:t>
      </w:r>
      <w:r>
        <w:rPr>
          <w:spacing w:val="-68"/>
        </w:rPr>
        <w:t> </w:t>
      </w:r>
      <w:r>
        <w:rPr>
          <w:spacing w:val="-68"/>
        </w:rPr>
      </w:r>
      <w:r>
        <w:rPr>
          <w:spacing w:val="-2"/>
        </w:rPr>
        <w:t>慧校园环境，完善智慧校园整体解决方案；初步形成以学校考试、日常测练为切入点的学生基础学业数据采集系统及学业数</w:t>
      </w:r>
      <w:r>
        <w:rPr>
          <w:spacing w:val="-65"/>
        </w:rPr>
        <w:t> </w:t>
      </w:r>
      <w:r>
        <w:rPr>
          <w:spacing w:val="-65"/>
        </w:rPr>
      </w:r>
      <w:r>
        <w:rPr>
          <w:spacing w:val="-5"/>
        </w:rPr>
        <w:t>据分析系统；初步搭建基于名师、名校和教研员引领的本地特色教学资源和教研产品建设体系，带动教师共建共享优质资源。</w:t>
      </w:r>
    </w:p>
    <w:p>
      <w:pPr>
        <w:pStyle w:val="BodyText"/>
        <w:spacing w:line="240" w:lineRule="auto" w:before="136"/>
        <w:ind w:right="0"/>
        <w:jc w:val="both"/>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49"/>
        <w:gridCol w:w="2268"/>
        <w:gridCol w:w="2268"/>
        <w:gridCol w:w="2147"/>
      </w:tblGrid>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1,039</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1,018</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36.96%</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35.73%</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164,754,562.83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171,415,434.55</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138,978,137.82</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10.53%</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9.37%</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3"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研发投入总额占营业收入的比重较上年发生显著变化的原因</w:t>
      </w:r>
    </w:p>
    <w:p>
      <w:pPr>
        <w:pStyle w:val="BodyText"/>
        <w:spacing w:line="439" w:lineRule="auto" w:before="116"/>
        <w:ind w:right="6792"/>
        <w:jc w:val="left"/>
      </w:pPr>
      <w:r>
        <w:rPr/>
        <w:t>□ 适用 √ 不适用 研发投入资本化率大幅变动的原因及其合理性说明</w:t>
      </w:r>
    </w:p>
    <w:p>
      <w:pPr>
        <w:pStyle w:val="BodyText"/>
        <w:spacing w:line="204" w:lineRule="exact"/>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393"/>
        <w:gridCol w:w="2392"/>
        <w:gridCol w:w="2362"/>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2,120,830,319.18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1,965,389,821.78</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7.91%</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1,934,482,951.80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1,884,800,869.34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186,347,367.38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80,588,952.44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131.23%</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3,638,627.29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764,151.87</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376.17%</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123,916,857.86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40,381,580.66</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206.86%</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-120,278,230.57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-39,617,428.79</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-203.60%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554,587,676.00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463,179,470.41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601,507,720.78</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-83,179,470.41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-46,920,044.78</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-77.28%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-17,952,242.50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-7,897,414.80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-127.32%</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相关数据同比发生重大变动的主要影响因素说明</w:t>
      </w:r>
    </w:p>
    <w:p>
      <w:pPr>
        <w:pStyle w:val="BodyText"/>
        <w:spacing w:line="357" w:lineRule="auto" w:before="116"/>
        <w:ind w:left="1493" w:right="1123" w:hanging="360"/>
        <w:jc w:val="left"/>
      </w:pPr>
      <w:r>
        <w:rPr/>
        <w:t>√ 适用 □ 不适用 报告期内，公司经营活动产生的现金流量净额较上年同期增加</w:t>
      </w:r>
      <w:r>
        <w:rPr>
          <w:rFonts w:ascii="宋体" w:hAnsi="宋体" w:cs="宋体" w:eastAsia="宋体" w:hint="default"/>
        </w:rPr>
        <w:t>131.23%</w:t>
      </w:r>
      <w:r>
        <w:rPr/>
        <w:t>，主要由于公司持续加强客户信用管理和合同生</w:t>
      </w:r>
    </w:p>
    <w:p>
      <w:pPr>
        <w:spacing w:after="0" w:line="357"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4" w:right="1122" w:hanging="360"/>
        <w:jc w:val="left"/>
      </w:pPr>
      <w:r>
        <w:rPr/>
        <w:t>命周期管理，销售回款同比增加。 报告期内，公司投资活动产生的现金流入较上年同期增加</w:t>
      </w:r>
      <w:r>
        <w:rPr>
          <w:rFonts w:ascii="宋体" w:hAnsi="宋体" w:cs="宋体" w:eastAsia="宋体" w:hint="default"/>
        </w:rPr>
        <w:t>376.17%</w:t>
      </w:r>
      <w:r>
        <w:rPr/>
        <w:t>，主要由于取得参股公司股利分配收到的现金同比增</w:t>
      </w:r>
    </w:p>
    <w:p>
      <w:pPr>
        <w:pStyle w:val="BodyText"/>
        <w:spacing w:line="316" w:lineRule="auto" w:before="19"/>
        <w:ind w:right="1122"/>
        <w:jc w:val="left"/>
      </w:pPr>
      <w:r>
        <w:rPr/>
        <w:t>加；公司投资活动产生的现金流量净额较上年同期减少</w:t>
      </w:r>
      <w:r>
        <w:rPr>
          <w:rFonts w:ascii="宋体" w:hAnsi="宋体" w:cs="宋体" w:eastAsia="宋体" w:hint="default"/>
        </w:rPr>
        <w:t>203.60%</w:t>
      </w:r>
      <w:r>
        <w:rPr/>
        <w:t>，主要是报告期内购买理财产品，使得投资活动产生的现金</w:t>
      </w:r>
      <w:r>
        <w:rPr>
          <w:spacing w:val="-83"/>
        </w:rPr>
        <w:t> </w:t>
      </w:r>
      <w:r>
        <w:rPr>
          <w:spacing w:val="-83"/>
        </w:rPr>
      </w:r>
      <w:r>
        <w:rPr/>
        <w:t>流出较上年同期增加</w:t>
      </w:r>
      <w:r>
        <w:rPr>
          <w:rFonts w:ascii="宋体" w:hAnsi="宋体" w:cs="宋体" w:eastAsia="宋体" w:hint="default"/>
        </w:rPr>
        <w:t>206.86%</w:t>
      </w:r>
      <w:r>
        <w:rPr/>
        <w:t>。</w:t>
      </w:r>
    </w:p>
    <w:p>
      <w:pPr>
        <w:pStyle w:val="BodyText"/>
        <w:spacing w:line="316" w:lineRule="auto" w:before="19"/>
        <w:ind w:left="1133" w:right="1033" w:firstLine="360"/>
        <w:jc w:val="left"/>
      </w:pPr>
      <w:r>
        <w:rPr/>
        <w:t>报告期内，公司筹资活动产生的现金流入、现金流出以及现金流量净额分别较上年同期减少</w:t>
      </w:r>
      <w:r>
        <w:rPr>
          <w:rFonts w:ascii="宋体" w:hAnsi="宋体" w:cs="宋体" w:eastAsia="宋体" w:hint="default"/>
        </w:rPr>
        <w:t>31.48%</w:t>
      </w:r>
      <w:r>
        <w:rPr/>
        <w:t>、</w:t>
      </w:r>
      <w:r>
        <w:rPr>
          <w:rFonts w:ascii="宋体" w:hAnsi="宋体" w:cs="宋体" w:eastAsia="宋体" w:hint="default"/>
        </w:rPr>
        <w:t>23.00%</w:t>
      </w:r>
      <w:r>
        <w:rPr/>
        <w:t>和</w:t>
      </w:r>
      <w:r>
        <w:rPr>
          <w:rFonts w:ascii="宋体" w:hAnsi="宋体" w:cs="宋体" w:eastAsia="宋体" w:hint="default"/>
        </w:rPr>
        <w:t>77.28%</w:t>
      </w:r>
      <w:r>
        <w:rPr/>
        <w:t>， 主要由于经营活动产生的现金流量净额同比增加，融资需求同比减少。</w:t>
      </w:r>
    </w:p>
    <w:p>
      <w:pPr>
        <w:pStyle w:val="BodyText"/>
        <w:spacing w:line="240" w:lineRule="auto" w:before="140"/>
        <w:ind w:left="1133" w:right="0"/>
        <w:jc w:val="left"/>
      </w:pPr>
      <w:r>
        <w:rPr/>
        <w:t>报告期内公司经营活动产生的现金净流量与本年度净利润存在重大差异的原因说明</w:t>
      </w:r>
    </w:p>
    <w:p>
      <w:pPr>
        <w:pStyle w:val="BodyText"/>
        <w:spacing w:line="357" w:lineRule="auto" w:before="116"/>
        <w:ind w:left="1493" w:right="1118" w:hanging="360"/>
        <w:jc w:val="left"/>
      </w:pPr>
      <w:r>
        <w:rPr/>
        <w:t>√ 适用 □ 不适用 </w:t>
      </w:r>
      <w:r>
        <w:rPr>
          <w:spacing w:val="-2"/>
        </w:rPr>
        <w:t>报告期内，公司净利润为</w:t>
      </w:r>
      <w:r>
        <w:rPr>
          <w:rFonts w:ascii="宋体" w:hAnsi="宋体" w:cs="宋体" w:eastAsia="宋体" w:hint="default"/>
          <w:spacing w:val="-2"/>
        </w:rPr>
        <w:t>1,147.53</w:t>
      </w:r>
      <w:r>
        <w:rPr>
          <w:spacing w:val="-2"/>
        </w:rPr>
        <w:t>万元，与公司经营活动产生的现金流量净额</w:t>
      </w:r>
      <w:r>
        <w:rPr>
          <w:rFonts w:ascii="宋体" w:hAnsi="宋体" w:cs="宋体" w:eastAsia="宋体" w:hint="default"/>
          <w:spacing w:val="-2"/>
        </w:rPr>
        <w:t>18,634.74</w:t>
      </w:r>
      <w:r>
        <w:rPr>
          <w:spacing w:val="-2"/>
        </w:rPr>
        <w:t>万元相差</w:t>
      </w:r>
      <w:r>
        <w:rPr>
          <w:rFonts w:ascii="宋体" w:hAnsi="宋体" w:cs="宋体" w:eastAsia="宋体" w:hint="default"/>
          <w:spacing w:val="-2"/>
        </w:rPr>
        <w:t>17,487.21</w:t>
      </w:r>
      <w:r>
        <w:rPr>
          <w:spacing w:val="-2"/>
        </w:rPr>
        <w:t>万元，主要</w:t>
      </w:r>
    </w:p>
    <w:p>
      <w:pPr>
        <w:pStyle w:val="BodyText"/>
        <w:spacing w:line="224" w:lineRule="exact"/>
        <w:ind w:left="1133" w:right="0"/>
        <w:jc w:val="left"/>
      </w:pPr>
      <w:r>
        <w:rPr/>
        <w:t>是报告期内发生不影响经营性现金流量的费用（固定资产折旧、无形资产摊销、长期待摊费用摊销、利息支出、汇兑损益）</w:t>
      </w:r>
    </w:p>
    <w:p>
      <w:pPr>
        <w:pStyle w:val="BodyText"/>
        <w:spacing w:line="240" w:lineRule="auto" w:before="76"/>
        <w:ind w:left="1133" w:right="0"/>
        <w:jc w:val="left"/>
      </w:pPr>
      <w:r>
        <w:rPr>
          <w:spacing w:val="4"/>
        </w:rPr>
        <w:t>以及资产减值准备分别影响</w:t>
      </w:r>
      <w:r>
        <w:rPr>
          <w:rFonts w:ascii="宋体" w:hAnsi="宋体" w:cs="宋体" w:eastAsia="宋体" w:hint="default"/>
          <w:spacing w:val="4"/>
        </w:rPr>
        <w:t>5,391.10</w:t>
      </w:r>
      <w:r>
        <w:rPr>
          <w:spacing w:val="4"/>
        </w:rPr>
        <w:t>万元和</w:t>
      </w:r>
      <w:r>
        <w:rPr>
          <w:rFonts w:ascii="宋体" w:hAnsi="宋体" w:cs="宋体" w:eastAsia="宋体" w:hint="default"/>
          <w:spacing w:val="4"/>
        </w:rPr>
        <w:t>3,688.49</w:t>
      </w:r>
      <w:r>
        <w:rPr>
          <w:spacing w:val="4"/>
        </w:rPr>
        <w:t>万元，报告期内递延所得税资产、存货及经营性应收项目减少影响</w:t>
      </w:r>
      <w:r>
        <w:rPr/>
      </w:r>
    </w:p>
    <w:p>
      <w:pPr>
        <w:pStyle w:val="BodyText"/>
        <w:spacing w:line="240" w:lineRule="auto" w:before="76"/>
        <w:ind w:right="0"/>
        <w:jc w:val="left"/>
      </w:pPr>
      <w:r>
        <w:rPr>
          <w:rFonts w:ascii="宋体" w:hAnsi="宋体" w:cs="宋体" w:eastAsia="宋体" w:hint="default"/>
        </w:rPr>
        <w:t>-2,764.67</w:t>
      </w:r>
      <w:r>
        <w:rPr/>
        <w:t>万元，经营性应付项目增加影响</w:t>
      </w:r>
      <w:r>
        <w:rPr>
          <w:rFonts w:ascii="宋体" w:hAnsi="宋体" w:cs="宋体" w:eastAsia="宋体" w:hint="default"/>
        </w:rPr>
        <w:t>11,147.37</w:t>
      </w:r>
      <w:r>
        <w:rPr/>
        <w:t>万元。</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94"/>
        <w:gridCol w:w="1416"/>
        <w:gridCol w:w="1419"/>
        <w:gridCol w:w="3118"/>
        <w:gridCol w:w="2672"/>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40,336,900.66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173.15%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根据公司会计政策计提的应收款项坏账 准备和存货跌价准备。</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52,066,175.13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223.49%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主要是确认的与收益相关的政府补助。</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left="1133" w:right="0"/>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9"/>
        <w:rPr>
          <w:rFonts w:ascii="宋体" w:hAnsi="宋体" w:cs="宋体" w:eastAsia="宋体" w:hint="default"/>
          <w:b/>
          <w:bCs/>
          <w:sz w:val="10"/>
          <w:szCs w:val="10"/>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818" w:type="dxa"/>
        <w:tblLayout w:type="fixed"/>
        <w:tblCellMar>
          <w:top w:w="0" w:type="dxa"/>
          <w:left w:w="0" w:type="dxa"/>
          <w:bottom w:w="0" w:type="dxa"/>
          <w:right w:w="0" w:type="dxa"/>
        </w:tblCellMar>
        <w:tblLook w:val="01E0"/>
      </w:tblPr>
      <w:tblGrid>
        <w:gridCol w:w="1560"/>
        <w:gridCol w:w="1326"/>
        <w:gridCol w:w="800"/>
        <w:gridCol w:w="1346"/>
        <w:gridCol w:w="780"/>
        <w:gridCol w:w="1277"/>
        <w:gridCol w:w="3171"/>
      </w:tblGrid>
      <w:tr>
        <w:trPr>
          <w:trHeight w:val="402"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55" w:hRule="exact"/>
        </w:trPr>
        <w:tc>
          <w:tcPr>
            <w:tcW w:w="1560" w:type="dxa"/>
            <w:vMerge/>
            <w:tcBorders>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14" w:right="3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03" w:right="2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7" w:type="dxa"/>
            <w:vMerge/>
            <w:tcBorders>
              <w:left w:val="single" w:sz="4" w:space="0" w:color="000000"/>
              <w:bottom w:val="single" w:sz="4" w:space="0" w:color="000000"/>
              <w:right w:val="single" w:sz="4" w:space="0" w:color="000000"/>
            </w:tcBorders>
          </w:tcPr>
          <w:p>
            <w:pPr/>
          </w:p>
        </w:tc>
        <w:tc>
          <w:tcPr>
            <w:tcW w:w="3171" w:type="dxa"/>
            <w:vMerge/>
            <w:tcBorders>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384,869,771.51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391,340,826.27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-2.60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514,420,932.15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453,024,327.88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0.74</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358,312,958.06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386,751,349.33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-3.78</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8,866,860.76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11,893,004.69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-0.24</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194,066,073.15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195,481,450.22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-1.20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740,547.46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-0.04</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在建工程项目已达到预定可使用状态， 对项目进行了结转。</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20,000,000.00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100,000,000.00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6.02%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-4.93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公司持续加强客户信用管理和合同生命 周期管理，销售回款同比增加，经营活 动产生的现金流量净额同比增加，融资 需求减少。</w:t>
            </w:r>
          </w:p>
        </w:tc>
      </w:tr>
    </w:tbl>
    <w:p>
      <w:pPr>
        <w:spacing w:after="0" w:line="316"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18" w:type="dxa"/>
        <w:tblLayout w:type="fixed"/>
        <w:tblCellMar>
          <w:top w:w="0" w:type="dxa"/>
          <w:left w:w="0" w:type="dxa"/>
          <w:bottom w:w="0" w:type="dxa"/>
          <w:right w:w="0" w:type="dxa"/>
        </w:tblCellMar>
        <w:tblLook w:val="01E0"/>
      </w:tblPr>
      <w:tblGrid>
        <w:gridCol w:w="1560"/>
        <w:gridCol w:w="1326"/>
        <w:gridCol w:w="800"/>
        <w:gridCol w:w="1346"/>
        <w:gridCol w:w="780"/>
        <w:gridCol w:w="1277"/>
        <w:gridCol w:w="3171"/>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16,646,992.86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76,496,152.78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-3.70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预付款业务已按合同履约执行。</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84,543,742.38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3,823,542.97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4.38</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报告期内购买理财产品。</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sz w:val="18"/>
              </w:rPr>
              <w:t>150,774,906.40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8.22%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20,225,920.00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报告期内参股公司韦尔股份首次公开发 行股票并上市，公司对持有的韦尔股份 股权由按成本计量改为按公允价值计 量，股价变动导致股权公允价值变动。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150,993,361.82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112,835,904.06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1.43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采取票据结算方式的业务量增加。</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sz w:val="18"/>
              </w:rPr>
              <w:t>256,914,216.78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156,876,657.54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4.55</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金融终端产品销量大幅增长，采购备货 产生的应付账款相应增加。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7"/>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60"/>
        <w:gridCol w:w="1276"/>
        <w:gridCol w:w="1154"/>
        <w:gridCol w:w="1398"/>
        <w:gridCol w:w="1112"/>
        <w:gridCol w:w="850"/>
        <w:gridCol w:w="830"/>
        <w:gridCol w:w="141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1" w:right="3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70" w:right="101"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0" w:right="58"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9" w:right="49"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4,993,920.00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135,342,906.40</w:t>
            </w:r>
          </w:p>
        </w:tc>
        <w:tc>
          <w:tcPr>
            <w:tcW w:w="11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148,874,906.40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4,993,920.00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135,342,906.40</w:t>
            </w:r>
          </w:p>
        </w:tc>
        <w:tc>
          <w:tcPr>
            <w:tcW w:w="11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148,874,906.40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报告期内公司主要资产计量属性是否发生重大变化</w:t>
      </w:r>
    </w:p>
    <w:p>
      <w:pPr>
        <w:pStyle w:val="BodyText"/>
        <w:spacing w:line="439" w:lineRule="auto" w:before="117"/>
        <w:ind w:left="1133" w:right="3733"/>
        <w:jc w:val="left"/>
      </w:pPr>
      <w:r>
        <w:rPr/>
        <w:t>√ 是 □ 否 报告期内公司主要资产计量属性发生重大变化的原因说明及对其经营成果和财务状况影响</w:t>
      </w:r>
    </w:p>
    <w:p>
      <w:pPr>
        <w:pStyle w:val="BodyText"/>
        <w:spacing w:line="202" w:lineRule="exact"/>
        <w:ind w:left="1493" w:right="0"/>
        <w:jc w:val="left"/>
      </w:pPr>
      <w:r>
        <w:rPr/>
        <w:t>报告期内，公司参股公司韦尔股份首次公开发行股票并上市，公司对持有的韦尔股份股权由按成本计量改为按公允价值</w:t>
      </w:r>
    </w:p>
    <w:p>
      <w:pPr>
        <w:pStyle w:val="BodyText"/>
        <w:spacing w:line="240" w:lineRule="auto" w:before="77"/>
        <w:ind w:left="1133" w:right="0"/>
        <w:jc w:val="left"/>
        <w:rPr>
          <w:rFonts w:ascii="MS Gothic" w:hAnsi="MS Gothic" w:cs="MS Gothic" w:eastAsia="MS Gothic" w:hint="default"/>
        </w:rPr>
      </w:pPr>
      <w:r>
        <w:rPr/>
        <w:t>计量，计量属性改变后，股权价值将根据韦尔股份股票价格的变动而变动，公允价值变动计入其他综合收益</w:t>
      </w:r>
      <w:r>
        <w:rPr>
          <w:rFonts w:ascii="MS Gothic" w:hAnsi="MS Gothic" w:cs="MS Gothic" w:eastAsia="MS Gothic" w:hint="default"/>
        </w:rPr>
        <w:t>｡</w:t>
      </w:r>
    </w:p>
    <w:p>
      <w:pPr>
        <w:spacing w:line="240" w:lineRule="auto" w:before="10"/>
        <w:rPr>
          <w:rFonts w:ascii="MS Gothic" w:hAnsi="MS Gothic" w:cs="MS Gothic" w:eastAsia="MS Gothic" w:hint="default"/>
          <w:sz w:val="26"/>
          <w:szCs w:val="26"/>
        </w:rPr>
      </w:pPr>
    </w:p>
    <w:p>
      <w:pPr>
        <w:pStyle w:val="Heading3"/>
        <w:spacing w:line="240" w:lineRule="auto"/>
        <w:ind w:left="1133" w:right="0"/>
        <w:jc w:val="left"/>
        <w:rPr>
          <w:b w:val="0"/>
          <w:bCs w:val="0"/>
        </w:rPr>
      </w:pPr>
      <w:bookmarkStart w:name="3、截至报告期末的资产权利受限情况" w:id="43"/>
      <w:bookmarkEnd w:id="43"/>
      <w:r>
        <w:rPr>
          <w:b w:val="0"/>
          <w:bCs w:val="0"/>
        </w:rPr>
      </w:r>
      <w:r>
        <w:rPr>
          <w:rFonts w:ascii="宋体" w:hAnsi="宋体" w:cs="宋体" w:eastAsia="宋体" w:hint="default"/>
        </w:rPr>
        <w:t>3</w:t>
      </w:r>
      <w:r>
        <w:rPr/>
        <w:t>、截至报告期末的资产权利受限情况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5"/>
      <w:bookmarkEnd w:id="45"/>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108,799,820.43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49,783,237.26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118.55%</w:t>
            </w:r>
          </w:p>
        </w:tc>
      </w:tr>
    </w:tbl>
    <w:p>
      <w:pPr>
        <w:spacing w:line="240" w:lineRule="auto" w:before="8"/>
        <w:rPr>
          <w:rFonts w:ascii="宋体" w:hAnsi="宋体" w:cs="宋体" w:eastAsia="宋体" w:hint="default"/>
          <w:sz w:val="6"/>
          <w:szCs w:val="6"/>
        </w:rPr>
      </w:pPr>
    </w:p>
    <w:p>
      <w:pPr>
        <w:pStyle w:val="BodyText"/>
        <w:spacing w:line="240" w:lineRule="auto" w:before="44"/>
        <w:ind w:left="1494" w:right="0"/>
        <w:jc w:val="left"/>
      </w:pPr>
      <w:r>
        <w:rPr/>
        <w:t>报告期内，公司购买保本型理财产品</w:t>
      </w:r>
      <w:r>
        <w:rPr>
          <w:spacing w:val="-53"/>
        </w:rPr>
        <w:t> </w:t>
      </w:r>
      <w:r>
        <w:rPr>
          <w:rFonts w:ascii="宋体" w:hAnsi="宋体" w:cs="宋体" w:eastAsia="宋体" w:hint="default"/>
        </w:rPr>
        <w:t>8,000</w:t>
      </w:r>
      <w:r>
        <w:rPr>
          <w:rFonts w:ascii="宋体" w:hAnsi="宋体" w:cs="宋体" w:eastAsia="宋体" w:hint="default"/>
          <w:spacing w:val="-53"/>
        </w:rPr>
        <w:t> </w:t>
      </w:r>
      <w:r>
        <w:rPr/>
        <w:t>万元，购置固定资产设备</w:t>
      </w:r>
      <w:r>
        <w:rPr>
          <w:spacing w:val="-53"/>
        </w:rPr>
        <w:t> </w:t>
      </w:r>
      <w:r>
        <w:rPr>
          <w:rFonts w:ascii="宋体" w:hAnsi="宋体" w:cs="宋体" w:eastAsia="宋体" w:hint="default"/>
        </w:rPr>
        <w:t>1,646</w:t>
      </w:r>
      <w:r>
        <w:rPr>
          <w:rFonts w:ascii="宋体" w:hAnsi="宋体" w:cs="宋体" w:eastAsia="宋体" w:hint="default"/>
          <w:spacing w:val="-53"/>
        </w:rPr>
        <w:t> </w:t>
      </w:r>
      <w:r>
        <w:rPr>
          <w:spacing w:val="-3"/>
        </w:rPr>
        <w:t>万元（主要是为提高生产效率、降低人工成</w:t>
      </w:r>
    </w:p>
    <w:p>
      <w:pPr>
        <w:pStyle w:val="BodyText"/>
        <w:spacing w:line="240" w:lineRule="auto" w:before="77"/>
        <w:ind w:right="0"/>
        <w:jc w:val="left"/>
      </w:pPr>
      <w:r>
        <w:rPr/>
        <w:t>本的智能卡生产设备</w:t>
      </w:r>
      <w:r>
        <w:rPr>
          <w:spacing w:val="-90"/>
        </w:rPr>
        <w:t>）</w:t>
      </w:r>
      <w:r>
        <w:rPr/>
        <w:t>，股权投资</w:t>
      </w:r>
      <w:r>
        <w:rPr>
          <w:spacing w:val="-46"/>
        </w:rPr>
        <w:t> </w:t>
      </w:r>
      <w:r>
        <w:rPr>
          <w:rFonts w:ascii="宋体" w:hAnsi="宋体" w:cs="宋体" w:eastAsia="宋体" w:hint="default"/>
        </w:rPr>
        <w:t>275</w:t>
      </w:r>
      <w:r>
        <w:rPr>
          <w:rFonts w:ascii="宋体" w:hAnsi="宋体" w:cs="宋体" w:eastAsia="宋体" w:hint="default"/>
          <w:spacing w:val="-46"/>
        </w:rPr>
        <w:t> </w:t>
      </w:r>
      <w:r>
        <w:rPr/>
        <w:t>万</w:t>
      </w:r>
      <w:r>
        <w:rPr>
          <w:spacing w:val="1"/>
        </w:rPr>
        <w:t>元</w:t>
      </w:r>
      <w:r>
        <w:rPr/>
        <w:t>（包括对深圳市易考乐学测评有限公司、张家口聚思教育科技有限</w:t>
      </w:r>
      <w:r>
        <w:rPr>
          <w:spacing w:val="1"/>
        </w:rPr>
        <w:t>公司的投资</w:t>
      </w:r>
      <w:r>
        <w:rPr>
          <w:spacing w:val="-89"/>
        </w:rPr>
        <w:t>）</w:t>
      </w:r>
      <w:r>
        <w:rPr/>
        <w:t>。</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14" w:firstLine="360"/>
        <w:jc w:val="left"/>
      </w:pPr>
      <w:r>
        <w:rPr/>
        <w:t>为做大做强智慧教育业务，报告期内公司积极参与地方政府教育信息化</w:t>
      </w:r>
      <w:r>
        <w:rPr>
          <w:spacing w:val="-57"/>
        </w:rPr>
        <w:t> </w:t>
      </w:r>
      <w:r>
        <w:rPr>
          <w:rFonts w:ascii="宋体" w:hAnsi="宋体" w:cs="宋体" w:eastAsia="宋体" w:hint="default"/>
        </w:rPr>
        <w:t>PPP</w:t>
      </w:r>
      <w:r>
        <w:rPr>
          <w:rFonts w:ascii="宋体" w:hAnsi="宋体" w:cs="宋体" w:eastAsia="宋体" w:hint="default"/>
          <w:spacing w:val="-58"/>
        </w:rPr>
        <w:t> </w:t>
      </w:r>
      <w:r>
        <w:rPr>
          <w:spacing w:val="-3"/>
        </w:rPr>
        <w:t>项目，加强公司教育云平台覆盖区域的产品</w:t>
      </w:r>
      <w:r>
        <w:rPr/>
        <w:t> 销售渠道及运营服务体系建设。</w:t>
      </w:r>
    </w:p>
    <w:p>
      <w:pPr>
        <w:pStyle w:val="BodyText"/>
        <w:spacing w:line="240" w:lineRule="auto" w:before="55"/>
        <w:ind w:left="1494" w:right="0"/>
        <w:jc w:val="left"/>
      </w:pPr>
      <w:r>
        <w:rPr/>
        <w:t>公司于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日召</w:t>
      </w:r>
      <w:r>
        <w:rPr>
          <w:spacing w:val="1"/>
        </w:rPr>
        <w:t>开</w:t>
      </w:r>
      <w:r>
        <w:rPr/>
        <w:t>的第七届董事会第三次会议审议通</w:t>
      </w:r>
      <w:r>
        <w:rPr>
          <w:spacing w:val="-82"/>
        </w:rPr>
        <w:t>过</w:t>
      </w:r>
      <w:r>
        <w:rPr/>
        <w:t>《关于参与投资设立张家口教育信息化</w:t>
      </w:r>
      <w:r>
        <w:rPr>
          <w:spacing w:val="-45"/>
        </w:rPr>
        <w:t> </w:t>
      </w:r>
      <w:r>
        <w:rPr>
          <w:rFonts w:ascii="宋体" w:hAnsi="宋体" w:cs="宋体" w:eastAsia="宋体" w:hint="default"/>
        </w:rPr>
        <w:t>PPP</w:t>
      </w:r>
      <w:r>
        <w:rPr>
          <w:rFonts w:ascii="宋体" w:hAnsi="宋体" w:cs="宋体" w:eastAsia="宋体" w:hint="default"/>
          <w:spacing w:val="-46"/>
        </w:rPr>
        <w:t> </w:t>
      </w:r>
      <w:r>
        <w:rPr/>
        <w:t>项</w:t>
      </w:r>
      <w:r>
        <w:rPr>
          <w:spacing w:val="1"/>
        </w:rPr>
        <w:t>目</w:t>
      </w:r>
      <w:r>
        <w:rPr/>
        <w:t>产业</w:t>
      </w:r>
    </w:p>
    <w:p>
      <w:pPr>
        <w:pStyle w:val="BodyText"/>
        <w:spacing w:line="240" w:lineRule="auto" w:before="76"/>
        <w:ind w:right="0"/>
        <w:jc w:val="both"/>
      </w:pPr>
      <w:r>
        <w:rPr/>
        <w:t>基金的议案</w:t>
      </w:r>
      <w:r>
        <w:rPr>
          <w:spacing w:val="-90"/>
        </w:rPr>
        <w:t>》</w:t>
      </w:r>
      <w:r>
        <w:rPr>
          <w:spacing w:val="-41"/>
        </w:rPr>
        <w:t>，</w:t>
      </w:r>
      <w:r>
        <w:rPr/>
        <w:t>同意公司与慧云科技股份有限公司</w:t>
      </w:r>
      <w:r>
        <w:rPr>
          <w:spacing w:val="-41"/>
        </w:rPr>
        <w:t>、</w:t>
      </w:r>
      <w:r>
        <w:rPr/>
        <w:t>张家口丰泰股权投资基金有限公司共同出资设立规模为</w:t>
      </w:r>
      <w:r>
        <w:rPr>
          <w:spacing w:val="-45"/>
        </w:rPr>
        <w:t> </w:t>
      </w:r>
      <w:r>
        <w:rPr>
          <w:rFonts w:ascii="宋体" w:hAnsi="宋体" w:cs="宋体" w:eastAsia="宋体" w:hint="default"/>
        </w:rPr>
        <w:t>2.02</w:t>
      </w:r>
      <w:r>
        <w:rPr>
          <w:rFonts w:ascii="宋体" w:hAnsi="宋体" w:cs="宋体" w:eastAsia="宋体" w:hint="default"/>
          <w:spacing w:val="-46"/>
        </w:rPr>
        <w:t> </w:t>
      </w:r>
      <w:r>
        <w:rPr>
          <w:spacing w:val="1"/>
        </w:rPr>
        <w:t>亿</w:t>
      </w:r>
      <w:r>
        <w:rPr/>
        <w:t>元的张家</w:t>
      </w:r>
    </w:p>
    <w:p>
      <w:pPr>
        <w:pStyle w:val="BodyText"/>
        <w:spacing w:line="240" w:lineRule="auto" w:before="77"/>
        <w:ind w:left="1133" w:right="0"/>
        <w:jc w:val="both"/>
        <w:rPr>
          <w:rFonts w:ascii="宋体" w:hAnsi="宋体" w:cs="宋体" w:eastAsia="宋体" w:hint="default"/>
        </w:rPr>
      </w:pPr>
      <w:r>
        <w:rPr/>
        <w:t>口喻智教育科技合伙企</w:t>
      </w:r>
      <w:r>
        <w:rPr>
          <w:spacing w:val="-13"/>
        </w:rPr>
        <w:t>业</w:t>
      </w:r>
      <w:r>
        <w:rPr/>
        <w:t>（有限合伙</w:t>
      </w:r>
      <w:r>
        <w:rPr>
          <w:spacing w:val="-90"/>
        </w:rPr>
        <w:t>）</w:t>
      </w:r>
      <w:r>
        <w:rPr>
          <w:spacing w:val="-13"/>
        </w:rPr>
        <w:t>，</w:t>
      </w:r>
      <w:r>
        <w:rPr/>
        <w:t>投资公司子公司天喻教育承接或参与的教育信息化</w:t>
      </w:r>
      <w:r>
        <w:rPr>
          <w:spacing w:val="-45"/>
        </w:rPr>
        <w:t> </w:t>
      </w:r>
      <w:r>
        <w:rPr>
          <w:rFonts w:ascii="宋体" w:hAnsi="宋体" w:cs="宋体" w:eastAsia="宋体" w:hint="default"/>
        </w:rPr>
        <w:t>PPP</w:t>
      </w:r>
      <w:r>
        <w:rPr>
          <w:rFonts w:ascii="宋体" w:hAnsi="宋体" w:cs="宋体" w:eastAsia="宋体" w:hint="default"/>
          <w:spacing w:val="-46"/>
        </w:rPr>
        <w:t> </w:t>
      </w:r>
      <w:r>
        <w:rPr>
          <w:spacing w:val="1"/>
        </w:rPr>
        <w:t>项</w:t>
      </w:r>
      <w:r>
        <w:rPr>
          <w:spacing w:val="-13"/>
        </w:rPr>
        <w:t>目</w:t>
      </w:r>
      <w:r>
        <w:rPr/>
        <w:t>（详见公司于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9</w:t>
      </w:r>
    </w:p>
    <w:p>
      <w:pPr>
        <w:pStyle w:val="BodyText"/>
        <w:spacing w:line="319" w:lineRule="auto" w:before="76"/>
        <w:ind w:left="1133" w:right="1129"/>
        <w:jc w:val="both"/>
      </w:pPr>
      <w:r>
        <w:rPr/>
        <w:t>月</w:t>
      </w:r>
      <w:r>
        <w:rPr>
          <w:spacing w:val="-33"/>
        </w:rPr>
        <w:t> </w:t>
      </w:r>
      <w:r>
        <w:rPr>
          <w:rFonts w:ascii="宋体" w:hAnsi="宋体" w:cs="宋体" w:eastAsia="宋体" w:hint="default"/>
        </w:rPr>
        <w:t>29</w:t>
      </w:r>
      <w:r>
        <w:rPr>
          <w:rFonts w:ascii="宋体" w:hAnsi="宋体" w:cs="宋体" w:eastAsia="宋体" w:hint="default"/>
          <w:spacing w:val="-33"/>
        </w:rPr>
        <w:t> </w:t>
      </w:r>
      <w:r>
        <w:rPr>
          <w:spacing w:val="-3"/>
        </w:rPr>
        <w:t>日在中国证监会指定信息披露网站披露的相关公告）。张家口喻智教育科技合伙企业（有限合伙）于</w:t>
      </w:r>
      <w:r>
        <w:rPr>
          <w:spacing w:val="-30"/>
        </w:rPr>
        <w:t> </w:t>
      </w:r>
      <w:r>
        <w:rPr>
          <w:rFonts w:ascii="宋体" w:hAnsi="宋体" w:cs="宋体" w:eastAsia="宋体" w:hint="default"/>
        </w:rPr>
        <w:t>2017</w:t>
      </w:r>
      <w:r>
        <w:rPr>
          <w:rFonts w:ascii="宋体" w:hAnsi="宋体" w:cs="宋体" w:eastAsia="宋体" w:hint="default"/>
          <w:spacing w:val="-33"/>
        </w:rPr>
        <w:t> </w:t>
      </w:r>
      <w:r>
        <w:rPr/>
        <w:t>年</w:t>
      </w:r>
      <w:r>
        <w:rPr>
          <w:spacing w:val="-33"/>
        </w:rPr>
        <w:t> </w:t>
      </w:r>
      <w:r>
        <w:rPr>
          <w:rFonts w:ascii="宋体" w:hAnsi="宋体" w:cs="宋体" w:eastAsia="宋体" w:hint="default"/>
        </w:rPr>
        <w:t>10</w:t>
      </w:r>
      <w:r>
        <w:rPr>
          <w:rFonts w:ascii="宋体" w:hAnsi="宋体" w:cs="宋体" w:eastAsia="宋体" w:hint="default"/>
          <w:spacing w:val="-33"/>
        </w:rPr>
        <w:t> </w:t>
      </w:r>
      <w:r>
        <w:rPr/>
        <w:t>月</w:t>
      </w:r>
      <w:r>
        <w:rPr>
          <w:spacing w:val="-33"/>
        </w:rPr>
        <w:t> </w:t>
      </w:r>
      <w:r>
        <w:rPr>
          <w:rFonts w:ascii="宋体" w:hAnsi="宋体" w:cs="宋体" w:eastAsia="宋体" w:hint="default"/>
        </w:rPr>
        <w:t>27 </w:t>
      </w:r>
      <w:r>
        <w:rPr>
          <w:spacing w:val="-2"/>
        </w:rPr>
        <w:t>日完成工商注册登记。截至目前，张家口丰泰股权投资基金有限公司正在办理私募投资基金管理人登记，张家口喻智教育科</w:t>
      </w:r>
      <w:r>
        <w:rPr>
          <w:spacing w:val="-66"/>
        </w:rPr>
        <w:t> </w:t>
      </w:r>
      <w:r>
        <w:rPr>
          <w:spacing w:val="-66"/>
        </w:rPr>
      </w:r>
      <w:r>
        <w:rPr/>
        <w:t>技合伙企业（有限合伙）正在办理基金备案登记，合伙人尚未实缴出资。</w:t>
      </w:r>
    </w:p>
    <w:p>
      <w:pPr>
        <w:pStyle w:val="BodyText"/>
        <w:spacing w:line="240" w:lineRule="auto" w:before="56"/>
        <w:ind w:left="1493" w:right="0"/>
        <w:jc w:val="left"/>
      </w:pPr>
      <w:r>
        <w:rPr/>
        <w:t>公司子公司天喻教育以现金 </w:t>
      </w:r>
      <w:r>
        <w:rPr>
          <w:rFonts w:ascii="宋体" w:hAnsi="宋体" w:cs="宋体" w:eastAsia="宋体" w:hint="default"/>
        </w:rPr>
        <w:t>250</w:t>
      </w:r>
      <w:r>
        <w:rPr>
          <w:rFonts w:ascii="宋体" w:hAnsi="宋体" w:cs="宋体" w:eastAsia="宋体" w:hint="default"/>
          <w:spacing w:val="-60"/>
        </w:rPr>
        <w:t> </w:t>
      </w:r>
      <w:r>
        <w:rPr>
          <w:spacing w:val="-3"/>
        </w:rPr>
        <w:t>万元与张家口聚合信息科技合伙企业（普通合伙）共同投资设立张家口聚思教育科技有</w:t>
      </w:r>
    </w:p>
    <w:p>
      <w:pPr>
        <w:pStyle w:val="BodyText"/>
        <w:spacing w:line="240" w:lineRule="auto" w:before="76"/>
        <w:ind w:left="1133" w:right="0"/>
        <w:jc w:val="both"/>
      </w:pPr>
      <w:r>
        <w:rPr/>
        <w:t>限公司，主要从事张家口地区智慧教育产品的销售及运营服务。张家口聚思教育科技有限公司于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日完成工商</w:t>
      </w:r>
    </w:p>
    <w:p>
      <w:pPr>
        <w:pStyle w:val="BodyText"/>
        <w:spacing w:line="240" w:lineRule="auto" w:before="77"/>
        <w:ind w:left="1133" w:right="0"/>
        <w:jc w:val="both"/>
      </w:pPr>
      <w:r>
        <w:rPr/>
        <w:t>注册登记，注册资本</w:t>
      </w:r>
      <w:r>
        <w:rPr>
          <w:spacing w:val="-46"/>
        </w:rPr>
        <w:t> </w:t>
      </w:r>
      <w:r>
        <w:rPr>
          <w:rFonts w:ascii="宋体" w:hAnsi="宋体" w:cs="宋体" w:eastAsia="宋体" w:hint="default"/>
        </w:rPr>
        <w:t>1,000</w:t>
      </w:r>
      <w:r>
        <w:rPr>
          <w:rFonts w:ascii="宋体" w:hAnsi="宋体" w:cs="宋体" w:eastAsia="宋体" w:hint="default"/>
          <w:spacing w:val="-45"/>
        </w:rPr>
        <w:t> </w:t>
      </w:r>
      <w:r>
        <w:rPr/>
        <w:t>万元，天喻教育出资比例为</w:t>
      </w:r>
      <w:r>
        <w:rPr>
          <w:spacing w:val="-46"/>
        </w:rPr>
        <w:t> </w:t>
      </w:r>
      <w:r>
        <w:rPr>
          <w:rFonts w:ascii="宋体" w:hAnsi="宋体" w:cs="宋体" w:eastAsia="宋体" w:hint="default"/>
        </w:rPr>
        <w:t>25%</w:t>
      </w:r>
      <w:r>
        <w:rPr/>
        <w:t>。截至目前，公司实缴出资</w:t>
      </w:r>
      <w:r>
        <w:rPr>
          <w:spacing w:val="-46"/>
        </w:rPr>
        <w:t> </w:t>
      </w:r>
      <w:r>
        <w:rPr>
          <w:rFonts w:ascii="宋体" w:hAnsi="宋体" w:cs="宋体" w:eastAsia="宋体" w:hint="default"/>
        </w:rPr>
        <w:t>25</w:t>
      </w:r>
      <w:r>
        <w:rPr>
          <w:rFonts w:ascii="宋体" w:hAnsi="宋体" w:cs="宋体" w:eastAsia="宋体" w:hint="default"/>
          <w:spacing w:val="-46"/>
        </w:rPr>
        <w:t> </w:t>
      </w:r>
      <w:r>
        <w:rPr/>
        <w:t>万元。</w:t>
      </w:r>
    </w:p>
    <w:p>
      <w:pPr>
        <w:pStyle w:val="BodyText"/>
        <w:spacing w:line="240" w:lineRule="auto" w:before="115"/>
        <w:ind w:left="1493" w:right="0"/>
        <w:jc w:val="left"/>
      </w:pPr>
      <w:r>
        <w:rPr/>
        <w:t>公司子公司天喻教育以现金</w:t>
      </w:r>
      <w:r>
        <w:rPr>
          <w:spacing w:val="-46"/>
        </w:rPr>
        <w:t> </w:t>
      </w:r>
      <w:r>
        <w:rPr>
          <w:rFonts w:ascii="宋体" w:hAnsi="宋体" w:cs="宋体" w:eastAsia="宋体" w:hint="default"/>
        </w:rPr>
        <w:t>650</w:t>
      </w:r>
      <w:r>
        <w:rPr>
          <w:rFonts w:ascii="宋体" w:hAnsi="宋体" w:cs="宋体" w:eastAsia="宋体" w:hint="default"/>
          <w:spacing w:val="-46"/>
        </w:rPr>
        <w:t> </w:t>
      </w:r>
      <w:r>
        <w:rPr/>
        <w:t>万元与武汉开喜科技有限公司共同投资设立贵州天喻通慧教育科技有限公司</w:t>
      </w:r>
      <w:r>
        <w:rPr>
          <w:spacing w:val="-82"/>
        </w:rPr>
        <w:t>，</w:t>
      </w:r>
      <w:r>
        <w:rPr/>
        <w:t>主要从事</w:t>
      </w:r>
    </w:p>
    <w:p>
      <w:pPr>
        <w:pStyle w:val="BodyText"/>
        <w:spacing w:line="319" w:lineRule="auto" w:before="76"/>
        <w:ind w:left="1133" w:right="1132"/>
        <w:jc w:val="both"/>
      </w:pPr>
      <w:r>
        <w:rPr/>
        <w:t>贵州地区智慧教育产品的销售及运营服务。贵州天喻通慧教育科技有限公司于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14</w:t>
      </w:r>
      <w:r>
        <w:rPr>
          <w:rFonts w:ascii="宋体" w:hAnsi="宋体" w:cs="宋体" w:eastAsia="宋体" w:hint="default"/>
          <w:spacing w:val="-45"/>
        </w:rPr>
        <w:t> </w:t>
      </w:r>
      <w:r>
        <w:rPr/>
        <w:t>日完成工商注册登记，注册 资本</w:t>
      </w:r>
      <w:r>
        <w:rPr>
          <w:spacing w:val="-46"/>
        </w:rPr>
        <w:t> </w:t>
      </w:r>
      <w:r>
        <w:rPr>
          <w:rFonts w:ascii="宋体" w:hAnsi="宋体" w:cs="宋体" w:eastAsia="宋体" w:hint="default"/>
        </w:rPr>
        <w:t>1,000</w:t>
      </w:r>
      <w:r>
        <w:rPr>
          <w:rFonts w:ascii="宋体" w:hAnsi="宋体" w:cs="宋体" w:eastAsia="宋体" w:hint="default"/>
          <w:spacing w:val="-46"/>
        </w:rPr>
        <w:t> </w:t>
      </w:r>
      <w:r>
        <w:rPr/>
        <w:t>万元，天喻教育出资比例为</w:t>
      </w:r>
      <w:r>
        <w:rPr>
          <w:spacing w:val="-46"/>
        </w:rPr>
        <w:t> </w:t>
      </w:r>
      <w:r>
        <w:rPr>
          <w:rFonts w:ascii="宋体" w:hAnsi="宋体" w:cs="宋体" w:eastAsia="宋体" w:hint="default"/>
        </w:rPr>
        <w:t>65%</w:t>
      </w:r>
      <w:r>
        <w:rPr/>
        <w:t>。截至目前，股东尚未实缴出资。</w:t>
      </w:r>
    </w:p>
    <w:p>
      <w:pPr>
        <w:pStyle w:val="BodyText"/>
        <w:spacing w:line="240" w:lineRule="auto" w:before="55"/>
        <w:ind w:left="1493" w:right="0"/>
        <w:jc w:val="left"/>
      </w:pPr>
      <w:r>
        <w:rPr/>
        <w:t>公司子公司天喻教育以现金</w:t>
      </w:r>
      <w:r>
        <w:rPr>
          <w:spacing w:val="-41"/>
        </w:rPr>
        <w:t> </w:t>
      </w:r>
      <w:r>
        <w:rPr>
          <w:rFonts w:ascii="宋体" w:hAnsi="宋体" w:cs="宋体" w:eastAsia="宋体" w:hint="default"/>
        </w:rPr>
        <w:t>51</w:t>
      </w:r>
      <w:r>
        <w:rPr>
          <w:rFonts w:ascii="宋体" w:hAnsi="宋体" w:cs="宋体" w:eastAsia="宋体" w:hint="default"/>
          <w:spacing w:val="-41"/>
        </w:rPr>
        <w:t> </w:t>
      </w:r>
      <w:r>
        <w:rPr/>
        <w:t>万元与自然人沈惠强共同投资设立上海天喻云企业发展有限公司，主要从事上海地区智</w:t>
      </w:r>
    </w:p>
    <w:p>
      <w:pPr>
        <w:pStyle w:val="BodyText"/>
        <w:spacing w:line="319" w:lineRule="auto" w:before="76"/>
        <w:ind w:left="1133" w:right="1042"/>
        <w:jc w:val="both"/>
      </w:pPr>
      <w:r>
        <w:rPr/>
        <w:t>慧教育产品的销售及运营服务。上海天喻云企业发展有限公司于</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日完成工商注册登记，注册资本</w:t>
      </w:r>
      <w:r>
        <w:rPr>
          <w:spacing w:val="-44"/>
        </w:rPr>
        <w:t> </w:t>
      </w:r>
      <w:r>
        <w:rPr>
          <w:rFonts w:ascii="宋体" w:hAnsi="宋体" w:cs="宋体" w:eastAsia="宋体" w:hint="default"/>
        </w:rPr>
        <w:t>100</w:t>
      </w:r>
      <w:r>
        <w:rPr>
          <w:rFonts w:ascii="宋体" w:hAnsi="宋体" w:cs="宋体" w:eastAsia="宋体" w:hint="default"/>
          <w:spacing w:val="-45"/>
        </w:rPr>
        <w:t> </w:t>
      </w:r>
      <w:r>
        <w:rPr/>
        <w:t>万元， 天喻教育出资比例为</w:t>
      </w:r>
      <w:r>
        <w:rPr>
          <w:spacing w:val="-46"/>
        </w:rPr>
        <w:t> </w:t>
      </w:r>
      <w:r>
        <w:rPr>
          <w:rFonts w:ascii="宋体" w:hAnsi="宋体" w:cs="宋体" w:eastAsia="宋体" w:hint="default"/>
        </w:rPr>
        <w:t>51%</w:t>
      </w:r>
      <w:r>
        <w:rPr/>
        <w:t>。截至目前，股东尚未实缴出资。</w:t>
      </w:r>
    </w:p>
    <w:p>
      <w:pPr>
        <w:spacing w:after="0" w:line="319" w:lineRule="auto"/>
        <w:jc w:val="both"/>
        <w:sectPr>
          <w:pgSz w:w="11910" w:h="16840"/>
          <w:pgMar w:header="877" w:footer="979" w:top="110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429"/>
        <w:jc w:val="left"/>
        <w:rPr>
          <w:b w:val="0"/>
          <w:bCs w:val="0"/>
        </w:rPr>
      </w:pPr>
      <w:bookmarkStart w:name="2、报告期内获取的重大的股权投资情况" w:id="46"/>
      <w:bookmarkEnd w:id="46"/>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40" w:right="1429"/>
        <w:jc w:val="left"/>
      </w:pPr>
      <w:r>
        <w:rPr/>
        <w:t>√ 适用 □ 不适用</w:t>
      </w:r>
    </w:p>
    <w:p>
      <w:pPr>
        <w:pStyle w:val="BodyText"/>
        <w:spacing w:line="240" w:lineRule="auto" w:before="116"/>
        <w:ind w:left="0" w:right="1535"/>
        <w:jc w:val="right"/>
      </w:pPr>
      <w:r>
        <w:rPr/>
        <w:t>单位：元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361"/>
        <w:gridCol w:w="1361"/>
        <w:gridCol w:w="568"/>
        <w:gridCol w:w="1361"/>
        <w:gridCol w:w="850"/>
        <w:gridCol w:w="851"/>
        <w:gridCol w:w="1418"/>
        <w:gridCol w:w="793"/>
        <w:gridCol w:w="568"/>
        <w:gridCol w:w="566"/>
        <w:gridCol w:w="739"/>
        <w:gridCol w:w="568"/>
        <w:gridCol w:w="1076"/>
        <w:gridCol w:w="1929"/>
      </w:tblGrid>
      <w:tr>
        <w:trPr>
          <w:trHeight w:val="71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被投资公司名称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张家口喻智教育 科技合伙企业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both"/>
              <w:rPr>
                <w:rFonts w:ascii="宋体" w:hAnsi="宋体" w:cs="宋体" w:eastAsia="宋体" w:hint="default"/>
                <w:sz w:val="18"/>
                <w:szCs w:val="18"/>
              </w:rPr>
            </w:pPr>
            <w:r>
              <w:rPr>
                <w:rFonts w:ascii="宋体" w:hAnsi="宋体" w:cs="宋体" w:eastAsia="宋体" w:hint="default"/>
                <w:sz w:val="18"/>
                <w:szCs w:val="18"/>
              </w:rPr>
              <w:t>投资张家口市为 主的河北省及全 国的教育信息化 </w:t>
            </w:r>
            <w:r>
              <w:rPr>
                <w:rFonts w:ascii="宋体" w:hAnsi="宋体" w:cs="宋体" w:eastAsia="宋体" w:hint="default"/>
                <w:sz w:val="18"/>
                <w:szCs w:val="18"/>
              </w:rPr>
              <w:t>PPP</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8" w:right="0"/>
              <w:jc w:val="left"/>
              <w:rPr>
                <w:rFonts w:ascii="宋体" w:hAnsi="宋体" w:cs="宋体" w:eastAsia="宋体" w:hint="default"/>
                <w:sz w:val="18"/>
                <w:szCs w:val="18"/>
              </w:rPr>
            </w:pPr>
            <w:r>
              <w:rPr>
                <w:rFonts w:ascii="宋体"/>
                <w:sz w:val="18"/>
              </w:rPr>
              <w:t>100,000,000.00</w:t>
            </w:r>
          </w:p>
          <w:p>
            <w:pPr>
              <w:pStyle w:val="TableParagraph"/>
              <w:spacing w:line="240" w:lineRule="auto" w:before="117"/>
              <w:ind w:left="135" w:right="0"/>
              <w:jc w:val="left"/>
              <w:rPr>
                <w:rFonts w:ascii="宋体" w:hAnsi="宋体" w:cs="宋体" w:eastAsia="宋体" w:hint="default"/>
                <w:sz w:val="18"/>
                <w:szCs w:val="18"/>
              </w:rPr>
            </w:pPr>
            <w:r>
              <w:rPr>
                <w:rFonts w:ascii="宋体" w:hAnsi="宋体" w:cs="宋体" w:eastAsia="宋体" w:hint="default"/>
                <w:sz w:val="18"/>
                <w:szCs w:val="18"/>
              </w:rPr>
              <w:t>（尚未出资）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49.50%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慧云科技股份有 </w:t>
            </w:r>
            <w:r>
              <w:rPr>
                <w:rFonts w:ascii="宋体" w:hAnsi="宋体" w:cs="宋体" w:eastAsia="宋体" w:hint="default"/>
                <w:spacing w:val="-10"/>
                <w:sz w:val="18"/>
                <w:szCs w:val="18"/>
              </w:rPr>
              <w:t>限公司、张家口丰</w:t>
            </w:r>
            <w:r>
              <w:rPr>
                <w:rFonts w:ascii="宋体" w:hAnsi="宋体" w:cs="宋体" w:eastAsia="宋体" w:hint="default"/>
                <w:sz w:val="18"/>
                <w:szCs w:val="18"/>
              </w:rPr>
              <w:t> 泰股权投资基金 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《关于参与投资设立张 家口教育信息化</w:t>
            </w:r>
            <w:r>
              <w:rPr>
                <w:rFonts w:ascii="宋体" w:hAnsi="宋体" w:cs="宋体" w:eastAsia="宋体" w:hint="default"/>
                <w:spacing w:val="-46"/>
                <w:sz w:val="18"/>
                <w:szCs w:val="18"/>
              </w:rPr>
              <w:t> </w:t>
            </w:r>
            <w:r>
              <w:rPr>
                <w:rFonts w:ascii="宋体" w:hAnsi="宋体" w:cs="宋体" w:eastAsia="宋体" w:hint="default"/>
                <w:sz w:val="18"/>
                <w:szCs w:val="18"/>
              </w:rPr>
              <w:t>PPP</w:t>
            </w:r>
            <w:r>
              <w:rPr>
                <w:rFonts w:ascii="宋体" w:hAnsi="宋体" w:cs="宋体" w:eastAsia="宋体" w:hint="default"/>
                <w:spacing w:val="-46"/>
                <w:sz w:val="18"/>
                <w:szCs w:val="18"/>
              </w:rPr>
              <w:t> </w:t>
            </w:r>
            <w:r>
              <w:rPr>
                <w:rFonts w:ascii="宋体" w:hAnsi="宋体" w:cs="宋体" w:eastAsia="宋体" w:hint="default"/>
                <w:sz w:val="18"/>
                <w:szCs w:val="18"/>
              </w:rPr>
              <w:t>项 </w:t>
            </w:r>
            <w:r>
              <w:rPr>
                <w:rFonts w:ascii="宋体" w:hAnsi="宋体" w:cs="宋体" w:eastAsia="宋体" w:hint="default"/>
                <w:spacing w:val="-10"/>
                <w:sz w:val="18"/>
                <w:szCs w:val="18"/>
              </w:rPr>
              <w:t>目产业基金的公告》（公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z w:val="18"/>
                <w:szCs w:val="18"/>
              </w:rPr>
              <w:t>2017-045</w:t>
            </w:r>
            <w:r>
              <w:rPr>
                <w:rFonts w:ascii="宋体" w:hAnsi="宋体" w:cs="宋体" w:eastAsia="宋体" w:hint="default"/>
                <w:sz w:val="18"/>
                <w:szCs w:val="18"/>
              </w:rPr>
              <w:t>）</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宋体" w:hAnsi="宋体" w:cs="宋体" w:eastAsia="宋体" w:hint="default"/>
                <w:sz w:val="18"/>
                <w:szCs w:val="18"/>
              </w:rPr>
            </w:pPr>
            <w:r>
              <w:rPr>
                <w:rFonts w:ascii="宋体"/>
                <w:sz w:val="18"/>
              </w:rPr>
              <w:t>100,000,000.00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40" w:right="1429"/>
        <w:jc w:val="left"/>
        <w:rPr>
          <w:b w:val="0"/>
          <w:bCs w:val="0"/>
        </w:rPr>
      </w:pPr>
      <w:bookmarkStart w:name="3、报告期内正在进行的重大的非股权投资情况" w:id="47"/>
      <w:bookmarkEnd w:id="47"/>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 w:right="142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40" w:right="1429"/>
        <w:jc w:val="left"/>
        <w:rPr>
          <w:b w:val="0"/>
          <w:bCs w:val="0"/>
        </w:rPr>
      </w:pPr>
      <w:bookmarkStart w:name="4、以公允价值计量的金融资产" w:id="48"/>
      <w:bookmarkEnd w:id="48"/>
      <w:r>
        <w:rPr>
          <w:b w:val="0"/>
          <w:bCs w:val="0"/>
        </w:rPr>
      </w:r>
      <w:r>
        <w:rPr>
          <w:rFonts w:ascii="宋体" w:hAnsi="宋体" w:cs="宋体" w:eastAsia="宋体" w:hint="default"/>
        </w:rPr>
        <w:t>4</w:t>
      </w:r>
      <w:r>
        <w:rPr/>
        <w:t>、以公允价值计量的金融资产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40" w:right="1429"/>
        <w:jc w:val="left"/>
      </w:pPr>
      <w:r>
        <w:rPr/>
        <w:t>√ 适用 □ 不适用</w:t>
      </w:r>
    </w:p>
    <w:p>
      <w:pPr>
        <w:pStyle w:val="BodyText"/>
        <w:spacing w:line="240" w:lineRule="auto" w:before="117"/>
        <w:ind w:left="0" w:right="1535"/>
        <w:jc w:val="right"/>
      </w:pPr>
      <w:r>
        <w:rPr/>
        <w:t>单位：元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907"/>
        <w:gridCol w:w="1361"/>
        <w:gridCol w:w="1871"/>
        <w:gridCol w:w="2438"/>
        <w:gridCol w:w="1532"/>
        <w:gridCol w:w="1586"/>
        <w:gridCol w:w="1247"/>
        <w:gridCol w:w="1417"/>
        <w:gridCol w:w="1654"/>
      </w:tblGrid>
      <w:tr>
        <w:trPr>
          <w:trHeight w:val="402"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本期公允价值变动损益</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计入权益的累计公允价值变动</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宋体" w:hAnsi="宋体" w:cs="宋体" w:eastAsia="宋体" w:hint="default"/>
                <w:sz w:val="18"/>
                <w:szCs w:val="18"/>
              </w:rPr>
            </w:pPr>
            <w:r>
              <w:rPr>
                <w:rFonts w:ascii="宋体"/>
                <w:sz w:val="18"/>
              </w:rPr>
              <w:t>13,532,000.00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135,342,906.40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762,720.00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148,874,906.40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3"/>
                <w:sz w:val="18"/>
                <w:szCs w:val="18"/>
              </w:rPr>
              <w:t>自有资金、股权置换</w:t>
            </w:r>
          </w:p>
        </w:tc>
      </w:tr>
      <w:tr>
        <w:trPr>
          <w:trHeight w:val="402"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宋体" w:hAnsi="宋体" w:cs="宋体" w:eastAsia="宋体" w:hint="default"/>
                <w:sz w:val="18"/>
                <w:szCs w:val="18"/>
              </w:rPr>
            </w:pPr>
            <w:r>
              <w:rPr>
                <w:rFonts w:ascii="宋体"/>
                <w:sz w:val="18"/>
              </w:rPr>
              <w:t>13,532,000.00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135,342,906.40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762,720.00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148,874,906.40</w:t>
            </w:r>
          </w:p>
        </w:tc>
        <w:tc>
          <w:tcPr>
            <w:tcW w:w="16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40" w:right="1429"/>
        <w:jc w:val="left"/>
        <w:rPr>
          <w:b w:val="0"/>
          <w:bCs w:val="0"/>
        </w:rPr>
      </w:pPr>
      <w:bookmarkStart w:name="5、募集资金使用情况" w:id="49"/>
      <w:bookmarkEnd w:id="49"/>
      <w:r>
        <w:rPr>
          <w:b w:val="0"/>
          <w:bCs w:val="0"/>
        </w:rPr>
      </w:r>
      <w:r>
        <w:rPr>
          <w:rFonts w:ascii="宋体" w:hAnsi="宋体" w:cs="宋体" w:eastAsia="宋体" w:hint="default"/>
        </w:rPr>
        <w:t>5</w:t>
      </w:r>
      <w:r>
        <w:rPr/>
        <w:t>、募集资金使用情况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00" w:right="12318" w:hanging="360"/>
        <w:jc w:val="left"/>
      </w:pPr>
      <w:r>
        <w:rPr/>
        <w:t>□ 适用 √ 不适用 公司报告期无募集资金使用情况。</w:t>
      </w:r>
    </w:p>
    <w:p>
      <w:pPr>
        <w:spacing w:after="0" w:line="360" w:lineRule="auto"/>
        <w:jc w:val="left"/>
        <w:sectPr>
          <w:headerReference w:type="default" r:id="rId14"/>
          <w:footerReference w:type="default" r:id="rId15"/>
          <w:pgSz w:w="16840" w:h="11910" w:orient="landscape"/>
          <w:pgMar w:header="867" w:footer="979" w:top="1060" w:bottom="1160" w:left="1300" w:right="0"/>
          <w:pgNumType w:start="19"/>
        </w:sectPr>
      </w:pPr>
    </w:p>
    <w:p>
      <w:pPr>
        <w:pStyle w:val="Heading2"/>
        <w:spacing w:line="240" w:lineRule="auto" w:before="29"/>
        <w:ind w:left="340" w:right="0"/>
        <w:jc w:val="left"/>
        <w:rPr>
          <w:b w:val="0"/>
          <w:bCs w:val="0"/>
        </w:rPr>
      </w:pPr>
      <w:r>
        <w:rPr/>
        <w:pict>
          <v:group style="position:absolute;margin-left:70.5pt;margin-top:2.265625pt;width:701pt;height:.1pt;mso-position-horizontal-relative:page;mso-position-vertical-relative:paragraph;z-index:-795640"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六、重大资产和股权出售" w:id="50"/>
      <w:bookmarkEnd w:id="50"/>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40" w:right="0"/>
        <w:jc w:val="left"/>
        <w:rPr>
          <w:b w:val="0"/>
          <w:bCs w:val="0"/>
        </w:rPr>
      </w:pPr>
      <w:bookmarkStart w:name="1、出售重大资产情况" w:id="51"/>
      <w:bookmarkEnd w:id="51"/>
      <w:r>
        <w:rPr>
          <w:b w:val="0"/>
          <w:bCs w:val="0"/>
        </w:rPr>
      </w:r>
      <w:r>
        <w:rPr>
          <w:rFonts w:ascii="宋体" w:hAnsi="宋体" w:cs="宋体" w:eastAsia="宋体" w:hint="default"/>
        </w:rPr>
        <w:t>1</w:t>
      </w:r>
      <w:r>
        <w:rPr/>
        <w:t>、出售重大资产情况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40"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1"/>
        <w:gridCol w:w="964"/>
        <w:gridCol w:w="850"/>
        <w:gridCol w:w="641"/>
        <w:gridCol w:w="1020"/>
        <w:gridCol w:w="1020"/>
        <w:gridCol w:w="964"/>
        <w:gridCol w:w="850"/>
        <w:gridCol w:w="639"/>
        <w:gridCol w:w="518"/>
        <w:gridCol w:w="1238"/>
        <w:gridCol w:w="638"/>
        <w:gridCol w:w="1384"/>
        <w:gridCol w:w="1134"/>
        <w:gridCol w:w="1719"/>
      </w:tblGrid>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4" w:right="44"/>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firstLine="31"/>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w:t>
            </w:r>
            <w:r>
              <w:rPr>
                <w:rFonts w:ascii="宋体" w:hAnsi="宋体" w:cs="宋体" w:eastAsia="宋体" w:hint="default"/>
                <w:spacing w:val="-6"/>
                <w:sz w:val="18"/>
                <w:szCs w:val="18"/>
              </w:rPr>
              <w:t>利润（万元</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3" w:right="54"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25"/>
              <w:jc w:val="both"/>
              <w:rPr>
                <w:rFonts w:ascii="宋体" w:hAnsi="宋体" w:cs="宋体" w:eastAsia="宋体" w:hint="default"/>
                <w:sz w:val="18"/>
                <w:szCs w:val="18"/>
              </w:rPr>
            </w:pPr>
            <w:r>
              <w:rPr>
                <w:rFonts w:ascii="宋体" w:hAnsi="宋体" w:cs="宋体" w:eastAsia="宋体" w:hint="default"/>
                <w:sz w:val="18"/>
                <w:szCs w:val="18"/>
              </w:rPr>
              <w:t>资产出售为 上市公司贡 献的净利润 占净利润总 额的比例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4" w:right="72"/>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4" w:right="72"/>
              <w:jc w:val="center"/>
              <w:rPr>
                <w:rFonts w:ascii="宋体" w:hAnsi="宋体" w:cs="宋体" w:eastAsia="宋体" w:hint="default"/>
                <w:sz w:val="18"/>
                <w:szCs w:val="18"/>
              </w:rPr>
            </w:pPr>
            <w:r>
              <w:rPr>
                <w:rFonts w:ascii="宋体" w:hAnsi="宋体" w:cs="宋体" w:eastAsia="宋体" w:hint="default"/>
                <w:sz w:val="18"/>
                <w:szCs w:val="18"/>
              </w:rPr>
              <w:t>所涉及的资产 产权是否已全 部过户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 w:right="4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6" w:right="55"/>
              <w:jc w:val="center"/>
              <w:rPr>
                <w:rFonts w:ascii="宋体" w:hAnsi="宋体" w:cs="宋体" w:eastAsia="宋体" w:hint="default"/>
                <w:sz w:val="18"/>
                <w:szCs w:val="18"/>
              </w:rPr>
            </w:pPr>
            <w:r>
              <w:rPr>
                <w:rFonts w:ascii="宋体" w:hAnsi="宋体" w:cs="宋体" w:eastAsia="宋体" w:hint="default"/>
                <w:sz w:val="18"/>
                <w:szCs w:val="18"/>
              </w:rPr>
              <w:t>是否按计划如期 实施，如未按计 划实施，应当说 明原因及公司已 采取的措施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w:t>
            </w:r>
            <w:r>
              <w:rPr>
                <w:rFonts w:ascii="宋体" w:hAnsi="宋体" w:cs="宋体" w:eastAsia="宋体" w:hint="default"/>
                <w:sz w:val="18"/>
                <w:szCs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507-101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150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增加公司净 利润</w:t>
            </w:r>
            <w:r>
              <w:rPr>
                <w:rFonts w:ascii="宋体" w:hAnsi="宋体" w:cs="宋体" w:eastAsia="宋体" w:hint="default"/>
                <w:spacing w:val="-46"/>
                <w:sz w:val="18"/>
                <w:szCs w:val="18"/>
              </w:rPr>
              <w:t> </w:t>
            </w:r>
            <w:r>
              <w:rPr>
                <w:rFonts w:ascii="宋体" w:hAnsi="宋体" w:cs="宋体" w:eastAsia="宋体" w:hint="default"/>
                <w:sz w:val="18"/>
                <w:szCs w:val="18"/>
              </w:rPr>
              <w:t>124.81</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18"/>
                <w:szCs w:val="18"/>
              </w:rPr>
            </w:pPr>
            <w:r>
              <w:rPr>
                <w:rFonts w:ascii="宋体"/>
                <w:sz w:val="18"/>
              </w:rPr>
              <w:t>10.88%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市场公允 价格且不 低于资产 评估价格</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9" w:lineRule="auto" w:before="75"/>
              <w:ind w:left="23" w:right="23"/>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日完成 过户）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《关于继续出售紫菘 </w:t>
            </w:r>
            <w:r>
              <w:rPr>
                <w:rFonts w:ascii="宋体" w:hAnsi="宋体" w:cs="宋体" w:eastAsia="宋体" w:hint="default"/>
                <w:spacing w:val="-14"/>
                <w:sz w:val="18"/>
                <w:szCs w:val="18"/>
              </w:rPr>
              <w:t>花园房产的公告》（公</w:t>
            </w:r>
            <w:r>
              <w:rPr>
                <w:rFonts w:ascii="宋体" w:hAnsi="宋体" w:cs="宋体" w:eastAsia="宋体" w:hint="default"/>
                <w:sz w:val="18"/>
                <w:szCs w:val="18"/>
              </w:rPr>
              <w:t> 告编号：</w:t>
            </w:r>
            <w:r>
              <w:rPr>
                <w:rFonts w:ascii="宋体" w:hAnsi="宋体" w:cs="宋体" w:eastAsia="宋体" w:hint="default"/>
                <w:sz w:val="18"/>
                <w:szCs w:val="18"/>
              </w:rPr>
              <w:t>2017-054</w:t>
            </w:r>
            <w:r>
              <w:rPr>
                <w:rFonts w:ascii="宋体" w:hAnsi="宋体" w:cs="宋体" w:eastAsia="宋体" w:hint="default"/>
                <w:sz w:val="18"/>
                <w:szCs w:val="18"/>
              </w:rPr>
              <w:t>）</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w:t>
            </w:r>
            <w:r>
              <w:rPr>
                <w:rFonts w:ascii="宋体" w:hAnsi="宋体" w:cs="宋体" w:eastAsia="宋体" w:hint="default"/>
                <w:sz w:val="18"/>
                <w:szCs w:val="18"/>
              </w:rPr>
              <w:t>**</w:t>
            </w:r>
            <w:r>
              <w:rPr>
                <w:rFonts w:ascii="宋体" w:hAnsi="宋体" w:cs="宋体" w:eastAsia="宋体" w:hint="default"/>
                <w:sz w:val="18"/>
                <w:szCs w:val="18"/>
              </w:rPr>
              <w:t>、甘</w:t>
            </w:r>
          </w:p>
          <w:p>
            <w:pPr>
              <w:pStyle w:val="TableParagraph"/>
              <w:spacing w:line="240" w:lineRule="auto" w:before="76"/>
              <w:ind w:left="22" w:right="0"/>
              <w:jc w:val="left"/>
              <w:rPr>
                <w:rFonts w:ascii="宋体" w:hAnsi="宋体" w:cs="宋体" w:eastAsia="宋体" w:hint="default"/>
                <w:sz w:val="18"/>
                <w:szCs w:val="18"/>
              </w:rPr>
            </w:pPr>
            <w:r>
              <w:rPr>
                <w:rFonts w:ascii="宋体"/>
                <w:sz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507-202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164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市场公允 价格且不 低于资产 评估价格</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9" w:lineRule="auto" w:before="75"/>
              <w:ind w:left="23" w:right="7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日完成 过户）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《关于继续出售紫菘 </w:t>
            </w:r>
            <w:r>
              <w:rPr>
                <w:rFonts w:ascii="宋体" w:hAnsi="宋体" w:cs="宋体" w:eastAsia="宋体" w:hint="default"/>
                <w:spacing w:val="-14"/>
                <w:sz w:val="18"/>
                <w:szCs w:val="18"/>
              </w:rPr>
              <w:t>花园房产的公告》（公</w:t>
            </w:r>
            <w:r>
              <w:rPr>
                <w:rFonts w:ascii="宋体" w:hAnsi="宋体" w:cs="宋体" w:eastAsia="宋体" w:hint="default"/>
                <w:sz w:val="18"/>
                <w:szCs w:val="18"/>
              </w:rPr>
              <w:t> 告编号：</w:t>
            </w:r>
            <w:r>
              <w:rPr>
                <w:rFonts w:ascii="宋体" w:hAnsi="宋体" w:cs="宋体" w:eastAsia="宋体" w:hint="default"/>
                <w:sz w:val="18"/>
                <w:szCs w:val="18"/>
              </w:rPr>
              <w:t>2017-054</w:t>
            </w:r>
            <w:r>
              <w:rPr>
                <w:rFonts w:ascii="宋体" w:hAnsi="宋体" w:cs="宋体" w:eastAsia="宋体" w:hint="default"/>
                <w:sz w:val="18"/>
                <w:szCs w:val="18"/>
              </w:rPr>
              <w:t>）</w:t>
            </w:r>
          </w:p>
        </w:tc>
      </w:tr>
      <w:tr>
        <w:trPr>
          <w:trHeight w:val="1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w:t>
            </w:r>
            <w:r>
              <w:rPr>
                <w:rFonts w:ascii="宋体" w:hAnsi="宋体" w:cs="宋体" w:eastAsia="宋体" w:hint="default"/>
                <w:sz w:val="18"/>
                <w:szCs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紫菘花园房 产</w:t>
            </w:r>
            <w:r>
              <w:rPr>
                <w:rFonts w:ascii="宋体" w:hAnsi="宋体" w:cs="宋体" w:eastAsia="宋体" w:hint="default"/>
                <w:spacing w:val="-46"/>
                <w:sz w:val="18"/>
                <w:szCs w:val="18"/>
              </w:rPr>
              <w:t> </w:t>
            </w:r>
            <w:r>
              <w:rPr>
                <w:rFonts w:ascii="宋体" w:hAnsi="宋体" w:cs="宋体" w:eastAsia="宋体" w:hint="default"/>
                <w:sz w:val="18"/>
                <w:szCs w:val="18"/>
              </w:rPr>
              <w:t>507-102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149.9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市场公允 价格且不 低于资产 评估价格</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9" w:lineRule="auto" w:before="75"/>
              <w:ind w:left="23" w:right="7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日完成 过户）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340" w:right="0"/>
        <w:jc w:val="left"/>
        <w:rPr>
          <w:b w:val="0"/>
          <w:bCs w:val="0"/>
        </w:rPr>
      </w:pPr>
      <w:bookmarkStart w:name="2、出售重大股权情况" w:id="52"/>
      <w:bookmarkEnd w:id="52"/>
      <w:r>
        <w:rPr>
          <w:b w:val="0"/>
          <w:bCs w:val="0"/>
        </w:rPr>
      </w:r>
      <w:r>
        <w:rPr>
          <w:rFonts w:ascii="宋体" w:hAnsi="宋体" w:cs="宋体" w:eastAsia="宋体" w:hint="default"/>
        </w:rPr>
        <w:t>2</w:t>
      </w:r>
      <w:r>
        <w:rPr/>
        <w:t>、出售重大股权情况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40" w:right="0"/>
        <w:jc w:val="left"/>
      </w:pPr>
      <w:r>
        <w:rPr/>
        <w:t>□ 适用 √ 不适用</w:t>
      </w:r>
    </w:p>
    <w:p>
      <w:pPr>
        <w:spacing w:after="0" w:line="240" w:lineRule="auto"/>
        <w:jc w:val="left"/>
        <w:sectPr>
          <w:pgSz w:w="16840" w:h="11910" w:orient="landscape"/>
          <w:pgMar w:header="867" w:footer="979" w:top="1060" w:bottom="1160" w:left="1100" w:right="0"/>
        </w:sectPr>
      </w:pPr>
    </w:p>
    <w:p>
      <w:pPr>
        <w:pStyle w:val="Heading2"/>
        <w:spacing w:line="240" w:lineRule="auto" w:before="29"/>
        <w:ind w:left="140" w:right="1429"/>
        <w:jc w:val="left"/>
        <w:rPr>
          <w:b w:val="0"/>
          <w:bCs w:val="0"/>
        </w:rPr>
      </w:pPr>
      <w:r>
        <w:rPr/>
        <w:pict>
          <v:group style="position:absolute;margin-left:70.5pt;margin-top:2.265625pt;width:701pt;height:.1pt;mso-position-horizontal-relative:page;mso-position-vertical-relative:paragraph;z-index:-79561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七、主要控股参股公司分析" w:id="53"/>
      <w:bookmarkEnd w:id="53"/>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1429"/>
        <w:jc w:val="left"/>
      </w:pPr>
      <w:r>
        <w:rPr/>
        <w:t>√ 适用 □ 不适用</w:t>
      </w:r>
    </w:p>
    <w:p>
      <w:pPr>
        <w:spacing w:line="240" w:lineRule="auto" w:before="7"/>
        <w:rPr>
          <w:rFonts w:ascii="宋体" w:hAnsi="宋体" w:cs="宋体" w:eastAsia="宋体" w:hint="default"/>
          <w:sz w:val="11"/>
          <w:szCs w:val="11"/>
        </w:rPr>
      </w:pPr>
    </w:p>
    <w:p>
      <w:pPr>
        <w:pStyle w:val="BodyText"/>
        <w:spacing w:line="240" w:lineRule="auto" w:before="44"/>
        <w:ind w:left="140" w:right="1429"/>
        <w:jc w:val="left"/>
      </w:pPr>
      <w:r>
        <w:rPr/>
        <w:t>主要子公司及对公司净利润影响达</w:t>
      </w:r>
      <w:r>
        <w:rPr>
          <w:spacing w:val="-46"/>
        </w:rPr>
        <w:t> </w:t>
      </w:r>
      <w:r>
        <w:rPr>
          <w:rFonts w:ascii="宋体" w:hAnsi="宋体" w:cs="宋体" w:eastAsia="宋体" w:hint="default"/>
        </w:rPr>
        <w:t>10%</w:t>
      </w:r>
      <w:r>
        <w:rPr/>
        <w:t>以上的参股公司情况</w:t>
      </w:r>
    </w:p>
    <w:p>
      <w:pPr>
        <w:pStyle w:val="BodyText"/>
        <w:spacing w:line="240" w:lineRule="auto" w:before="117"/>
        <w:ind w:left="0" w:right="1535"/>
        <w:jc w:val="right"/>
      </w:pPr>
      <w:r>
        <w:rPr/>
        <w:t>单位：元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054"/>
        <w:gridCol w:w="1197"/>
        <w:gridCol w:w="3232"/>
        <w:gridCol w:w="1416"/>
        <w:gridCol w:w="1418"/>
        <w:gridCol w:w="1417"/>
        <w:gridCol w:w="1417"/>
        <w:gridCol w:w="1417"/>
        <w:gridCol w:w="1418"/>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天喻教育</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教育云平台、智慧教学、智慧学习等智慧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教育系列产品的开发、销售及运营服务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99,862,829.43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-114,489,832.61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90,919,231.59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-50,362,920.16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-47,030,879.75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擎动网络</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快消品、物流等行业企业供应链</w:t>
            </w:r>
            <w:r>
              <w:rPr>
                <w:rFonts w:ascii="宋体" w:hAnsi="宋体" w:cs="宋体" w:eastAsia="宋体" w:hint="default"/>
                <w:spacing w:val="-63"/>
                <w:sz w:val="18"/>
                <w:szCs w:val="18"/>
              </w:rPr>
              <w:t> </w:t>
            </w:r>
            <w:r>
              <w:rPr>
                <w:rFonts w:ascii="宋体" w:hAnsi="宋体" w:cs="宋体" w:eastAsia="宋体" w:hint="default"/>
                <w:sz w:val="18"/>
                <w:szCs w:val="18"/>
              </w:rPr>
              <w:t>SaaS+</w:t>
            </w:r>
            <w:r>
              <w:rPr>
                <w:rFonts w:ascii="宋体" w:hAnsi="宋体" w:cs="宋体" w:eastAsia="宋体" w:hint="default"/>
                <w:sz w:val="18"/>
                <w:szCs w:val="18"/>
              </w:rPr>
              <w:t>金 融服务平台的开发及运维、运营服务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16,477,538.53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10,277,939.55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2,456,231.03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-13,763,536.41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-13,696,613.95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湖北百旺</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税控产品的开发、销售及税务服务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38,194,477.46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24,035,338.11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63,752,459.69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9,871,570.21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8,837,689.17</w:t>
            </w:r>
          </w:p>
        </w:tc>
      </w:tr>
    </w:tbl>
    <w:p>
      <w:pPr>
        <w:spacing w:line="240" w:lineRule="auto" w:before="9"/>
        <w:rPr>
          <w:rFonts w:ascii="宋体" w:hAnsi="宋体" w:cs="宋体" w:eastAsia="宋体" w:hint="default"/>
          <w:sz w:val="6"/>
          <w:szCs w:val="6"/>
        </w:rPr>
      </w:pPr>
    </w:p>
    <w:p>
      <w:pPr>
        <w:pStyle w:val="BodyText"/>
        <w:spacing w:line="240" w:lineRule="auto" w:before="44"/>
        <w:ind w:left="140" w:right="1429"/>
        <w:jc w:val="left"/>
      </w:pPr>
      <w:r>
        <w:rPr/>
        <w:t>报告期内取得和处置子公司的情况</w:t>
      </w:r>
    </w:p>
    <w:p>
      <w:pPr>
        <w:pStyle w:val="BodyText"/>
        <w:spacing w:line="240" w:lineRule="auto" w:before="116"/>
        <w:ind w:left="139" w:right="1429"/>
        <w:jc w:val="left"/>
      </w:pPr>
      <w:r>
        <w:rPr/>
        <w:t>√ 适用 □ 不适用</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402"/>
        <w:gridCol w:w="2977"/>
        <w:gridCol w:w="7605"/>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7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上海天喻云企业发展有限公司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天喻教育出资参与设立</w:t>
            </w:r>
          </w:p>
        </w:tc>
        <w:tc>
          <w:tcPr>
            <w:tcW w:w="7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拓展公司智慧教育产品的销售渠道，有利于提升产品销量。</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贵州天喻通慧教育科技有限公司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天喻教育出资参与设立</w:t>
            </w:r>
          </w:p>
        </w:tc>
        <w:tc>
          <w:tcPr>
            <w:tcW w:w="7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拓展公司智慧教育产品的销售渠道，有利于提升产品销量。</w:t>
            </w:r>
          </w:p>
        </w:tc>
      </w:tr>
    </w:tbl>
    <w:p>
      <w:pPr>
        <w:spacing w:line="240" w:lineRule="auto" w:before="9"/>
        <w:rPr>
          <w:rFonts w:ascii="宋体" w:hAnsi="宋体" w:cs="宋体" w:eastAsia="宋体" w:hint="default"/>
          <w:sz w:val="6"/>
          <w:szCs w:val="6"/>
        </w:rPr>
      </w:pPr>
    </w:p>
    <w:p>
      <w:pPr>
        <w:pStyle w:val="BodyText"/>
        <w:spacing w:line="357" w:lineRule="auto" w:before="44"/>
        <w:ind w:left="499" w:right="1429" w:hanging="360"/>
        <w:jc w:val="left"/>
      </w:pPr>
      <w:r>
        <w:rPr/>
        <w:t>主要控股参股公司情况说明 报告期内，公司子公司天喻教育进一步加大智慧教育业务的销售渠道拓展力度，业务覆盖的区域及学校数量持续增加；积极把握政府教育信息化</w:t>
      </w:r>
      <w:r>
        <w:rPr>
          <w:rFonts w:ascii="宋体" w:hAnsi="宋体" w:cs="宋体" w:eastAsia="宋体" w:hint="default"/>
        </w:rPr>
        <w:t>PPP</w:t>
      </w:r>
      <w:r>
        <w:rPr/>
        <w:t>项目的市场机会，努力扩</w:t>
      </w:r>
    </w:p>
    <w:p>
      <w:pPr>
        <w:pStyle w:val="BodyText"/>
        <w:spacing w:line="357" w:lineRule="auto"/>
        <w:ind w:left="499" w:right="1429" w:hanging="360"/>
        <w:jc w:val="left"/>
      </w:pPr>
      <w:r>
        <w:rPr/>
        <w:t>大收入规模，营业收入同比增长。由于该业务仍处于研发及市场投入大而收入规模相对较小的时期，天喻教育仍未实现盈利，但亏损有所收窄。 报告期内，公司子公司擎动网络与中信银行共同推广“信</w:t>
      </w:r>
      <w:r>
        <w:rPr>
          <w:rFonts w:ascii="宋体" w:hAnsi="宋体" w:cs="宋体" w:eastAsia="宋体" w:hint="default"/>
        </w:rPr>
        <w:t>e</w:t>
      </w:r>
      <w:r>
        <w:rPr/>
        <w:t>付”业务，但该业务市场仍未打开，收入规模尚小。 </w:t>
      </w:r>
      <w:r>
        <w:rPr>
          <w:spacing w:val="-2"/>
        </w:rPr>
        <w:t>报告期内，受行业市场规模影响，公司子公司湖北百旺税控盘产品销量同比减少，同时受政策影响产品销售价格同比下降，但湖北百旺积极降低产品成本，努力拓展税控盘服</w:t>
      </w:r>
    </w:p>
    <w:p>
      <w:pPr>
        <w:pStyle w:val="BodyText"/>
        <w:spacing w:line="357" w:lineRule="auto"/>
        <w:ind w:left="500" w:right="8538" w:hanging="360"/>
        <w:jc w:val="left"/>
      </w:pPr>
      <w:r>
        <w:rPr/>
        <w:t>务市场，收取服务费的纳税户数量增加、服务收入同比增长，经营业绩同比相对稳定。 主要子公司经营情况参见“第四节 经营情况讨论与分析</w:t>
      </w:r>
      <w:r>
        <w:rPr>
          <w:rFonts w:ascii="宋体" w:hAnsi="宋体" w:cs="宋体" w:eastAsia="宋体" w:hint="default"/>
        </w:rPr>
        <w:t>/</w:t>
      </w:r>
      <w:r>
        <w:rPr/>
        <w:t>一、概述”。</w:t>
      </w:r>
    </w:p>
    <w:p>
      <w:pPr>
        <w:spacing w:after="0" w:line="357" w:lineRule="auto"/>
        <w:jc w:val="left"/>
        <w:sectPr>
          <w:pgSz w:w="16840" w:h="11910" w:orient="landscape"/>
          <w:pgMar w:header="867" w:footer="979" w:top="1060" w:bottom="1160" w:left="130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行业格局和趋势" w:id="56"/>
      <w:bookmarkEnd w:id="56"/>
      <w:r>
        <w:rPr>
          <w:b w:val="0"/>
          <w:bCs w:val="0"/>
        </w:rPr>
      </w:r>
      <w:r>
        <w:rPr>
          <w:rFonts w:ascii="宋体" w:hAnsi="宋体" w:cs="宋体" w:eastAsia="宋体" w:hint="default"/>
        </w:rPr>
        <w:t>1</w:t>
      </w:r>
      <w:r>
        <w:rPr/>
        <w:t>、行业格局和趋势</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033" w:firstLine="360"/>
        <w:jc w:val="left"/>
      </w:pPr>
      <w:r>
        <w:rPr/>
        <w:t>根据中国人民银行公布的相关数据，截至</w:t>
      </w:r>
      <w:r>
        <w:rPr>
          <w:rFonts w:ascii="宋体" w:hAnsi="宋体" w:cs="宋体" w:eastAsia="宋体" w:hint="default"/>
        </w:rPr>
        <w:t>2017</w:t>
      </w:r>
      <w:r>
        <w:rPr/>
        <w:t>年末，全国银行卡在用发卡数量为</w:t>
      </w:r>
      <w:r>
        <w:rPr>
          <w:rFonts w:ascii="宋体" w:hAnsi="宋体" w:cs="宋体" w:eastAsia="宋体" w:hint="default"/>
        </w:rPr>
        <w:t>66.93</w:t>
      </w:r>
      <w:r>
        <w:rPr/>
        <w:t>亿张，</w:t>
      </w:r>
      <w:r>
        <w:rPr>
          <w:rFonts w:ascii="宋体" w:hAnsi="宋体" w:cs="宋体" w:eastAsia="宋体" w:hint="default"/>
        </w:rPr>
        <w:t>2017</w:t>
      </w:r>
      <w:r>
        <w:rPr/>
        <w:t>年新增</w:t>
      </w:r>
      <w:r>
        <w:rPr>
          <w:rFonts w:ascii="宋体" w:hAnsi="宋体" w:cs="宋体" w:eastAsia="宋体" w:hint="default"/>
        </w:rPr>
        <w:t>5.68</w:t>
      </w:r>
      <w:r>
        <w:rPr/>
        <w:t>亿张，同 比减少</w:t>
      </w:r>
      <w:r>
        <w:rPr>
          <w:rFonts w:ascii="宋体" w:hAnsi="宋体" w:cs="宋体" w:eastAsia="宋体" w:hint="default"/>
        </w:rPr>
        <w:t>1.15</w:t>
      </w:r>
      <w:r>
        <w:rPr/>
        <w:t>亿张。受个人银行账户分类管理政策、产品普及率逐步提高等因素影响，金融</w:t>
      </w:r>
      <w:r>
        <w:rPr>
          <w:rFonts w:ascii="宋体" w:hAnsi="宋体" w:cs="宋体" w:eastAsia="宋体" w:hint="default"/>
        </w:rPr>
        <w:t>IC</w:t>
      </w:r>
      <w:r>
        <w:rPr/>
        <w:t>卡产品市场的增长期已经结束，</w:t>
      </w:r>
      <w:r>
        <w:rPr>
          <w:spacing w:val="-84"/>
        </w:rPr>
        <w:t> </w:t>
      </w:r>
      <w:r>
        <w:rPr>
          <w:spacing w:val="-84"/>
        </w:rPr>
      </w:r>
      <w:r>
        <w:rPr>
          <w:spacing w:val="-2"/>
        </w:rPr>
        <w:t>但总体发卡规模仍在。除公司外，国内金融</w:t>
      </w:r>
      <w:r>
        <w:rPr>
          <w:rFonts w:ascii="宋体" w:hAnsi="宋体" w:cs="宋体" w:eastAsia="宋体" w:hint="default"/>
          <w:spacing w:val="-2"/>
        </w:rPr>
        <w:t>IC</w:t>
      </w:r>
      <w:r>
        <w:rPr>
          <w:spacing w:val="-2"/>
        </w:rPr>
        <w:t>卡产品主要供货厂商还包括金邦达宝嘉、恒宝股份等。近几年公司金融</w:t>
      </w:r>
      <w:r>
        <w:rPr>
          <w:rFonts w:ascii="宋体" w:hAnsi="宋体" w:cs="宋体" w:eastAsia="宋体" w:hint="default"/>
          <w:spacing w:val="-2"/>
        </w:rPr>
        <w:t>IC</w:t>
      </w:r>
      <w:r>
        <w:rPr>
          <w:spacing w:val="-2"/>
        </w:rPr>
        <w:t>卡产</w:t>
      </w:r>
      <w:r>
        <w:rPr>
          <w:spacing w:val="-62"/>
        </w:rPr>
        <w:t> </w:t>
      </w:r>
      <w:r>
        <w:rPr/>
        <w:t>品的发卡量保持行业前列。</w:t>
      </w:r>
    </w:p>
    <w:p>
      <w:pPr>
        <w:pStyle w:val="BodyText"/>
        <w:spacing w:line="319" w:lineRule="auto" w:before="56"/>
        <w:ind w:left="1133" w:right="1042" w:firstLine="360"/>
        <w:jc w:val="left"/>
      </w:pPr>
      <w:r>
        <w:rPr/>
        <w:t>工信部公布的统计数据显示，截至</w:t>
      </w:r>
      <w:r>
        <w:rPr>
          <w:rFonts w:ascii="宋体" w:hAnsi="宋体" w:cs="宋体" w:eastAsia="宋体" w:hint="default"/>
        </w:rPr>
        <w:t>2017</w:t>
      </w:r>
      <w:r>
        <w:rPr/>
        <w:t>年末，中国移动电话用户总数达到</w:t>
      </w:r>
      <w:r>
        <w:rPr>
          <w:rFonts w:ascii="宋体" w:hAnsi="宋体" w:cs="宋体" w:eastAsia="宋体" w:hint="default"/>
        </w:rPr>
        <w:t>14.17</w:t>
      </w:r>
      <w:r>
        <w:rPr/>
        <w:t>亿户。</w:t>
      </w:r>
      <w:r>
        <w:rPr>
          <w:rFonts w:ascii="宋体" w:hAnsi="宋体" w:cs="宋体" w:eastAsia="宋体" w:hint="default"/>
        </w:rPr>
        <w:t>2G</w:t>
      </w:r>
      <w:r>
        <w:rPr/>
        <w:t>和</w:t>
      </w:r>
      <w:r>
        <w:rPr>
          <w:rFonts w:ascii="宋体" w:hAnsi="宋体" w:cs="宋体" w:eastAsia="宋体" w:hint="default"/>
        </w:rPr>
        <w:t>3G</w:t>
      </w:r>
      <w:r>
        <w:rPr/>
        <w:t>用户持续向</w:t>
      </w:r>
      <w:r>
        <w:rPr>
          <w:rFonts w:ascii="宋体" w:hAnsi="宋体" w:cs="宋体" w:eastAsia="宋体" w:hint="default"/>
        </w:rPr>
        <w:t>4G</w:t>
      </w:r>
      <w:r>
        <w:rPr/>
        <w:t>用户转换， </w:t>
      </w:r>
      <w:r>
        <w:rPr>
          <w:rFonts w:ascii="宋体" w:hAnsi="宋体" w:cs="宋体" w:eastAsia="宋体" w:hint="default"/>
          <w:spacing w:val="-2"/>
        </w:rPr>
        <w:t>2017</w:t>
      </w:r>
      <w:r>
        <w:rPr>
          <w:spacing w:val="-2"/>
        </w:rPr>
        <w:t>年</w:t>
      </w:r>
      <w:r>
        <w:rPr>
          <w:rFonts w:ascii="宋体" w:hAnsi="宋体" w:cs="宋体" w:eastAsia="宋体" w:hint="default"/>
          <w:spacing w:val="-2"/>
        </w:rPr>
        <w:t>4G</w:t>
      </w:r>
      <w:r>
        <w:rPr>
          <w:spacing w:val="-2"/>
        </w:rPr>
        <w:t>用户数新增</w:t>
      </w:r>
      <w:r>
        <w:rPr>
          <w:rFonts w:ascii="宋体" w:hAnsi="宋体" w:cs="宋体" w:eastAsia="宋体" w:hint="default"/>
          <w:spacing w:val="-2"/>
        </w:rPr>
        <w:t>2.27</w:t>
      </w:r>
      <w:r>
        <w:rPr>
          <w:spacing w:val="-2"/>
        </w:rPr>
        <w:t>亿户，上年同期为新增</w:t>
      </w:r>
      <w:r>
        <w:rPr>
          <w:rFonts w:ascii="宋体" w:hAnsi="宋体" w:cs="宋体" w:eastAsia="宋体" w:hint="default"/>
          <w:spacing w:val="-2"/>
        </w:rPr>
        <w:t>3.40</w:t>
      </w:r>
      <w:r>
        <w:rPr>
          <w:spacing w:val="-2"/>
        </w:rPr>
        <w:t>亿户。随着</w:t>
      </w:r>
      <w:r>
        <w:rPr>
          <w:rFonts w:ascii="宋体" w:hAnsi="宋体" w:cs="宋体" w:eastAsia="宋体" w:hint="default"/>
          <w:spacing w:val="-2"/>
        </w:rPr>
        <w:t>4G</w:t>
      </w:r>
      <w:r>
        <w:rPr>
          <w:spacing w:val="-2"/>
        </w:rPr>
        <w:t>用户占比的逐步提升，新增发卡需求逐步减少，国内通信</w:t>
      </w:r>
      <w:r>
        <w:rPr>
          <w:spacing w:val="-51"/>
        </w:rPr>
        <w:t> </w:t>
      </w:r>
      <w:r>
        <w:rPr>
          <w:spacing w:val="-51"/>
        </w:rPr>
      </w:r>
      <w:r>
        <w:rPr/>
        <w:t>智能卡行业市场竞争日益加剧，普通通信智能卡产品价格逐年降低，利润微薄。</w:t>
      </w:r>
      <w:r>
        <w:rPr>
          <w:rFonts w:ascii="宋体" w:hAnsi="宋体" w:cs="宋体" w:eastAsia="宋体" w:hint="default"/>
        </w:rPr>
        <w:t>2018</w:t>
      </w:r>
      <w:r>
        <w:rPr/>
        <w:t>年</w:t>
      </w:r>
      <w:r>
        <w:rPr>
          <w:rFonts w:ascii="宋体" w:hAnsi="宋体" w:cs="宋体" w:eastAsia="宋体" w:hint="default"/>
        </w:rPr>
        <w:t>1</w:t>
      </w:r>
      <w:r>
        <w:rPr/>
        <w:t>月，我国</w:t>
      </w:r>
      <w:r>
        <w:rPr>
          <w:rFonts w:ascii="宋体" w:hAnsi="宋体" w:cs="宋体" w:eastAsia="宋体" w:hint="default"/>
        </w:rPr>
        <w:t>IMT-2020(5G)</w:t>
      </w:r>
      <w:r>
        <w:rPr/>
        <w:t>推进组正式</w:t>
      </w:r>
      <w:r>
        <w:rPr>
          <w:spacing w:val="-84"/>
        </w:rPr>
        <w:t> </w:t>
      </w:r>
      <w:r>
        <w:rPr/>
        <w:t>发布</w:t>
      </w:r>
      <w:r>
        <w:rPr>
          <w:rFonts w:ascii="宋体" w:hAnsi="宋体" w:cs="宋体" w:eastAsia="宋体" w:hint="default"/>
        </w:rPr>
        <w:t>5G</w:t>
      </w:r>
      <w:r>
        <w:rPr/>
        <w:t>技术研发试验第三阶段第一批规范，预计在</w:t>
      </w:r>
      <w:r>
        <w:rPr>
          <w:rFonts w:ascii="宋体" w:hAnsi="宋体" w:cs="宋体" w:eastAsia="宋体" w:hint="default"/>
        </w:rPr>
        <w:t>2018</w:t>
      </w:r>
      <w:r>
        <w:rPr/>
        <w:t>年底我国</w:t>
      </w:r>
      <w:r>
        <w:rPr>
          <w:rFonts w:ascii="宋体" w:hAnsi="宋体" w:cs="宋体" w:eastAsia="宋体" w:hint="default"/>
        </w:rPr>
        <w:t>5G</w:t>
      </w:r>
      <w:r>
        <w:rPr/>
        <w:t>产业链主要环节将达到预商用水平。</w:t>
      </w:r>
      <w:r>
        <w:rPr>
          <w:rFonts w:ascii="宋体" w:hAnsi="宋体" w:cs="宋体" w:eastAsia="宋体" w:hint="default"/>
        </w:rPr>
        <w:t>5G</w:t>
      </w:r>
      <w:r>
        <w:rPr/>
        <w:t>技术以其高速率、</w:t>
      </w:r>
      <w:r>
        <w:rPr>
          <w:spacing w:val="-85"/>
        </w:rPr>
        <w:t> </w:t>
      </w:r>
      <w:r>
        <w:rPr>
          <w:spacing w:val="-85"/>
        </w:rPr>
      </w:r>
      <w:r>
        <w:rPr/>
        <w:t>大容量、低时延的特性，在物联网、智慧家居、远程服务、外场支援、虚拟现实、增强现实等领域应用前景广阔。随着</w:t>
      </w:r>
      <w:r>
        <w:rPr>
          <w:rFonts w:ascii="宋体" w:hAnsi="宋体" w:cs="宋体" w:eastAsia="宋体" w:hint="default"/>
        </w:rPr>
        <w:t>5G</w:t>
      </w:r>
      <w:r>
        <w:rPr>
          <w:rFonts w:ascii="宋体" w:hAnsi="宋体" w:cs="宋体" w:eastAsia="宋体" w:hint="default"/>
          <w:spacing w:val="3"/>
        </w:rPr>
        <w:t> </w:t>
      </w:r>
      <w:r>
        <w:rPr>
          <w:spacing w:val="-2"/>
        </w:rPr>
        <w:t>通信时代的来临，相关产业的兴起将带动通信智能卡、物联网数据安全产品等市场的发展。除公司外，国内通信智能卡产品</w:t>
      </w:r>
      <w:r>
        <w:rPr>
          <w:spacing w:val="-66"/>
        </w:rPr>
        <w:t> </w:t>
      </w:r>
      <w:r>
        <w:rPr>
          <w:spacing w:val="-66"/>
        </w:rPr>
      </w:r>
      <w:r>
        <w:rPr/>
        <w:t>主要供货厂商还包括恒宝股份、东信和平等。</w:t>
      </w:r>
    </w:p>
    <w:p>
      <w:pPr>
        <w:pStyle w:val="BodyText"/>
        <w:spacing w:line="319" w:lineRule="auto" w:before="55"/>
        <w:ind w:left="1133" w:right="1129" w:firstLine="360"/>
        <w:jc w:val="both"/>
      </w:pPr>
      <w:r>
        <w:rPr/>
        <w:t>根据中国人民银行发布的《</w:t>
      </w:r>
      <w:r>
        <w:rPr>
          <w:rFonts w:ascii="宋体" w:hAnsi="宋体" w:cs="宋体" w:eastAsia="宋体" w:hint="default"/>
        </w:rPr>
        <w:t>2017</w:t>
      </w:r>
      <w:r>
        <w:rPr/>
        <w:t>年第四季度支付体系运行总体情况》报告，截至</w:t>
      </w:r>
      <w:r>
        <w:rPr>
          <w:rFonts w:ascii="宋体" w:hAnsi="宋体" w:cs="宋体" w:eastAsia="宋体" w:hint="default"/>
        </w:rPr>
        <w:t>2017</w:t>
      </w:r>
      <w:r>
        <w:rPr/>
        <w:t>年末，国内联网</w:t>
      </w:r>
      <w:r>
        <w:rPr>
          <w:rFonts w:ascii="宋体" w:hAnsi="宋体" w:cs="宋体" w:eastAsia="宋体" w:hint="default"/>
        </w:rPr>
        <w:t>POS</w:t>
      </w:r>
      <w:r>
        <w:rPr/>
        <w:t>机具数量累计 </w:t>
      </w:r>
      <w:r>
        <w:rPr>
          <w:spacing w:val="-2"/>
        </w:rPr>
        <w:t>为</w:t>
      </w:r>
      <w:r>
        <w:rPr>
          <w:rFonts w:ascii="宋体" w:hAnsi="宋体" w:cs="宋体" w:eastAsia="宋体" w:hint="default"/>
          <w:spacing w:val="-2"/>
        </w:rPr>
        <w:t>3,118.86</w:t>
      </w:r>
      <w:r>
        <w:rPr>
          <w:spacing w:val="-2"/>
        </w:rPr>
        <w:t>万台，全年新增</w:t>
      </w:r>
      <w:r>
        <w:rPr>
          <w:rFonts w:ascii="宋体" w:hAnsi="宋体" w:cs="宋体" w:eastAsia="宋体" w:hint="default"/>
          <w:spacing w:val="-2"/>
        </w:rPr>
        <w:t>665.36</w:t>
      </w:r>
      <w:r>
        <w:rPr>
          <w:spacing w:val="-2"/>
        </w:rPr>
        <w:t>万台，同比增加</w:t>
      </w:r>
      <w:r>
        <w:rPr>
          <w:rFonts w:ascii="宋体" w:hAnsi="宋体" w:cs="宋体" w:eastAsia="宋体" w:hint="default"/>
          <w:spacing w:val="-2"/>
        </w:rPr>
        <w:t>493.96</w:t>
      </w:r>
      <w:r>
        <w:rPr>
          <w:spacing w:val="-2"/>
        </w:rPr>
        <w:t>万台。近年来，具备更高安全等级、更便捷使用体验和更好功能延</w:t>
      </w:r>
      <w:r>
        <w:rPr>
          <w:spacing w:val="-47"/>
        </w:rPr>
        <w:t> </w:t>
      </w:r>
      <w:r>
        <w:rPr>
          <w:spacing w:val="-47"/>
        </w:rPr>
      </w:r>
      <w:r>
        <w:rPr/>
        <w:t>展性（如扫手机二维码）的</w:t>
      </w:r>
      <w:r>
        <w:rPr>
          <w:rFonts w:ascii="宋体" w:hAnsi="宋体" w:cs="宋体" w:eastAsia="宋体" w:hint="default"/>
        </w:rPr>
        <w:t>mPOS</w:t>
      </w:r>
      <w:r>
        <w:rPr/>
        <w:t>、智能</w:t>
      </w:r>
      <w:r>
        <w:rPr>
          <w:rFonts w:ascii="宋体" w:hAnsi="宋体" w:cs="宋体" w:eastAsia="宋体" w:hint="default"/>
        </w:rPr>
        <w:t>POS</w:t>
      </w:r>
      <w:r>
        <w:rPr/>
        <w:t>等新型</w:t>
      </w:r>
      <w:r>
        <w:rPr>
          <w:rFonts w:ascii="宋体" w:hAnsi="宋体" w:cs="宋体" w:eastAsia="宋体" w:hint="default"/>
        </w:rPr>
        <w:t>POS</w:t>
      </w:r>
      <w:r>
        <w:rPr/>
        <w:t>机具陆续进入市场。国内</w:t>
      </w:r>
      <w:r>
        <w:rPr>
          <w:rFonts w:ascii="宋体" w:hAnsi="宋体" w:cs="宋体" w:eastAsia="宋体" w:hint="default"/>
        </w:rPr>
        <w:t>POS</w:t>
      </w:r>
      <w:r>
        <w:rPr/>
        <w:t>机具行业的主要厂商为新大陆、新国都、</w:t>
      </w:r>
      <w:r>
        <w:rPr>
          <w:spacing w:val="-83"/>
        </w:rPr>
        <w:t> </w:t>
      </w:r>
      <w:r>
        <w:rPr>
          <w:spacing w:val="-83"/>
        </w:rPr>
      </w:r>
      <w:r>
        <w:rPr/>
        <w:t>百富环球等，公司属于该领域的新进入者，在</w:t>
      </w:r>
      <w:r>
        <w:rPr>
          <w:rFonts w:ascii="宋体" w:hAnsi="宋体" w:cs="宋体" w:eastAsia="宋体" w:hint="default"/>
        </w:rPr>
        <w:t>mPOS</w:t>
      </w:r>
      <w:r>
        <w:rPr/>
        <w:t>等细分领域市场占有率领先。</w:t>
      </w:r>
    </w:p>
    <w:p>
      <w:pPr>
        <w:pStyle w:val="BodyText"/>
        <w:spacing w:line="319" w:lineRule="auto" w:before="55"/>
        <w:ind w:left="1133" w:right="1129" w:firstLine="360"/>
        <w:jc w:val="both"/>
      </w:pPr>
      <w:r>
        <w:rPr>
          <w:spacing w:val="-2"/>
        </w:rPr>
        <w:t>由“营改增”税制转换带来的税控盘发盘高峰期已过，税控盘市场进入自然增长及旧产品替换期。</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日，国家</w:t>
      </w:r>
      <w:r>
        <w:rPr/>
        <w:t> </w:t>
      </w:r>
      <w:r>
        <w:rPr>
          <w:spacing w:val="-2"/>
        </w:rPr>
        <w:t>发改委发布《关于降低增值税税控系统产品及维护服务价格等有关问题的通知》，要求从</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日起降低税控盘、报税盘的价</w:t>
      </w:r>
      <w:r>
        <w:rPr>
          <w:spacing w:val="-64"/>
        </w:rPr>
        <w:t> </w:t>
      </w:r>
      <w:r>
        <w:rPr>
          <w:spacing w:val="-64"/>
        </w:rPr>
      </w:r>
      <w:r>
        <w:rPr/>
        <w:t>格及服务费。该政策短期内会对税控盘企业的盈利水平造成不利影响。</w:t>
      </w:r>
      <w:r>
        <w:rPr>
          <w:rFonts w:ascii="宋体" w:hAnsi="宋体" w:cs="宋体" w:eastAsia="宋体" w:hint="default"/>
        </w:rPr>
        <w:t>2018</w:t>
      </w:r>
      <w:r>
        <w:rPr/>
        <w:t>年</w:t>
      </w:r>
      <w:r>
        <w:rPr>
          <w:rFonts w:ascii="宋体" w:hAnsi="宋体" w:cs="宋体" w:eastAsia="宋体" w:hint="default"/>
        </w:rPr>
        <w:t>2</w:t>
      </w:r>
      <w:r>
        <w:rPr/>
        <w:t>月，国家税务总局举办</w:t>
      </w:r>
      <w:r>
        <w:rPr>
          <w:rFonts w:ascii="宋体" w:hAnsi="宋体" w:cs="宋体" w:eastAsia="宋体" w:hint="default"/>
        </w:rPr>
        <w:t>2018</w:t>
      </w:r>
      <w:r>
        <w:rPr/>
        <w:t>年“便民办税春</w:t>
      </w:r>
      <w:r>
        <w:rPr>
          <w:spacing w:val="-82"/>
        </w:rPr>
        <w:t> </w:t>
      </w:r>
      <w:r>
        <w:rPr>
          <w:spacing w:val="-82"/>
        </w:rPr>
      </w:r>
      <w:r>
        <w:rPr>
          <w:spacing w:val="-2"/>
        </w:rPr>
        <w:t>风行动”启动暨办税事项“最多跑一次”清单发布活动，要求税务机关优化办税流程、提升纳税服务质效、融合线上线下办</w:t>
      </w:r>
      <w:r>
        <w:rPr>
          <w:spacing w:val="-69"/>
        </w:rPr>
        <w:t> </w:t>
      </w:r>
      <w:r>
        <w:rPr>
          <w:spacing w:val="-69"/>
        </w:rPr>
      </w:r>
      <w:r>
        <w:rPr/>
        <w:t>税。税务服务市场在夯实“营改增”成果的基础上，以“互联网</w:t>
      </w:r>
      <w:r>
        <w:rPr>
          <w:rFonts w:ascii="宋体" w:hAnsi="宋体" w:cs="宋体" w:eastAsia="宋体" w:hint="default"/>
        </w:rPr>
        <w:t>+</w:t>
      </w:r>
      <w:r>
        <w:rPr/>
        <w:t>税务”为抓手，不断提升服务水平，加速了传统税务服务</w:t>
      </w:r>
      <w:r>
        <w:rPr>
          <w:spacing w:val="-85"/>
        </w:rPr>
        <w:t> </w:t>
      </w:r>
      <w:r>
        <w:rPr>
          <w:spacing w:val="-85"/>
        </w:rPr>
      </w:r>
      <w:r>
        <w:rPr>
          <w:spacing w:val="-2"/>
        </w:rPr>
        <w:t>业务与互联网融合的步伐。基于互联网的电子发票、涉税服务等业务市场进入蓬勃发展期。目前国内增值税税控设备销售与</w:t>
      </w:r>
      <w:r>
        <w:rPr>
          <w:spacing w:val="-66"/>
        </w:rPr>
        <w:t> </w:t>
      </w:r>
      <w:r>
        <w:rPr>
          <w:spacing w:val="-66"/>
        </w:rPr>
      </w:r>
      <w:r>
        <w:rPr/>
        <w:t>服务市场的参与者包括航天信息、旋极信息、恒宝股份和各地百旺金赋公司。</w:t>
      </w:r>
    </w:p>
    <w:p>
      <w:pPr>
        <w:pStyle w:val="BodyText"/>
        <w:spacing w:line="316" w:lineRule="auto" w:before="56"/>
        <w:ind w:left="1133" w:right="1033" w:firstLine="360"/>
        <w:jc w:val="left"/>
      </w:pPr>
      <w:r>
        <w:rPr/>
        <w:t>《教育信息化十年发展规划</w:t>
      </w:r>
      <w:r>
        <w:rPr>
          <w:rFonts w:ascii="宋体" w:hAnsi="宋体" w:cs="宋体" w:eastAsia="宋体" w:hint="default"/>
        </w:rPr>
        <w:t>(2011-2020</w:t>
      </w:r>
      <w:r>
        <w:rPr/>
        <w:t>年</w:t>
      </w:r>
      <w:r>
        <w:rPr>
          <w:rFonts w:ascii="宋体" w:hAnsi="宋体" w:cs="宋体" w:eastAsia="宋体" w:hint="default"/>
        </w:rPr>
        <w:t>)</w:t>
      </w:r>
      <w:r>
        <w:rPr/>
        <w:t>》发布以来，以“三通两平台”为主要标志的国家教育信息化工作取得了突 </w:t>
      </w:r>
      <w:r>
        <w:rPr>
          <w:spacing w:val="-2"/>
        </w:rPr>
        <w:t>破性进展。截至</w:t>
      </w:r>
      <w:r>
        <w:rPr>
          <w:rFonts w:ascii="宋体" w:hAnsi="宋体" w:cs="宋体" w:eastAsia="宋体" w:hint="default"/>
          <w:spacing w:val="-2"/>
        </w:rPr>
        <w:t>2017</w:t>
      </w:r>
      <w:r>
        <w:rPr>
          <w:spacing w:val="-2"/>
        </w:rPr>
        <w:t>年三季度末，全国中小学中</w:t>
      </w:r>
      <w:r>
        <w:rPr>
          <w:rFonts w:ascii="宋体" w:hAnsi="宋体" w:cs="宋体" w:eastAsia="宋体" w:hint="default"/>
          <w:spacing w:val="-2"/>
        </w:rPr>
        <w:t>89.8%</w:t>
      </w:r>
      <w:r>
        <w:rPr>
          <w:spacing w:val="-2"/>
        </w:rPr>
        <w:t>的学校已实现网络接入，学校网络教学环境大幅改善；</w:t>
      </w:r>
      <w:r>
        <w:rPr>
          <w:rFonts w:ascii="宋体" w:hAnsi="宋体" w:cs="宋体" w:eastAsia="宋体" w:hint="default"/>
          <w:spacing w:val="-2"/>
        </w:rPr>
        <w:t>85.1%</w:t>
      </w:r>
      <w:r>
        <w:rPr>
          <w:spacing w:val="-2"/>
        </w:rPr>
        <w:t>的学校已</w:t>
      </w:r>
      <w:r>
        <w:rPr>
          <w:spacing w:val="-52"/>
        </w:rPr>
        <w:t> </w:t>
      </w:r>
      <w:r>
        <w:rPr/>
        <w:t>拥有多媒体教室，其中</w:t>
      </w:r>
      <w:r>
        <w:rPr>
          <w:rFonts w:ascii="宋体" w:hAnsi="宋体" w:cs="宋体" w:eastAsia="宋体" w:hint="default"/>
        </w:rPr>
        <w:t>58.9%</w:t>
      </w:r>
      <w:r>
        <w:rPr/>
        <w:t>的学校实现多媒体教学设备全覆盖，信息化教学日渐普及；在教育资源公共服务平台上开通网</w:t>
      </w:r>
      <w:r>
        <w:rPr>
          <w:spacing w:val="-83"/>
        </w:rPr>
        <w:t> </w:t>
      </w:r>
      <w:r>
        <w:rPr>
          <w:spacing w:val="-83"/>
        </w:rPr>
      </w:r>
      <w:r>
        <w:rPr/>
        <w:t>络学习空间的学生、教师分别占全体学生和教师数量的</w:t>
      </w:r>
      <w:r>
        <w:rPr>
          <w:rFonts w:ascii="宋体" w:hAnsi="宋体" w:cs="宋体" w:eastAsia="宋体" w:hint="default"/>
        </w:rPr>
        <w:t>38.4%</w:t>
      </w:r>
      <w:r>
        <w:rPr/>
        <w:t>、</w:t>
      </w:r>
      <w:r>
        <w:rPr>
          <w:rFonts w:ascii="宋体" w:hAnsi="宋体" w:cs="宋体" w:eastAsia="宋体" w:hint="default"/>
        </w:rPr>
        <w:t>55%</w:t>
      </w:r>
      <w:r>
        <w:rPr/>
        <w:t>，优质数字教育资源日益丰富，资源服务体系日益完善。</w:t>
      </w:r>
      <w:r>
        <w:rPr>
          <w:spacing w:val="-82"/>
        </w:rPr>
        <w:t> </w:t>
      </w:r>
      <w:r>
        <w:rPr>
          <w:spacing w:val="-82"/>
        </w:rPr>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月，全国教育信息中心主任工作会议暨教育管理信息化工作（</w:t>
      </w:r>
      <w:r>
        <w:rPr>
          <w:rFonts w:ascii="宋体" w:hAnsi="宋体" w:cs="宋体" w:eastAsia="宋体" w:hint="default"/>
          <w:spacing w:val="-2"/>
        </w:rPr>
        <w:t>2017</w:t>
      </w:r>
      <w:r>
        <w:rPr>
          <w:spacing w:val="-2"/>
        </w:rPr>
        <w:t>年度）研讨会在武汉召开，教育部对教育信息化</w:t>
      </w:r>
      <w:r>
        <w:rPr>
          <w:spacing w:val="-56"/>
        </w:rPr>
        <w:t> </w:t>
      </w:r>
      <w:r>
        <w:rPr>
          <w:spacing w:val="-56"/>
        </w:rPr>
      </w:r>
      <w:r>
        <w:rPr>
          <w:spacing w:val="-5"/>
        </w:rPr>
        <w:t>工作提出要求，下一步要实现以硬件建设为主向以服务为主、从支撑教育管理向支撑教育教学、从融合应用向融合创新转变，</w:t>
      </w:r>
      <w:r>
        <w:rPr>
          <w:spacing w:val="-78"/>
        </w:rPr>
        <w:t> </w:t>
      </w:r>
      <w:r>
        <w:rPr>
          <w:spacing w:val="-78"/>
        </w:rPr>
      </w:r>
      <w:r>
        <w:rPr/>
        <w:t>落实好信息系统整合共享等重点任务。以国家教育信息化为背景的</w:t>
      </w:r>
      <w:r>
        <w:rPr>
          <w:rFonts w:ascii="宋体" w:hAnsi="宋体" w:cs="宋体" w:eastAsia="宋体" w:hint="default"/>
        </w:rPr>
        <w:t>K12</w:t>
      </w:r>
      <w:r>
        <w:rPr/>
        <w:t>智慧教育业务快速发展，基础设施环境日趋完备，财</w:t>
      </w:r>
      <w:r>
        <w:rPr>
          <w:spacing w:val="-83"/>
        </w:rPr>
        <w:t> </w:t>
      </w:r>
      <w:r>
        <w:rPr>
          <w:spacing w:val="-83"/>
        </w:rPr>
      </w:r>
      <w:r>
        <w:rPr/>
        <w:t>政经费投入方向日益清晰，教育信息化的建设重点已经从以“三通两平台”为标志的“基础硬件环境”</w:t>
      </w:r>
      <w:r>
        <w:rPr>
          <w:rFonts w:ascii="宋体" w:hAnsi="宋体" w:cs="宋体" w:eastAsia="宋体" w:hint="default"/>
        </w:rPr>
        <w:t>+</w:t>
      </w:r>
      <w:r>
        <w:rPr/>
        <w:t>“教育云平台”逐</w:t>
      </w:r>
      <w:r>
        <w:rPr>
          <w:spacing w:val="-85"/>
        </w:rPr>
        <w:t> </w:t>
      </w:r>
      <w:r>
        <w:rPr>
          <w:spacing w:val="-85"/>
        </w:rPr>
      </w:r>
      <w:r>
        <w:rPr>
          <w:spacing w:val="-2"/>
        </w:rPr>
        <w:t>步向“教育云平台”</w:t>
      </w:r>
      <w:r>
        <w:rPr>
          <w:rFonts w:ascii="宋体" w:hAnsi="宋体" w:cs="宋体" w:eastAsia="宋体" w:hint="default"/>
          <w:spacing w:val="-2"/>
        </w:rPr>
        <w:t>+</w:t>
      </w:r>
      <w:r>
        <w:rPr>
          <w:spacing w:val="-2"/>
        </w:rPr>
        <w:t>“智慧课堂”</w:t>
      </w:r>
      <w:r>
        <w:rPr>
          <w:rFonts w:ascii="宋体" w:hAnsi="宋体" w:cs="宋体" w:eastAsia="宋体" w:hint="default"/>
          <w:spacing w:val="-2"/>
        </w:rPr>
        <w:t>+</w:t>
      </w:r>
      <w:r>
        <w:rPr>
          <w:spacing w:val="-2"/>
        </w:rPr>
        <w:t>“智慧校园”方向发展，政府强调各级区域平台的互联互通，投入也在向购买智慧教育</w:t>
      </w:r>
      <w:r>
        <w:rPr>
          <w:spacing w:val="-65"/>
        </w:rPr>
        <w:t> </w:t>
      </w:r>
      <w:r>
        <w:rPr>
          <w:spacing w:val="-65"/>
        </w:rPr>
      </w:r>
      <w:r>
        <w:rPr>
          <w:spacing w:val="-2"/>
        </w:rPr>
        <w:t>综合解决方案及服务倾斜。在国家教育信息化政策及教育主管部门实现精准管理，学校创新教学方法、提高教学效率、实现</w:t>
      </w:r>
      <w:r>
        <w:rPr>
          <w:spacing w:val="-66"/>
        </w:rPr>
        <w:t> </w:t>
      </w:r>
      <w:r>
        <w:rPr>
          <w:spacing w:val="-66"/>
        </w:rPr>
      </w:r>
      <w:r>
        <w:rPr>
          <w:spacing w:val="-2"/>
        </w:rPr>
        <w:t>精准教学，学生提高学习效率、提升学习成绩、实现精准学习等需求的推动下，智慧教育业务市场前景广阔。该领域与公司</w:t>
      </w:r>
      <w:r>
        <w:rPr>
          <w:spacing w:val="-66"/>
        </w:rPr>
        <w:t> </w:t>
      </w:r>
      <w:r>
        <w:rPr>
          <w:spacing w:val="-66"/>
        </w:rPr>
      </w:r>
      <w:r>
        <w:rPr/>
        <w:t>类似的产品和服务提供商主要有科大讯飞等。公司教育云平台业务市场占有率全国领先。</w:t>
      </w:r>
    </w:p>
    <w:p>
      <w:pPr>
        <w:spacing w:after="0" w:line="316" w:lineRule="auto"/>
        <w:jc w:val="left"/>
        <w:sectPr>
          <w:headerReference w:type="default" r:id="rId16"/>
          <w:footerReference w:type="default" r:id="rId17"/>
          <w:pgSz w:w="11910" w:h="16840"/>
          <w:pgMar w:header="877" w:footer="979" w:top="1100" w:bottom="1160" w:left="0" w:right="0"/>
          <w:pgNumType w:start="22"/>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发展战略" w:id="57"/>
      <w:bookmarkEnd w:id="57"/>
      <w:r>
        <w:rPr>
          <w:b w:val="0"/>
          <w:bCs w:val="0"/>
        </w:rPr>
      </w:r>
      <w:r>
        <w:rPr>
          <w:rFonts w:ascii="宋体" w:hAnsi="宋体" w:cs="宋体" w:eastAsia="宋体" w:hint="default"/>
        </w:rPr>
        <w:t>2</w:t>
      </w:r>
      <w:r>
        <w:rPr/>
        <w:t>、发展战略</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0" w:firstLine="360"/>
        <w:jc w:val="both"/>
      </w:pPr>
      <w:r>
        <w:rPr/>
        <w:t>智能卡业务稳中求进；紧跟市场需求大力拓展新型</w:t>
      </w:r>
      <w:r>
        <w:rPr>
          <w:rFonts w:ascii="宋体" w:hAnsi="宋体" w:cs="宋体" w:eastAsia="宋体" w:hint="default"/>
        </w:rPr>
        <w:t>POS</w:t>
      </w:r>
      <w:r>
        <w:rPr/>
        <w:t>机具、税控盘等终端业务；推动供应链金融服务、税务服务业务 快速发展；探索数据安全技术和产品应用于物联网领域的市场机会。围绕“平台</w:t>
      </w:r>
      <w:r>
        <w:rPr>
          <w:rFonts w:ascii="宋体" w:hAnsi="宋体" w:cs="宋体" w:eastAsia="宋体" w:hint="default"/>
        </w:rPr>
        <w:t>+</w:t>
      </w:r>
      <w:r>
        <w:rPr/>
        <w:t>生态”战略全力推进智慧教育业务，通过</w:t>
      </w:r>
      <w:r>
        <w:rPr>
          <w:spacing w:val="-83"/>
        </w:rPr>
        <w:t> </w:t>
      </w:r>
      <w:r>
        <w:rPr>
          <w:spacing w:val="-83"/>
        </w:rPr>
      </w:r>
      <w:r>
        <w:rPr>
          <w:spacing w:val="-2"/>
        </w:rPr>
        <w:t>平台及应用汇聚的教育大数据实现精准教学、精准学习、精准管理，构建智慧教育的基础环境从而创造链接价值，成为具有</w:t>
      </w:r>
      <w:r>
        <w:rPr>
          <w:spacing w:val="-66"/>
        </w:rPr>
        <w:t> </w:t>
      </w:r>
      <w:r>
        <w:rPr>
          <w:spacing w:val="-66"/>
        </w:rPr>
      </w:r>
      <w:r>
        <w:rPr/>
        <w:t>市场领先地位的基础教育信息化平台和应用产品</w:t>
      </w:r>
      <w:r>
        <w:rPr>
          <w:rFonts w:ascii="宋体" w:hAnsi="宋体" w:cs="宋体" w:eastAsia="宋体" w:hint="default"/>
        </w:rPr>
        <w:t>/</w:t>
      </w:r>
      <w:r>
        <w:rPr/>
        <w:t>服务的提供商。</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3、2018年经营计划" w:id="58"/>
      <w:bookmarkEnd w:id="58"/>
      <w:r>
        <w:rPr>
          <w:b w:val="0"/>
          <w:bCs w:val="0"/>
        </w:rPr>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7"/>
        </w:rPr>
        <w:t> </w:t>
      </w:r>
      <w:r>
        <w:rPr/>
        <w:t>年经营计划</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参见“第四节 经营情况讨论与分析</w:t>
      </w:r>
      <w:r>
        <w:rPr>
          <w:rFonts w:ascii="宋体" w:hAnsi="宋体" w:cs="宋体" w:eastAsia="宋体" w:hint="default"/>
        </w:rPr>
        <w:t>/</w:t>
      </w:r>
      <w:r>
        <w:rPr/>
        <w:t>一、概述”。</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可能面对的风险" w:id="59"/>
      <w:bookmarkEnd w:id="59"/>
      <w:r>
        <w:rPr>
          <w:b w:val="0"/>
          <w:bCs w:val="0"/>
        </w:rPr>
      </w:r>
      <w:r>
        <w:rPr>
          <w:rFonts w:ascii="宋体" w:hAnsi="宋体" w:cs="宋体" w:eastAsia="宋体" w:hint="default"/>
        </w:rPr>
        <w:t>4</w:t>
      </w:r>
      <w:r>
        <w:rPr/>
        <w:t>、可能面对的风险</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1" w:firstLine="360"/>
        <w:jc w:val="both"/>
      </w:pPr>
      <w:r>
        <w:rPr>
          <w:spacing w:val="-2"/>
        </w:rPr>
        <w:t>公司存在受行业增长期结束及市场竞争加剧影响，金融</w:t>
      </w:r>
      <w:r>
        <w:rPr>
          <w:rFonts w:ascii="宋体" w:hAnsi="宋体" w:cs="宋体" w:eastAsia="宋体" w:hint="default"/>
          <w:spacing w:val="-2"/>
        </w:rPr>
        <w:t>IC</w:t>
      </w:r>
      <w:r>
        <w:rPr>
          <w:spacing w:val="-2"/>
        </w:rPr>
        <w:t>卡产品销售价格大幅下滑导致相关产品盈利能力进一步下降的</w:t>
      </w:r>
      <w:r>
        <w:rPr/>
        <w:t> 风险；受政策影响</w:t>
      </w:r>
      <w:r>
        <w:rPr>
          <w:rFonts w:ascii="宋体" w:hAnsi="宋体" w:cs="宋体" w:eastAsia="宋体" w:hint="default"/>
        </w:rPr>
        <w:t>mPOS</w:t>
      </w:r>
      <w:r>
        <w:rPr/>
        <w:t>、税控盘等终端产品销量不达预期，从而影响公司数据安全业务可持续发展进程的风险。</w:t>
      </w:r>
    </w:p>
    <w:p>
      <w:pPr>
        <w:pStyle w:val="BodyText"/>
        <w:spacing w:line="319" w:lineRule="auto" w:before="56"/>
        <w:ind w:left="1133" w:right="1131" w:firstLine="360"/>
        <w:jc w:val="both"/>
      </w:pPr>
      <w:r>
        <w:rPr>
          <w:spacing w:val="-2"/>
        </w:rPr>
        <w:t>公司在国家教育信息化规划落地背景下的智慧教育业务领域持续投入多年，拥有教育云平台业务的市场领先地位，已形</w:t>
      </w:r>
      <w:r>
        <w:rPr/>
        <w:t> </w:t>
      </w:r>
      <w:r>
        <w:rPr>
          <w:spacing w:val="-2"/>
        </w:rPr>
        <w:t>成包括智慧课堂、智慧校园在内的较为完备的智慧教育核心产品体系，</w:t>
      </w:r>
      <w:r>
        <w:rPr>
          <w:rFonts w:ascii="宋体" w:hAnsi="宋体" w:cs="宋体" w:eastAsia="宋体" w:hint="default"/>
          <w:spacing w:val="-2"/>
        </w:rPr>
        <w:t>2017</w:t>
      </w:r>
      <w:r>
        <w:rPr>
          <w:spacing w:val="-2"/>
        </w:rPr>
        <w:t>年该业务收入规模实现增长，但仍未能覆盖公司</w:t>
      </w:r>
      <w:r>
        <w:rPr>
          <w:spacing w:val="-61"/>
        </w:rPr>
        <w:t> </w:t>
      </w:r>
      <w:r>
        <w:rPr>
          <w:spacing w:val="-61"/>
        </w:rPr>
      </w:r>
      <w:r>
        <w:rPr>
          <w:spacing w:val="-2"/>
        </w:rPr>
        <w:t>在研发、市场方面的投入，尚未实现盈利。公司存在智慧教育业务市场开拓不力导致该业务收入规模增长缓慢，影响公司整</w:t>
      </w:r>
      <w:r>
        <w:rPr>
          <w:spacing w:val="-66"/>
        </w:rPr>
        <w:t> </w:t>
      </w:r>
      <w:r>
        <w:rPr>
          <w:spacing w:val="-66"/>
        </w:rPr>
      </w:r>
      <w:r>
        <w:rPr/>
        <w:t>体盈利水平的风险。</w:t>
      </w:r>
    </w:p>
    <w:p>
      <w:pPr>
        <w:pStyle w:val="BodyText"/>
        <w:spacing w:line="240" w:lineRule="auto" w:before="56"/>
        <w:ind w:left="1494" w:right="0"/>
        <w:jc w:val="left"/>
      </w:pPr>
      <w:r>
        <w:rPr/>
        <w:t>公司应对风险的具体措施参见“第四节 经营情况讨论与分析</w:t>
      </w:r>
      <w:r>
        <w:rPr>
          <w:rFonts w:ascii="宋体" w:hAnsi="宋体" w:cs="宋体" w:eastAsia="宋体" w:hint="default"/>
        </w:rPr>
        <w:t>/</w:t>
      </w:r>
      <w:r>
        <w:rPr/>
        <w:t>一、概述”中有关</w:t>
      </w:r>
      <w:r>
        <w:rPr>
          <w:rFonts w:ascii="宋体" w:hAnsi="宋体" w:cs="宋体" w:eastAsia="宋体" w:hint="default"/>
        </w:rPr>
        <w:t>2018</w:t>
      </w:r>
      <w:r>
        <w:rPr/>
        <w:t>年经营计划部分。</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61"/>
      <w:bookmarkEnd w:id="61"/>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44"/>
        <w:gridCol w:w="1644"/>
        <w:gridCol w:w="1644"/>
        <w:gridCol w:w="4762"/>
      </w:tblGrid>
      <w:tr>
        <w:trPr>
          <w:trHeight w:val="40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6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18">
              <w:r>
                <w:rPr>
                  <w:rFonts w:ascii="宋体" w:hAnsi="宋体" w:cs="宋体" w:eastAsia="宋体" w:hint="default"/>
                  <w:sz w:val="18"/>
                  <w:szCs w:val="18"/>
                </w:rPr>
                <w:t>http://irm.cninfo.com.cn/ssessgs/S300205/index.html</w:t>
              </w:r>
            </w:hyperlink>
          </w:p>
        </w:tc>
      </w:tr>
      <w:tr>
        <w:trPr>
          <w:trHeight w:val="71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18">
              <w:r>
                <w:rPr>
                  <w:rFonts w:ascii="宋体" w:hAnsi="宋体" w:cs="宋体" w:eastAsia="宋体" w:hint="default"/>
                  <w:sz w:val="18"/>
                  <w:szCs w:val="18"/>
                </w:rPr>
                <w:t>http://irm.cninfo.com.cn/ssessgs/S300205/index.html</w:t>
              </w:r>
            </w:hyperlink>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报告期内普通股利润分配政策，特别是现金分红政策的制定、执行或调整情况</w:t>
      </w:r>
    </w:p>
    <w:p>
      <w:pPr>
        <w:pStyle w:val="BodyText"/>
        <w:spacing w:line="357" w:lineRule="auto" w:before="117"/>
        <w:ind w:left="1493" w:right="1123" w:hanging="360"/>
        <w:jc w:val="left"/>
      </w:pPr>
      <w:r>
        <w:rPr/>
        <w:t>√ 适用 □ 不适用 公司</w:t>
      </w:r>
      <w:r>
        <w:rPr>
          <w:rFonts w:ascii="宋体" w:hAnsi="宋体" w:cs="宋体" w:eastAsia="宋体" w:hint="default"/>
        </w:rPr>
        <w:t>2016</w:t>
      </w:r>
      <w:r>
        <w:rPr/>
        <w:t>年度利润分配方案经</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11</w:t>
      </w:r>
      <w:r>
        <w:rPr/>
        <w:t>日召开的第六届董事会第二十四次会议、</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4</w:t>
      </w:r>
      <w:r>
        <w:rPr/>
        <w:t>日召开的</w:t>
      </w:r>
      <w:r>
        <w:rPr>
          <w:rFonts w:ascii="宋体" w:hAnsi="宋体" w:cs="宋体" w:eastAsia="宋体" w:hint="default"/>
        </w:rPr>
        <w:t>2016</w:t>
      </w:r>
      <w:r>
        <w:rPr/>
        <w:t>年年度股</w:t>
      </w:r>
    </w:p>
    <w:p>
      <w:pPr>
        <w:pStyle w:val="BodyText"/>
        <w:spacing w:line="224" w:lineRule="exact"/>
        <w:ind w:left="1133" w:right="0"/>
        <w:jc w:val="left"/>
      </w:pPr>
      <w:r>
        <w:rPr/>
        <w:t>东大会审议通过</w:t>
      </w:r>
      <w:r>
        <w:rPr>
          <w:spacing w:val="-88"/>
        </w:rPr>
        <w:t>，</w:t>
      </w:r>
      <w:r>
        <w:rPr/>
        <w:t>具体方案为</w:t>
      </w:r>
      <w:r>
        <w:rPr>
          <w:spacing w:val="-88"/>
        </w:rPr>
        <w:t>：</w:t>
      </w:r>
      <w:r>
        <w:rPr/>
        <w:t>公司以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股为基数向全体股东每</w:t>
      </w:r>
      <w:r>
        <w:rPr>
          <w:rFonts w:ascii="宋体" w:hAnsi="宋体" w:cs="宋体" w:eastAsia="宋体" w:hint="default"/>
        </w:rPr>
        <w:t>10</w:t>
      </w:r>
      <w:r>
        <w:rPr/>
        <w:t>股派发现金股利</w:t>
      </w:r>
      <w:r>
        <w:rPr>
          <w:rFonts w:ascii="宋体" w:hAnsi="宋体" w:cs="宋体" w:eastAsia="宋体" w:hint="default"/>
        </w:rPr>
        <w:t>0.3</w:t>
      </w:r>
      <w:r>
        <w:rPr>
          <w:spacing w:val="-88"/>
        </w:rPr>
        <w:t>元</w:t>
      </w:r>
      <w:r>
        <w:rPr/>
        <w:t>（含</w:t>
      </w:r>
    </w:p>
    <w:p>
      <w:pPr>
        <w:pStyle w:val="BodyText"/>
        <w:spacing w:line="240" w:lineRule="auto" w:before="77"/>
        <w:ind w:left="1133" w:right="0"/>
        <w:jc w:val="left"/>
      </w:pPr>
      <w:r>
        <w:rPr/>
        <w:t>税）。该利润分配方案于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日实施完毕。</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380"/>
        <w:gridCol w:w="3119"/>
      </w:tblGrid>
      <w:tr>
        <w:trPr>
          <w:trHeight w:val="402" w:hRule="exact"/>
        </w:trPr>
        <w:tc>
          <w:tcPr>
            <w:tcW w:w="9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公司报告期利润分配预案及资本公积金转增股本预案与公司章程和分红管理办法等的相关规定一致</w:t>
      </w:r>
    </w:p>
    <w:p>
      <w:pPr>
        <w:pStyle w:val="BodyText"/>
        <w:spacing w:line="357" w:lineRule="auto" w:before="116"/>
        <w:ind w:left="1494" w:right="3912" w:hanging="360"/>
        <w:jc w:val="left"/>
      </w:pPr>
      <w:r>
        <w:rPr/>
        <w:t>√ 是 □ 否 □ 不适用 公司报告期利润分配预案及资本公积金转增股本预案符合公司章程等的相关规定。</w:t>
      </w:r>
    </w:p>
    <w:p>
      <w:pPr>
        <w:pStyle w:val="BodyText"/>
        <w:spacing w:line="240" w:lineRule="auto" w:before="108"/>
        <w:ind w:left="1133" w:right="0"/>
        <w:jc w:val="left"/>
      </w:pPr>
      <w:r>
        <w:rPr/>
        <w:t>本年度利润分配及资本公积金转增股本预案</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206,317,721.77</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在符合利润分配原则、保证公司正常经营和长远发展的前提下，如无重大投资或重大现金支出计划，公司单一年度以现金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形式分配的利润不少于当年实现的可供分配利润的</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430,056,000</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pacing w:val="-9"/>
                <w:sz w:val="18"/>
                <w:szCs w:val="18"/>
              </w:rPr>
              <w:t>元（含税），以现金形式</w:t>
            </w:r>
            <w:r>
              <w:rPr>
                <w:rFonts w:ascii="宋体" w:hAnsi="宋体" w:cs="宋体" w:eastAsia="宋体" w:hint="default"/>
                <w:sz w:val="18"/>
                <w:szCs w:val="18"/>
              </w:rPr>
              <w:t> 分配的利润占公司当年实现的可供分配利润的</w:t>
            </w:r>
            <w:r>
              <w:rPr>
                <w:rFonts w:ascii="宋体" w:hAnsi="宋体" w:cs="宋体" w:eastAsia="宋体" w:hint="default"/>
                <w:spacing w:val="-46"/>
                <w:sz w:val="18"/>
                <w:szCs w:val="18"/>
              </w:rPr>
              <w:t> </w:t>
            </w:r>
            <w:r>
              <w:rPr>
                <w:rFonts w:ascii="宋体" w:hAnsi="宋体" w:cs="宋体" w:eastAsia="宋体" w:hint="default"/>
                <w:sz w:val="18"/>
                <w:szCs w:val="18"/>
              </w:rPr>
              <w:t>79.92%</w:t>
            </w:r>
            <w:r>
              <w:rPr>
                <w:rFonts w:ascii="宋体" w:hAnsi="宋体" w:cs="宋体" w:eastAsia="宋体" w:hint="default"/>
                <w:sz w:val="18"/>
                <w:szCs w:val="18"/>
              </w:rPr>
              <w:t>。</w:t>
            </w:r>
          </w:p>
        </w:tc>
      </w:tr>
    </w:tbl>
    <w:p>
      <w:pPr>
        <w:spacing w:line="240" w:lineRule="auto" w:before="9"/>
        <w:rPr>
          <w:rFonts w:ascii="宋体" w:hAnsi="宋体" w:cs="宋体" w:eastAsia="宋体" w:hint="default"/>
          <w:sz w:val="6"/>
          <w:szCs w:val="6"/>
        </w:rPr>
      </w:pPr>
    </w:p>
    <w:p>
      <w:pPr>
        <w:pStyle w:val="BodyText"/>
        <w:spacing w:line="357" w:lineRule="auto" w:before="44"/>
        <w:ind w:left="1493" w:right="1393" w:hanging="360"/>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spacing w:val="-3"/>
        </w:rPr>
        <w:t>年（包括本报告期）的普通股股利分配方案（预案）、资本公积金转增股本方案（预案）情况</w:t>
      </w:r>
      <w:r>
        <w:rPr>
          <w:spacing w:val="-59"/>
        </w:rPr>
        <w:t> </w:t>
      </w:r>
      <w:r>
        <w:rPr>
          <w:spacing w:val="-59"/>
        </w:rPr>
      </w:r>
      <w:r>
        <w:rPr>
          <w:rFonts w:ascii="宋体" w:hAnsi="宋体" w:cs="宋体" w:eastAsia="宋体" w:hint="default"/>
        </w:rPr>
        <w:t>2017</w:t>
      </w:r>
      <w:r>
        <w:rPr/>
        <w:t>年度：公司拟以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股为基数向全体股东每</w:t>
      </w:r>
      <w:r>
        <w:rPr>
          <w:rFonts w:ascii="宋体" w:hAnsi="宋体" w:cs="宋体" w:eastAsia="宋体" w:hint="default"/>
        </w:rPr>
        <w:t>10</w:t>
      </w:r>
      <w:r>
        <w:rPr/>
        <w:t>股派发现金股利</w:t>
      </w:r>
      <w:r>
        <w:rPr>
          <w:rFonts w:ascii="宋体" w:hAnsi="宋体" w:cs="宋体" w:eastAsia="宋体" w:hint="default"/>
        </w:rPr>
        <w:t>0.3</w:t>
      </w:r>
      <w:r>
        <w:rPr/>
        <w:t>元（含税）。</w:t>
      </w:r>
    </w:p>
    <w:p>
      <w:pPr>
        <w:spacing w:after="0" w:line="357"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23" w:firstLine="360"/>
        <w:jc w:val="left"/>
      </w:pPr>
      <w:r>
        <w:rPr>
          <w:rFonts w:ascii="宋体" w:hAnsi="宋体" w:cs="宋体" w:eastAsia="宋体" w:hint="default"/>
        </w:rPr>
        <w:t>2016</w:t>
      </w:r>
      <w:r>
        <w:rPr/>
        <w:t>年度：经</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4</w:t>
      </w:r>
      <w:r>
        <w:rPr/>
        <w:t>日召开的</w:t>
      </w:r>
      <w:r>
        <w:rPr>
          <w:rFonts w:ascii="宋体" w:hAnsi="宋体" w:cs="宋体" w:eastAsia="宋体" w:hint="default"/>
        </w:rPr>
        <w:t>2016</w:t>
      </w:r>
      <w:r>
        <w:rPr/>
        <w:t>年年度股东大会审议批准，公司以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 向全体股东每</w:t>
      </w:r>
      <w:r>
        <w:rPr>
          <w:rFonts w:ascii="宋体" w:hAnsi="宋体" w:cs="宋体" w:eastAsia="宋体" w:hint="default"/>
        </w:rPr>
        <w:t>10</w:t>
      </w:r>
      <w:r>
        <w:rPr/>
        <w:t>股派发现金股利</w:t>
      </w:r>
      <w:r>
        <w:rPr>
          <w:rFonts w:ascii="宋体" w:hAnsi="宋体" w:cs="宋体" w:eastAsia="宋体" w:hint="default"/>
        </w:rPr>
        <w:t>0.3</w:t>
      </w:r>
      <w:r>
        <w:rPr/>
        <w:t>元（含税）。公司于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日实施了权益分派。</w:t>
      </w:r>
    </w:p>
    <w:p>
      <w:pPr>
        <w:pStyle w:val="BodyText"/>
        <w:spacing w:line="319" w:lineRule="auto" w:before="55"/>
        <w:ind w:left="1133" w:right="1123" w:firstLine="360"/>
        <w:jc w:val="left"/>
      </w:pPr>
      <w:r>
        <w:rPr>
          <w:rFonts w:ascii="宋体" w:hAnsi="宋体" w:cs="宋体" w:eastAsia="宋体" w:hint="default"/>
        </w:rPr>
        <w:t>2015</w:t>
      </w:r>
      <w:r>
        <w:rPr/>
        <w:t>年度：经</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4</w:t>
      </w:r>
      <w:r>
        <w:rPr/>
        <w:t>日召开的</w:t>
      </w:r>
      <w:r>
        <w:rPr>
          <w:rFonts w:ascii="宋体" w:hAnsi="宋体" w:cs="宋体" w:eastAsia="宋体" w:hint="default"/>
        </w:rPr>
        <w:t>2015</w:t>
      </w:r>
      <w:r>
        <w:rPr/>
        <w:t>年年度股东大会审议批准，公司以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 向全体股东每</w:t>
      </w:r>
      <w:r>
        <w:rPr>
          <w:rFonts w:ascii="宋体" w:hAnsi="宋体" w:cs="宋体" w:eastAsia="宋体" w:hint="default"/>
        </w:rPr>
        <w:t>10</w:t>
      </w:r>
      <w:r>
        <w:rPr/>
        <w:t>股派发现金股利</w:t>
      </w:r>
      <w:r>
        <w:rPr>
          <w:rFonts w:ascii="宋体" w:hAnsi="宋体" w:cs="宋体" w:eastAsia="宋体" w:hint="default"/>
        </w:rPr>
        <w:t>0.5</w:t>
      </w:r>
      <w:r>
        <w:rPr/>
        <w:t>元（含税）。公司于</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16</w:t>
      </w:r>
      <w:r>
        <w:rPr/>
        <w:t>日实施了权益分派。</w:t>
      </w:r>
    </w:p>
    <w:p>
      <w:pPr>
        <w:pStyle w:val="BodyText"/>
        <w:spacing w:line="240" w:lineRule="auto" w:before="137"/>
        <w:ind w:left="1133" w:right="0"/>
        <w:jc w:val="left"/>
      </w:pPr>
      <w:r>
        <w:rPr/>
        <w:t>公司近三年（包括本报告期）普通股现金分红情况表</w:t>
      </w:r>
    </w:p>
    <w:p>
      <w:pPr>
        <w:pStyle w:val="BodyText"/>
        <w:spacing w:line="240" w:lineRule="auto" w:before="117"/>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270" w:type="dxa"/>
        <w:tblLayout w:type="fixed"/>
        <w:tblCellMar>
          <w:top w:w="0" w:type="dxa"/>
          <w:left w:w="0" w:type="dxa"/>
          <w:bottom w:w="0" w:type="dxa"/>
          <w:right w:w="0" w:type="dxa"/>
        </w:tblCellMar>
        <w:tblLook w:val="01E0"/>
      </w:tblPr>
      <w:tblGrid>
        <w:gridCol w:w="1248"/>
        <w:gridCol w:w="1757"/>
        <w:gridCol w:w="1701"/>
        <w:gridCol w:w="1702"/>
        <w:gridCol w:w="1474"/>
        <w:gridCol w:w="1474"/>
      </w:tblGrid>
      <w:tr>
        <w:trPr>
          <w:trHeight w:val="102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5"/>
              <w:jc w:val="right"/>
              <w:rPr>
                <w:rFonts w:ascii="宋体" w:hAnsi="宋体" w:cs="宋体" w:eastAsia="宋体" w:hint="default"/>
                <w:sz w:val="18"/>
                <w:szCs w:val="18"/>
              </w:rPr>
            </w:pPr>
            <w:r>
              <w:rPr>
                <w:rFonts w:ascii="宋体" w:hAnsi="宋体" w:cs="宋体" w:eastAsia="宋体" w:hint="default"/>
                <w:spacing w:val="-4"/>
                <w:sz w:val="18"/>
                <w:szCs w:val="18"/>
              </w:rPr>
              <w:t>现金分红金额（含税）</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10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10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22,596,900.58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57.09%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19,849,784.44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6,994,961.07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307.40%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7"/>
        <w:ind w:left="1133" w:right="0"/>
        <w:jc w:val="left"/>
      </w:pPr>
      <w:r>
        <w:rPr/>
        <w:t>□ 适用 √ 不适用</w:t>
      </w:r>
    </w:p>
    <w:p>
      <w:pPr>
        <w:spacing w:after="0" w:line="240" w:lineRule="auto"/>
        <w:jc w:val="left"/>
        <w:sectPr>
          <w:pgSz w:w="11910" w:h="16840"/>
          <w:pgMar w:header="877" w:footer="979" w:top="1100" w:bottom="1160" w:left="0" w:right="0"/>
        </w:sectPr>
      </w:pPr>
    </w:p>
    <w:p>
      <w:pPr>
        <w:pStyle w:val="Heading2"/>
        <w:spacing w:line="240" w:lineRule="auto" w:before="30"/>
        <w:ind w:left="340" w:right="0"/>
        <w:jc w:val="left"/>
        <w:rPr>
          <w:b w:val="0"/>
          <w:bCs w:val="0"/>
        </w:rPr>
      </w:pPr>
      <w:r>
        <w:rPr/>
        <w:pict>
          <v:group style="position:absolute;margin-left:70.5pt;margin-top:2.255627pt;width:701pt;height:.1pt;mso-position-horizontal-relative:page;mso-position-vertical-relative:paragraph;z-index:-79559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二、承诺事项履行情况" w:id="65"/>
      <w:bookmarkEnd w:id="65"/>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40" w:right="0"/>
        <w:jc w:val="left"/>
        <w:rPr>
          <w:b w:val="0"/>
          <w:bCs w:val="0"/>
        </w:rPr>
      </w:pPr>
      <w:bookmarkStart w:name="1、公司实际控制人、股东、关联方、收购人以及公司等承诺相关方在报告期内履行完毕及" w:id="66"/>
      <w:bookmarkEnd w:id="66"/>
      <w:r>
        <w:rPr>
          <w:b w:val="0"/>
          <w:bCs w:val="0"/>
        </w:rPr>
      </w: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40"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785"/>
        <w:gridCol w:w="2126"/>
        <w:gridCol w:w="1186"/>
        <w:gridCol w:w="6185"/>
        <w:gridCol w:w="851"/>
        <w:gridCol w:w="1062"/>
        <w:gridCol w:w="1212"/>
      </w:tblGrid>
      <w:tr>
        <w:trPr>
          <w:trHeight w:val="402"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18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18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203" w:hRule="exact"/>
        </w:trPr>
        <w:tc>
          <w:tcPr>
            <w:tcW w:w="17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4" w:right="12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华工创投、光谷基金、产业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集团、和瑞投资</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11"/>
                <w:sz w:val="18"/>
                <w:szCs w:val="18"/>
              </w:rPr>
              <w:t>争、关联交易、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资金占用方面</w:t>
            </w:r>
            <w:r>
              <w:rPr>
                <w:rFonts w:ascii="宋体" w:hAnsi="宋体" w:cs="宋体" w:eastAsia="宋体" w:hint="default"/>
                <w:sz w:val="18"/>
                <w:szCs w:val="18"/>
              </w:rPr>
              <w:t> 的承诺</w:t>
            </w:r>
          </w:p>
        </w:tc>
        <w:tc>
          <w:tcPr>
            <w:tcW w:w="618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关于规范关联交易的承诺 承诺将按照法律、法规及公司章程依法行使股东权利，不利用关联股东身份影 响天喻信息的独立性，保持天喻信息在资产、人员、财务、业务和机构等方面</w:t>
            </w:r>
          </w:p>
          <w:p>
            <w:pPr>
              <w:pStyle w:val="TableParagraph"/>
              <w:spacing w:line="319" w:lineRule="auto" w:before="2"/>
              <w:ind w:left="22" w:right="30"/>
              <w:jc w:val="both"/>
              <w:rPr>
                <w:rFonts w:ascii="宋体" w:hAnsi="宋体" w:cs="宋体" w:eastAsia="宋体" w:hint="default"/>
                <w:sz w:val="18"/>
                <w:szCs w:val="18"/>
              </w:rPr>
            </w:pPr>
            <w:r>
              <w:rPr>
                <w:rFonts w:ascii="宋体" w:hAnsi="宋体" w:cs="宋体" w:eastAsia="宋体" w:hint="default"/>
                <w:sz w:val="18"/>
                <w:szCs w:val="18"/>
              </w:rPr>
              <w:t>的独立性；承诺与天喻信息进行关联交易时将按公平、公开的市场原则进行， 并履行法律、法规、规范性文件和公司章程规定的程序；承诺不通过与天喻信 息之间的关联交易谋求特殊的利益，不进行有损天喻信息及其中小股东利益的 关联交易。</w:t>
            </w:r>
          </w:p>
          <w:p>
            <w:pPr>
              <w:pStyle w:val="TableParagraph"/>
              <w:spacing w:line="240" w:lineRule="auto" w:before="58"/>
              <w:ind w:left="22"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9" w:lineRule="auto" w:before="115"/>
              <w:ind w:left="22" w:right="2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）承诺人及其全资、控股子企业目前不拥有及经营任何在商业上与天喻信息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正在经营的业务有直接竞争的业务。（</w:t>
            </w:r>
            <w:r>
              <w:rPr>
                <w:rFonts w:ascii="宋体" w:hAnsi="宋体" w:cs="宋体" w:eastAsia="宋体" w:hint="default"/>
                <w:spacing w:val="-3"/>
                <w:sz w:val="18"/>
                <w:szCs w:val="18"/>
              </w:rPr>
              <w:t>2</w:t>
            </w:r>
            <w:r>
              <w:rPr>
                <w:rFonts w:ascii="宋体" w:hAnsi="宋体" w:cs="宋体" w:eastAsia="宋体" w:hint="default"/>
                <w:spacing w:val="-3"/>
                <w:sz w:val="18"/>
                <w:szCs w:val="18"/>
              </w:rPr>
              <w:t>）承诺人本身、并且承诺人必将通过法</w:t>
            </w:r>
            <w:r>
              <w:rPr>
                <w:rFonts w:ascii="宋体" w:hAnsi="宋体" w:cs="宋体" w:eastAsia="宋体" w:hint="default"/>
                <w:spacing w:val="-75"/>
                <w:sz w:val="18"/>
                <w:szCs w:val="18"/>
              </w:rPr>
              <w:t> </w:t>
            </w:r>
            <w:r>
              <w:rPr>
                <w:rFonts w:ascii="宋体" w:hAnsi="宋体" w:cs="宋体" w:eastAsia="宋体" w:hint="default"/>
                <w:sz w:val="18"/>
                <w:szCs w:val="18"/>
              </w:rPr>
              <w:t>律程序使承诺人之全资、控股子企业将来均不从事任何在商业上与天喻信息正 </w:t>
            </w:r>
            <w:r>
              <w:rPr>
                <w:rFonts w:ascii="宋体" w:hAnsi="宋体" w:cs="宋体" w:eastAsia="宋体" w:hint="default"/>
                <w:spacing w:val="-3"/>
                <w:sz w:val="18"/>
                <w:szCs w:val="18"/>
              </w:rPr>
              <w:t>在经营的业务有直接竞争的业务。（</w:t>
            </w:r>
            <w:r>
              <w:rPr>
                <w:rFonts w:ascii="宋体" w:hAnsi="宋体" w:cs="宋体" w:eastAsia="宋体" w:hint="default"/>
                <w:spacing w:val="-3"/>
                <w:sz w:val="18"/>
                <w:szCs w:val="18"/>
              </w:rPr>
              <w:t>3</w:t>
            </w:r>
            <w:r>
              <w:rPr>
                <w:rFonts w:ascii="宋体" w:hAnsi="宋体" w:cs="宋体" w:eastAsia="宋体" w:hint="default"/>
                <w:spacing w:val="-3"/>
                <w:sz w:val="18"/>
                <w:szCs w:val="18"/>
              </w:rPr>
              <w:t>）如承诺人（包括受承诺人控制的子企业</w:t>
            </w:r>
            <w:r>
              <w:rPr>
                <w:rFonts w:ascii="宋体" w:hAnsi="宋体" w:cs="宋体" w:eastAsia="宋体" w:hint="default"/>
                <w:spacing w:val="-75"/>
                <w:sz w:val="18"/>
                <w:szCs w:val="18"/>
              </w:rPr>
              <w:t> </w:t>
            </w:r>
            <w:r>
              <w:rPr>
                <w:rFonts w:ascii="宋体" w:hAnsi="宋体" w:cs="宋体" w:eastAsia="宋体" w:hint="default"/>
                <w:sz w:val="18"/>
                <w:szCs w:val="18"/>
              </w:rPr>
              <w:t>或其他关联企业）将来经营的产品或服务与天喻信息的主营产品或服务有可能 形成竞争，承诺人同意天喻信息有权优先收购承诺人与该等产品或服务有关的 </w:t>
            </w:r>
            <w:r>
              <w:rPr>
                <w:rFonts w:ascii="宋体" w:hAnsi="宋体" w:cs="宋体" w:eastAsia="宋体" w:hint="default"/>
                <w:spacing w:val="-3"/>
                <w:sz w:val="18"/>
                <w:szCs w:val="18"/>
              </w:rPr>
              <w:t>资产或承诺人在子企业中的全部股权。（</w:t>
            </w:r>
            <w:r>
              <w:rPr>
                <w:rFonts w:ascii="宋体" w:hAnsi="宋体" w:cs="宋体" w:eastAsia="宋体" w:hint="default"/>
                <w:spacing w:val="-3"/>
                <w:sz w:val="18"/>
                <w:szCs w:val="18"/>
              </w:rPr>
              <w:t>4</w:t>
            </w:r>
            <w:r>
              <w:rPr>
                <w:rFonts w:ascii="宋体" w:hAnsi="宋体" w:cs="宋体" w:eastAsia="宋体" w:hint="default"/>
                <w:spacing w:val="-3"/>
                <w:sz w:val="18"/>
                <w:szCs w:val="18"/>
              </w:rPr>
              <w:t>）如因承诺人未履行承诺给天喻信息</w:t>
            </w:r>
            <w:r>
              <w:rPr>
                <w:rFonts w:ascii="宋体" w:hAnsi="宋体" w:cs="宋体" w:eastAsia="宋体" w:hint="default"/>
                <w:spacing w:val="-75"/>
                <w:sz w:val="18"/>
                <w:szCs w:val="18"/>
              </w:rPr>
              <w:t> </w:t>
            </w:r>
            <w:r>
              <w:rPr>
                <w:rFonts w:ascii="宋体" w:hAnsi="宋体" w:cs="宋体" w:eastAsia="宋体" w:hint="default"/>
                <w:sz w:val="18"/>
                <w:szCs w:val="18"/>
              </w:rPr>
              <w:t>造成损失的，承诺人将赔偿天喻信息的实际损失。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7" w:hRule="exact"/>
        </w:trPr>
        <w:tc>
          <w:tcPr>
            <w:tcW w:w="1785"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武汉华创欣网科技有限公 </w:t>
            </w:r>
            <w:r>
              <w:rPr>
                <w:rFonts w:ascii="宋体" w:hAnsi="宋体" w:cs="宋体" w:eastAsia="宋体" w:hint="default"/>
                <w:spacing w:val="-8"/>
                <w:sz w:val="18"/>
                <w:szCs w:val="18"/>
              </w:rPr>
              <w:t>司、武汉开目信息技术有限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责任公司、武汉集成电路设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3"/>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11"/>
                <w:sz w:val="18"/>
                <w:szCs w:val="18"/>
              </w:rPr>
              <w:t>争、关联交易、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资金占用方面</w:t>
            </w:r>
          </w:p>
        </w:tc>
        <w:tc>
          <w:tcPr>
            <w:tcW w:w="6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6" w:lineRule="auto" w:before="115"/>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我公司</w:t>
            </w:r>
            <w:r>
              <w:rPr>
                <w:rFonts w:ascii="宋体" w:hAnsi="宋体" w:cs="宋体" w:eastAsia="宋体" w:hint="default"/>
                <w:spacing w:val="-2"/>
                <w:sz w:val="18"/>
                <w:szCs w:val="18"/>
              </w:rPr>
              <w:t>目</w:t>
            </w:r>
            <w:r>
              <w:rPr>
                <w:rFonts w:ascii="宋体" w:hAnsi="宋体" w:cs="宋体" w:eastAsia="宋体" w:hint="default"/>
                <w:sz w:val="18"/>
                <w:szCs w:val="18"/>
              </w:rPr>
              <w:t>前不从事与天喻信息业务竞争或可能构成竞争的业务或其它经济</w:t>
            </w:r>
            <w:r>
              <w:rPr>
                <w:rFonts w:ascii="宋体" w:hAnsi="宋体" w:cs="宋体" w:eastAsia="宋体" w:hint="default"/>
                <w:sz w:val="18"/>
                <w:szCs w:val="18"/>
              </w:rPr>
              <w:t> 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）我公司承诺以后也不会从事与天喻信息业务有竞争或可能构成竞争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2"/>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headerReference w:type="default" r:id="rId19"/>
          <w:footerReference w:type="default" r:id="rId20"/>
          <w:pgSz w:w="16840" w:h="11910" w:orient="landscape"/>
          <w:pgMar w:header="867" w:footer="979" w:top="1060" w:bottom="1160" w:left="1100" w:right="0"/>
          <w:pgNumType w:start="26"/>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785"/>
        <w:gridCol w:w="2126"/>
        <w:gridCol w:w="1186"/>
        <w:gridCol w:w="6185"/>
        <w:gridCol w:w="851"/>
        <w:gridCol w:w="1062"/>
        <w:gridCol w:w="1212"/>
      </w:tblGrid>
      <w:tr>
        <w:trPr>
          <w:trHeight w:val="332" w:hRule="exact"/>
        </w:trPr>
        <w:tc>
          <w:tcPr>
            <w:tcW w:w="1785" w:type="dxa"/>
            <w:vMerge w:val="restart"/>
            <w:tcBorders>
              <w:top w:val="single" w:sz="15" w:space="0" w:color="000000"/>
              <w:left w:val="single" w:sz="4" w:space="0" w:color="000000"/>
              <w:right w:val="single" w:sz="4" w:space="0" w:color="000000"/>
            </w:tcBorders>
          </w:tcPr>
          <w:p>
            <w:pPr/>
          </w:p>
        </w:tc>
        <w:tc>
          <w:tcPr>
            <w:tcW w:w="2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计工程技术有限公司</w:t>
            </w:r>
            <w:r>
              <w:rPr>
                <w:rFonts w:ascii="宋体" w:hAnsi="宋体" w:cs="宋体" w:eastAsia="宋体" w:hint="default"/>
                <w:spacing w:val="-90"/>
                <w:sz w:val="18"/>
                <w:szCs w:val="18"/>
              </w:rPr>
              <w:t>、</w:t>
            </w:r>
            <w:r>
              <w:rPr>
                <w:rFonts w:ascii="宋体" w:hAnsi="宋体" w:cs="宋体" w:eastAsia="宋体" w:hint="default"/>
                <w:sz w:val="18"/>
                <w:szCs w:val="18"/>
              </w:rPr>
              <w:t>武汉</w:t>
            </w:r>
          </w:p>
        </w:tc>
        <w:tc>
          <w:tcPr>
            <w:tcW w:w="118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618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的业务或其它经济活动。</w:t>
            </w:r>
          </w:p>
        </w:tc>
        <w:tc>
          <w:tcPr>
            <w:tcW w:w="851" w:type="dxa"/>
            <w:vMerge w:val="restart"/>
            <w:tcBorders>
              <w:top w:val="single" w:sz="15" w:space="0" w:color="000000"/>
              <w:left w:val="single" w:sz="4" w:space="0" w:color="000000"/>
              <w:right w:val="single" w:sz="4" w:space="0" w:color="000000"/>
            </w:tcBorders>
          </w:tcPr>
          <w:p>
            <w:pPr/>
          </w:p>
        </w:tc>
        <w:tc>
          <w:tcPr>
            <w:tcW w:w="1062" w:type="dxa"/>
            <w:vMerge w:val="restart"/>
            <w:tcBorders>
              <w:top w:val="single" w:sz="15" w:space="0" w:color="000000"/>
              <w:left w:val="single" w:sz="4" w:space="0" w:color="000000"/>
              <w:right w:val="single" w:sz="4" w:space="0" w:color="000000"/>
            </w:tcBorders>
          </w:tcPr>
          <w:p>
            <w:pPr/>
          </w:p>
        </w:tc>
        <w:tc>
          <w:tcPr>
            <w:tcW w:w="1212" w:type="dxa"/>
            <w:vMerge w:val="restart"/>
            <w:tcBorders>
              <w:top w:val="single" w:sz="15" w:space="0" w:color="000000"/>
              <w:left w:val="single" w:sz="4" w:space="0" w:color="000000"/>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华工大创能科技有限责任</w:t>
            </w: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90"/>
                <w:sz w:val="18"/>
                <w:szCs w:val="18"/>
              </w:rPr>
              <w:t>、</w:t>
            </w:r>
            <w:r>
              <w:rPr>
                <w:rFonts w:ascii="宋体" w:hAnsi="宋体" w:cs="宋体" w:eastAsia="宋体" w:hint="default"/>
                <w:sz w:val="18"/>
                <w:szCs w:val="18"/>
              </w:rPr>
              <w:t>武汉鸿象信息技术有</w:t>
            </w: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90"/>
                <w:sz w:val="18"/>
                <w:szCs w:val="18"/>
              </w:rPr>
              <w:t>、</w:t>
            </w:r>
            <w:r>
              <w:rPr>
                <w:rFonts w:ascii="宋体" w:hAnsi="宋体" w:cs="宋体" w:eastAsia="宋体" w:hint="default"/>
                <w:sz w:val="18"/>
                <w:szCs w:val="18"/>
              </w:rPr>
              <w:t>深圳市华科兆恒科</w:t>
            </w: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技有限公司（公司控股股</w:t>
            </w: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13"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90"/>
                <w:sz w:val="18"/>
                <w:szCs w:val="18"/>
              </w:rPr>
              <w:t>、</w:t>
            </w:r>
            <w:r>
              <w:rPr>
                <w:rFonts w:ascii="宋体" w:hAnsi="宋体" w:cs="宋体" w:eastAsia="宋体" w:hint="default"/>
                <w:sz w:val="18"/>
                <w:szCs w:val="18"/>
              </w:rPr>
              <w:t>实际控制人控制的六家</w:t>
            </w: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57"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86" w:type="dxa"/>
            <w:tcBorders>
              <w:top w:val="nil" w:sz="6" w:space="0" w:color="auto"/>
              <w:left w:val="single" w:sz="4" w:space="0" w:color="000000"/>
              <w:bottom w:val="single" w:sz="4" w:space="0" w:color="000000"/>
              <w:right w:val="single" w:sz="4" w:space="0" w:color="000000"/>
            </w:tcBorders>
          </w:tcPr>
          <w:p>
            <w:pPr/>
          </w:p>
        </w:tc>
        <w:tc>
          <w:tcPr>
            <w:tcW w:w="6185"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714" w:hRule="exact"/>
        </w:trPr>
        <w:tc>
          <w:tcPr>
            <w:tcW w:w="1785"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保证与公司在人员、资产、财务、机构和业务方面独立。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78" w:hRule="exact"/>
        </w:trPr>
        <w:tc>
          <w:tcPr>
            <w:tcW w:w="1785"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c>
          <w:tcPr>
            <w:tcW w:w="61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tc>
        <w:tc>
          <w:tcPr>
            <w:tcW w:w="851"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承诺在不与法律、法规相抵触的前提下，在权利所及范围内，确保自身及其全</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资、控股下属企业在与天喻信息进行关联交易时将按公平、公开的市场原则进</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行，并履行法律、法规、规范性文件和公司章程规定的程序；承诺并确保自身</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全资、控股下属企业不通过与天喻信息之间的关联交易谋求特殊的利益，不进</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行有损天喻信息及其中小股东利益的关联交易。</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654"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pacing w:val="-11"/>
                <w:sz w:val="18"/>
                <w:szCs w:val="18"/>
              </w:rPr>
              <w:t>争、关联交易、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资金占用方面</w:t>
            </w: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21"/>
                <w:sz w:val="18"/>
                <w:szCs w:val="18"/>
              </w:rPr>
              <w:t>）</w:t>
            </w:r>
            <w:r>
              <w:rPr>
                <w:rFonts w:ascii="宋体" w:hAnsi="宋体" w:cs="宋体" w:eastAsia="宋体" w:hint="default"/>
                <w:sz w:val="18"/>
                <w:szCs w:val="18"/>
              </w:rPr>
              <w:t>我校作为行政事业单位不会直接从事经营活动</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21"/>
                <w:sz w:val="18"/>
                <w:szCs w:val="18"/>
              </w:rPr>
              <w:t>）</w:t>
            </w:r>
            <w:r>
              <w:rPr>
                <w:rFonts w:ascii="宋体" w:hAnsi="宋体" w:cs="宋体" w:eastAsia="宋体" w:hint="default"/>
                <w:sz w:val="18"/>
                <w:szCs w:val="18"/>
              </w:rPr>
              <w:t>我校承诺不支持</w:t>
            </w:r>
            <w:r>
              <w:rPr>
                <w:rFonts w:ascii="宋体" w:hAnsi="宋体" w:cs="宋体" w:eastAsia="宋体" w:hint="default"/>
                <w:spacing w:val="-21"/>
                <w:sz w:val="18"/>
                <w:szCs w:val="18"/>
              </w:rPr>
              <w:t>、</w:t>
            </w:r>
            <w:r>
              <w:rPr>
                <w:rFonts w:ascii="宋体" w:hAnsi="宋体" w:cs="宋体" w:eastAsia="宋体" w:hint="default"/>
                <w:sz w:val="18"/>
                <w:szCs w:val="18"/>
              </w:rPr>
              <w:t>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41"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批准我校下属的除天喻信息以外的其他企业从事与天喻信息业务竞争或可能构</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成竞争的业务或其它经济活动，不以独资经营、合资经营和拥有在其他公司或</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企业的股权或权益的方式从事与天喻信息业务有竞争或可能构成竞争的业务或</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其它经济活动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）我校承诺将促使我校下属的除天喻信息以外的其他企业在</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今后的经营范围和投资方向上，避免与天喻信息相同或相似；对天喻信息已经</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61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进行建设或拟投资兴建的项目，将不会进行同样的建设或投资。</w:t>
            </w:r>
          </w:p>
        </w:tc>
        <w:tc>
          <w:tcPr>
            <w:tcW w:w="851"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85"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c>
          <w:tcPr>
            <w:tcW w:w="61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自发行人股票在深圳证券交易所上市之日起十二个月内，将不通过包括但不限</w:t>
            </w:r>
          </w:p>
        </w:tc>
        <w:tc>
          <w:tcPr>
            <w:tcW w:w="851"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于签署转让协议、进行股权托管等任何方式，减少本人在本次发行前所持有或</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33"/>
              <w:jc w:val="left"/>
              <w:rPr>
                <w:rFonts w:ascii="宋体" w:hAnsi="宋体" w:cs="宋体" w:eastAsia="宋体" w:hint="default"/>
                <w:sz w:val="18"/>
                <w:szCs w:val="18"/>
              </w:rPr>
            </w:pPr>
            <w:r>
              <w:rPr>
                <w:rFonts w:ascii="宋体" w:hAnsi="宋体" w:cs="宋体" w:eastAsia="宋体" w:hint="default"/>
                <w:spacing w:val="-17"/>
                <w:sz w:val="18"/>
                <w:szCs w:val="18"/>
              </w:rPr>
              <w:t>张新访、王彬、江绥（离任）</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30"/>
              <w:jc w:val="left"/>
              <w:rPr>
                <w:rFonts w:ascii="宋体" w:hAnsi="宋体" w:cs="宋体" w:eastAsia="宋体" w:hint="default"/>
                <w:sz w:val="18"/>
                <w:szCs w:val="18"/>
              </w:rPr>
            </w:pPr>
            <w:r>
              <w:rPr>
                <w:rFonts w:ascii="宋体" w:hAnsi="宋体" w:cs="宋体" w:eastAsia="宋体" w:hint="default"/>
                <w:sz w:val="18"/>
                <w:szCs w:val="18"/>
              </w:rPr>
              <w:t>者实际持有的发行人的股票，也不会促使或者同意发行人回购部分或者全部本 人所持有的股份。本人在任职期间每年转让的股份不超过本人所持有的发行人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785"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6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；离职后半年内，不转让本承诺人所持有的发行人股份。若本</w:t>
            </w:r>
          </w:p>
        </w:tc>
        <w:tc>
          <w:tcPr>
            <w:tcW w:w="851"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85" w:type="dxa"/>
            <w:vMerge/>
            <w:tcBorders>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61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人在发行人首次公开发行股票上市之日起六个月内申报离职的，自申报离职之</w:t>
            </w:r>
          </w:p>
        </w:tc>
        <w:tc>
          <w:tcPr>
            <w:tcW w:w="851"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785"/>
        <w:gridCol w:w="2126"/>
        <w:gridCol w:w="1186"/>
        <w:gridCol w:w="6185"/>
        <w:gridCol w:w="851"/>
        <w:gridCol w:w="1062"/>
        <w:gridCol w:w="1212"/>
      </w:tblGrid>
      <w:tr>
        <w:trPr>
          <w:trHeight w:val="1001" w:hRule="exact"/>
        </w:trPr>
        <w:tc>
          <w:tcPr>
            <w:tcW w:w="1785" w:type="dxa"/>
            <w:tcBorders>
              <w:top w:val="single" w:sz="15" w:space="0" w:color="000000"/>
              <w:left w:val="single" w:sz="4" w:space="0" w:color="000000"/>
              <w:bottom w:val="single" w:sz="4" w:space="0" w:color="000000"/>
              <w:right w:val="single" w:sz="4" w:space="0" w:color="000000"/>
            </w:tcBorders>
          </w:tcPr>
          <w:p>
            <w:pPr/>
          </w:p>
        </w:tc>
        <w:tc>
          <w:tcPr>
            <w:tcW w:w="2126" w:type="dxa"/>
            <w:tcBorders>
              <w:top w:val="single" w:sz="15" w:space="0" w:color="000000"/>
              <w:left w:val="single" w:sz="4" w:space="0" w:color="000000"/>
              <w:bottom w:val="single" w:sz="4" w:space="0" w:color="000000"/>
              <w:right w:val="single" w:sz="4" w:space="0" w:color="000000"/>
            </w:tcBorders>
          </w:tcPr>
          <w:p>
            <w:pPr/>
          </w:p>
        </w:tc>
        <w:tc>
          <w:tcPr>
            <w:tcW w:w="1186" w:type="dxa"/>
            <w:tcBorders>
              <w:top w:val="single" w:sz="15" w:space="0" w:color="000000"/>
              <w:left w:val="single" w:sz="4" w:space="0" w:color="000000"/>
              <w:bottom w:val="single" w:sz="4" w:space="0" w:color="000000"/>
              <w:right w:val="single" w:sz="4" w:space="0" w:color="000000"/>
            </w:tcBorders>
          </w:tcPr>
          <w:p>
            <w:pPr/>
          </w:p>
        </w:tc>
        <w:tc>
          <w:tcPr>
            <w:tcW w:w="61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30"/>
              <w:jc w:val="both"/>
              <w:rPr>
                <w:rFonts w:ascii="宋体" w:hAnsi="宋体" w:cs="宋体" w:eastAsia="宋体" w:hint="default"/>
                <w:sz w:val="18"/>
                <w:szCs w:val="18"/>
              </w:rPr>
            </w:pPr>
            <w:r>
              <w:rPr>
                <w:rFonts w:ascii="宋体" w:hAnsi="宋体" w:cs="宋体" w:eastAsia="宋体" w:hint="default"/>
                <w:sz w:val="18"/>
                <w:szCs w:val="18"/>
              </w:rPr>
              <w:t>日起十八个月内不转让本人直接持有发行人的股份；在首次公开发行股票上市 之日起第七个月至第十二个月之间申报离职的，自申报离职之日起十二个月内 不转让本人直接持有发行人的股份。</w:t>
            </w:r>
          </w:p>
        </w:tc>
        <w:tc>
          <w:tcPr>
            <w:tcW w:w="851" w:type="dxa"/>
            <w:tcBorders>
              <w:top w:val="single" w:sz="15" w:space="0" w:color="000000"/>
              <w:left w:val="single" w:sz="4" w:space="0" w:color="000000"/>
              <w:bottom w:val="single" w:sz="4" w:space="0" w:color="000000"/>
              <w:right w:val="single" w:sz="4" w:space="0" w:color="000000"/>
            </w:tcBorders>
          </w:tcPr>
          <w:p>
            <w:pPr/>
          </w:p>
        </w:tc>
        <w:tc>
          <w:tcPr>
            <w:tcW w:w="1062" w:type="dxa"/>
            <w:tcBorders>
              <w:top w:val="single" w:sz="15" w:space="0" w:color="000000"/>
              <w:left w:val="single" w:sz="4" w:space="0" w:color="000000"/>
              <w:bottom w:val="single" w:sz="4" w:space="0" w:color="000000"/>
              <w:right w:val="single" w:sz="4" w:space="0" w:color="000000"/>
            </w:tcBorders>
          </w:tcPr>
          <w:p>
            <w:pPr/>
          </w:p>
        </w:tc>
        <w:tc>
          <w:tcPr>
            <w:tcW w:w="121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18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18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6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8"/>
                <w:sz w:val="18"/>
                <w:szCs w:val="18"/>
              </w:rPr>
              <w:t>毕的，应当详细说明未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完成履行的具体原因 及下一步的工作计划</w:t>
            </w:r>
          </w:p>
        </w:tc>
        <w:tc>
          <w:tcPr>
            <w:tcW w:w="126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340" w:right="0"/>
        <w:jc w:val="left"/>
        <w:rPr>
          <w:b w:val="0"/>
          <w:bCs w:val="0"/>
        </w:rPr>
      </w:pPr>
      <w:bookmarkStart w:name="2、公司资产或项目存在盈利预测，且报告期仍处在盈利预测期间，公司就资产或项目达到" w:id="67"/>
      <w:bookmarkEnd w:id="67"/>
      <w:r>
        <w:rPr>
          <w:b w:val="0"/>
          <w:bCs w:val="0"/>
        </w:rPr>
      </w:r>
      <w:r>
        <w:rPr>
          <w:rFonts w:ascii="宋体" w:hAnsi="宋体" w:cs="宋体" w:eastAsia="宋体" w:hint="default"/>
        </w:rPr>
        <w:t>2</w:t>
      </w:r>
      <w:r>
        <w:rPr/>
        <w:t>、公司资产或项目存在盈利预测，且报告期仍处在盈利预测期间，公司就资产或项目达到原盈利预测及其原因做出说明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40" w:right="0"/>
        <w:jc w:val="left"/>
      </w:pPr>
      <w:r>
        <w:rPr/>
        <w:t>□ 适用 √ 不适用</w:t>
      </w:r>
    </w:p>
    <w:p>
      <w:pPr>
        <w:spacing w:after="0" w:line="240" w:lineRule="auto"/>
        <w:jc w:val="left"/>
        <w:sectPr>
          <w:pgSz w:w="16840" w:h="11910" w:orient="landscape"/>
          <w:pgMar w:header="867" w:footer="979" w:top="1060" w:bottom="1160" w:left="110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4633" w:hanging="360"/>
        <w:jc w:val="left"/>
      </w:pPr>
      <w:r>
        <w:rPr/>
        <w:t>□ 适用 √ 不适用 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9"/>
      <w:bookmarkEnd w:id="69"/>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1393"/>
        <w:jc w:val="left"/>
        <w:rPr>
          <w:b w:val="0"/>
          <w:bCs w:val="0"/>
        </w:rPr>
      </w:pPr>
      <w:bookmarkStart w:name="五、董事会、监事会、独立董事（如有）对会计师事务所本报告期“非标准审计报告”的说" w:id="70"/>
      <w:bookmarkEnd w:id="70"/>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pStyle w:val="BodyText"/>
        <w:spacing w:line="319" w:lineRule="auto" w:before="115"/>
        <w:ind w:left="1133" w:right="1115" w:firstLine="450"/>
        <w:jc w:val="left"/>
      </w:pPr>
      <w:r>
        <w:rPr/>
        <w:t>根据财政部</w:t>
      </w:r>
      <w:r>
        <w:rPr>
          <w:spacing w:val="-41"/>
        </w:rPr>
        <w:t> </w:t>
      </w:r>
      <w:r>
        <w:rPr>
          <w:rFonts w:ascii="宋体" w:hAnsi="宋体" w:cs="宋体" w:eastAsia="宋体" w:hint="default"/>
        </w:rPr>
        <w:t>2017</w:t>
      </w:r>
      <w:r>
        <w:rPr>
          <w:rFonts w:ascii="宋体" w:hAnsi="宋体" w:cs="宋体" w:eastAsia="宋体" w:hint="default"/>
          <w:spacing w:val="-41"/>
        </w:rPr>
        <w:t> </w:t>
      </w:r>
      <w:r>
        <w:rPr/>
        <w:t>年修订和发布的具体会计准则及财务报表格式，公司变更了相关会计政策，详见“第十一节 财务报 </w:t>
      </w:r>
      <w:r>
        <w:rPr>
          <w:spacing w:val="-3"/>
        </w:rPr>
        <w:t>告</w:t>
      </w:r>
      <w:r>
        <w:rPr>
          <w:rFonts w:ascii="宋体" w:hAnsi="宋体" w:cs="宋体" w:eastAsia="宋体" w:hint="default"/>
          <w:spacing w:val="-3"/>
        </w:rPr>
        <w:t>/</w:t>
      </w:r>
      <w:r>
        <w:rPr>
          <w:spacing w:val="-3"/>
        </w:rPr>
        <w:t>五、重要会计政策及会计估计</w:t>
      </w:r>
      <w:r>
        <w:rPr>
          <w:rFonts w:ascii="宋体" w:hAnsi="宋体" w:cs="宋体" w:eastAsia="宋体" w:hint="default"/>
          <w:spacing w:val="-3"/>
        </w:rPr>
        <w:t>/28</w:t>
      </w:r>
      <w:r>
        <w:rPr>
          <w:spacing w:val="-3"/>
        </w:rPr>
        <w:t>、重要会计政策和会计估计变更”。</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pStyle w:val="BodyText"/>
        <w:spacing w:line="240" w:lineRule="auto" w:before="115"/>
        <w:ind w:left="1493" w:right="0"/>
        <w:jc w:val="left"/>
      </w:pPr>
      <w:r>
        <w:rPr/>
        <w:t>参见“第四节 经营情况讨论与分析</w:t>
      </w:r>
      <w:r>
        <w:rPr>
          <w:rFonts w:ascii="宋体" w:hAnsi="宋体" w:cs="宋体" w:eastAsia="宋体" w:hint="default"/>
        </w:rPr>
        <w:t>/</w:t>
      </w:r>
      <w:r>
        <w:rPr/>
        <w:t>二、主营业务分析</w:t>
      </w:r>
      <w:r>
        <w:rPr>
          <w:rFonts w:ascii="宋体" w:hAnsi="宋体" w:cs="宋体" w:eastAsia="宋体" w:hint="default"/>
        </w:rPr>
        <w:t>/2</w:t>
      </w:r>
      <w:r>
        <w:rPr/>
        <w:t>、收入与成本</w:t>
      </w:r>
      <w:r>
        <w:rPr>
          <w:rFonts w:ascii="宋体" w:hAnsi="宋体" w:cs="宋体" w:eastAsia="宋体" w:hint="default"/>
        </w:rPr>
        <w:t>/</w:t>
      </w:r>
      <w:r>
        <w:rPr/>
        <w:t>（</w:t>
      </w:r>
      <w:r>
        <w:rPr>
          <w:rFonts w:ascii="宋体" w:hAnsi="宋体" w:cs="宋体" w:eastAsia="宋体" w:hint="default"/>
        </w:rPr>
        <w:t>6</w:t>
      </w:r>
      <w:r>
        <w:rPr/>
        <w:t>）报告期内合并范围是否发生变动”。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112"/>
        <w:gridCol w:w="545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是否改聘会计师事务所</w:t>
      </w:r>
    </w:p>
    <w:p>
      <w:pPr>
        <w:pStyle w:val="BodyText"/>
        <w:spacing w:line="439" w:lineRule="auto" w:before="117"/>
        <w:ind w:left="1133" w:right="6253"/>
        <w:jc w:val="left"/>
      </w:pPr>
      <w:r>
        <w:rPr/>
        <w:t>□ 是 √ 否 聘请内部控制审计会计师事务所、财务顾问或保荐人情况</w:t>
      </w:r>
    </w:p>
    <w:p>
      <w:pPr>
        <w:pStyle w:val="BodyText"/>
        <w:spacing w:line="203" w:lineRule="exact"/>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headerReference w:type="default" r:id="rId21"/>
          <w:footerReference w:type="default" r:id="rId22"/>
          <w:pgSz w:w="11910" w:h="16840"/>
          <w:pgMar w:header="877" w:footer="979" w:top="1100" w:bottom="1160" w:left="0" w:right="0"/>
          <w:pgNumType w:start="29"/>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7333" w:hanging="360"/>
        <w:jc w:val="left"/>
      </w:pPr>
      <w:r>
        <w:rPr/>
        <w:t>□ 适用 √ 不适用 公司报告期未发生破产重整相关事项。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3" w:right="3475" w:hanging="360"/>
        <w:jc w:val="left"/>
      </w:pPr>
      <w:r>
        <w:rPr/>
        <w:t>□ 适用 √</w:t>
      </w:r>
      <w:r>
        <w:rPr>
          <w:spacing w:val="8"/>
        </w:rPr>
        <w:t> </w:t>
      </w:r>
      <w:r>
        <w:rPr/>
        <w:t>不适用 本年度公司无重大诉讼、仲裁事项。公司其他诉讼、仲裁的涉案总金额为</w:t>
      </w:r>
      <w:r>
        <w:rPr>
          <w:spacing w:val="-46"/>
        </w:rPr>
        <w:t> </w:t>
      </w:r>
      <w:r>
        <w:rPr>
          <w:rFonts w:ascii="宋体" w:hAnsi="宋体" w:cs="宋体" w:eastAsia="宋体" w:hint="default"/>
        </w:rPr>
        <w:t>151.06</w:t>
      </w:r>
      <w:r>
        <w:rPr>
          <w:rFonts w:ascii="宋体" w:hAnsi="宋体" w:cs="宋体" w:eastAsia="宋体" w:hint="default"/>
          <w:spacing w:val="-46"/>
        </w:rPr>
        <w:t> </w:t>
      </w:r>
      <w:r>
        <w:rPr/>
        <w:t>万元。</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7513" w:hanging="360"/>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2"/>
        </w:rPr>
        <w:t>报告期内公司及公司控股股东、实际控制人诚信状况良好，不存在未履行法院生效判决、所负数额较大的债务到期未清</w:t>
      </w:r>
    </w:p>
    <w:p>
      <w:pPr>
        <w:pStyle w:val="BodyText"/>
        <w:spacing w:line="225" w:lineRule="exact"/>
        <w:ind w:left="1133" w:right="0"/>
        <w:jc w:val="left"/>
      </w:pPr>
      <w:r>
        <w:rPr/>
        <w:t>偿等情况。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4093" w:hanging="360"/>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81"/>
      <w:bookmarkEnd w:id="81"/>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6613" w:hanging="360"/>
        <w:jc w:val="left"/>
      </w:pPr>
      <w:r>
        <w:rPr/>
        <w:t>□ 适用 √ 不适用 公司报告期未发生与日常经营相关的关联交易。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6073" w:hanging="360"/>
        <w:jc w:val="left"/>
      </w:pPr>
      <w:r>
        <w:rPr/>
        <w:t>□ 适用 √ 不适用 公司报告期未发生资产或股权收购、出售的关联交易。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共同对外投资的关联交易" w:id="83"/>
      <w:bookmarkEnd w:id="83"/>
      <w:r>
        <w:rPr>
          <w:b w:val="0"/>
          <w:bCs w:val="0"/>
        </w:rPr>
      </w:r>
      <w:r>
        <w:rPr>
          <w:rFonts w:ascii="宋体" w:hAnsi="宋体" w:cs="宋体" w:eastAsia="宋体" w:hint="default"/>
        </w:rPr>
        <w:t>3</w:t>
      </w:r>
      <w:r>
        <w:rPr/>
        <w:t>、共同对外投资的关联交易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6793" w:hanging="360"/>
        <w:jc w:val="left"/>
      </w:pPr>
      <w:r>
        <w:rPr/>
        <w:t>□ 适用 √ 不适用 公司报告期未发生共同对外投资的关联交易。</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4、关联债权债务往来" w:id="84"/>
      <w:bookmarkEnd w:id="84"/>
      <w:r>
        <w:rPr>
          <w:b w:val="0"/>
          <w:bCs w:val="0"/>
        </w:rPr>
      </w: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7333" w:hanging="360"/>
        <w:jc w:val="left"/>
      </w:pPr>
      <w:r>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5、其他重大关联交易" w:id="85"/>
      <w:bookmarkEnd w:id="85"/>
      <w:r>
        <w:rPr>
          <w:b w:val="0"/>
          <w:bCs w:val="0"/>
        </w:rPr>
      </w:r>
      <w:r>
        <w:rPr>
          <w:rFonts w:ascii="宋体" w:hAnsi="宋体" w:cs="宋体" w:eastAsia="宋体" w:hint="default"/>
        </w:rPr>
        <w:t>5</w:t>
      </w:r>
      <w:r>
        <w:rPr/>
        <w:t>、其他重大关联交易</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7693" w:hanging="360"/>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7"/>
      <w:bookmarkEnd w:id="87"/>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托管情况" w:id="88"/>
      <w:bookmarkEnd w:id="88"/>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公司报告期不存在托管情况。</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2）承包情况" w:id="89"/>
      <w:bookmarkEnd w:id="89"/>
      <w:r>
        <w:rPr>
          <w:b w:val="0"/>
          <w:bCs w:val="0"/>
        </w:rPr>
      </w:r>
      <w:r>
        <w:rPr/>
        <w:t>（</w:t>
      </w:r>
      <w:r>
        <w:rPr>
          <w:rFonts w:ascii="宋体" w:hAnsi="宋体" w:cs="宋体" w:eastAsia="宋体" w:hint="default"/>
        </w:rPr>
        <w:t>2</w:t>
      </w:r>
      <w:r>
        <w:rPr/>
        <w:t>）承包情况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8053" w:hanging="360"/>
        <w:jc w:val="left"/>
      </w:pPr>
      <w:r>
        <w:rPr/>
        <w:t>□ 适用 √ 不适用 公司报告期不存在承包情况。</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3）租赁情况" w:id="90"/>
      <w:bookmarkEnd w:id="90"/>
      <w:r>
        <w:rPr>
          <w:b w:val="0"/>
          <w:bCs w:val="0"/>
        </w:rPr>
      </w: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pStyle w:val="BodyText"/>
        <w:spacing w:line="439" w:lineRule="auto"/>
        <w:ind w:right="9222"/>
        <w:jc w:val="left"/>
      </w:pPr>
      <w:r>
        <w:rPr/>
        <w:t>√ 适用 □ 不适用 租赁情况说明</w:t>
      </w:r>
    </w:p>
    <w:p>
      <w:pPr>
        <w:pStyle w:val="BodyText"/>
        <w:spacing w:line="202" w:lineRule="exact"/>
        <w:ind w:left="1494" w:right="0"/>
        <w:jc w:val="left"/>
      </w:pPr>
      <w:r>
        <w:rPr/>
        <w:t>报告期内，公司发生租用其他公司资产的租赁费用为</w:t>
      </w:r>
      <w:r>
        <w:rPr>
          <w:rFonts w:ascii="宋体" w:hAnsi="宋体" w:cs="宋体" w:eastAsia="宋体" w:hint="default"/>
        </w:rPr>
        <w:t>16,283,653.23</w:t>
      </w:r>
      <w:r>
        <w:rPr/>
        <w:t>元，主要为办公场地租赁；公司出租办公场地产生</w:t>
      </w:r>
    </w:p>
    <w:p>
      <w:pPr>
        <w:pStyle w:val="BodyText"/>
        <w:spacing w:line="441" w:lineRule="auto" w:before="76"/>
        <w:ind w:right="6118"/>
        <w:jc w:val="left"/>
      </w:pPr>
      <w:r>
        <w:rPr/>
        <w:t>租赁收入为</w:t>
      </w:r>
      <w:r>
        <w:rPr>
          <w:rFonts w:ascii="宋体" w:hAnsi="宋体" w:cs="宋体" w:eastAsia="宋体" w:hint="default"/>
        </w:rPr>
        <w:t>54,054.03</w:t>
      </w:r>
      <w:r>
        <w:rPr/>
        <w:t>元。 为公司带来的损益达到公司报告期利润总额</w:t>
      </w:r>
      <w:r>
        <w:rPr>
          <w:spacing w:val="-46"/>
        </w:rPr>
        <w:t> </w:t>
      </w:r>
      <w:r>
        <w:rPr>
          <w:rFonts w:ascii="宋体" w:hAnsi="宋体" w:cs="宋体" w:eastAsia="宋体" w:hint="default"/>
        </w:rPr>
        <w:t>10%</w:t>
      </w:r>
      <w:r>
        <w:rPr/>
        <w:t>以上的项目</w:t>
      </w:r>
    </w:p>
    <w:p>
      <w:pPr>
        <w:pStyle w:val="BodyText"/>
        <w:spacing w:line="202" w:lineRule="exact"/>
        <w:ind w:left="1133" w:right="0"/>
        <w:jc w:val="left"/>
      </w:pPr>
      <w:r>
        <w:rPr/>
        <w:t>□ 适用 √ 不适用</w:t>
      </w:r>
    </w:p>
    <w:p>
      <w:pPr>
        <w:pStyle w:val="BodyText"/>
        <w:spacing w:line="240" w:lineRule="auto" w:before="116"/>
        <w:ind w:left="1493" w:right="0"/>
        <w:jc w:val="left"/>
      </w:pPr>
      <w:r>
        <w:rPr/>
        <w:t>公司报告期不存在为公司带来的损益达到公司报告期利润总额</w:t>
      </w:r>
      <w:r>
        <w:rPr>
          <w:spacing w:val="-45"/>
        </w:rPr>
        <w:t> </w:t>
      </w:r>
      <w:r>
        <w:rPr>
          <w:rFonts w:ascii="宋体" w:hAnsi="宋体" w:cs="宋体" w:eastAsia="宋体" w:hint="default"/>
        </w:rPr>
        <w:t>10%</w:t>
      </w:r>
      <w:r>
        <w:rPr/>
        <w:t>以上的租赁项目。</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重大担保" w:id="91"/>
      <w:bookmarkEnd w:id="91"/>
      <w:r>
        <w:rPr>
          <w:b w:val="0"/>
          <w:bCs w:val="0"/>
        </w:rPr>
      </w: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公司报告期不存在担保情况。</w:t>
      </w:r>
    </w:p>
    <w:p>
      <w:pPr>
        <w:spacing w:after="0" w:line="357"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3、委托他人进行现金资产管理情况" w:id="92"/>
      <w:bookmarkEnd w:id="92"/>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委托理财情况" w:id="93"/>
      <w:bookmarkEnd w:id="93"/>
      <w:r>
        <w:rPr>
          <w:b w:val="0"/>
          <w:bCs w:val="0"/>
        </w:rPr>
      </w:r>
      <w:r>
        <w:rPr/>
        <w:t>（</w:t>
      </w:r>
      <w:r>
        <w:rPr>
          <w:rFonts w:ascii="宋体" w:hAnsi="宋体" w:cs="宋体" w:eastAsia="宋体" w:hint="default"/>
        </w:rPr>
        <w:t>1</w:t>
      </w:r>
      <w:r>
        <w:rPr/>
        <w:t>）委托理财情况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7"/>
        <w:rPr>
          <w:rFonts w:ascii="宋体" w:hAnsi="宋体" w:cs="宋体" w:eastAsia="宋体" w:hint="default"/>
          <w:sz w:val="11"/>
          <w:szCs w:val="11"/>
        </w:rPr>
      </w:pPr>
    </w:p>
    <w:p>
      <w:pPr>
        <w:pStyle w:val="BodyText"/>
        <w:spacing w:line="240" w:lineRule="auto" w:before="44"/>
        <w:ind w:right="0"/>
        <w:jc w:val="left"/>
      </w:pPr>
      <w:r>
        <w:rPr/>
        <w:t>报告期内委托理财概况</w:t>
      </w:r>
    </w:p>
    <w:p>
      <w:pPr>
        <w:pStyle w:val="BodyText"/>
        <w:spacing w:line="240" w:lineRule="auto" w:before="117"/>
        <w:ind w:left="0" w:right="131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pStyle w:val="BodyText"/>
        <w:spacing w:line="240" w:lineRule="auto" w:before="15"/>
        <w:ind w:left="0" w:right="1436"/>
        <w:jc w:val="righ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p>
      <w:pPr>
        <w:spacing w:line="240" w:lineRule="auto" w:before="8"/>
        <w:rPr>
          <w:rFonts w:ascii="宋体" w:hAnsi="宋体" w:cs="宋体" w:eastAsia="宋体" w:hint="default"/>
          <w:sz w:val="2"/>
          <w:szCs w:val="2"/>
        </w:rPr>
      </w:pP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9"/>
        <w:ind w:left="480" w:right="0"/>
        <w:jc w:val="left"/>
      </w:pPr>
      <w:r>
        <w:rPr/>
        <w:t>单项金额重大或安全性较低、流动性较差、不保本的高风险委托理财具体情况</w:t>
      </w:r>
    </w:p>
    <w:p>
      <w:pPr>
        <w:pStyle w:val="BodyText"/>
        <w:spacing w:line="240" w:lineRule="auto" w:before="117"/>
        <w:ind w:left="0" w:right="1436"/>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44"/>
        <w:ind w:left="0" w:right="1019"/>
        <w:jc w:val="right"/>
      </w:pPr>
      <w:r>
        <w:rPr/>
        <w:pict>
          <v:shape style="position:absolute;margin-left:53.880001pt;margin-top:-114.548279pt;width:734.35pt;height:252.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850"/>
                    <w:gridCol w:w="828"/>
                    <w:gridCol w:w="574"/>
                    <w:gridCol w:w="560"/>
                    <w:gridCol w:w="991"/>
                    <w:gridCol w:w="851"/>
                    <w:gridCol w:w="607"/>
                    <w:gridCol w:w="1190"/>
                    <w:gridCol w:w="813"/>
                    <w:gridCol w:w="1092"/>
                    <w:gridCol w:w="622"/>
                    <w:gridCol w:w="788"/>
                    <w:gridCol w:w="810"/>
                    <w:gridCol w:w="869"/>
                    <w:gridCol w:w="890"/>
                    <w:gridCol w:w="1488"/>
                  </w:tblGrid>
                  <w:tr>
                    <w:trPr>
                      <w:trHeight w:val="133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5"/>
                          <w:ind w:left="60" w:right="59"/>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3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37"/>
                          <w:ind w:left="118" w:right="11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9" w:right="0"/>
                          <w:jc w:val="left"/>
                          <w:rPr>
                            <w:rFonts w:ascii="宋体" w:hAnsi="宋体" w:cs="宋体" w:eastAsia="宋体" w:hint="default"/>
                            <w:sz w:val="18"/>
                            <w:szCs w:val="18"/>
                          </w:rPr>
                        </w:pPr>
                        <w:r>
                          <w:rPr>
                            <w:rFonts w:ascii="宋体" w:hAnsi="宋体" w:cs="宋体" w:eastAsia="宋体" w:hint="default"/>
                            <w:sz w:val="18"/>
                            <w:szCs w:val="18"/>
                          </w:rPr>
                          <w:t>报酬确定方式</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31" w:right="41" w:hanging="90"/>
                          <w:jc w:val="left"/>
                          <w:rPr>
                            <w:rFonts w:ascii="宋体" w:hAnsi="宋体" w:cs="宋体" w:eastAsia="宋体" w:hint="default"/>
                            <w:sz w:val="18"/>
                            <w:szCs w:val="18"/>
                          </w:rPr>
                        </w:pPr>
                        <w:r>
                          <w:rPr>
                            <w:rFonts w:ascii="宋体" w:hAnsi="宋体" w:cs="宋体" w:eastAsia="宋体" w:hint="default"/>
                            <w:sz w:val="18"/>
                            <w:szCs w:val="18"/>
                          </w:rPr>
                          <w:t>参考年化 收益率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37"/>
                          <w:ind w:left="360" w:right="360"/>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36" w:right="35"/>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8" w:right="2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39" w:right="38"/>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68" w:right="68"/>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379" w:right="107" w:hanging="270"/>
                          <w:jc w:val="left"/>
                          <w:rPr>
                            <w:rFonts w:ascii="宋体" w:hAnsi="宋体" w:cs="宋体" w:eastAsia="宋体" w:hint="default"/>
                            <w:sz w:val="18"/>
                            <w:szCs w:val="18"/>
                          </w:rPr>
                        </w:pPr>
                        <w:r>
                          <w:rPr>
                            <w:rFonts w:ascii="宋体" w:hAnsi="宋体" w:cs="宋体" w:eastAsia="宋体" w:hint="default"/>
                            <w:sz w:val="18"/>
                            <w:szCs w:val="18"/>
                          </w:rPr>
                          <w:t>事项概述及相关 查询索引</w:t>
                        </w: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平安银行 股份有限 公司武汉 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2"/>
                          <w:jc w:val="both"/>
                          <w:rPr>
                            <w:rFonts w:ascii="宋体" w:hAnsi="宋体" w:cs="宋体" w:eastAsia="宋体" w:hint="default"/>
                            <w:sz w:val="18"/>
                            <w:szCs w:val="18"/>
                          </w:rPr>
                        </w:pPr>
                        <w:r>
                          <w:rPr>
                            <w:rFonts w:ascii="宋体" w:hAnsi="宋体" w:cs="宋体" w:eastAsia="宋体" w:hint="default"/>
                            <w:sz w:val="18"/>
                            <w:szCs w:val="18"/>
                          </w:rPr>
                          <w:t>保本浮动 收益型、 开放式</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6" w:right="0"/>
                          <w:jc w:val="left"/>
                          <w:rPr>
                            <w:rFonts w:ascii="宋体" w:hAnsi="宋体" w:cs="宋体" w:eastAsia="宋体" w:hint="default"/>
                            <w:sz w:val="18"/>
                            <w:szCs w:val="18"/>
                          </w:rPr>
                        </w:pPr>
                        <w:r>
                          <w:rPr>
                            <w:rFonts w:ascii="宋体"/>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94" w:right="9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结构性 产品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77"/>
                          <w:jc w:val="left"/>
                          <w:rPr>
                            <w:rFonts w:ascii="宋体" w:hAnsi="宋体" w:cs="宋体" w:eastAsia="宋体" w:hint="default"/>
                            <w:sz w:val="18"/>
                            <w:szCs w:val="18"/>
                          </w:rPr>
                        </w:pPr>
                        <w:r>
                          <w:rPr>
                            <w:rFonts w:ascii="宋体" w:hAnsi="宋体" w:cs="宋体" w:eastAsia="宋体" w:hint="default"/>
                            <w:sz w:val="18"/>
                            <w:szCs w:val="18"/>
                          </w:rPr>
                          <w:t>浮动收益挂钩 美元</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4.65%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60"/>
                          <w:jc w:val="right"/>
                          <w:rPr>
                            <w:rFonts w:ascii="宋体" w:hAnsi="宋体" w:cs="宋体" w:eastAsia="宋体" w:hint="default"/>
                            <w:sz w:val="18"/>
                            <w:szCs w:val="18"/>
                          </w:rPr>
                        </w:pPr>
                        <w:r>
                          <w:rPr>
                            <w:rFonts w:ascii="宋体"/>
                            <w:sz w:val="18"/>
                          </w:rPr>
                          <w:t>58.6</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35"/>
                          <w:jc w:val="both"/>
                          <w:rPr>
                            <w:rFonts w:ascii="宋体" w:hAnsi="宋体" w:cs="宋体" w:eastAsia="宋体" w:hint="default"/>
                            <w:sz w:val="18"/>
                            <w:szCs w:val="18"/>
                          </w:rPr>
                        </w:pPr>
                        <w:r>
                          <w:rPr>
                            <w:rFonts w:ascii="宋体" w:hAnsi="宋体" w:cs="宋体" w:eastAsia="宋体" w:hint="default"/>
                            <w:sz w:val="18"/>
                            <w:szCs w:val="18"/>
                          </w:rPr>
                          <w:t>截至报告 期末，尚 未到期。</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54"/>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是</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《关于使用自有 资金购买保本型 理财产品的进展 </w:t>
                        </w:r>
                        <w:r>
                          <w:rPr>
                            <w:rFonts w:ascii="宋体" w:hAnsi="宋体" w:cs="宋体" w:eastAsia="宋体" w:hint="default"/>
                            <w:spacing w:val="-13"/>
                            <w:sz w:val="18"/>
                            <w:szCs w:val="18"/>
                          </w:rPr>
                          <w:t>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2017-058</w:t>
                        </w:r>
                        <w:r>
                          <w:rPr>
                            <w:rFonts w:ascii="宋体" w:hAnsi="宋体" w:cs="宋体" w:eastAsia="宋体" w:hint="default"/>
                            <w:sz w:val="18"/>
                            <w:szCs w:val="18"/>
                          </w:rPr>
                          <w:t>）</w:t>
                        </w: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中信银行 股份有限 公司武汉 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2"/>
                          <w:jc w:val="both"/>
                          <w:rPr>
                            <w:rFonts w:ascii="宋体" w:hAnsi="宋体" w:cs="宋体" w:eastAsia="宋体" w:hint="default"/>
                            <w:sz w:val="18"/>
                            <w:szCs w:val="18"/>
                          </w:rPr>
                        </w:pPr>
                        <w:r>
                          <w:rPr>
                            <w:rFonts w:ascii="宋体" w:hAnsi="宋体" w:cs="宋体" w:eastAsia="宋体" w:hint="default"/>
                            <w:sz w:val="18"/>
                            <w:szCs w:val="18"/>
                          </w:rPr>
                          <w:t>保本浮动 收益型、 封闭式</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6" w:right="0"/>
                          <w:jc w:val="left"/>
                          <w:rPr>
                            <w:rFonts w:ascii="宋体" w:hAnsi="宋体" w:cs="宋体" w:eastAsia="宋体" w:hint="default"/>
                            <w:sz w:val="18"/>
                            <w:szCs w:val="18"/>
                          </w:rPr>
                        </w:pPr>
                        <w:r>
                          <w:rPr>
                            <w:rFonts w:ascii="宋体"/>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94" w:right="9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结构性 产品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77"/>
                          <w:jc w:val="left"/>
                          <w:rPr>
                            <w:rFonts w:ascii="宋体" w:hAnsi="宋体" w:cs="宋体" w:eastAsia="宋体" w:hint="default"/>
                            <w:sz w:val="18"/>
                            <w:szCs w:val="18"/>
                          </w:rPr>
                        </w:pPr>
                        <w:r>
                          <w:rPr>
                            <w:rFonts w:ascii="宋体" w:hAnsi="宋体" w:cs="宋体" w:eastAsia="宋体" w:hint="default"/>
                            <w:sz w:val="18"/>
                            <w:szCs w:val="18"/>
                          </w:rPr>
                          <w:t>浮动收益挂钩 美元</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 </w:t>
                        </w:r>
                        <w:r>
                          <w:rPr>
                            <w:rFonts w:ascii="宋体" w:hAnsi="宋体" w:cs="宋体" w:eastAsia="宋体" w:hint="default"/>
                            <w:sz w:val="18"/>
                            <w:szCs w:val="18"/>
                          </w:rPr>
                          <w:t>LIBOR</w:t>
                        </w:r>
                        <w:r>
                          <w:rPr>
                            <w:rFonts w:ascii="宋体" w:hAnsi="宋体" w:cs="宋体" w:eastAsia="宋体" w:hint="default"/>
                            <w:spacing w:val="-46"/>
                            <w:sz w:val="18"/>
                            <w:szCs w:val="18"/>
                          </w:rPr>
                          <w:t> </w:t>
                        </w:r>
                        <w:r>
                          <w:rPr>
                            <w:rFonts w:ascii="宋体" w:hAnsi="宋体" w:cs="宋体" w:eastAsia="宋体" w:hint="default"/>
                            <w:sz w:val="18"/>
                            <w:szCs w:val="18"/>
                          </w:rPr>
                          <w:t>利率</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4.55%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14"/>
                          <w:jc w:val="right"/>
                          <w:rPr>
                            <w:rFonts w:ascii="宋体" w:hAnsi="宋体" w:cs="宋体" w:eastAsia="宋体" w:hint="default"/>
                            <w:sz w:val="18"/>
                            <w:szCs w:val="18"/>
                          </w:rPr>
                        </w:pPr>
                        <w:r>
                          <w:rPr>
                            <w:rFonts w:ascii="宋体"/>
                            <w:sz w:val="18"/>
                          </w:rPr>
                          <w:t>40.39</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35"/>
                          <w:jc w:val="both"/>
                          <w:rPr>
                            <w:rFonts w:ascii="宋体" w:hAnsi="宋体" w:cs="宋体" w:eastAsia="宋体" w:hint="default"/>
                            <w:sz w:val="18"/>
                            <w:szCs w:val="18"/>
                          </w:rPr>
                        </w:pPr>
                        <w:r>
                          <w:rPr>
                            <w:rFonts w:ascii="宋体" w:hAnsi="宋体" w:cs="宋体" w:eastAsia="宋体" w:hint="default"/>
                            <w:sz w:val="18"/>
                            <w:szCs w:val="18"/>
                          </w:rPr>
                          <w:t>截至报告 期末，尚 未到期。</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54"/>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是</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《关于使用自有 资金购买保本型 理财产品的进展 </w:t>
                        </w:r>
                        <w:r>
                          <w:rPr>
                            <w:rFonts w:ascii="宋体" w:hAnsi="宋体" w:cs="宋体" w:eastAsia="宋体" w:hint="default"/>
                            <w:spacing w:val="-13"/>
                            <w:sz w:val="18"/>
                            <w:szCs w:val="18"/>
                          </w:rPr>
                          <w:t>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2017-058</w:t>
                        </w:r>
                        <w:r>
                          <w:rPr>
                            <w:rFonts w:ascii="宋体" w:hAnsi="宋体" w:cs="宋体" w:eastAsia="宋体" w:hint="default"/>
                            <w:sz w:val="18"/>
                            <w:szCs w:val="18"/>
                          </w:rPr>
                          <w:t>）</w:t>
                        </w:r>
                      </w:p>
                    </w:tc>
                  </w:tr>
                  <w:tr>
                    <w:trPr>
                      <w:trHeight w:val="403" w:hRule="exact"/>
                    </w:trPr>
                    <w:tc>
                      <w:tcPr>
                        <w:tcW w:w="2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 w:right="0"/>
                          <w:jc w:val="left"/>
                          <w:rPr>
                            <w:rFonts w:ascii="宋体" w:hAnsi="宋体" w:cs="宋体" w:eastAsia="宋体" w:hint="default"/>
                            <w:sz w:val="18"/>
                            <w:szCs w:val="18"/>
                          </w:rPr>
                        </w:pPr>
                        <w:r>
                          <w:rPr>
                            <w:rFonts w:ascii="宋体"/>
                            <w:sz w:val="18"/>
                          </w:rPr>
                          <w:t>8,000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4"/>
                          <w:jc w:val="right"/>
                          <w:rPr>
                            <w:rFonts w:ascii="宋体" w:hAnsi="宋体" w:cs="宋体" w:eastAsia="宋体" w:hint="default"/>
                            <w:sz w:val="18"/>
                            <w:szCs w:val="18"/>
                          </w:rPr>
                        </w:pPr>
                        <w:r>
                          <w:rPr>
                            <w:rFonts w:ascii="宋体"/>
                            <w:sz w:val="18"/>
                          </w:rPr>
                          <w:t>98.99</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4"/>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01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480" w:right="0"/>
        <w:jc w:val="left"/>
      </w:pPr>
      <w:r>
        <w:rPr/>
        <w:t>委托理财出现预期无法收回本金或存在其他可能导致减值的情形</w:t>
      </w:r>
    </w:p>
    <w:p>
      <w:pPr>
        <w:pStyle w:val="BodyText"/>
        <w:spacing w:line="240" w:lineRule="auto" w:before="116"/>
        <w:ind w:left="479"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76"/>
        <w:ind w:left="7350" w:right="8307"/>
        <w:jc w:val="center"/>
        <w:rPr>
          <w:rFonts w:ascii="Times New Roman" w:hAnsi="Times New Roman" w:cs="Times New Roman" w:eastAsia="Times New Roman" w:hint="default"/>
        </w:rPr>
      </w:pPr>
      <w:r>
        <w:rPr/>
        <w:pict>
          <v:shape style="position:absolute;margin-left:201.919983pt;margin-top:21.922344pt;width:640pt;height:42pt;mso-position-horizontal-relative:page;mso-position-vertical-relative:paragraph;z-index:1168" type="#_x0000_t75" stroked="false">
            <v:imagedata r:id="rId25" o:title=""/>
          </v:shape>
        </w:pict>
      </w:r>
      <w:r>
        <w:rPr>
          <w:rFonts w:ascii="Times New Roman"/>
        </w:rPr>
        <w:t>33</w:t>
      </w:r>
    </w:p>
    <w:p>
      <w:pPr>
        <w:spacing w:after="0" w:line="240" w:lineRule="auto"/>
        <w:jc w:val="center"/>
        <w:rPr>
          <w:rFonts w:ascii="Times New Roman" w:hAnsi="Times New Roman" w:cs="Times New Roman" w:eastAsia="Times New Roman" w:hint="default"/>
        </w:rPr>
        <w:sectPr>
          <w:headerReference w:type="default" r:id="rId23"/>
          <w:footerReference w:type="default" r:id="rId24"/>
          <w:pgSz w:w="16840" w:h="11910" w:orient="landscape"/>
          <w:pgMar w:header="0" w:footer="0" w:top="800" w:bottom="0" w:left="96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133" w:right="0"/>
        <w:jc w:val="left"/>
        <w:rPr>
          <w:b w:val="0"/>
          <w:bCs w:val="0"/>
        </w:rPr>
      </w:pPr>
      <w:bookmarkStart w:name="（2）委托贷款情况" w:id="94"/>
      <w:bookmarkEnd w:id="94"/>
      <w:r>
        <w:rPr>
          <w:b w:val="0"/>
          <w:bCs w:val="0"/>
        </w:rPr>
      </w:r>
      <w:r>
        <w:rPr/>
        <w:t>（</w:t>
      </w:r>
      <w:r>
        <w:rPr>
          <w:rFonts w:ascii="宋体" w:hAnsi="宋体" w:cs="宋体" w:eastAsia="宋体" w:hint="default"/>
        </w:rPr>
        <w:t>2</w:t>
      </w:r>
      <w:r>
        <w:rPr/>
        <w:t>）委托贷款情况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4、其他重大合同" w:id="95"/>
      <w:bookmarkEnd w:id="95"/>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7693" w:hanging="360"/>
        <w:jc w:val="left"/>
      </w:pPr>
      <w:r>
        <w:rPr/>
        <w:t>□ 适用 √ 不适用 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履行社会责任情况" w:id="97"/>
      <w:bookmarkEnd w:id="97"/>
      <w:r>
        <w:rPr>
          <w:b w:val="0"/>
          <w:bCs w:val="0"/>
        </w:rPr>
      </w:r>
      <w:r>
        <w:rPr>
          <w:rFonts w:ascii="宋体" w:hAnsi="宋体" w:cs="宋体" w:eastAsia="宋体" w:hint="default"/>
        </w:rPr>
        <w:t>1</w:t>
      </w:r>
      <w:r>
        <w:rPr/>
        <w:t>、履行社会责任情况</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129" w:firstLine="360"/>
        <w:jc w:val="both"/>
      </w:pPr>
      <w:r>
        <w:rPr>
          <w:spacing w:val="-5"/>
        </w:rPr>
        <w:t>公司在推动各项业务稳步发展的同时，积极践行社会责任，坚持“为股东创造财富，为客户创造价值，对员工真心关爱，</w:t>
      </w:r>
      <w:r>
        <w:rPr/>
        <w:t> </w:t>
      </w:r>
      <w:r>
        <w:rPr>
          <w:spacing w:val="-2"/>
        </w:rPr>
        <w:t>对社会真诚回馈”的理念，在经营过程中对利益相关方切实负责，努力推进公司、社会与环境的和谐发展。公司积极落实现</w:t>
      </w:r>
      <w:r>
        <w:rPr>
          <w:spacing w:val="-66"/>
        </w:rPr>
        <w:t> </w:t>
      </w:r>
      <w:r>
        <w:rPr>
          <w:spacing w:val="-66"/>
        </w:rPr>
      </w:r>
      <w:r>
        <w:rPr>
          <w:spacing w:val="-2"/>
        </w:rPr>
        <w:t>金分红政策，回馈股东，尊重和保护投资者权益，认真履行信息披露义务，积极开展投资者关系管理工作；建立健全供应链</w:t>
      </w:r>
      <w:r>
        <w:rPr>
          <w:spacing w:val="-66"/>
        </w:rPr>
        <w:t> </w:t>
      </w:r>
      <w:r>
        <w:rPr>
          <w:spacing w:val="-66"/>
        </w:rPr>
      </w:r>
      <w:r>
        <w:rPr>
          <w:spacing w:val="-2"/>
        </w:rPr>
        <w:t>管理体系，在控制产品成本的同时实现与供应商合作关系的稳定和健康发展；秉承“以客户为中心”的理念，以客户需求为</w:t>
      </w:r>
      <w:r>
        <w:rPr>
          <w:spacing w:val="-65"/>
        </w:rPr>
        <w:t> </w:t>
      </w:r>
      <w:r>
        <w:rPr>
          <w:spacing w:val="-65"/>
        </w:rPr>
      </w:r>
      <w:r>
        <w:rPr>
          <w:spacing w:val="-2"/>
        </w:rPr>
        <w:t>导向开展技术创新和产品开发，围绕行业前沿技术进行探索和研究，努力提供卓越产品和服务，持续提升客户满意度；深入</w:t>
      </w:r>
      <w:r>
        <w:rPr>
          <w:spacing w:val="-66"/>
        </w:rPr>
        <w:t> </w:t>
      </w:r>
      <w:r>
        <w:rPr>
          <w:spacing w:val="-66"/>
        </w:rPr>
      </w:r>
      <w:r>
        <w:rPr>
          <w:spacing w:val="-2"/>
        </w:rPr>
        <w:t>贯彻“以人为本”的理念，积极推进和谐稳定的劳动关系建设，切实保障员工合法权益，获评“武汉市劳动保障守法诚信示</w:t>
      </w:r>
      <w:r>
        <w:rPr>
          <w:spacing w:val="-69"/>
        </w:rPr>
        <w:t> </w:t>
      </w:r>
      <w:r>
        <w:rPr>
          <w:spacing w:val="-69"/>
        </w:rPr>
      </w:r>
      <w:r>
        <w:rPr>
          <w:spacing w:val="-2"/>
        </w:rPr>
        <w:t>范单位”，同时，大力开展员工职业培训，举办多项文体活动，通过多种方式持续改善员工工作和生活环境；公司工会组织</w:t>
      </w:r>
      <w:r>
        <w:rPr>
          <w:spacing w:val="-67"/>
        </w:rPr>
        <w:t> </w:t>
      </w:r>
      <w:r>
        <w:rPr>
          <w:spacing w:val="-67"/>
        </w:rPr>
      </w:r>
      <w:r>
        <w:rPr/>
        <w:t>员工和公司设立的湖北省春辉助学基金会一起开展爱心助学活动，支持社会公益事业。</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2、履行精准扶贫社会责任情况" w:id="98"/>
      <w:bookmarkEnd w:id="98"/>
      <w:r>
        <w:rPr>
          <w:b w:val="0"/>
          <w:bCs w:val="0"/>
        </w:rPr>
      </w:r>
      <w:r>
        <w:rPr>
          <w:rFonts w:ascii="宋体" w:hAnsi="宋体" w:cs="宋体" w:eastAsia="宋体" w:hint="default"/>
        </w:rPr>
        <w:t>2</w:t>
      </w:r>
      <w:r>
        <w:rPr/>
        <w:t>、履行精准扶贫社会责任情况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精准扶贫规划" w:id="99"/>
      <w:bookmarkEnd w:id="99"/>
      <w:r>
        <w:rPr>
          <w:b w:val="0"/>
          <w:bCs w:val="0"/>
        </w:rPr>
      </w:r>
      <w:r>
        <w:rPr/>
        <w:t>（</w:t>
      </w:r>
      <w:r>
        <w:rPr>
          <w:rFonts w:ascii="宋体" w:hAnsi="宋体" w:cs="宋体" w:eastAsia="宋体" w:hint="default"/>
        </w:rPr>
        <w:t>1</w:t>
      </w:r>
      <w:r>
        <w:rPr/>
        <w:t>）精准扶贫规划</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1494" w:right="0"/>
        <w:jc w:val="left"/>
      </w:pPr>
      <w:r>
        <w:rPr/>
        <w:t>公司积极响应国家精准扶贫的号召，聚焦深度贫困地区，主动投身扶贫工作。</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年度精准扶贫概要" w:id="100"/>
      <w:bookmarkEnd w:id="100"/>
      <w:r>
        <w:rPr>
          <w:b w:val="0"/>
          <w:bCs w:val="0"/>
        </w:rPr>
      </w:r>
      <w:r>
        <w:rPr/>
        <w:t>（</w:t>
      </w:r>
      <w:r>
        <w:rPr>
          <w:rFonts w:ascii="宋体" w:hAnsi="宋体" w:cs="宋体" w:eastAsia="宋体" w:hint="default"/>
        </w:rPr>
        <w:t>2</w:t>
      </w:r>
      <w:r>
        <w:rPr/>
        <w:t>）年度精准扶贫概要</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133" w:right="1131" w:firstLine="360"/>
        <w:jc w:val="both"/>
      </w:pPr>
      <w:r>
        <w:rPr>
          <w:spacing w:val="-2"/>
        </w:rPr>
        <w:t>报告期内，公司及湖北省春辉助学基金会继续在国家级贫困县湖北省红安县开展面向低保、精准扶贫户家庭的中小学生</w:t>
      </w:r>
      <w:r>
        <w:rPr/>
        <w:t> </w:t>
      </w:r>
      <w:r>
        <w:rPr>
          <w:spacing w:val="-2"/>
        </w:rPr>
        <w:t>的“拾贝计划”爱心助学活动，持续以现金、实物资助和学习辅导等方式帮助寒门学子完成学业，并向多所学校捐赠教学软</w:t>
      </w:r>
      <w:r>
        <w:rPr>
          <w:spacing w:val="-65"/>
        </w:rPr>
        <w:t> </w:t>
      </w:r>
      <w:r>
        <w:rPr>
          <w:spacing w:val="-65"/>
        </w:rPr>
      </w:r>
      <w:r>
        <w:rPr/>
        <w:t>件和学习用品。</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精准扶贫成效" w:id="101"/>
      <w:bookmarkEnd w:id="101"/>
      <w:r>
        <w:rPr>
          <w:b w:val="0"/>
          <w:bCs w:val="0"/>
        </w:rPr>
      </w:r>
      <w:r>
        <w:rPr/>
        <w:t>（</w:t>
      </w:r>
      <w:r>
        <w:rPr>
          <w:rFonts w:ascii="宋体" w:hAnsi="宋体" w:cs="宋体" w:eastAsia="宋体" w:hint="default"/>
        </w:rPr>
        <w:t>3</w:t>
      </w:r>
      <w:r>
        <w:rPr/>
        <w:t>）精准扶贫成效</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tcPr>
          <w:p>
            <w:pPr/>
          </w:p>
        </w:tc>
        <w:tc>
          <w:tcPr>
            <w:tcW w:w="4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物资折款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12</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tcPr>
          <w:p>
            <w:pPr/>
          </w:p>
        </w:tc>
        <w:tc>
          <w:tcPr>
            <w:tcW w:w="4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tcPr>
          <w:p>
            <w:pPr/>
          </w:p>
        </w:tc>
        <w:tc>
          <w:tcPr>
            <w:tcW w:w="43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979" w:header="0" w:top="1100" w:bottom="1160" w:left="0" w:right="0"/>
          <w:pgNumType w:start="34"/>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其中：资助贫困学生投入金额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53"/>
              <w:jc w:val="right"/>
              <w:rPr>
                <w:rFonts w:ascii="宋体" w:hAnsi="宋体" w:cs="宋体" w:eastAsia="宋体" w:hint="default"/>
                <w:sz w:val="18"/>
                <w:szCs w:val="18"/>
              </w:rPr>
            </w:pPr>
            <w:r>
              <w:rPr>
                <w:rFonts w:ascii="宋体"/>
                <w:sz w:val="18"/>
              </w:rPr>
              <w:t>8.2</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资助贫困学生人数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75</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改善贫困地区教育资源投入金额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9"/>
              <w:jc w:val="right"/>
              <w:rPr>
                <w:rFonts w:ascii="宋体" w:hAnsi="宋体" w:cs="宋体" w:eastAsia="宋体" w:hint="default"/>
                <w:sz w:val="18"/>
                <w:szCs w:val="18"/>
              </w:rPr>
            </w:pPr>
            <w:r>
              <w:rPr>
                <w:rFonts w:ascii="宋体"/>
                <w:sz w:val="18"/>
              </w:rPr>
              <w:t>10.8</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2"/>
      <w:bookmarkEnd w:id="102"/>
      <w:r>
        <w:rPr>
          <w:b w:val="0"/>
          <w:bCs w:val="0"/>
        </w:rPr>
      </w:r>
      <w:r>
        <w:rPr/>
        <w:t>（</w:t>
      </w:r>
      <w:r>
        <w:rPr>
          <w:rFonts w:ascii="宋体" w:hAnsi="宋体" w:cs="宋体" w:eastAsia="宋体" w:hint="default"/>
        </w:rPr>
        <w:t>4</w:t>
      </w:r>
      <w:r>
        <w:rPr/>
        <w:t>）后续精准扶贫计划</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130" w:firstLine="360"/>
        <w:jc w:val="both"/>
      </w:pPr>
      <w:r>
        <w:rPr/>
        <w:t>公司是教育部直属高校华中科技大学控制的企业。</w:t>
      </w:r>
      <w:r>
        <w:rPr>
          <w:rFonts w:ascii="宋体" w:hAnsi="宋体" w:cs="宋体" w:eastAsia="宋体" w:hint="default"/>
        </w:rPr>
        <w:t>2018</w:t>
      </w:r>
      <w:r>
        <w:rPr>
          <w:rFonts w:ascii="宋体" w:hAnsi="宋体" w:cs="宋体" w:eastAsia="宋体" w:hint="default"/>
          <w:spacing w:val="8"/>
        </w:rPr>
        <w:t> </w:t>
      </w:r>
      <w:r>
        <w:rPr/>
        <w:t>年，公司将在国务院扶贫办、中共中央组织部、教育部对华中 </w:t>
      </w:r>
      <w:r>
        <w:rPr>
          <w:spacing w:val="-2"/>
        </w:rPr>
        <w:t>科技大学扶贫工作的部署下，积极参与农林产业扶贫和教育扶贫，计划向云南省临沧市临翔区蚂蚁堆乡蚂蚁堆村捐赠扶贫款</w:t>
      </w:r>
      <w:r>
        <w:rPr>
          <w:spacing w:val="-64"/>
        </w:rPr>
        <w:t> </w:t>
      </w:r>
      <w:r>
        <w:rPr>
          <w:spacing w:val="-64"/>
        </w:rPr>
      </w:r>
      <w:r>
        <w:rPr/>
        <w:t>项</w:t>
      </w:r>
      <w:r>
        <w:rPr>
          <w:spacing w:val="-38"/>
        </w:rPr>
        <w:t> </w:t>
      </w:r>
      <w:r>
        <w:rPr>
          <w:rFonts w:ascii="宋体" w:hAnsi="宋体" w:cs="宋体" w:eastAsia="宋体" w:hint="default"/>
        </w:rPr>
        <w:t>100</w:t>
      </w:r>
      <w:r>
        <w:rPr>
          <w:rFonts w:ascii="宋体" w:hAnsi="宋体" w:cs="宋体" w:eastAsia="宋体" w:hint="default"/>
          <w:spacing w:val="-38"/>
        </w:rPr>
        <w:t> </w:t>
      </w:r>
      <w:r>
        <w:rPr>
          <w:spacing w:val="-2"/>
        </w:rPr>
        <w:t>万元，用于当地集体经济茶叶加工厂建设，帮助当地村民脱贫；向临翔区捐赠公司智慧教育产品——教育云平台，帮</w:t>
      </w:r>
      <w:r>
        <w:rPr>
          <w:spacing w:val="-88"/>
        </w:rPr>
        <w:t> </w:t>
      </w:r>
      <w:r>
        <w:rPr>
          <w:spacing w:val="-88"/>
        </w:rPr>
      </w:r>
      <w:r>
        <w:rPr>
          <w:spacing w:val="-2"/>
        </w:rPr>
        <w:t>助当地教育信息化建设。此外，公司及湖北省春辉助学基金会将在国家级贫困县湖北省红安县、蕲春县等贫困地区继续开展</w:t>
      </w:r>
      <w:r>
        <w:rPr>
          <w:spacing w:val="-66"/>
        </w:rPr>
        <w:t> </w:t>
      </w:r>
      <w:r>
        <w:rPr>
          <w:spacing w:val="-66"/>
        </w:rPr>
      </w:r>
      <w:r>
        <w:rPr>
          <w:spacing w:val="-5"/>
        </w:rPr>
        <w:t>助学活动，资助当地贫困家庭的中小学生并安排志愿者结对帮扶；捐赠公司智慧教育产品，帮助当地教育信息化建设和发展。</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环境保护相关的情况" w:id="103"/>
      <w:bookmarkEnd w:id="103"/>
      <w:r>
        <w:rPr>
          <w:b w:val="0"/>
          <w:bCs w:val="0"/>
        </w:rPr>
      </w:r>
      <w:r>
        <w:rPr>
          <w:rFonts w:ascii="宋体" w:hAnsi="宋体" w:cs="宋体" w:eastAsia="宋体" w:hint="default"/>
        </w:rPr>
        <w:t>3</w:t>
      </w:r>
      <w:r>
        <w:rPr/>
        <w:t>、环境保护相关的情况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上市公司及其子公司是否属于环境保护部门公布的重点排污单位</w:t>
      </w:r>
    </w:p>
    <w:p>
      <w:pPr>
        <w:pStyle w:val="BodyText"/>
        <w:spacing w:line="240" w:lineRule="auto" w:before="117"/>
        <w:ind w:right="0"/>
        <w:jc w:val="left"/>
      </w:pPr>
      <w:r>
        <w:rPr/>
        <w:t>□ 是 √ 否</w:t>
      </w:r>
    </w:p>
    <w:p>
      <w:pPr>
        <w:pStyle w:val="BodyText"/>
        <w:spacing w:line="316" w:lineRule="auto" w:before="115"/>
        <w:ind w:left="1133" w:right="1129" w:firstLine="360"/>
        <w:jc w:val="both"/>
      </w:pPr>
      <w:r>
        <w:rPr>
          <w:spacing w:val="-2"/>
        </w:rPr>
        <w:t>公司严格遵守国家相关法规的要求，认真开展环保节能工作。公司建立了较完善的环境保护管理体系，制定了《环境管</w:t>
      </w:r>
      <w:r>
        <w:rPr/>
        <w:t> 理体系运行控制程序》、《环境监测和测量程序》、《环境因素识别和评价程序》、《危险源辨识评价管理程序》、《</w:t>
      </w:r>
      <w:r>
        <w:rPr>
          <w:rFonts w:ascii="宋体" w:hAnsi="宋体" w:cs="宋体" w:eastAsia="宋体" w:hint="default"/>
        </w:rPr>
        <w:t>EHS</w:t>
      </w:r>
      <w:r>
        <w:rPr>
          <w:rFonts w:ascii="宋体" w:hAnsi="宋体" w:cs="宋体" w:eastAsia="宋体" w:hint="default"/>
          <w:spacing w:val="-81"/>
        </w:rPr>
        <w:t> </w:t>
      </w:r>
      <w:r>
        <w:rPr/>
        <w:t>安全事故类应急预案》等制度；先后通过</w:t>
      </w:r>
      <w:r>
        <w:rPr>
          <w:rFonts w:ascii="宋体" w:hAnsi="宋体" w:cs="宋体" w:eastAsia="宋体" w:hint="default"/>
        </w:rPr>
        <w:t>ISO9001</w:t>
      </w:r>
      <w:r>
        <w:rPr/>
        <w:t>质量管理体系、</w:t>
      </w:r>
      <w:r>
        <w:rPr>
          <w:rFonts w:ascii="宋体" w:hAnsi="宋体" w:cs="宋体" w:eastAsia="宋体" w:hint="default"/>
        </w:rPr>
        <w:t>ISO14001</w:t>
      </w:r>
      <w:r>
        <w:rPr/>
        <w:t>环境管理体系、</w:t>
      </w:r>
      <w:r>
        <w:rPr>
          <w:rFonts w:ascii="宋体" w:hAnsi="宋体" w:cs="宋体" w:eastAsia="宋体" w:hint="default"/>
        </w:rPr>
        <w:t>OHSAS18001</w:t>
      </w:r>
      <w:r>
        <w:rPr/>
        <w:t>职业健康安全管理体</w:t>
      </w:r>
      <w:r>
        <w:rPr>
          <w:spacing w:val="-84"/>
        </w:rPr>
        <w:t> </w:t>
      </w:r>
      <w:r>
        <w:rPr>
          <w:spacing w:val="-84"/>
        </w:rPr>
      </w:r>
      <w:r>
        <w:rPr>
          <w:spacing w:val="-2"/>
        </w:rPr>
        <w:t>系认证，依法取得水务、环保部门颁发的《城市排水许可证》、《武汉市污染物排放许可证》，并严格按照相关标准进行排</w:t>
      </w:r>
      <w:r>
        <w:rPr>
          <w:spacing w:val="-67"/>
        </w:rPr>
        <w:t> </w:t>
      </w:r>
      <w:r>
        <w:rPr>
          <w:spacing w:val="-67"/>
        </w:rPr>
      </w:r>
      <w:r>
        <w:rPr>
          <w:spacing w:val="-5"/>
        </w:rPr>
        <w:t>放；每年制定环境检测计划并按时开展自查工作，发现隐患，及时治理，同时，定期委托第三方检测机构对污水和废气排放、</w:t>
      </w:r>
      <w:r>
        <w:rPr>
          <w:spacing w:val="-79"/>
        </w:rPr>
        <w:t> </w:t>
      </w:r>
      <w:r>
        <w:rPr>
          <w:spacing w:val="-79"/>
        </w:rPr>
      </w:r>
      <w:r>
        <w:rPr>
          <w:spacing w:val="-2"/>
        </w:rPr>
        <w:t>设备噪音等进行检测并取得监测报告，确保生产活动的第三方环保监测达到合格水平；积极推行节能减排，倡导全体员工节</w:t>
      </w:r>
      <w:r>
        <w:rPr>
          <w:spacing w:val="-66"/>
        </w:rPr>
        <w:t> </w:t>
      </w:r>
      <w:r>
        <w:rPr>
          <w:spacing w:val="-66"/>
        </w:rPr>
      </w:r>
      <w:r>
        <w:rPr/>
        <w:t>约用水、用电，提高纸张的二次利用率，逐步推行无纸化办公，使低碳环保理念深入人心。</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2"/>
        </w:rPr>
        <w:t>公司分别于</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日在中国证监会指定信息披露网站披露了关于获得政府补助的</w:t>
      </w:r>
    </w:p>
    <w:p>
      <w:pPr>
        <w:pStyle w:val="BodyText"/>
        <w:spacing w:line="224" w:lineRule="exact"/>
        <w:ind w:right="0"/>
        <w:jc w:val="left"/>
      </w:pPr>
      <w:r>
        <w:rPr/>
        <w:t>公告。</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1123" w:hanging="360"/>
        <w:jc w:val="left"/>
      </w:pPr>
      <w:r>
        <w:rPr/>
        <w:t>√ 适用 □ 不适用 公司子公司天喻教育为做大做强智慧教育业务以增资扩股的方式首次引进外部投资者，外部投资者以现金</w:t>
      </w:r>
      <w:r>
        <w:rPr>
          <w:rFonts w:ascii="宋体" w:hAnsi="宋体" w:cs="宋体" w:eastAsia="宋体" w:hint="default"/>
        </w:rPr>
        <w:t>8,000</w:t>
      </w:r>
      <w:r>
        <w:rPr/>
        <w:t>万元认</w:t>
      </w:r>
    </w:p>
    <w:p>
      <w:pPr>
        <w:pStyle w:val="BodyText"/>
        <w:spacing w:line="224" w:lineRule="exact"/>
        <w:ind w:left="1133" w:right="0"/>
        <w:jc w:val="left"/>
      </w:pPr>
      <w:r>
        <w:rPr/>
        <w:t>购天喻教育新增注册资本</w:t>
      </w:r>
      <w:r>
        <w:rPr>
          <w:rFonts w:ascii="宋体" w:hAnsi="宋体" w:cs="宋体" w:eastAsia="宋体" w:hint="default"/>
        </w:rPr>
        <w:t>769.2308</w:t>
      </w:r>
      <w:r>
        <w:rPr/>
        <w:t>万元。本次增资扩股完成后，天喻教育注册资本将由</w:t>
      </w:r>
      <w:r>
        <w:rPr>
          <w:rFonts w:ascii="宋体" w:hAnsi="宋体" w:cs="宋体" w:eastAsia="宋体" w:hint="default"/>
        </w:rPr>
        <w:t>5,000</w:t>
      </w:r>
      <w:r>
        <w:rPr/>
        <w:t>万元增至</w:t>
      </w:r>
      <w:r>
        <w:rPr>
          <w:rFonts w:ascii="宋体" w:hAnsi="宋体" w:cs="宋体" w:eastAsia="宋体" w:hint="default"/>
        </w:rPr>
        <w:t>5,769.2308</w:t>
      </w:r>
      <w:r>
        <w:rPr/>
        <w:t>万元，公</w:t>
      </w:r>
    </w:p>
    <w:p>
      <w:pPr>
        <w:pStyle w:val="BodyText"/>
        <w:spacing w:line="319" w:lineRule="auto" w:before="76"/>
        <w:ind w:left="1133" w:right="1128"/>
        <w:jc w:val="both"/>
      </w:pPr>
      <w:r>
        <w:rPr>
          <w:spacing w:val="-2"/>
        </w:rPr>
        <w:t>司持有天喻教育的股权比例将由</w:t>
      </w:r>
      <w:r>
        <w:rPr>
          <w:rFonts w:ascii="宋体" w:hAnsi="宋体" w:cs="宋体" w:eastAsia="宋体" w:hint="default"/>
          <w:spacing w:val="-2"/>
        </w:rPr>
        <w:t>80%</w:t>
      </w:r>
      <w:r>
        <w:rPr>
          <w:spacing w:val="-2"/>
        </w:rPr>
        <w:t>降至</w:t>
      </w:r>
      <w:r>
        <w:rPr>
          <w:rFonts w:ascii="宋体" w:hAnsi="宋体" w:cs="宋体" w:eastAsia="宋体" w:hint="default"/>
          <w:spacing w:val="-2"/>
        </w:rPr>
        <w:t>69.33%</w:t>
      </w:r>
      <w:r>
        <w:rPr>
          <w:spacing w:val="-2"/>
        </w:rPr>
        <w:t>，天喻教育仍为公司的控股子公司（详见公司于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rFonts w:ascii="宋体" w:hAnsi="宋体" w:cs="宋体" w:eastAsia="宋体" w:hint="default"/>
          <w:spacing w:val="-44"/>
        </w:rPr>
        <w:t> </w:t>
      </w:r>
      <w:r>
        <w:rPr/>
        <w:t>日、</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日在中国证监会指定信息披露网站披露的相关公告）。截至目前，天喻教育收到外部投资者增资款</w:t>
      </w:r>
      <w:r>
        <w:rPr>
          <w:rFonts w:ascii="宋体" w:hAnsi="宋体" w:cs="宋体" w:eastAsia="宋体" w:hint="default"/>
        </w:rPr>
        <w:t>2,000</w:t>
      </w:r>
      <w:r>
        <w:rPr>
          <w:rFonts w:ascii="宋体" w:hAnsi="宋体" w:cs="宋体" w:eastAsia="宋体" w:hint="default"/>
          <w:spacing w:val="2"/>
        </w:rPr>
        <w:t> </w:t>
      </w:r>
      <w:r>
        <w:rPr/>
        <w:t>万元。公司正在积极推进本次教育业务的融资，并以自有资金及其他方式的融资保证教育业务的正常开展。</w:t>
      </w:r>
    </w:p>
    <w:p>
      <w:pPr>
        <w:spacing w:after="0" w:line="319" w:lineRule="auto"/>
        <w:jc w:val="both"/>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0"/>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9"/>
      <w:bookmarkEnd w:id="109"/>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745" w:type="dxa"/>
        <w:tblLayout w:type="fixed"/>
        <w:tblCellMar>
          <w:top w:w="0" w:type="dxa"/>
          <w:left w:w="0" w:type="dxa"/>
          <w:bottom w:w="0" w:type="dxa"/>
          <w:right w:w="0" w:type="dxa"/>
        </w:tblCellMar>
        <w:tblLook w:val="01E0"/>
      </w:tblPr>
      <w:tblGrid>
        <w:gridCol w:w="2028"/>
        <w:gridCol w:w="1175"/>
        <w:gridCol w:w="823"/>
        <w:gridCol w:w="824"/>
        <w:gridCol w:w="822"/>
        <w:gridCol w:w="1135"/>
        <w:gridCol w:w="822"/>
        <w:gridCol w:w="822"/>
        <w:gridCol w:w="1162"/>
        <w:gridCol w:w="794"/>
      </w:tblGrid>
      <w:tr>
        <w:trPr>
          <w:trHeight w:val="402" w:hRule="exact"/>
        </w:trPr>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2028" w:type="dxa"/>
            <w:vMerge/>
            <w:tcBorders>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4,540,505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4,699,080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4,540,505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4,699,080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4,540,505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4,699,080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425,515,495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98.94%</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425,356,920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98.90%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425,515,495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98.94%</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425,356,920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98.90%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股份变动的原因</w:t>
      </w:r>
    </w:p>
    <w:p>
      <w:pPr>
        <w:pStyle w:val="BodyText"/>
        <w:spacing w:line="357" w:lineRule="auto" w:before="117"/>
        <w:ind w:left="1493" w:right="1118" w:hanging="360"/>
        <w:jc w:val="left"/>
      </w:pPr>
      <w:r>
        <w:rPr/>
        <w:t>√ 适用 □ 不适用 </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日公司原高级管理人员江绥任期届满，不再担任公司副总经理、董事会秘书职务，其持有的</w:t>
      </w:r>
      <w:r>
        <w:rPr>
          <w:rFonts w:ascii="宋体" w:hAnsi="宋体" w:cs="宋体" w:eastAsia="宋体" w:hint="default"/>
          <w:spacing w:val="-2"/>
        </w:rPr>
        <w:t>158,575</w:t>
      </w:r>
      <w:r>
        <w:rPr>
          <w:spacing w:val="-2"/>
        </w:rPr>
        <w:t>股无限</w:t>
      </w:r>
    </w:p>
    <w:p>
      <w:pPr>
        <w:pStyle w:val="BodyText"/>
        <w:spacing w:line="439" w:lineRule="auto"/>
        <w:ind w:right="5712"/>
        <w:jc w:val="left"/>
      </w:pPr>
      <w:r>
        <w:rPr/>
        <w:t>售条件流通股在离职后半年内不得转让，转为有限售条件股份。 股份变动的批准情况</w:t>
      </w:r>
    </w:p>
    <w:p>
      <w:pPr>
        <w:pStyle w:val="BodyText"/>
        <w:spacing w:line="203" w:lineRule="exact"/>
        <w:ind w:right="0"/>
        <w:jc w:val="left"/>
      </w:pPr>
      <w:r>
        <w:rPr/>
        <w:t>□ 适用 √ 不适用</w:t>
      </w:r>
    </w:p>
    <w:p>
      <w:pPr>
        <w:spacing w:line="240" w:lineRule="auto" w:before="0"/>
        <w:rPr>
          <w:rFonts w:ascii="宋体" w:hAnsi="宋体" w:cs="宋体" w:eastAsia="宋体" w:hint="default"/>
          <w:sz w:val="15"/>
          <w:szCs w:val="15"/>
        </w:rPr>
      </w:pPr>
    </w:p>
    <w:p>
      <w:pPr>
        <w:pStyle w:val="BodyText"/>
        <w:spacing w:line="240" w:lineRule="auto"/>
        <w:ind w:right="0"/>
        <w:jc w:val="left"/>
      </w:pPr>
      <w:r>
        <w:rPr/>
        <w:t>股份变动的过户情况</w:t>
      </w:r>
    </w:p>
    <w:p>
      <w:pPr>
        <w:pStyle w:val="BodyText"/>
        <w:spacing w:line="439" w:lineRule="auto" w:before="117"/>
        <w:ind w:right="1392"/>
        <w:jc w:val="left"/>
      </w:pPr>
      <w:r>
        <w:rPr/>
        <w:t>□ 适用 √ 不适用 股份变动对最近一年和最近一期基本每股收益和稀释每股收益、归属于公司普通股股东的每股净资产等财务指标的影响</w:t>
      </w:r>
    </w:p>
    <w:p>
      <w:pPr>
        <w:pStyle w:val="BodyText"/>
        <w:spacing w:line="203" w:lineRule="exact"/>
        <w:ind w:left="1133" w:right="0"/>
        <w:jc w:val="left"/>
      </w:pPr>
      <w:r>
        <w:rPr/>
        <w:t>□ 适用 √ 不适用</w:t>
      </w:r>
    </w:p>
    <w:p>
      <w:pPr>
        <w:spacing w:after="0" w:line="203" w:lineRule="exact"/>
        <w:jc w:val="left"/>
        <w:sectPr>
          <w:pgSz w:w="11910" w:h="16840"/>
          <w:pgMar w:header="0"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1133" w:right="0"/>
        <w:jc w:val="left"/>
      </w:pPr>
      <w:r>
        <w:rPr/>
        <w:t>公司认为必要或证券监管机构要求披露的其他内容</w:t>
      </w:r>
    </w:p>
    <w:p>
      <w:pPr>
        <w:pStyle w:val="BodyText"/>
        <w:spacing w:line="240" w:lineRule="auto" w:before="117"/>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0"/>
      <w:bookmarkEnd w:id="110"/>
      <w:r>
        <w:rPr>
          <w:b w:val="0"/>
          <w:bCs w:val="0"/>
        </w:rPr>
      </w:r>
      <w:r>
        <w:rPr>
          <w:rFonts w:ascii="宋体" w:hAnsi="宋体" w:cs="宋体" w:eastAsia="宋体" w:hint="default"/>
        </w:rPr>
        <w:t>2</w:t>
      </w:r>
      <w:r>
        <w:rPr/>
        <w:t>、限售股份变动情况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7"/>
        <w:ind w:left="0" w:right="131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78"/>
        <w:gridCol w:w="1368"/>
        <w:gridCol w:w="1532"/>
        <w:gridCol w:w="1531"/>
        <w:gridCol w:w="1369"/>
        <w:gridCol w:w="1370"/>
        <w:gridCol w:w="1362"/>
      </w:tblGrid>
      <w:tr>
        <w:trPr>
          <w:trHeight w:val="40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4,064,782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4,064,782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475,723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离任高管限售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2018.1.16</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4,540,505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4,699,080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12"/>
      <w:bookmarkEnd w:id="112"/>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4"/>
      <w:bookmarkEnd w:id="114"/>
      <w:r>
        <w:rPr>
          <w:b w:val="0"/>
          <w:bCs w:val="0"/>
        </w:rPr>
      </w:r>
      <w:r>
        <w:rPr>
          <w:rFonts w:ascii="宋体" w:hAnsi="宋体" w:cs="宋体" w:eastAsia="宋体" w:hint="default"/>
        </w:rPr>
        <w:t>3</w:t>
      </w:r>
      <w:r>
        <w:rPr/>
        <w:t>、现存的内部职工股情况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6"/>
      <w:bookmarkEnd w:id="116"/>
      <w:r>
        <w:rPr>
          <w:b w:val="0"/>
          <w:bCs w:val="0"/>
        </w:rPr>
      </w:r>
      <w:r>
        <w:rPr>
          <w:rFonts w:ascii="宋体" w:hAnsi="宋体" w:cs="宋体" w:eastAsia="宋体" w:hint="default"/>
        </w:rPr>
        <w:t>1</w:t>
      </w:r>
      <w:r>
        <w:rPr/>
        <w:t>、公司股东数量及持股情况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652" w:type="dxa"/>
        <w:tblLayout w:type="fixed"/>
        <w:tblCellMar>
          <w:top w:w="0" w:type="dxa"/>
          <w:left w:w="0" w:type="dxa"/>
          <w:bottom w:w="0" w:type="dxa"/>
          <w:right w:w="0" w:type="dxa"/>
        </w:tblCellMar>
        <w:tblLook w:val="01E0"/>
      </w:tblPr>
      <w:tblGrid>
        <w:gridCol w:w="1275"/>
        <w:gridCol w:w="252"/>
        <w:gridCol w:w="710"/>
        <w:gridCol w:w="704"/>
        <w:gridCol w:w="751"/>
        <w:gridCol w:w="1190"/>
        <w:gridCol w:w="332"/>
        <w:gridCol w:w="660"/>
        <w:gridCol w:w="1140"/>
        <w:gridCol w:w="126"/>
        <w:gridCol w:w="850"/>
        <w:gridCol w:w="326"/>
        <w:gridCol w:w="1189"/>
        <w:gridCol w:w="210"/>
        <w:gridCol w:w="875"/>
      </w:tblGrid>
      <w:tr>
        <w:trPr>
          <w:trHeight w:val="10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3" w:right="0"/>
              <w:jc w:val="left"/>
              <w:rPr>
                <w:rFonts w:ascii="宋体" w:hAnsi="宋体" w:cs="宋体" w:eastAsia="宋体" w:hint="default"/>
                <w:sz w:val="18"/>
                <w:szCs w:val="18"/>
              </w:rPr>
            </w:pPr>
            <w:r>
              <w:rPr>
                <w:rFonts w:ascii="宋体" w:hAnsi="宋体" w:cs="宋体" w:eastAsia="宋体" w:hint="default"/>
                <w:sz w:val="18"/>
                <w:szCs w:val="18"/>
              </w:rPr>
              <w:t>23,738</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4" w:right="0"/>
              <w:jc w:val="left"/>
              <w:rPr>
                <w:rFonts w:ascii="宋体" w:hAnsi="宋体" w:cs="宋体" w:eastAsia="宋体" w:hint="default"/>
                <w:sz w:val="18"/>
                <w:szCs w:val="18"/>
              </w:rPr>
            </w:pPr>
            <w:r>
              <w:rPr>
                <w:rFonts w:ascii="宋体" w:hAnsi="宋体" w:cs="宋体" w:eastAsia="宋体" w:hint="default"/>
                <w:sz w:val="18"/>
                <w:szCs w:val="18"/>
              </w:rPr>
              <w:t>23,567</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402" w:hRule="exact"/>
        </w:trPr>
        <w:tc>
          <w:tcPr>
            <w:tcW w:w="10591"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527"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5"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8"/>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90" w:type="dxa"/>
            <w:vMerge w:val="restart"/>
            <w:tcBorders>
              <w:top w:val="single" w:sz="4" w:space="0" w:color="000000"/>
              <w:left w:val="single" w:sz="4" w:space="0" w:color="000000"/>
              <w:right w:val="single" w:sz="4" w:space="0" w:color="000000"/>
            </w:tcBorders>
          </w:tcPr>
          <w:p>
            <w:pPr>
              <w:pStyle w:val="TableParagraph"/>
              <w:spacing w:line="316" w:lineRule="auto" w:before="97"/>
              <w:ind w:left="427" w:right="30"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316" w:lineRule="auto" w:before="97"/>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66" w:type="dxa"/>
            <w:gridSpan w:val="2"/>
            <w:vMerge w:val="restart"/>
            <w:tcBorders>
              <w:top w:val="single" w:sz="4" w:space="0" w:color="000000"/>
              <w:left w:val="single" w:sz="4" w:space="0" w:color="000000"/>
              <w:right w:val="single" w:sz="4" w:space="0" w:color="000000"/>
            </w:tcBorders>
          </w:tcPr>
          <w:p>
            <w:pPr>
              <w:pStyle w:val="TableParagraph"/>
              <w:spacing w:line="316" w:lineRule="auto" w:before="97"/>
              <w:ind w:left="87" w:right="86"/>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176" w:type="dxa"/>
            <w:gridSpan w:val="2"/>
            <w:vMerge w:val="restart"/>
            <w:tcBorders>
              <w:top w:val="single" w:sz="4" w:space="0" w:color="000000"/>
              <w:left w:val="single" w:sz="4" w:space="0" w:color="000000"/>
              <w:right w:val="single" w:sz="4" w:space="0" w:color="000000"/>
            </w:tcBorders>
          </w:tcPr>
          <w:p>
            <w:pPr>
              <w:pStyle w:val="TableParagraph"/>
              <w:spacing w:line="316" w:lineRule="auto" w:before="97"/>
              <w:ind w:left="41" w:right="4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527" w:type="dxa"/>
            <w:gridSpan w:val="2"/>
            <w:vMerge/>
            <w:tcBorders>
              <w:left w:val="single" w:sz="4" w:space="0" w:color="000000"/>
              <w:bottom w:val="single" w:sz="4" w:space="0" w:color="000000"/>
              <w:right w:val="single" w:sz="4" w:space="0" w:color="000000"/>
            </w:tcBorders>
          </w:tcPr>
          <w:p>
            <w:pPr/>
          </w:p>
        </w:tc>
        <w:tc>
          <w:tcPr>
            <w:tcW w:w="1415" w:type="dxa"/>
            <w:gridSpan w:val="2"/>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1266" w:type="dxa"/>
            <w:gridSpan w:val="2"/>
            <w:vMerge/>
            <w:tcBorders>
              <w:left w:val="single" w:sz="4" w:space="0" w:color="000000"/>
              <w:bottom w:val="single" w:sz="4" w:space="0" w:color="000000"/>
              <w:right w:val="single" w:sz="4" w:space="0" w:color="000000"/>
            </w:tcBorders>
          </w:tcPr>
          <w:p>
            <w:pPr/>
          </w:p>
        </w:tc>
        <w:tc>
          <w:tcPr>
            <w:tcW w:w="1176" w:type="dxa"/>
            <w:gridSpan w:val="2"/>
            <w:vMerge/>
            <w:tcBorders>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 w:right="51"/>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26.14%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112,401,129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sz w:val="18"/>
              </w:rPr>
              <w:t>112,401,129</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z w:val="18"/>
                <w:szCs w:val="18"/>
              </w:rPr>
              <w:t>武汉光谷创业投资 基金有限公司</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16.81%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72,287,710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sz w:val="18"/>
              </w:rPr>
              <w:t>72,287,710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652" w:type="dxa"/>
        <w:tblLayout w:type="fixed"/>
        <w:tblCellMar>
          <w:top w:w="0" w:type="dxa"/>
          <w:left w:w="0" w:type="dxa"/>
          <w:bottom w:w="0" w:type="dxa"/>
          <w:right w:w="0" w:type="dxa"/>
        </w:tblCellMar>
        <w:tblLook w:val="01E0"/>
      </w:tblPr>
      <w:tblGrid>
        <w:gridCol w:w="1527"/>
        <w:gridCol w:w="1415"/>
        <w:gridCol w:w="788"/>
        <w:gridCol w:w="1152"/>
        <w:gridCol w:w="992"/>
        <w:gridCol w:w="1266"/>
        <w:gridCol w:w="1176"/>
        <w:gridCol w:w="1189"/>
        <w:gridCol w:w="1085"/>
      </w:tblGrid>
      <w:tr>
        <w:trPr>
          <w:trHeight w:val="71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武汉华中科技大产 业集团有限公司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24,431,582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24,431,582</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余建隆</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6,267,200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6,267,200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6,267,200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5,419,710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4,064,782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1,354,928</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1"/>
              <w:jc w:val="both"/>
              <w:rPr>
                <w:rFonts w:ascii="宋体" w:hAnsi="宋体" w:cs="宋体" w:eastAsia="宋体" w:hint="default"/>
                <w:sz w:val="18"/>
                <w:szCs w:val="18"/>
              </w:rPr>
            </w:pPr>
            <w:r>
              <w:rPr>
                <w:rFonts w:ascii="宋体" w:hAnsi="宋体" w:cs="宋体" w:eastAsia="宋体" w:hint="default"/>
                <w:sz w:val="18"/>
                <w:szCs w:val="18"/>
              </w:rPr>
              <w:t>陕西省国际信托股 份有限公司－陕国 投•持盈</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号证券 投资集合资金信托 计划</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0.82%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3,518,954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3,518,954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3,518,954</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陈一帆</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3,252,601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3,252,601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3,252,601</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王开湖</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黄建跃</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2,029,700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855,700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2,029,700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华润深国投信托有 限公司－润之信</w:t>
            </w:r>
            <w:r>
              <w:rPr>
                <w:rFonts w:ascii="宋体" w:hAnsi="宋体" w:cs="宋体" w:eastAsia="宋体" w:hint="default"/>
                <w:spacing w:val="-60"/>
                <w:sz w:val="18"/>
                <w:szCs w:val="18"/>
              </w:rPr>
              <w:t> </w:t>
            </w:r>
            <w:r>
              <w:rPr>
                <w:rFonts w:ascii="宋体" w:hAnsi="宋体" w:cs="宋体" w:eastAsia="宋体" w:hint="default"/>
                <w:sz w:val="18"/>
                <w:szCs w:val="18"/>
              </w:rPr>
              <w:t>20 </w:t>
            </w:r>
            <w:r>
              <w:rPr>
                <w:rFonts w:ascii="宋体" w:hAnsi="宋体" w:cs="宋体" w:eastAsia="宋体" w:hint="default"/>
                <w:sz w:val="18"/>
                <w:szCs w:val="18"/>
              </w:rPr>
              <w:t>期集合资金信托计 划</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0.47%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2,013,600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2,013,600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2,013,600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w:t>
            </w:r>
          </w:p>
        </w:tc>
        <w:tc>
          <w:tcPr>
            <w:tcW w:w="76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6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402" w:hRule="exact"/>
        </w:trPr>
        <w:tc>
          <w:tcPr>
            <w:tcW w:w="105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2942"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376" w:type="dxa"/>
            <w:gridSpan w:val="5"/>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3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942" w:type="dxa"/>
            <w:gridSpan w:val="2"/>
            <w:vMerge/>
            <w:tcBorders>
              <w:left w:val="single" w:sz="4" w:space="0" w:color="000000"/>
              <w:bottom w:val="single" w:sz="4" w:space="0" w:color="000000"/>
              <w:right w:val="single" w:sz="4" w:space="0" w:color="000000"/>
            </w:tcBorders>
          </w:tcPr>
          <w:p>
            <w:pPr/>
          </w:p>
        </w:tc>
        <w:tc>
          <w:tcPr>
            <w:tcW w:w="5376" w:type="dxa"/>
            <w:gridSpan w:val="5"/>
            <w:vMerge/>
            <w:tcBorders>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112,401,129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112,401,129</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72,287,710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72,287,710</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24,431,582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24,431,582</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余建隆</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6,267,200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6,267,200</w:t>
            </w:r>
          </w:p>
        </w:tc>
      </w:tr>
      <w:tr>
        <w:trPr>
          <w:trHeight w:val="1026"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7"/>
              <w:jc w:val="both"/>
              <w:rPr>
                <w:rFonts w:ascii="宋体" w:hAnsi="宋体" w:cs="宋体" w:eastAsia="宋体" w:hint="default"/>
                <w:sz w:val="18"/>
                <w:szCs w:val="18"/>
              </w:rPr>
            </w:pPr>
            <w:r>
              <w:rPr>
                <w:rFonts w:ascii="宋体" w:hAnsi="宋体" w:cs="宋体" w:eastAsia="宋体" w:hint="default"/>
                <w:sz w:val="18"/>
                <w:szCs w:val="18"/>
              </w:rPr>
              <w:t>陕西省国际信托股份有限公司－陕国 投•持盈</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号证券投资集合资金信托 计划</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3,518,954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3,518,954</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陈一帆</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3,252,601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3,252,601</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王开湖</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2,250,000</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黄建跃</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2,029,700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2,029,700</w:t>
            </w:r>
          </w:p>
        </w:tc>
      </w:tr>
      <w:tr>
        <w:trPr>
          <w:trHeight w:val="714"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7"/>
              <w:jc w:val="left"/>
              <w:rPr>
                <w:rFonts w:ascii="宋体" w:hAnsi="宋体" w:cs="宋体" w:eastAsia="宋体" w:hint="default"/>
                <w:sz w:val="18"/>
                <w:szCs w:val="18"/>
              </w:rPr>
            </w:pPr>
            <w:r>
              <w:rPr>
                <w:rFonts w:ascii="宋体" w:hAnsi="宋体" w:cs="宋体" w:eastAsia="宋体" w:hint="default"/>
                <w:sz w:val="18"/>
                <w:szCs w:val="18"/>
              </w:rPr>
              <w:t>华润深国投信托有限公司－润之信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期集合资金信托计划</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2,013,600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2,013,600</w:t>
            </w:r>
          </w:p>
        </w:tc>
      </w:tr>
      <w:tr>
        <w:trPr>
          <w:trHeight w:val="402"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吴小仙</w:t>
            </w:r>
          </w:p>
        </w:tc>
        <w:tc>
          <w:tcPr>
            <w:tcW w:w="5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w:t>
            </w:r>
          </w:p>
        </w:tc>
      </w:tr>
      <w:tr>
        <w:trPr>
          <w:trHeight w:val="674" w:hRule="exact"/>
        </w:trPr>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6"/>
                <w:sz w:val="18"/>
                <w:szCs w:val="18"/>
              </w:rPr>
              <w:t>，</w:t>
            </w:r>
            <w:r>
              <w:rPr>
                <w:rFonts w:ascii="宋体" w:hAnsi="宋体" w:cs="宋体" w:eastAsia="宋体" w:hint="default"/>
                <w:sz w:val="18"/>
                <w:szCs w:val="18"/>
              </w:rPr>
              <w:t>以及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w:t>
            </w:r>
          </w:p>
        </w:tc>
        <w:tc>
          <w:tcPr>
            <w:tcW w:w="76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652" w:type="dxa"/>
        <w:tblLayout w:type="fixed"/>
        <w:tblCellMar>
          <w:top w:w="0" w:type="dxa"/>
          <w:left w:w="0" w:type="dxa"/>
          <w:bottom w:w="0" w:type="dxa"/>
          <w:right w:w="0" w:type="dxa"/>
        </w:tblCellMar>
        <w:tblLook w:val="01E0"/>
      </w:tblPr>
      <w:tblGrid>
        <w:gridCol w:w="2942"/>
        <w:gridCol w:w="7650"/>
      </w:tblGrid>
      <w:tr>
        <w:trPr>
          <w:trHeight w:val="36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股东之间关联关系或一致行动的说明</w:t>
            </w:r>
          </w:p>
        </w:tc>
        <w:tc>
          <w:tcPr>
            <w:tcW w:w="76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7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公司股东余建隆通过招商证券股份有限公司客户信用交易担保证券账户持有公司</w:t>
            </w:r>
            <w:r>
              <w:rPr>
                <w:rFonts w:ascii="宋体" w:hAnsi="宋体" w:cs="宋体" w:eastAsia="宋体" w:hint="default"/>
                <w:spacing w:val="-45"/>
                <w:sz w:val="18"/>
                <w:szCs w:val="18"/>
              </w:rPr>
              <w:t> </w:t>
            </w:r>
            <w:r>
              <w:rPr>
                <w:rFonts w:ascii="宋体" w:hAnsi="宋体" w:cs="宋体" w:eastAsia="宋体" w:hint="default"/>
                <w:sz w:val="18"/>
                <w:szCs w:val="18"/>
              </w:rPr>
              <w:t>6,267,200</w:t>
            </w:r>
            <w:r>
              <w:rPr>
                <w:rFonts w:ascii="宋体" w:hAnsi="宋体" w:cs="宋体" w:eastAsia="宋体" w:hint="default"/>
                <w:spacing w:val="-46"/>
                <w:sz w:val="18"/>
                <w:szCs w:val="18"/>
              </w:rPr>
              <w:t> </w:t>
            </w:r>
            <w:r>
              <w:rPr>
                <w:rFonts w:ascii="宋体" w:hAnsi="宋体" w:cs="宋体" w:eastAsia="宋体" w:hint="default"/>
                <w:sz w:val="18"/>
                <w:szCs w:val="18"/>
              </w:rPr>
              <w:t>股股</w:t>
            </w:r>
          </w:p>
          <w:p>
            <w:pPr>
              <w:pStyle w:val="TableParagraph"/>
              <w:spacing w:line="319" w:lineRule="auto" w:before="75"/>
              <w:ind w:left="22" w:right="101"/>
              <w:jc w:val="left"/>
              <w:rPr>
                <w:rFonts w:ascii="宋体" w:hAnsi="宋体" w:cs="宋体" w:eastAsia="宋体" w:hint="default"/>
                <w:sz w:val="18"/>
                <w:szCs w:val="18"/>
              </w:rPr>
            </w:pPr>
            <w:r>
              <w:rPr>
                <w:rFonts w:ascii="宋体" w:hAnsi="宋体" w:cs="宋体" w:eastAsia="宋体" w:hint="default"/>
                <w:sz w:val="18"/>
                <w:szCs w:val="18"/>
              </w:rPr>
              <w:t>份。公司股东陈一帆通过长江证券股份有限公司客户信用交易担保证券账户持有公司</w:t>
            </w:r>
            <w:r>
              <w:rPr>
                <w:rFonts w:ascii="宋体" w:hAnsi="宋体" w:cs="宋体" w:eastAsia="宋体" w:hint="default"/>
                <w:spacing w:val="-45"/>
                <w:sz w:val="18"/>
                <w:szCs w:val="18"/>
              </w:rPr>
              <w:t> </w:t>
            </w:r>
            <w:r>
              <w:rPr>
                <w:rFonts w:ascii="宋体" w:hAnsi="宋体" w:cs="宋体" w:eastAsia="宋体" w:hint="default"/>
                <w:sz w:val="18"/>
                <w:szCs w:val="18"/>
              </w:rPr>
              <w:t>3,252,601 </w:t>
            </w:r>
            <w:r>
              <w:rPr>
                <w:rFonts w:ascii="宋体" w:hAnsi="宋体" w:cs="宋体" w:eastAsia="宋体" w:hint="default"/>
                <w:sz w:val="18"/>
                <w:szCs w:val="18"/>
              </w:rPr>
              <w:t>股股份。公司股东王开湖通过长江证券股份有限公司客户信用交易担保证券账户持有公司 </w:t>
            </w:r>
            <w:r>
              <w:rPr>
                <w:rFonts w:ascii="宋体" w:hAnsi="宋体" w:cs="宋体" w:eastAsia="宋体" w:hint="default"/>
                <w:sz w:val="18"/>
                <w:szCs w:val="18"/>
              </w:rPr>
              <w:t>2,250,000</w:t>
            </w:r>
            <w:r>
              <w:rPr>
                <w:rFonts w:ascii="宋体" w:hAnsi="宋体" w:cs="宋体" w:eastAsia="宋体" w:hint="default"/>
                <w:spacing w:val="-46"/>
                <w:sz w:val="18"/>
                <w:szCs w:val="18"/>
              </w:rPr>
              <w:t> </w:t>
            </w:r>
            <w:r>
              <w:rPr>
                <w:rFonts w:ascii="宋体" w:hAnsi="宋体" w:cs="宋体" w:eastAsia="宋体" w:hint="default"/>
                <w:sz w:val="18"/>
                <w:szCs w:val="18"/>
              </w:rPr>
              <w:t>股股份。公司股东吴小仙通过招商证券股份有限公司客户信用交易担保证券账户持有</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股股份。</w:t>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44"/>
        <w:ind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6"/>
        <w:ind w:left="1133" w:right="0"/>
        <w:jc w:val="left"/>
      </w:pPr>
      <w:r>
        <w:rPr/>
        <w:t>□ 是 √ 否</w:t>
      </w:r>
    </w:p>
    <w:p>
      <w:pPr>
        <w:pStyle w:val="BodyText"/>
        <w:spacing w:line="240" w:lineRule="auto" w:before="117"/>
        <w:ind w:left="1493"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公司控股股东情况" w:id="117"/>
      <w:bookmarkEnd w:id="117"/>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412"/>
        <w:jc w:val="left"/>
      </w:pPr>
      <w:r>
        <w:rPr/>
        <w:t>控股股东性质：中央国有控股 控股股东类型：法人</w:t>
      </w:r>
    </w:p>
    <w:tbl>
      <w:tblPr>
        <w:tblW w:w="0" w:type="auto"/>
        <w:jc w:val="left"/>
        <w:tblInd w:w="1038" w:type="dxa"/>
        <w:tblLayout w:type="fixed"/>
        <w:tblCellMar>
          <w:top w:w="0" w:type="dxa"/>
          <w:left w:w="0" w:type="dxa"/>
          <w:bottom w:w="0" w:type="dxa"/>
          <w:right w:w="0" w:type="dxa"/>
        </w:tblCellMar>
        <w:tblLook w:val="01E0"/>
      </w:tblPr>
      <w:tblGrid>
        <w:gridCol w:w="1512"/>
        <w:gridCol w:w="2054"/>
        <w:gridCol w:w="1593"/>
        <w:gridCol w:w="1753"/>
        <w:gridCol w:w="2908"/>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单位负责人</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sz w:val="18"/>
              </w:rPr>
              <w:t>914201007246709317</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2"/>
                <w:sz w:val="18"/>
                <w:szCs w:val="18"/>
              </w:rPr>
              <w:t>创业投资业务；代理其他创业投资企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业等机构或个人的创业投资业务；创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业投资咨询业务；为创业企业提供创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业管理服务业务；参与设立创业投资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企业与创业投资管理顾问机构。</w:t>
            </w:r>
          </w:p>
        </w:tc>
      </w:tr>
      <w:tr>
        <w:trPr>
          <w:trHeight w:val="134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39"/>
              <w:jc w:val="both"/>
              <w:rPr>
                <w:rFonts w:ascii="宋体" w:hAnsi="宋体" w:cs="宋体" w:eastAsia="宋体" w:hint="default"/>
                <w:sz w:val="18"/>
                <w:szCs w:val="18"/>
              </w:rPr>
            </w:pPr>
            <w:r>
              <w:rPr>
                <w:rFonts w:ascii="宋体" w:hAnsi="宋体" w:cs="宋体" w:eastAsia="宋体" w:hint="default"/>
                <w:sz w:val="18"/>
                <w:szCs w:val="18"/>
              </w:rPr>
              <w:t>控股股东报告期内 控股和参股的其他 境内外上市公司的 股权情况</w:t>
            </w:r>
          </w:p>
        </w:tc>
        <w:tc>
          <w:tcPr>
            <w:tcW w:w="83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2"/>
              <w:jc w:val="left"/>
              <w:rPr>
                <w:rFonts w:ascii="宋体" w:hAnsi="宋体" w:cs="宋体" w:eastAsia="宋体" w:hint="default"/>
                <w:sz w:val="18"/>
                <w:szCs w:val="18"/>
              </w:rPr>
            </w:pPr>
            <w:r>
              <w:rPr>
                <w:rFonts w:ascii="宋体" w:hAnsi="宋体" w:cs="宋体" w:eastAsia="宋体" w:hint="default"/>
                <w:spacing w:val="-1"/>
                <w:sz w:val="18"/>
                <w:szCs w:val="18"/>
              </w:rPr>
              <w:t>截至报告期末，华工创投参股的其他上市公司有海波重型工程科技股份有限公司，华工创投持有海波重型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工程科技股份有限公司股份</w:t>
            </w:r>
            <w:r>
              <w:rPr>
                <w:rFonts w:ascii="宋体" w:hAnsi="宋体" w:cs="宋体" w:eastAsia="宋体" w:hint="default"/>
                <w:spacing w:val="-46"/>
                <w:sz w:val="18"/>
                <w:szCs w:val="18"/>
              </w:rPr>
              <w:t> </w:t>
            </w:r>
            <w:r>
              <w:rPr>
                <w:rFonts w:ascii="宋体" w:hAnsi="宋体" w:cs="宋体" w:eastAsia="宋体" w:hint="default"/>
                <w:sz w:val="18"/>
                <w:szCs w:val="18"/>
              </w:rPr>
              <w:t>350,400</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pacing w:val="-26"/>
                <w:sz w:val="18"/>
                <w:szCs w:val="18"/>
              </w:rPr>
              <w:t>0.34%</w:t>
            </w:r>
            <w:r>
              <w:rPr>
                <w:rFonts w:ascii="宋体" w:hAnsi="宋体" w:cs="宋体" w:eastAsia="宋体" w:hint="default"/>
                <w:spacing w:val="-26"/>
                <w:sz w:val="18"/>
                <w:szCs w:val="18"/>
              </w:rPr>
              <w:t>）。</w:t>
            </w:r>
            <w:r>
              <w:rPr>
                <w:rFonts w:ascii="宋体" w:hAnsi="宋体" w:cs="宋体" w:eastAsia="宋体" w:hint="default"/>
                <w:sz w:val="18"/>
                <w:szCs w:val="18"/>
              </w:rPr>
            </w:r>
          </w:p>
        </w:tc>
      </w:tr>
    </w:tbl>
    <w:p>
      <w:pPr>
        <w:spacing w:line="240" w:lineRule="auto" w:before="12"/>
        <w:rPr>
          <w:rFonts w:ascii="宋体" w:hAnsi="宋体" w:cs="宋体" w:eastAsia="宋体" w:hint="default"/>
          <w:sz w:val="7"/>
          <w:szCs w:val="7"/>
        </w:rPr>
      </w:pPr>
    </w:p>
    <w:p>
      <w:pPr>
        <w:pStyle w:val="BodyText"/>
        <w:spacing w:line="240" w:lineRule="auto" w:before="44"/>
        <w:ind w:right="0"/>
        <w:jc w:val="left"/>
      </w:pPr>
      <w:r>
        <w:rPr/>
        <w:t>控股股东报告期内变更</w:t>
      </w:r>
    </w:p>
    <w:p>
      <w:pPr>
        <w:pStyle w:val="BodyText"/>
        <w:spacing w:line="357" w:lineRule="auto" w:before="116"/>
        <w:ind w:left="1493" w:right="7693" w:hanging="360"/>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3、公司实际控制人情况" w:id="118"/>
      <w:bookmarkEnd w:id="118"/>
      <w:r>
        <w:rPr>
          <w:b w:val="0"/>
          <w:bCs w:val="0"/>
        </w:rPr>
      </w:r>
      <w:r>
        <w:rPr>
          <w:rFonts w:ascii="宋体" w:hAnsi="宋体" w:cs="宋体" w:eastAsia="宋体" w:hint="default"/>
        </w:rPr>
        <w:t>3</w:t>
      </w:r>
      <w:r>
        <w:rPr/>
        <w:t>、公司实际控制人情况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133" w:right="8593"/>
        <w:jc w:val="left"/>
      </w:pPr>
      <w:r>
        <w:rPr/>
        <w:t>实际控制人性质：高等学校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972"/>
        <w:jc w:val="right"/>
      </w:pPr>
      <w:r>
        <w:rPr/>
        <w:pict>
          <v:shape style="position:absolute;margin-left:51.48pt;margin-top:-54.128284pt;width:492.55pt;height:136.3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204"/>
                    <w:gridCol w:w="1632"/>
                    <w:gridCol w:w="1756"/>
                    <w:gridCol w:w="3543"/>
                  </w:tblGrid>
                  <w:tr>
                    <w:trPr>
                      <w:trHeight w:val="7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6" w:right="101" w:hanging="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华中科技大学</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6" w:right="0"/>
                          <w:jc w:val="left"/>
                          <w:rPr>
                            <w:rFonts w:ascii="宋体" w:hAnsi="宋体" w:cs="宋体" w:eastAsia="宋体" w:hint="default"/>
                            <w:sz w:val="18"/>
                            <w:szCs w:val="18"/>
                          </w:rPr>
                        </w:pPr>
                        <w:r>
                          <w:rPr>
                            <w:rFonts w:ascii="宋体" w:hAnsi="宋体" w:cs="宋体" w:eastAsia="宋体" w:hint="default"/>
                            <w:sz w:val="18"/>
                            <w:szCs w:val="18"/>
                          </w:rPr>
                          <w:t>丁烈云</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9"/>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8"/>
                          <w:jc w:val="center"/>
                          <w:rPr>
                            <w:rFonts w:ascii="宋体" w:hAnsi="宋体" w:cs="宋体" w:eastAsia="宋体" w:hint="default"/>
                            <w:sz w:val="18"/>
                            <w:szCs w:val="18"/>
                          </w:rPr>
                        </w:pPr>
                        <w:r>
                          <w:rPr>
                            <w:rFonts w:ascii="宋体"/>
                            <w:sz w:val="18"/>
                          </w:rPr>
                          <w:t>12100000441626842D</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培养高等学历人才，促进科技文化发展。</w:t>
                        </w:r>
                        <w:r>
                          <w:rPr>
                            <w:rFonts w:ascii="宋体" w:hAnsi="宋体" w:cs="宋体" w:eastAsia="宋体" w:hint="default"/>
                            <w:spacing w:val="-24"/>
                            <w:sz w:val="18"/>
                            <w:szCs w:val="18"/>
                          </w:rPr>
                          <w:t> </w:t>
                        </w:r>
                        <w:r>
                          <w:rPr>
                            <w:rFonts w:ascii="宋体" w:hAnsi="宋体" w:cs="宋体" w:eastAsia="宋体" w:hint="default"/>
                            <w:sz w:val="18"/>
                            <w:szCs w:val="18"/>
                          </w:rPr>
                          <w:t>理</w:t>
                        </w:r>
                        <w:r>
                          <w:rPr>
                            <w:rFonts w:ascii="宋体" w:hAnsi="宋体" w:cs="宋体" w:eastAsia="宋体" w:hint="default"/>
                            <w:sz w:val="18"/>
                            <w:szCs w:val="18"/>
                          </w:rPr>
                          <w:t> 学类、工学类、医学类、文学类、管理学类 经济学类、教育学类、法学类、哲学类学科 高等专科、本科、硕士研究生和博士研究生 学历教育 博士后培养 相关科学研究、继续 教育、专业培训、学术交流与科技咨询。</w:t>
                        </w:r>
                      </w:p>
                    </w:tc>
                  </w:tr>
                </w:tbl>
                <w:p>
                  <w:pPr/>
                </w:p>
              </w:txbxContent>
            </v:textbox>
            <w10:wrap type="none"/>
          </v:shape>
        </w:pict>
      </w:r>
      <w:r>
        <w:rPr/>
        <w:t>、</w:t>
      </w:r>
    </w:p>
    <w:p>
      <w:pPr>
        <w:spacing w:after="0" w:line="240" w:lineRule="auto"/>
        <w:jc w:val="right"/>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9" w:type="dxa"/>
        <w:tblLayout w:type="fixed"/>
        <w:tblCellMar>
          <w:top w:w="0" w:type="dxa"/>
          <w:left w:w="0" w:type="dxa"/>
          <w:bottom w:w="0" w:type="dxa"/>
          <w:right w:w="0" w:type="dxa"/>
        </w:tblCellMar>
        <w:tblLook w:val="01E0"/>
      </w:tblPr>
      <w:tblGrid>
        <w:gridCol w:w="1702"/>
        <w:gridCol w:w="8134"/>
      </w:tblGrid>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4"/>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8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截至报告期末，华中科技大学控制的其他上市公司有华工科技产业股份有限公司和武汉华中数控股份有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限公司。华中科技大学分别通过产业集团和武汉华科机电工程技术有限公司持有华工科技产业股份有限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公司股份</w:t>
            </w:r>
            <w:r>
              <w:rPr>
                <w:rFonts w:ascii="宋体" w:hAnsi="宋体" w:cs="宋体" w:eastAsia="宋体" w:hint="default"/>
                <w:spacing w:val="-46"/>
                <w:sz w:val="18"/>
                <w:szCs w:val="18"/>
              </w:rPr>
              <w:t> </w:t>
            </w:r>
            <w:r>
              <w:rPr>
                <w:rFonts w:ascii="宋体" w:hAnsi="宋体" w:cs="宋体" w:eastAsia="宋体" w:hint="default"/>
                <w:sz w:val="18"/>
                <w:szCs w:val="18"/>
              </w:rPr>
              <w:t>288,342,668</w:t>
            </w:r>
            <w:r>
              <w:rPr>
                <w:rFonts w:ascii="宋体" w:hAnsi="宋体" w:cs="宋体" w:eastAsia="宋体" w:hint="default"/>
                <w:spacing w:val="1"/>
                <w:sz w:val="18"/>
                <w:szCs w:val="18"/>
              </w:rPr>
              <w:t> </w:t>
            </w:r>
            <w:r>
              <w:rPr>
                <w:rFonts w:ascii="宋体" w:hAnsi="宋体" w:cs="宋体" w:eastAsia="宋体" w:hint="default"/>
                <w:sz w:val="18"/>
                <w:szCs w:val="18"/>
              </w:rPr>
              <w:t>股和</w:t>
            </w:r>
            <w:r>
              <w:rPr>
                <w:rFonts w:ascii="宋体" w:hAnsi="宋体" w:cs="宋体" w:eastAsia="宋体" w:hint="default"/>
                <w:spacing w:val="-46"/>
                <w:sz w:val="18"/>
                <w:szCs w:val="18"/>
              </w:rPr>
              <w:t> </w:t>
            </w:r>
            <w:r>
              <w:rPr>
                <w:rFonts w:ascii="宋体" w:hAnsi="宋体" w:cs="宋体" w:eastAsia="宋体" w:hint="default"/>
                <w:sz w:val="18"/>
                <w:szCs w:val="18"/>
              </w:rPr>
              <w:t>2,364,468</w:t>
            </w:r>
            <w:r>
              <w:rPr>
                <w:rFonts w:ascii="宋体" w:hAnsi="宋体" w:cs="宋体" w:eastAsia="宋体" w:hint="default"/>
                <w:spacing w:val="1"/>
                <w:sz w:val="18"/>
                <w:szCs w:val="18"/>
              </w:rPr>
              <w:t> </w:t>
            </w:r>
            <w:r>
              <w:rPr>
                <w:rFonts w:ascii="宋体" w:hAnsi="宋体" w:cs="宋体" w:eastAsia="宋体" w:hint="default"/>
                <w:spacing w:val="-6"/>
                <w:sz w:val="18"/>
                <w:szCs w:val="18"/>
              </w:rPr>
              <w:t>股，合计</w:t>
            </w:r>
            <w:r>
              <w:rPr>
                <w:rFonts w:ascii="宋体" w:hAnsi="宋体" w:cs="宋体" w:eastAsia="宋体" w:hint="default"/>
                <w:spacing w:val="-46"/>
                <w:sz w:val="18"/>
                <w:szCs w:val="18"/>
              </w:rPr>
              <w:t> </w:t>
            </w:r>
            <w:r>
              <w:rPr>
                <w:rFonts w:ascii="宋体" w:hAnsi="宋体" w:cs="宋体" w:eastAsia="宋体" w:hint="default"/>
                <w:sz w:val="18"/>
                <w:szCs w:val="18"/>
              </w:rPr>
              <w:t>290,707,136</w:t>
            </w:r>
            <w:r>
              <w:rPr>
                <w:rFonts w:ascii="宋体" w:hAnsi="宋体" w:cs="宋体" w:eastAsia="宋体" w:hint="default"/>
                <w:spacing w:val="-46"/>
                <w:sz w:val="18"/>
                <w:szCs w:val="18"/>
              </w:rPr>
              <w:t> </w:t>
            </w:r>
            <w:r>
              <w:rPr>
                <w:rFonts w:ascii="宋体" w:hAnsi="宋体" w:cs="宋体" w:eastAsia="宋体" w:hint="default"/>
                <w:spacing w:val="-4"/>
                <w:sz w:val="18"/>
                <w:szCs w:val="18"/>
              </w:rPr>
              <w:t>股（持股比例为</w:t>
            </w:r>
            <w:r>
              <w:rPr>
                <w:rFonts w:ascii="宋体" w:hAnsi="宋体" w:cs="宋体" w:eastAsia="宋体" w:hint="default"/>
                <w:spacing w:val="-46"/>
                <w:sz w:val="18"/>
                <w:szCs w:val="18"/>
              </w:rPr>
              <w:t> </w:t>
            </w:r>
            <w:r>
              <w:rPr>
                <w:rFonts w:ascii="宋体" w:hAnsi="宋体" w:cs="宋体" w:eastAsia="宋体" w:hint="default"/>
                <w:spacing w:val="-8"/>
                <w:sz w:val="18"/>
                <w:szCs w:val="18"/>
              </w:rPr>
              <w:t>28.91%</w:t>
            </w:r>
            <w:r>
              <w:rPr>
                <w:rFonts w:ascii="宋体" w:hAnsi="宋体" w:cs="宋体" w:eastAsia="宋体" w:hint="default"/>
                <w:spacing w:val="-8"/>
                <w:sz w:val="18"/>
                <w:szCs w:val="18"/>
              </w:rPr>
              <w:t>）。华中科技大学</w:t>
            </w:r>
            <w:r>
              <w:rPr>
                <w:rFonts w:ascii="宋体" w:hAnsi="宋体" w:cs="宋体" w:eastAsia="宋体" w:hint="default"/>
                <w:sz w:val="18"/>
                <w:szCs w:val="18"/>
              </w:rPr>
              <w:t> 通过产业集团持有武汉华中数控股份有限公司股份</w:t>
            </w:r>
            <w:r>
              <w:rPr>
                <w:rFonts w:ascii="宋体" w:hAnsi="宋体" w:cs="宋体" w:eastAsia="宋体" w:hint="default"/>
                <w:spacing w:val="-45"/>
                <w:sz w:val="18"/>
                <w:szCs w:val="18"/>
              </w:rPr>
              <w:t> </w:t>
            </w:r>
            <w:r>
              <w:rPr>
                <w:rFonts w:ascii="宋体" w:hAnsi="宋体" w:cs="宋体" w:eastAsia="宋体" w:hint="default"/>
                <w:sz w:val="18"/>
                <w:szCs w:val="18"/>
              </w:rPr>
              <w:t>32,924,765</w:t>
            </w:r>
            <w:r>
              <w:rPr>
                <w:rFonts w:ascii="宋体" w:hAnsi="宋体" w:cs="宋体" w:eastAsia="宋体" w:hint="default"/>
                <w:spacing w:val="-45"/>
                <w:sz w:val="18"/>
                <w:szCs w:val="18"/>
              </w:rPr>
              <w:t> </w:t>
            </w:r>
            <w:r>
              <w:rPr>
                <w:rFonts w:ascii="宋体" w:hAnsi="宋体" w:cs="宋体" w:eastAsia="宋体" w:hint="default"/>
                <w:sz w:val="18"/>
                <w:szCs w:val="18"/>
              </w:rPr>
              <w:t>股（持股比例为</w:t>
            </w:r>
            <w:r>
              <w:rPr>
                <w:rFonts w:ascii="宋体" w:hAnsi="宋体" w:cs="宋体" w:eastAsia="宋体" w:hint="default"/>
                <w:spacing w:val="-45"/>
                <w:sz w:val="18"/>
                <w:szCs w:val="18"/>
              </w:rPr>
              <w:t> </w:t>
            </w:r>
            <w:r>
              <w:rPr>
                <w:rFonts w:ascii="宋体" w:hAnsi="宋体" w:cs="宋体" w:eastAsia="宋体" w:hint="default"/>
                <w:spacing w:val="-23"/>
                <w:sz w:val="18"/>
                <w:szCs w:val="18"/>
              </w:rPr>
              <w:t>19.05%</w:t>
            </w:r>
            <w:r>
              <w:rPr>
                <w:rFonts w:ascii="宋体" w:hAnsi="宋体" w:cs="宋体" w:eastAsia="宋体" w:hint="default"/>
                <w:spacing w:val="-23"/>
                <w:sz w:val="18"/>
                <w:szCs w:val="18"/>
              </w:rPr>
              <w:t>）。</w:t>
            </w:r>
            <w:r>
              <w:rPr>
                <w:rFonts w:ascii="宋体" w:hAnsi="宋体" w:cs="宋体" w:eastAsia="宋体" w:hint="default"/>
                <w:sz w:val="18"/>
                <w:szCs w:val="18"/>
              </w:rPr>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实际控制人报告期内变更</w:t>
      </w:r>
    </w:p>
    <w:p>
      <w:pPr>
        <w:pStyle w:val="BodyText"/>
        <w:spacing w:line="357" w:lineRule="auto" w:before="117"/>
        <w:ind w:left="1493" w:right="7513" w:hanging="360"/>
        <w:jc w:val="left"/>
      </w:pPr>
      <w:r>
        <w:rPr/>
        <w:t>□ 适用 √ 不适用 公司报告期实际控制人未发生变更。</w:t>
      </w:r>
    </w:p>
    <w:p>
      <w:pPr>
        <w:pStyle w:val="BodyText"/>
        <w:spacing w:line="240" w:lineRule="auto" w:before="107"/>
        <w:ind w:left="1133" w:right="0"/>
        <w:jc w:val="left"/>
      </w:pPr>
      <w:r>
        <w:rPr/>
        <w:t>公司与实际控制人之间的产权及控制关系的方框图</w:t>
      </w:r>
    </w:p>
    <w:p>
      <w:pPr>
        <w:spacing w:line="240" w:lineRule="auto" w:before="12"/>
        <w:rPr>
          <w:rFonts w:ascii="宋体" w:hAnsi="宋体" w:cs="宋体" w:eastAsia="宋体" w:hint="default"/>
          <w:sz w:val="26"/>
          <w:szCs w:val="26"/>
        </w:rPr>
      </w:pPr>
    </w:p>
    <w:p>
      <w:pPr>
        <w:spacing w:line="3560" w:lineRule="exact"/>
        <w:ind w:left="2953"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806359" cy="2261044"/>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7" cstate="print"/>
                    <a:stretch>
                      <a:fillRect/>
                    </a:stretch>
                  </pic:blipFill>
                  <pic:spPr>
                    <a:xfrm>
                      <a:off x="0" y="0"/>
                      <a:ext cx="3806359" cy="2261044"/>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8"/>
        <w:rPr>
          <w:rFonts w:ascii="宋体" w:hAnsi="宋体" w:cs="宋体" w:eastAsia="宋体" w:hint="default"/>
          <w:sz w:val="23"/>
          <w:szCs w:val="23"/>
        </w:rPr>
      </w:pPr>
    </w:p>
    <w:p>
      <w:pPr>
        <w:pStyle w:val="BodyText"/>
        <w:spacing w:line="240" w:lineRule="auto"/>
        <w:ind w:left="1133" w:right="0"/>
        <w:jc w:val="left"/>
      </w:pPr>
      <w:r>
        <w:rPr/>
        <w:t>实际控制人通过信托或其他资产管理方式控制公司</w:t>
      </w:r>
    </w:p>
    <w:p>
      <w:pPr>
        <w:pStyle w:val="BodyText"/>
        <w:spacing w:line="240" w:lineRule="auto" w:before="117"/>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579"/>
        <w:gridCol w:w="1108"/>
        <w:gridCol w:w="1559"/>
        <w:gridCol w:w="1139"/>
        <w:gridCol w:w="3119"/>
      </w:tblGrid>
      <w:tr>
        <w:trPr>
          <w:trHeight w:val="75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8" w:right="53"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51"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创业投资业务；代理其他创业投资企业 等机构或个人的创业投资业务；创业投 资咨询业务；为创业企业提供创业管理 服务业务；参与设立创业投资企业与创 业投资管理顾问机构。</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20"/>
      <w:bookmarkEnd w:id="120"/>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left="1493" w:right="8233" w:hanging="360"/>
        <w:jc w:val="left"/>
      </w:pPr>
      <w:r>
        <w:rPr/>
        <w:t>□ 适用 √ 不适用 报告期公司不存在优先股。</w:t>
      </w:r>
    </w:p>
    <w:p>
      <w:pPr>
        <w:spacing w:after="0" w:line="357" w:lineRule="auto"/>
        <w:jc w:val="left"/>
        <w:sectPr>
          <w:pgSz w:w="11910" w:h="16840"/>
          <w:pgMar w:header="0" w:footer="979" w:top="110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4"/>
        <w:ind w:left="3826" w:right="1429"/>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140" w:right="1429"/>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020"/>
        <w:gridCol w:w="1929"/>
        <w:gridCol w:w="797"/>
        <w:gridCol w:w="797"/>
        <w:gridCol w:w="703"/>
        <w:gridCol w:w="1700"/>
        <w:gridCol w:w="1702"/>
        <w:gridCol w:w="992"/>
        <w:gridCol w:w="992"/>
        <w:gridCol w:w="1066"/>
        <w:gridCol w:w="1192"/>
        <w:gridCol w:w="1076"/>
      </w:tblGrid>
      <w:tr>
        <w:trPr>
          <w:trHeight w:val="71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firstLine="55"/>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5,419,710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5,419,710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熊赟</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程哲</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李健</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vMerge/>
            <w:tcBorders>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2"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孙震</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孙颉</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石鹰</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胡华夏</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王彬</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3,240</w:t>
            </w:r>
          </w:p>
        </w:tc>
      </w:tr>
    </w:tbl>
    <w:p>
      <w:pPr>
        <w:spacing w:after="0" w:line="240" w:lineRule="auto"/>
        <w:jc w:val="right"/>
        <w:rPr>
          <w:rFonts w:ascii="宋体" w:hAnsi="宋体" w:cs="宋体" w:eastAsia="宋体" w:hint="default"/>
          <w:sz w:val="18"/>
          <w:szCs w:val="18"/>
        </w:rPr>
        <w:sectPr>
          <w:headerReference w:type="default" r:id="rId28"/>
          <w:footerReference w:type="default" r:id="rId29"/>
          <w:pgSz w:w="16840" w:h="11910" w:orient="landscape"/>
          <w:pgMar w:header="867" w:footer="979" w:top="1060" w:bottom="1200" w:left="1300" w:right="0"/>
          <w:pgNumType w:start="42"/>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020"/>
        <w:gridCol w:w="1929"/>
        <w:gridCol w:w="797"/>
        <w:gridCol w:w="797"/>
        <w:gridCol w:w="703"/>
        <w:gridCol w:w="1700"/>
        <w:gridCol w:w="1702"/>
        <w:gridCol w:w="992"/>
        <w:gridCol w:w="992"/>
        <w:gridCol w:w="1066"/>
        <w:gridCol w:w="1192"/>
        <w:gridCol w:w="1076"/>
      </w:tblGrid>
      <w:tr>
        <w:trPr>
          <w:trHeight w:val="416" w:hRule="exact"/>
        </w:trPr>
        <w:tc>
          <w:tcPr>
            <w:tcW w:w="10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9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7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52</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代恒</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江绥</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28" w:right="0"/>
              <w:jc w:val="left"/>
              <w:rPr>
                <w:rFonts w:ascii="宋体" w:hAnsi="宋体" w:cs="宋体" w:eastAsia="宋体" w:hint="default"/>
                <w:sz w:val="18"/>
                <w:szCs w:val="18"/>
              </w:rPr>
            </w:pPr>
            <w:r>
              <w:rPr>
                <w:rFonts w:ascii="宋体"/>
                <w:sz w:val="18"/>
              </w:rPr>
              <w:t>634,298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14" w:right="0"/>
              <w:jc w:val="left"/>
              <w:rPr>
                <w:rFonts w:ascii="宋体" w:hAnsi="宋体" w:cs="宋体" w:eastAsia="宋体" w:hint="default"/>
                <w:sz w:val="18"/>
                <w:szCs w:val="18"/>
              </w:rPr>
            </w:pPr>
            <w:r>
              <w:rPr>
                <w:rFonts w:ascii="宋体"/>
                <w:sz w:val="18"/>
              </w:rPr>
              <w:t>634,298</w:t>
            </w:r>
          </w:p>
        </w:tc>
      </w:tr>
      <w:tr>
        <w:trPr>
          <w:trHeight w:val="402" w:hRule="exact"/>
        </w:trPr>
        <w:tc>
          <w:tcPr>
            <w:tcW w:w="1020" w:type="dxa"/>
            <w:vMerge/>
            <w:tcBorders>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2"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40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6,057,248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6,057,248</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0"/>
        <w:gridCol w:w="2098"/>
        <w:gridCol w:w="1418"/>
        <w:gridCol w:w="2041"/>
        <w:gridCol w:w="260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石鹰</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田祖海</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胡华夏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高级管理人员换届</w:t>
            </w:r>
          </w:p>
        </w:tc>
      </w:tr>
    </w:tbl>
    <w:p>
      <w:pPr>
        <w:spacing w:line="240" w:lineRule="auto" w:before="8"/>
        <w:rPr>
          <w:rFonts w:ascii="宋体" w:hAnsi="宋体" w:cs="宋体" w:eastAsia="宋体" w:hint="default"/>
          <w:sz w:val="6"/>
          <w:szCs w:val="6"/>
        </w:rPr>
      </w:pPr>
    </w:p>
    <w:p>
      <w:pPr>
        <w:pStyle w:val="BodyText"/>
        <w:spacing w:line="319" w:lineRule="auto" w:before="44"/>
        <w:ind w:left="1133" w:right="1132" w:firstLine="360"/>
        <w:jc w:val="both"/>
      </w:pPr>
      <w:r>
        <w:rPr/>
        <w:t>公司第六届董事会、第六届监事会及时任高级管理人员的任期于</w:t>
      </w:r>
      <w:r>
        <w:rPr>
          <w:spacing w:val="-44"/>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日届满。鉴于当时公司新一届董事会 </w:t>
      </w:r>
      <w:r>
        <w:rPr>
          <w:spacing w:val="-2"/>
        </w:rPr>
        <w:t>董事候选人和监事会监事候选人的提名工作未完成，公司董事会和监事会延期换届，董事会下设审计委员会及公司高级管理</w:t>
      </w:r>
      <w:r>
        <w:rPr>
          <w:spacing w:val="-64"/>
        </w:rPr>
        <w:t> </w:t>
      </w:r>
      <w:r>
        <w:rPr>
          <w:spacing w:val="-64"/>
        </w:rPr>
      </w:r>
      <w:r>
        <w:rPr/>
        <w:t>人员相应延期换届。公司于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7</w:t>
      </w:r>
      <w:r>
        <w:rPr>
          <w:rFonts w:ascii="宋体" w:hAnsi="宋体" w:cs="宋体" w:eastAsia="宋体" w:hint="default"/>
          <w:spacing w:val="-49"/>
        </w:rPr>
        <w:t> </w:t>
      </w:r>
      <w:r>
        <w:rPr/>
        <w:t>月</w:t>
      </w:r>
      <w:r>
        <w:rPr>
          <w:spacing w:val="-50"/>
        </w:rPr>
        <w:t> </w:t>
      </w:r>
      <w:r>
        <w:rPr>
          <w:rFonts w:ascii="宋体" w:hAnsi="宋体" w:cs="宋体" w:eastAsia="宋体" w:hint="default"/>
        </w:rPr>
        <w:t>12</w:t>
      </w:r>
      <w:r>
        <w:rPr>
          <w:rFonts w:ascii="宋体" w:hAnsi="宋体" w:cs="宋体" w:eastAsia="宋体" w:hint="default"/>
          <w:spacing w:val="-49"/>
        </w:rPr>
        <w:t> </w:t>
      </w:r>
      <w:r>
        <w:rPr/>
        <w:t>日召开股东大会选举第七届董事会董事和第七届监事会监事；于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rPr>
        <w:t>7</w:t>
      </w:r>
      <w:r>
        <w:rPr>
          <w:rFonts w:ascii="宋体" w:hAnsi="宋体" w:cs="宋体" w:eastAsia="宋体" w:hint="default"/>
          <w:spacing w:val="-50"/>
        </w:rPr>
        <w:t> </w:t>
      </w:r>
      <w:r>
        <w:rPr/>
        <w:t>月</w:t>
      </w:r>
      <w:r>
        <w:rPr>
          <w:spacing w:val="-50"/>
        </w:rPr>
        <w:t> </w:t>
      </w:r>
      <w:r>
        <w:rPr>
          <w:rFonts w:ascii="宋体" w:hAnsi="宋体" w:cs="宋体" w:eastAsia="宋体" w:hint="default"/>
        </w:rPr>
        <w:t>17 </w:t>
      </w:r>
      <w:r>
        <w:rPr>
          <w:spacing w:val="-2"/>
        </w:rPr>
        <w:t>日召开董事会选举公司第七届董事会董事长和第七届董事会审计委员会委员，聘任公司新一届高级管理人员；同日召开监事</w:t>
      </w:r>
      <w:r>
        <w:rPr>
          <w:spacing w:val="-64"/>
        </w:rPr>
        <w:t> </w:t>
      </w:r>
      <w:r>
        <w:rPr>
          <w:spacing w:val="-64"/>
        </w:rPr>
      </w:r>
      <w:r>
        <w:rPr/>
        <w:t>会选举公司第七届监事会主席（详见公司分别于</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47"/>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spacing w:val="-3"/>
        </w:rPr>
        <w:t>日、</w:t>
      </w:r>
      <w:r>
        <w:rPr>
          <w:rFonts w:ascii="宋体" w:hAnsi="宋体" w:cs="宋体" w:eastAsia="宋体" w:hint="default"/>
          <w:spacing w:val="-3"/>
        </w:rPr>
        <w:t>2017</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t>日在中国证监会指定信息披露网站披露 </w:t>
      </w:r>
      <w:r>
        <w:rPr>
          <w:spacing w:val="-13"/>
        </w:rPr>
        <w:t>的相关公告）。</w:t>
      </w:r>
    </w:p>
    <w:p>
      <w:pPr>
        <w:spacing w:line="240" w:lineRule="auto" w:before="6"/>
        <w:rPr>
          <w:rFonts w:ascii="宋体" w:hAnsi="宋体" w:cs="宋体" w:eastAsia="宋体" w:hint="default"/>
          <w:sz w:val="20"/>
          <w:szCs w:val="20"/>
        </w:rPr>
      </w:pPr>
    </w:p>
    <w:p>
      <w:pPr>
        <w:pStyle w:val="Heading2"/>
        <w:spacing w:line="240" w:lineRule="auto"/>
        <w:ind w:left="1134" w:right="0"/>
        <w:jc w:val="left"/>
        <w:rPr>
          <w:b w:val="0"/>
          <w:bCs w:val="0"/>
        </w:rPr>
      </w:pPr>
      <w:bookmarkStart w:name="三、任职情况" w:id="127"/>
      <w:bookmarkEnd w:id="127"/>
      <w:r>
        <w:rPr>
          <w:b w:val="0"/>
          <w:bCs w:val="0"/>
        </w:rPr>
      </w:r>
      <w:r>
        <w:rPr/>
        <w:t>三、任职情况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、公司现任董事、监事、高级管理人员专业背景、主要工作经历以及目前在公司的主要职责</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）董事</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043" w:firstLine="360"/>
        <w:jc w:val="both"/>
      </w:pPr>
      <w:r>
        <w:rPr/>
        <w:t>张新访，男，中国国籍，无境外居留权，</w:t>
      </w:r>
      <w:r>
        <w:rPr>
          <w:rFonts w:ascii="宋体" w:hAnsi="宋体" w:cs="宋体" w:eastAsia="宋体" w:hint="default"/>
        </w:rPr>
        <w:t>1965</w:t>
      </w:r>
      <w:r>
        <w:rPr/>
        <w:t>年</w:t>
      </w:r>
      <w:r>
        <w:rPr>
          <w:rFonts w:ascii="宋体" w:hAnsi="宋体" w:cs="宋体" w:eastAsia="宋体" w:hint="default"/>
        </w:rPr>
        <w:t>1</w:t>
      </w:r>
      <w:r>
        <w:rPr/>
        <w:t>月出生，中共党员，工学博士学位，教授，博士生导师。曾任武汉华 </w:t>
      </w:r>
      <w:r>
        <w:rPr>
          <w:spacing w:val="-2"/>
        </w:rPr>
        <w:t>中科技大产业集团有限公司董事长、总经理，武汉华工创业投资有限责任公司董事、董事长，华工科技产业股份有限公司董</w:t>
      </w:r>
      <w:r>
        <w:rPr>
          <w:spacing w:val="-66"/>
        </w:rPr>
        <w:t> </w:t>
      </w:r>
      <w:r>
        <w:rPr>
          <w:spacing w:val="-66"/>
        </w:rPr>
      </w:r>
      <w:r>
        <w:rPr>
          <w:spacing w:val="-2"/>
        </w:rPr>
        <w:t>事，武汉华中数控股份有限公司董事。现任公司董事长，武汉天喻教育科技有限公司董事长，武汉擎动网络科技有限公司董</w:t>
      </w:r>
      <w:r>
        <w:rPr>
          <w:spacing w:val="-66"/>
        </w:rPr>
        <w:t> </w:t>
      </w:r>
      <w:r>
        <w:rPr>
          <w:spacing w:val="-66"/>
        </w:rPr>
      </w:r>
      <w:r>
        <w:rPr>
          <w:spacing w:val="-2"/>
        </w:rPr>
        <w:t>事长，武汉百望信息技术有限公司董事，武汉果核科技有限公司董事，武汉天喻聚联网络有限公司董事，深圳市易考乐学测</w:t>
      </w:r>
      <w:r>
        <w:rPr>
          <w:spacing w:val="-65"/>
        </w:rPr>
        <w:t> </w:t>
      </w:r>
      <w:r>
        <w:rPr>
          <w:spacing w:val="-65"/>
        </w:rPr>
      </w:r>
      <w:r>
        <w:rPr>
          <w:spacing w:val="-2"/>
        </w:rPr>
        <w:t>评有限公司董事，无锡尚蠡信息科技有限公司董事，上海天喻云企业发展有限公司董事，贵州天喻通慧教育科技有限公司董</w:t>
      </w:r>
      <w:r>
        <w:rPr>
          <w:spacing w:val="-65"/>
        </w:rPr>
        <w:t> </w:t>
      </w:r>
      <w:r>
        <w:rPr>
          <w:spacing w:val="-65"/>
        </w:rPr>
      </w:r>
      <w:r>
        <w:rPr/>
        <w:t>事，武汉国广天喻信息技术有限公司董事，武汉武信天喻科技投资有限公司董事，武汉华中科技大产业集团有限公司董事。</w:t>
      </w:r>
    </w:p>
    <w:p>
      <w:pPr>
        <w:pStyle w:val="BodyText"/>
        <w:spacing w:line="319" w:lineRule="auto" w:before="55"/>
        <w:ind w:left="1133" w:right="1131" w:firstLine="360"/>
        <w:jc w:val="both"/>
      </w:pPr>
      <w:r>
        <w:rPr>
          <w:spacing w:val="-2"/>
        </w:rPr>
        <w:t>朱松青，男，中国国籍，无境外居留权，</w:t>
      </w:r>
      <w:r>
        <w:rPr>
          <w:rFonts w:ascii="宋体" w:hAnsi="宋体" w:cs="宋体" w:eastAsia="宋体" w:hint="default"/>
          <w:spacing w:val="-2"/>
        </w:rPr>
        <w:t>1971</w:t>
      </w:r>
      <w:r>
        <w:rPr>
          <w:spacing w:val="-2"/>
        </w:rPr>
        <w:t>年</w:t>
      </w:r>
      <w:r>
        <w:rPr>
          <w:rFonts w:ascii="宋体" w:hAnsi="宋体" w:cs="宋体" w:eastAsia="宋体" w:hint="default"/>
          <w:spacing w:val="-2"/>
        </w:rPr>
        <w:t>11</w:t>
      </w:r>
      <w:r>
        <w:rPr>
          <w:spacing w:val="-2"/>
        </w:rPr>
        <w:t>月出生，中共党员，经济学硕士学位，副教授。曾任华中科技大学产</w:t>
      </w:r>
      <w:r>
        <w:rPr/>
        <w:t> </w:t>
      </w:r>
      <w:r>
        <w:rPr>
          <w:spacing w:val="-2"/>
        </w:rPr>
        <w:t>业集团党委副书记，武汉华中科技大产业集团有限公司副总经理，华工科技产业股份有限公司董事，武汉华工创业投资有限</w:t>
      </w:r>
      <w:r>
        <w:rPr>
          <w:spacing w:val="-65"/>
        </w:rPr>
        <w:t> </w:t>
      </w:r>
      <w:r>
        <w:rPr>
          <w:spacing w:val="-65"/>
        </w:rPr>
      </w:r>
      <w:r>
        <w:rPr>
          <w:spacing w:val="-2"/>
        </w:rPr>
        <w:t>责任公司董事、总经理，武汉华工科技企业孵化器有限责任公司执行董事，武汉华胜工程建设科技有限公司董事，科华银赛</w:t>
      </w:r>
      <w:r>
        <w:rPr>
          <w:spacing w:val="-66"/>
        </w:rPr>
        <w:t> </w:t>
      </w:r>
      <w:r>
        <w:rPr>
          <w:spacing w:val="-66"/>
        </w:rPr>
      </w:r>
      <w:r>
        <w:rPr>
          <w:spacing w:val="-5"/>
        </w:rPr>
        <w:t>创业投资有限公司董事。现任公司董事，武汉华中科技大产业集团有限公司董事、总经理，华工科技产业股份有限公司董事，</w:t>
      </w:r>
      <w:r>
        <w:rPr>
          <w:spacing w:val="-82"/>
        </w:rPr>
        <w:t> </w:t>
      </w:r>
      <w:r>
        <w:rPr>
          <w:spacing w:val="-82"/>
        </w:rPr>
      </w:r>
      <w:r>
        <w:rPr/>
        <w:t>武汉华中数控股份有限公司监事会主席。</w:t>
      </w:r>
    </w:p>
    <w:p>
      <w:pPr>
        <w:pStyle w:val="BodyText"/>
        <w:spacing w:line="319" w:lineRule="auto" w:before="55"/>
        <w:ind w:right="1032" w:firstLine="360"/>
        <w:jc w:val="left"/>
      </w:pPr>
      <w:r>
        <w:rPr/>
        <w:t>熊赟，男，中国国籍，无境外居留权，</w:t>
      </w:r>
      <w:r>
        <w:rPr>
          <w:rFonts w:ascii="宋体" w:hAnsi="宋体" w:cs="宋体" w:eastAsia="宋体" w:hint="default"/>
        </w:rPr>
        <w:t>1980</w:t>
      </w:r>
      <w:r>
        <w:rPr/>
        <w:t>年</w:t>
      </w:r>
      <w:r>
        <w:rPr>
          <w:rFonts w:ascii="宋体" w:hAnsi="宋体" w:cs="宋体" w:eastAsia="宋体" w:hint="default"/>
        </w:rPr>
        <w:t>1</w:t>
      </w:r>
      <w:r>
        <w:rPr/>
        <w:t>月出生，中共党员，华中科技大学经济学院金融专业和计算机学院计算 机科学与技术专业毕业，双学士学位。曾任华中科技大学学校办公室综合科副科长、学校办公室主任助理。现任公司董事，</w:t>
      </w:r>
      <w:r>
        <w:rPr>
          <w:spacing w:val="-85"/>
        </w:rPr>
        <w:t> </w:t>
      </w:r>
      <w:r>
        <w:rPr>
          <w:spacing w:val="-85"/>
        </w:rPr>
      </w:r>
      <w:r>
        <w:rPr/>
        <w:t>武汉华中科技大产业集团有限公司副总经理，武汉华中华昌能源电气科技有限公司董事，武汉同济科技集团有限公司董事。</w:t>
      </w:r>
    </w:p>
    <w:p>
      <w:pPr>
        <w:pStyle w:val="BodyText"/>
        <w:spacing w:line="319" w:lineRule="auto" w:before="56"/>
        <w:ind w:right="1130" w:firstLine="360"/>
        <w:jc w:val="right"/>
      </w:pPr>
      <w:r>
        <w:rPr/>
        <w:t>程哲，男，中国国籍，无境外居留权，</w:t>
      </w:r>
      <w:r>
        <w:rPr>
          <w:rFonts w:ascii="宋体" w:hAnsi="宋体" w:cs="宋体" w:eastAsia="宋体" w:hint="default"/>
        </w:rPr>
        <w:t>1980</w:t>
      </w:r>
      <w:r>
        <w:rPr/>
        <w:t>年</w:t>
      </w:r>
      <w:r>
        <w:rPr>
          <w:rFonts w:ascii="宋体" w:hAnsi="宋体" w:cs="宋体" w:eastAsia="宋体" w:hint="default"/>
        </w:rPr>
        <w:t>1</w:t>
      </w:r>
      <w:r>
        <w:rPr/>
        <w:t>月出生，中共党员，华中科技大学西方经济学和电磁场与微波技术专业 </w:t>
      </w:r>
      <w:r>
        <w:rPr>
          <w:spacing w:val="-5"/>
        </w:rPr>
        <w:t>研究生，双学位硕士，华中科技大学新制度经济学方向博士在读。曾任武汉东湖新技术开发区管理委员会项目工作组副组长，</w:t>
      </w:r>
      <w:r>
        <w:rPr/>
        <w:t> </w:t>
      </w:r>
      <w:r>
        <w:rPr>
          <w:spacing w:val="-2"/>
        </w:rPr>
        <w:t>艾格太阳能（武汉）有限公司副董事长。现任公司董事，武汉光谷科技金融发展有限公司总经理助理，武汉光谷创业投资基</w:t>
      </w:r>
      <w:r>
        <w:rPr>
          <w:spacing w:val="-76"/>
        </w:rPr>
        <w:t> </w:t>
      </w:r>
      <w:r>
        <w:rPr>
          <w:spacing w:val="-76"/>
        </w:rPr>
      </w:r>
      <w:r>
        <w:rPr>
          <w:spacing w:val="-2"/>
        </w:rPr>
        <w:t>金有限公司董事长，武汉光谷人才创业投资基金有限公司董事长、总经理，武汉光谷人才投资管理有限公司董事长，武汉光</w:t>
      </w:r>
      <w:r>
        <w:rPr>
          <w:spacing w:val="-76"/>
        </w:rPr>
        <w:t> </w:t>
      </w:r>
      <w:r>
        <w:rPr>
          <w:spacing w:val="-76"/>
        </w:rPr>
      </w:r>
      <w:r>
        <w:rPr>
          <w:spacing w:val="-5"/>
        </w:rPr>
        <w:t>谷征信管理有限公司董事、总经理，武汉光谷成长创业投资管理有限公司董事，武汉科融成长创业投资管理有限公司总经理。</w:t>
      </w:r>
    </w:p>
    <w:p>
      <w:pPr>
        <w:pStyle w:val="BodyText"/>
        <w:spacing w:line="240" w:lineRule="auto" w:before="55"/>
        <w:ind w:left="1494" w:right="0"/>
        <w:jc w:val="left"/>
      </w:pPr>
      <w:r>
        <w:rPr/>
        <w:t>李健，女，中国国籍，无境外居留权，</w:t>
      </w:r>
      <w:r>
        <w:rPr>
          <w:rFonts w:ascii="宋体" w:hAnsi="宋体" w:cs="宋体" w:eastAsia="宋体" w:hint="default"/>
        </w:rPr>
        <w:t>1978</w:t>
      </w:r>
      <w:r>
        <w:rPr/>
        <w:t>年</w:t>
      </w:r>
      <w:r>
        <w:rPr>
          <w:rFonts w:ascii="宋体" w:hAnsi="宋体" w:cs="宋体" w:eastAsia="宋体" w:hint="default"/>
        </w:rPr>
        <w:t>5</w:t>
      </w:r>
      <w:r>
        <w:rPr/>
        <w:t>月出生，中共党员，华中师范大学经济法硕士学位，高级经济师，具备</w:t>
      </w:r>
    </w:p>
    <w:p>
      <w:pPr>
        <w:spacing w:after="0" w:line="240" w:lineRule="auto"/>
        <w:jc w:val="left"/>
        <w:sectPr>
          <w:headerReference w:type="default" r:id="rId30"/>
          <w:footerReference w:type="default" r:id="rId31"/>
          <w:pgSz w:w="11910" w:h="16840"/>
          <w:pgMar w:header="877" w:footer="979" w:top="1060" w:bottom="1160" w:left="0" w:right="0"/>
          <w:pgNumType w:start="44"/>
        </w:sectPr>
      </w:pPr>
    </w:p>
    <w:p>
      <w:pPr>
        <w:spacing w:line="240" w:lineRule="auto" w:before="12"/>
        <w:rPr>
          <w:rFonts w:ascii="宋体" w:hAnsi="宋体" w:cs="宋体" w:eastAsia="宋体" w:hint="default"/>
          <w:sz w:val="21"/>
          <w:szCs w:val="21"/>
        </w:rPr>
      </w:pPr>
    </w:p>
    <w:p>
      <w:pPr>
        <w:pStyle w:val="BodyText"/>
        <w:spacing w:line="319" w:lineRule="auto" w:before="44"/>
        <w:ind w:left="1133" w:right="1033"/>
        <w:jc w:val="left"/>
      </w:pPr>
      <w:r>
        <w:rPr>
          <w:spacing w:val="-2"/>
        </w:rPr>
        <w:t>法律职业资格。曾任江汉石油钻头股份有限公司证券经理、证券事务代表，武汉光谷科技金融发展有限公司法务主管、投资</w:t>
      </w:r>
      <w:r>
        <w:rPr>
          <w:spacing w:val="-65"/>
        </w:rPr>
        <w:t> </w:t>
      </w:r>
      <w:r>
        <w:rPr>
          <w:spacing w:val="-65"/>
        </w:rPr>
      </w:r>
      <w:r>
        <w:rPr/>
        <w:t>律师。现任公司董事，武汉光谷科技金融发展有限公司股权投资部副部长，武汉光谷成长创业投资管理有限公司风控经理，</w:t>
      </w:r>
      <w:r>
        <w:rPr>
          <w:spacing w:val="-85"/>
        </w:rPr>
        <w:t> </w:t>
      </w:r>
      <w:r>
        <w:rPr>
          <w:spacing w:val="-85"/>
        </w:rPr>
      </w:r>
      <w:r>
        <w:rPr/>
        <w:t>武汉依迅北斗空间技术有限公司董事，武汉能钠智能装备技术股份有限公司董事。</w:t>
      </w:r>
    </w:p>
    <w:p>
      <w:pPr>
        <w:pStyle w:val="BodyText"/>
        <w:spacing w:line="319" w:lineRule="auto" w:before="55"/>
        <w:ind w:left="1133" w:right="1129" w:firstLine="360"/>
        <w:jc w:val="both"/>
      </w:pPr>
      <w:r>
        <w:rPr/>
        <w:t>吴俊军，男，中国国籍，无境外居留权，</w:t>
      </w:r>
      <w:r>
        <w:rPr>
          <w:rFonts w:ascii="宋体" w:hAnsi="宋体" w:cs="宋体" w:eastAsia="宋体" w:hint="default"/>
        </w:rPr>
        <w:t>1972</w:t>
      </w:r>
      <w:r>
        <w:rPr/>
        <w:t>年</w:t>
      </w:r>
      <w:r>
        <w:rPr>
          <w:rFonts w:ascii="宋体" w:hAnsi="宋体" w:cs="宋体" w:eastAsia="宋体" w:hint="default"/>
        </w:rPr>
        <w:t>3</w:t>
      </w:r>
      <w:r>
        <w:rPr/>
        <w:t>月出生，中共党员，原华中理工大学</w:t>
      </w:r>
      <w:r>
        <w:rPr>
          <w:rFonts w:ascii="宋体" w:hAnsi="宋体" w:cs="宋体" w:eastAsia="宋体" w:hint="default"/>
        </w:rPr>
        <w:t>CAD</w:t>
      </w:r>
      <w:r>
        <w:rPr/>
        <w:t>中心智能</w:t>
      </w:r>
      <w:r>
        <w:rPr>
          <w:rFonts w:ascii="宋体" w:hAnsi="宋体" w:cs="宋体" w:eastAsia="宋体" w:hint="default"/>
        </w:rPr>
        <w:t>CAD</w:t>
      </w:r>
      <w:r>
        <w:rPr/>
        <w:t>专业毕业，研究 </w:t>
      </w:r>
      <w:r>
        <w:rPr>
          <w:spacing w:val="-2"/>
        </w:rPr>
        <w:t>生学历，工学博士学位，副教授。曾任公司研发中心总经理、公司总经理助理，湖北百旺金赋科技有限公司董事长、执行董</w:t>
      </w:r>
      <w:r>
        <w:rPr>
          <w:spacing w:val="-68"/>
        </w:rPr>
        <w:t> </w:t>
      </w:r>
      <w:r>
        <w:rPr>
          <w:spacing w:val="-68"/>
        </w:rPr>
      </w:r>
      <w:r>
        <w:rPr>
          <w:spacing w:val="-5"/>
        </w:rPr>
        <w:t>事兼总经理、董事，武汉天喻聚联网络有限公司执行董事、董事长。现任公司董事、总经理，武汉果核科技有限公司董事长，</w:t>
      </w:r>
      <w:r>
        <w:rPr>
          <w:spacing w:val="-79"/>
        </w:rPr>
        <w:t> </w:t>
      </w:r>
      <w:r>
        <w:rPr>
          <w:spacing w:val="-79"/>
        </w:rPr>
      </w:r>
      <w:r>
        <w:rPr>
          <w:spacing w:val="-2"/>
        </w:rPr>
        <w:t>武汉天喻教育科技有限公司董事，武汉擎动网络科技有限公司董事，武汉百望信息技术有限公司董事，武汉天喻聚联网络有</w:t>
      </w:r>
      <w:r>
        <w:rPr>
          <w:spacing w:val="-65"/>
        </w:rPr>
        <w:t> </w:t>
      </w:r>
      <w:r>
        <w:rPr>
          <w:spacing w:val="-65"/>
        </w:rPr>
      </w:r>
      <w:r>
        <w:rPr/>
        <w:t>限公司董事，武汉中天慧购电商服务有限公司董事，武汉武信天喻科技投资有限公司董事。</w:t>
      </w:r>
    </w:p>
    <w:p>
      <w:pPr>
        <w:pStyle w:val="BodyText"/>
        <w:spacing w:line="319" w:lineRule="auto" w:before="56"/>
        <w:ind w:left="1133" w:right="1033" w:firstLine="360"/>
        <w:jc w:val="left"/>
      </w:pPr>
      <w:r>
        <w:rPr>
          <w:spacing w:val="-2"/>
        </w:rPr>
        <w:t>余明桂，男，中国国籍，无境外居留权，</w:t>
      </w:r>
      <w:r>
        <w:rPr>
          <w:rFonts w:ascii="宋体" w:hAnsi="宋体" w:cs="宋体" w:eastAsia="宋体" w:hint="default"/>
          <w:spacing w:val="-2"/>
        </w:rPr>
        <w:t>1974</w:t>
      </w:r>
      <w:r>
        <w:rPr>
          <w:spacing w:val="-2"/>
        </w:rPr>
        <w:t>年</w:t>
      </w:r>
      <w:r>
        <w:rPr>
          <w:rFonts w:ascii="宋体" w:hAnsi="宋体" w:cs="宋体" w:eastAsia="宋体" w:hint="default"/>
          <w:spacing w:val="-2"/>
        </w:rPr>
        <w:t>11</w:t>
      </w:r>
      <w:r>
        <w:rPr>
          <w:spacing w:val="-2"/>
        </w:rPr>
        <w:t>月出生，中共党员，中国人民解放军军事经济学院经济学硕士，华中</w:t>
      </w:r>
      <w:r>
        <w:rPr/>
        <w:t> </w:t>
      </w:r>
      <w:r>
        <w:rPr>
          <w:spacing w:val="-2"/>
        </w:rPr>
        <w:t>科技大学管理学院管理学博士，教育部新世纪优秀人才，武汉大学人文社科“</w:t>
      </w:r>
      <w:r>
        <w:rPr>
          <w:rFonts w:ascii="宋体" w:hAnsi="宋体" w:cs="宋体" w:eastAsia="宋体" w:hint="default"/>
          <w:spacing w:val="-2"/>
        </w:rPr>
        <w:t>70</w:t>
      </w:r>
      <w:r>
        <w:rPr>
          <w:spacing w:val="-2"/>
        </w:rPr>
        <w:t>后”学术团队带头人，美国印第安纳大学访</w:t>
      </w:r>
      <w:r>
        <w:rPr>
          <w:spacing w:val="-64"/>
        </w:rPr>
        <w:t> </w:t>
      </w:r>
      <w:r>
        <w:rPr>
          <w:spacing w:val="-64"/>
        </w:rPr>
      </w:r>
      <w:r>
        <w:rPr/>
        <w:t>问学者。曾任华中科技大学控制科学与工程学科博士后，武汉大学经济与管理学院会计学专业副教授。现任公司独立董事，</w:t>
      </w:r>
      <w:r>
        <w:rPr>
          <w:spacing w:val="-84"/>
        </w:rPr>
        <w:t> </w:t>
      </w:r>
      <w:r>
        <w:rPr>
          <w:spacing w:val="-84"/>
        </w:rPr>
      </w:r>
      <w:r>
        <w:rPr>
          <w:spacing w:val="-2"/>
        </w:rPr>
        <w:t>烽火通信科技股份有限公司独立董事，湖北回天新材料股份有限公司独立董事，湖北鼎龙控股股份有限公司独立董事，银亿</w:t>
      </w:r>
      <w:r>
        <w:rPr>
          <w:spacing w:val="-66"/>
        </w:rPr>
        <w:t> </w:t>
      </w:r>
      <w:r>
        <w:rPr>
          <w:spacing w:val="-66"/>
        </w:rPr>
      </w:r>
      <w:r>
        <w:rPr/>
        <w:t>房地产股份有限公司独立董事，武汉大学经济与管理学院会计学专业教授、博士生导师。</w:t>
      </w:r>
    </w:p>
    <w:p>
      <w:pPr>
        <w:pStyle w:val="BodyText"/>
        <w:spacing w:line="319" w:lineRule="auto" w:before="55"/>
        <w:ind w:right="1130" w:firstLine="360"/>
        <w:jc w:val="both"/>
      </w:pPr>
      <w:r>
        <w:rPr/>
        <w:t>孙震，男，中国国籍，无境外居留权，</w:t>
      </w:r>
      <w:r>
        <w:rPr>
          <w:rFonts w:ascii="宋体" w:hAnsi="宋体" w:cs="宋体" w:eastAsia="宋体" w:hint="default"/>
        </w:rPr>
        <w:t>1972</w:t>
      </w:r>
      <w:r>
        <w:rPr/>
        <w:t>年</w:t>
      </w:r>
      <w:r>
        <w:rPr>
          <w:rFonts w:ascii="宋体" w:hAnsi="宋体" w:cs="宋体" w:eastAsia="宋体" w:hint="default"/>
        </w:rPr>
        <w:t>3</w:t>
      </w:r>
      <w:r>
        <w:rPr/>
        <w:t>月出生，北京航空航天大学工学学士，清华大学工商管理硕士，高级国 </w:t>
      </w:r>
      <w:r>
        <w:rPr>
          <w:spacing w:val="-5"/>
        </w:rPr>
        <w:t>际财务管理师。曾任北京七星华创电子股份公司战略发展部部长，北京联合智业管理咨询公司咨询总监。现任公司独立董事，</w:t>
      </w:r>
      <w:r>
        <w:rPr>
          <w:spacing w:val="-79"/>
        </w:rPr>
        <w:t> </w:t>
      </w:r>
      <w:r>
        <w:rPr>
          <w:spacing w:val="-79"/>
        </w:rPr>
      </w:r>
      <w:r>
        <w:rPr/>
        <w:t>北京瑞友科技股份有限公司副总经理、董事会秘书，国际财务管理协会中国区专家委员会委员。</w:t>
      </w:r>
    </w:p>
    <w:p>
      <w:pPr>
        <w:pStyle w:val="BodyText"/>
        <w:spacing w:line="319" w:lineRule="auto" w:before="55"/>
        <w:ind w:right="1130" w:firstLine="360"/>
        <w:jc w:val="both"/>
      </w:pPr>
      <w:r>
        <w:rPr/>
        <w:t>孙颉，男，中国国籍，无境外居留权，</w:t>
      </w:r>
      <w:r>
        <w:rPr>
          <w:rFonts w:ascii="宋体" w:hAnsi="宋体" w:cs="宋体" w:eastAsia="宋体" w:hint="default"/>
        </w:rPr>
        <w:t>1970</w:t>
      </w:r>
      <w:r>
        <w:rPr/>
        <w:t>年</w:t>
      </w:r>
      <w:r>
        <w:rPr>
          <w:rFonts w:ascii="宋体" w:hAnsi="宋体" w:cs="宋体" w:eastAsia="宋体" w:hint="default"/>
        </w:rPr>
        <w:t>3</w:t>
      </w:r>
      <w:r>
        <w:rPr/>
        <w:t>月出生，天津理工大学计算机与数学系计算机软件专业工学学士，工程 师。曾任北京世纪汇金科技有限公司副总经理。现任公司独立董事，上海同鱼科技发展有限公司副总经理。</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宋体" w:hAnsi="宋体" w:cs="宋体" w:eastAsia="宋体" w:hint="default"/>
        </w:rPr>
        <w:t>2</w:t>
      </w:r>
      <w:r>
        <w:rPr/>
        <w:t>）监事</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0" w:firstLine="360"/>
        <w:jc w:val="both"/>
      </w:pPr>
      <w:r>
        <w:rPr/>
        <w:t>李士训，男，中国国籍，无境外居留权，</w:t>
      </w:r>
      <w:r>
        <w:rPr>
          <w:rFonts w:ascii="宋体" w:hAnsi="宋体" w:cs="宋体" w:eastAsia="宋体" w:hint="default"/>
        </w:rPr>
        <w:t>1963</w:t>
      </w:r>
      <w:r>
        <w:rPr/>
        <w:t>年</w:t>
      </w:r>
      <w:r>
        <w:rPr>
          <w:rFonts w:ascii="宋体" w:hAnsi="宋体" w:cs="宋体" w:eastAsia="宋体" w:hint="default"/>
        </w:rPr>
        <w:t>7</w:t>
      </w:r>
      <w:r>
        <w:rPr/>
        <w:t>月出生，本科学历，学士学位，会计师。曾任华中科技大学机械厂财 </w:t>
      </w:r>
      <w:r>
        <w:rPr>
          <w:spacing w:val="-2"/>
        </w:rPr>
        <w:t>务主管、财务经理，华工科技产业股份有限公司财务主管、财务副经理、财务经理，武汉华工正源光子技术有限公司财务总</w:t>
      </w:r>
      <w:r>
        <w:rPr>
          <w:spacing w:val="-66"/>
        </w:rPr>
        <w:t> </w:t>
      </w:r>
      <w:r>
        <w:rPr>
          <w:spacing w:val="-66"/>
        </w:rPr>
      </w:r>
      <w:r>
        <w:rPr>
          <w:spacing w:val="-13"/>
        </w:rPr>
        <w:t>监、副总经理</w:t>
      </w:r>
      <w:r>
        <w:rPr>
          <w:rFonts w:ascii="宋体" w:hAnsi="宋体" w:cs="宋体" w:eastAsia="宋体" w:hint="default"/>
          <w:spacing w:val="-13"/>
        </w:rPr>
        <w:t>,</w:t>
      </w:r>
      <w:r>
        <w:rPr>
          <w:rFonts w:ascii="宋体" w:hAnsi="宋体" w:cs="宋体" w:eastAsia="宋体" w:hint="default"/>
          <w:spacing w:val="17"/>
        </w:rPr>
        <w:t> </w:t>
      </w:r>
      <w:r>
        <w:rPr>
          <w:spacing w:val="-4"/>
        </w:rPr>
        <w:t>武汉城苑监理工程有限公司董事，武汉开目信息技术有限责任公司监事，武汉同济科技集团有限公司监事长，</w:t>
      </w:r>
      <w:r>
        <w:rPr/>
        <w:t> </w:t>
      </w:r>
      <w:r>
        <w:rPr>
          <w:spacing w:val="-2"/>
        </w:rPr>
        <w:t>武汉华工创业投资有限责任公司董事，北京华工天一科技有限公司监事，武汉华科机电工程技术有限公司董事长。现任公司</w:t>
      </w:r>
      <w:r>
        <w:rPr>
          <w:spacing w:val="-66"/>
        </w:rPr>
        <w:t> </w:t>
      </w:r>
      <w:r>
        <w:rPr>
          <w:spacing w:val="-66"/>
        </w:rPr>
      </w:r>
      <w:r>
        <w:rPr>
          <w:spacing w:val="-2"/>
        </w:rPr>
        <w:t>监事会主席，武汉华中科技大产业集团有限公司财务总监，武汉华工创业投资有限责任公司董事长、总经理，武汉鸿象信息</w:t>
      </w:r>
      <w:r>
        <w:rPr>
          <w:spacing w:val="-66"/>
        </w:rPr>
        <w:t> </w:t>
      </w:r>
      <w:r>
        <w:rPr>
          <w:spacing w:val="-66"/>
        </w:rPr>
      </w:r>
      <w:r>
        <w:rPr>
          <w:spacing w:val="-2"/>
        </w:rPr>
        <w:t>技术有限公司董事长，温州华中科技发展有限公司董事长、总经理，武汉城苑监理工程有限公司执行董事、总经理，武汉神</w:t>
      </w:r>
      <w:r>
        <w:rPr>
          <w:spacing w:val="-66"/>
        </w:rPr>
        <w:t> </w:t>
      </w:r>
      <w:r>
        <w:rPr>
          <w:spacing w:val="-66"/>
        </w:rPr>
      </w:r>
      <w:r>
        <w:rPr>
          <w:spacing w:val="-2"/>
        </w:rPr>
        <w:t>阳饮品有限公司执行董事，武汉华工建设发展有限公司执行董事、总经理，武汉华大机械工程有限公司董事，武汉华胜工程</w:t>
      </w:r>
      <w:r>
        <w:rPr>
          <w:spacing w:val="-65"/>
        </w:rPr>
        <w:t> </w:t>
      </w:r>
      <w:r>
        <w:rPr>
          <w:spacing w:val="-65"/>
        </w:rPr>
      </w:r>
      <w:r>
        <w:rPr>
          <w:spacing w:val="-2"/>
        </w:rPr>
        <w:t>建设科技有限公司董事，武汉开目信息技术股份有限公司董事，武汉精典风景园林有限公司董事，武汉鑫昶文化有限公司董</w:t>
      </w:r>
      <w:r>
        <w:rPr>
          <w:spacing w:val="-66"/>
        </w:rPr>
        <w:t> </w:t>
      </w:r>
      <w:r>
        <w:rPr>
          <w:spacing w:val="-66"/>
        </w:rPr>
      </w:r>
      <w:r>
        <w:rPr>
          <w:spacing w:val="-2"/>
        </w:rPr>
        <w:t>事，深圳市华科兆恒科技有限公司董事，华工制造装备数字化国家工程中心有限公司董事，武汉华科大生命科技有限公司董</w:t>
      </w:r>
      <w:r>
        <w:rPr>
          <w:spacing w:val="-66"/>
        </w:rPr>
        <w:t> </w:t>
      </w:r>
      <w:r>
        <w:rPr>
          <w:spacing w:val="-66"/>
        </w:rPr>
      </w:r>
      <w:r>
        <w:rPr>
          <w:spacing w:val="-2"/>
        </w:rPr>
        <w:t>事，武汉华中科大建筑规划设计研究院有限公司董事，华工科技产业股份有限公司监事长，华中科技大学出版社有限责任公</w:t>
      </w:r>
      <w:r>
        <w:rPr>
          <w:spacing w:val="-66"/>
        </w:rPr>
        <w:t> </w:t>
      </w:r>
      <w:r>
        <w:rPr>
          <w:spacing w:val="-66"/>
        </w:rPr>
      </w:r>
      <w:r>
        <w:rPr>
          <w:spacing w:val="-2"/>
        </w:rPr>
        <w:t>司监事长，武汉数字化设计与制造创新中心有限公司监事长，武汉同济科技集团有限公司监事会主席，武汉华宏资产经营管</w:t>
      </w:r>
      <w:r>
        <w:rPr>
          <w:spacing w:val="-66"/>
        </w:rPr>
        <w:t> </w:t>
      </w:r>
      <w:r>
        <w:rPr>
          <w:spacing w:val="-66"/>
        </w:rPr>
      </w:r>
      <w:r>
        <w:rPr/>
        <w:t>理有限公司监事长。</w:t>
      </w:r>
    </w:p>
    <w:p>
      <w:pPr>
        <w:pStyle w:val="BodyText"/>
        <w:spacing w:line="319" w:lineRule="auto" w:before="56"/>
        <w:ind w:right="1130" w:firstLine="360"/>
        <w:jc w:val="both"/>
      </w:pPr>
      <w:r>
        <w:rPr/>
        <w:t>岳蓉，女，中国国籍，无境外居留权，</w:t>
      </w:r>
      <w:r>
        <w:rPr>
          <w:rFonts w:ascii="宋体" w:hAnsi="宋体" w:cs="宋体" w:eastAsia="宋体" w:hint="default"/>
        </w:rPr>
        <w:t>1974</w:t>
      </w:r>
      <w:r>
        <w:rPr/>
        <w:t>年</w:t>
      </w:r>
      <w:r>
        <w:rPr>
          <w:rFonts w:ascii="宋体" w:hAnsi="宋体" w:cs="宋体" w:eastAsia="宋体" w:hint="default"/>
        </w:rPr>
        <w:t>7</w:t>
      </w:r>
      <w:r>
        <w:rPr/>
        <w:t>月出生，经济学博士学位。曾任武汉华工创业投资有限责任公司总经理 </w:t>
      </w:r>
      <w:r>
        <w:rPr>
          <w:spacing w:val="-2"/>
        </w:rPr>
        <w:t>助理，湖北富邦科技股份有限公司董事。现任公司监事，武汉华工创业投资有限责任公司副总经理，武汉华科大生命科技有</w:t>
      </w:r>
      <w:r>
        <w:rPr>
          <w:spacing w:val="-66"/>
        </w:rPr>
        <w:t> </w:t>
      </w:r>
      <w:r>
        <w:rPr>
          <w:spacing w:val="-66"/>
        </w:rPr>
      </w:r>
      <w:r>
        <w:rPr>
          <w:spacing w:val="-2"/>
        </w:rPr>
        <w:t>限公司董事长，武汉固德银赛创业投资管理有限公司董事、总经理，科华银赛创业投资有限公司董事、总经理，武汉华创欣</w:t>
      </w:r>
      <w:r>
        <w:rPr>
          <w:spacing w:val="-65"/>
        </w:rPr>
        <w:t> </w:t>
      </w:r>
      <w:r>
        <w:rPr>
          <w:spacing w:val="-65"/>
        </w:rPr>
      </w:r>
      <w:r>
        <w:rPr/>
        <w:t>网科技有限公司董事，武汉四海一家传媒股份有限公司董事，湖北菲利华石英玻璃股份有限公司独立董事。</w:t>
      </w:r>
    </w:p>
    <w:p>
      <w:pPr>
        <w:pStyle w:val="BodyText"/>
        <w:spacing w:line="319" w:lineRule="auto" w:before="55"/>
        <w:ind w:left="1133" w:right="1132" w:firstLine="360"/>
        <w:jc w:val="both"/>
      </w:pPr>
      <w:r>
        <w:rPr>
          <w:spacing w:val="-4"/>
        </w:rPr>
        <w:t>王彬，女，中国国籍，无境外居留权，</w:t>
      </w:r>
      <w:r>
        <w:rPr>
          <w:rFonts w:ascii="宋体" w:hAnsi="宋体" w:cs="宋体" w:eastAsia="宋体" w:hint="default"/>
          <w:spacing w:val="-4"/>
        </w:rPr>
        <w:t>1966</w:t>
      </w:r>
      <w:r>
        <w:rPr>
          <w:spacing w:val="-4"/>
        </w:rPr>
        <w:t>年</w:t>
      </w:r>
      <w:r>
        <w:rPr>
          <w:rFonts w:ascii="宋体" w:hAnsi="宋体" w:cs="宋体" w:eastAsia="宋体" w:hint="default"/>
          <w:spacing w:val="-4"/>
        </w:rPr>
        <w:t>6</w:t>
      </w:r>
      <w:r>
        <w:rPr>
          <w:spacing w:val="-4"/>
        </w:rPr>
        <w:t>月出生，中共党员，本科学历，高级经济师。曾任公司综合管理部部长、</w:t>
      </w:r>
      <w:r>
        <w:rPr/>
        <w:t> 企业管理部部长、审计部部长。现任公司职工代表监事、总经理助理、采购二部部长。</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宋体" w:hAnsi="宋体" w:cs="宋体" w:eastAsia="宋体" w:hint="default"/>
        </w:rPr>
        <w:t>3</w:t>
      </w:r>
      <w:r>
        <w:rPr/>
        <w:t>）高级管理人员</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4" w:right="0"/>
        <w:jc w:val="left"/>
      </w:pPr>
      <w:r>
        <w:rPr/>
        <w:t>吴俊军，见董事简历。 </w:t>
      </w:r>
      <w:r>
        <w:rPr>
          <w:spacing w:val="-2"/>
        </w:rPr>
        <w:t>孙静，女，中国国籍，无境外居留权，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10</w:t>
      </w:r>
      <w:r>
        <w:rPr>
          <w:spacing w:val="-2"/>
        </w:rPr>
        <w:t>月出生，中南财经大学工业会计系毕业，本科学历。曾任公司财务部部</w:t>
      </w:r>
    </w:p>
    <w:p>
      <w:pPr>
        <w:spacing w:after="0" w:line="357"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31"/>
        <w:jc w:val="both"/>
      </w:pPr>
      <w:r>
        <w:rPr>
          <w:spacing w:val="-2"/>
        </w:rPr>
        <w:t>长、总经理助理，武汉天喻教育科技有限公司财务负责人，武汉擎动网络科技有限公司财务负责人，湖北百旺金赋科技有限</w:t>
      </w:r>
      <w:r>
        <w:rPr>
          <w:spacing w:val="-66"/>
        </w:rPr>
        <w:t> </w:t>
      </w:r>
      <w:r>
        <w:rPr>
          <w:spacing w:val="-66"/>
        </w:rPr>
      </w:r>
      <w:r>
        <w:rPr>
          <w:spacing w:val="-2"/>
        </w:rPr>
        <w:t>公司董事。现任公司副总经理、财务负责人，武汉天喻教育科技有限公司董事，武汉擎动网络科技有限公司董事，武汉百望</w:t>
      </w:r>
      <w:r>
        <w:rPr>
          <w:spacing w:val="-65"/>
        </w:rPr>
        <w:t> </w:t>
      </w:r>
      <w:r>
        <w:rPr>
          <w:spacing w:val="-65"/>
        </w:rPr>
      </w:r>
      <w:r>
        <w:rPr>
          <w:spacing w:val="-2"/>
        </w:rPr>
        <w:t>信息技术有限公司财务负责人，湖北百旺金赋科技有限公司财务负责人，武汉果核科技有限公司财务负责人，武汉天喻聚联</w:t>
      </w:r>
      <w:r>
        <w:rPr>
          <w:spacing w:val="-66"/>
        </w:rPr>
        <w:t> </w:t>
      </w:r>
      <w:r>
        <w:rPr>
          <w:spacing w:val="-66"/>
        </w:rPr>
      </w:r>
      <w:r>
        <w:rPr/>
        <w:t>网络有限公司财务负责人，武汉中天慧购电商服务有限公司财务负责人。</w:t>
      </w:r>
    </w:p>
    <w:p>
      <w:pPr>
        <w:pStyle w:val="BodyText"/>
        <w:spacing w:line="319" w:lineRule="auto" w:before="56"/>
        <w:ind w:right="1032" w:firstLine="360"/>
        <w:jc w:val="left"/>
      </w:pPr>
      <w:r>
        <w:rPr/>
        <w:t>代恒，女，中国国籍，无境外居留权，</w:t>
      </w:r>
      <w:r>
        <w:rPr>
          <w:rFonts w:ascii="宋体" w:hAnsi="宋体" w:cs="宋体" w:eastAsia="宋体" w:hint="default"/>
        </w:rPr>
        <w:t>1982</w:t>
      </w:r>
      <w:r>
        <w:rPr/>
        <w:t>年</w:t>
      </w:r>
      <w:r>
        <w:rPr>
          <w:rFonts w:ascii="宋体" w:hAnsi="宋体" w:cs="宋体" w:eastAsia="宋体" w:hint="default"/>
        </w:rPr>
        <w:t>4</w:t>
      </w:r>
      <w:r>
        <w:rPr/>
        <w:t>月出生，本科学历，英语语言文学学士，英语专业八级，取得深圳证券 交易所董事会秘书资格证书、厦门国家会计学院企业内部控制构建与营运资金管理培训班结业证书。曾任公司审计部部长、</w:t>
      </w:r>
      <w:r>
        <w:rPr>
          <w:spacing w:val="-85"/>
        </w:rPr>
        <w:t> </w:t>
      </w:r>
      <w:r>
        <w:rPr>
          <w:spacing w:val="-85"/>
        </w:rPr>
      </w:r>
      <w:r>
        <w:rPr/>
        <w:t>董事会办公室主任。现任公司副总经理、董事会秘书，武汉天喻教育科技有限公司董事，武汉百望信息技术有限公司董事，</w:t>
      </w:r>
      <w:r>
        <w:rPr>
          <w:spacing w:val="-84"/>
        </w:rPr>
        <w:t> </w:t>
      </w:r>
      <w:r>
        <w:rPr>
          <w:spacing w:val="-84"/>
        </w:rPr>
      </w:r>
      <w:r>
        <w:rPr/>
        <w:t>武汉武信天喻科技投资有限公司总经理。</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宋体" w:hAnsi="宋体" w:cs="宋体" w:eastAsia="宋体" w:hint="default"/>
        </w:rPr>
        <w:t>2</w:t>
      </w:r>
      <w:r>
        <w:rPr/>
        <w:t>、在股东单位任职情况</w:t>
      </w:r>
      <w:r>
        <w:rPr>
          <w:b w:val="0"/>
          <w:bCs w:val="0"/>
        </w:rPr>
      </w:r>
    </w:p>
    <w:p>
      <w:pPr>
        <w:pStyle w:val="BodyText"/>
        <w:spacing w:line="240" w:lineRule="auto" w:before="103"/>
        <w:ind w:right="0"/>
        <w:jc w:val="both"/>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2891"/>
        <w:gridCol w:w="1361"/>
        <w:gridCol w:w="1475"/>
        <w:gridCol w:w="1330"/>
        <w:gridCol w:w="1417"/>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5" w:right="43"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熊赟</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宋体" w:hAnsi="宋体" w:cs="宋体" w:eastAsia="宋体" w:hint="default"/>
          <w:sz w:val="14"/>
          <w:szCs w:val="14"/>
        </w:rPr>
      </w:pPr>
    </w:p>
    <w:p>
      <w:pPr>
        <w:pStyle w:val="Heading3"/>
        <w:spacing w:line="240" w:lineRule="auto" w:before="35"/>
        <w:ind w:right="0"/>
        <w:jc w:val="left"/>
        <w:rPr>
          <w:b w:val="0"/>
          <w:bCs w:val="0"/>
        </w:rPr>
      </w:pPr>
      <w:r>
        <w:rPr>
          <w:rFonts w:ascii="宋体" w:hAnsi="宋体" w:cs="宋体" w:eastAsia="宋体" w:hint="default"/>
        </w:rPr>
        <w:t>3</w:t>
      </w:r>
      <w:r>
        <w:rPr/>
        <w:t>、在其他单位任职情况</w:t>
      </w:r>
      <w:r>
        <w:rPr>
          <w:b w:val="0"/>
          <w:bCs w:val="0"/>
        </w:rPr>
      </w:r>
    </w:p>
    <w:p>
      <w:pPr>
        <w:pStyle w:val="BodyText"/>
        <w:spacing w:line="240" w:lineRule="auto" w:before="103"/>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15" w:type="dxa"/>
        <w:tblLayout w:type="fixed"/>
        <w:tblCellMar>
          <w:top w:w="0" w:type="dxa"/>
          <w:left w:w="0" w:type="dxa"/>
          <w:bottom w:w="0" w:type="dxa"/>
          <w:right w:w="0" w:type="dxa"/>
        </w:tblCellMar>
        <w:tblLook w:val="01E0"/>
      </w:tblPr>
      <w:tblGrid>
        <w:gridCol w:w="1192"/>
        <w:gridCol w:w="2948"/>
        <w:gridCol w:w="1417"/>
        <w:gridCol w:w="1474"/>
        <w:gridCol w:w="1475"/>
        <w:gridCol w:w="1361"/>
      </w:tblGrid>
      <w:tr>
        <w:trPr>
          <w:trHeight w:val="714"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5" w:right="4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深圳市易考乐学测评有限公司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无锡尚蠡信息科技有限公司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武汉武信天喻科技投资有限公司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上海天喻云企业发展有限公司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03</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贵州天喻通慧教育科技有限公司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03</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23</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朱松青</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武汉华中数控股份有限公司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5" w:type="dxa"/>
        <w:tblLayout w:type="fixed"/>
        <w:tblCellMar>
          <w:top w:w="0" w:type="dxa"/>
          <w:left w:w="0" w:type="dxa"/>
          <w:bottom w:w="0" w:type="dxa"/>
          <w:right w:w="0" w:type="dxa"/>
        </w:tblCellMar>
        <w:tblLook w:val="01E0"/>
      </w:tblPr>
      <w:tblGrid>
        <w:gridCol w:w="1192"/>
        <w:gridCol w:w="2948"/>
        <w:gridCol w:w="1417"/>
        <w:gridCol w:w="1474"/>
        <w:gridCol w:w="1475"/>
        <w:gridCol w:w="1361"/>
      </w:tblGrid>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熊赟</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武汉华中华昌能源电气科技有限公司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武汉同济科技集团有限公司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程哲</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武汉光谷科技金融发展有限公司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总经理助理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武汉光谷人才创业投资基金有限公司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武汉光谷人才投资管理有限公司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武汉光谷征信管理有限公司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武汉光谷成长创业投资管理有限公司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武汉科融成长创业投资管理有限公司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武汉光谷科技金融发展有限公司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33" w:right="252" w:hanging="180"/>
              <w:jc w:val="left"/>
              <w:rPr>
                <w:rFonts w:ascii="宋体" w:hAnsi="宋体" w:cs="宋体" w:eastAsia="宋体" w:hint="default"/>
                <w:sz w:val="18"/>
                <w:szCs w:val="18"/>
              </w:rPr>
            </w:pPr>
            <w:r>
              <w:rPr>
                <w:rFonts w:ascii="宋体" w:hAnsi="宋体" w:cs="宋体" w:eastAsia="宋体" w:hint="default"/>
                <w:sz w:val="18"/>
                <w:szCs w:val="18"/>
              </w:rPr>
              <w:t>股权投资部 副部长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武汉光谷成长创业投资管理有限公司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风控经理</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03</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武汉依迅北斗空间技术有限公司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武汉能钠智能装备技术股份有限公司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武汉武信天喻科技投资有限公司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余明桂</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武汉大学经济与管理学院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53" w:right="122" w:hanging="231"/>
              <w:jc w:val="left"/>
              <w:rPr>
                <w:rFonts w:ascii="宋体" w:hAnsi="宋体" w:cs="宋体" w:eastAsia="宋体" w:hint="default"/>
                <w:sz w:val="18"/>
                <w:szCs w:val="18"/>
              </w:rPr>
            </w:pPr>
            <w:r>
              <w:rPr>
                <w:rFonts w:ascii="宋体" w:hAnsi="宋体" w:cs="宋体" w:eastAsia="宋体" w:hint="default"/>
                <w:sz w:val="18"/>
                <w:szCs w:val="18"/>
              </w:rPr>
              <w:t>会计学专业教授 博士生导师</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湖北回天新材料股份有限公司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湖北鼎龙控股股份有限公司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03</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银亿房地产股份有限公司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30</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55"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北京瑞友科技股份有限公司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53" w:right="252"/>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孙颉</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上海同鱼科技发展有限公司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30</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武汉鸿象信息技术有限公司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温州华中科技发展有限公司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武汉城苑监理工程有限公司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武汉华大机械工程有限公司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5" w:type="dxa"/>
        <w:tblLayout w:type="fixed"/>
        <w:tblCellMar>
          <w:top w:w="0" w:type="dxa"/>
          <w:left w:w="0" w:type="dxa"/>
          <w:bottom w:w="0" w:type="dxa"/>
          <w:right w:w="0" w:type="dxa"/>
        </w:tblCellMar>
        <w:tblLook w:val="01E0"/>
      </w:tblPr>
      <w:tblGrid>
        <w:gridCol w:w="1192"/>
        <w:gridCol w:w="2948"/>
        <w:gridCol w:w="1417"/>
        <w:gridCol w:w="1474"/>
        <w:gridCol w:w="1475"/>
        <w:gridCol w:w="1361"/>
      </w:tblGrid>
      <w:tr>
        <w:trPr>
          <w:trHeight w:val="402" w:hRule="exact"/>
        </w:trPr>
        <w:tc>
          <w:tcPr>
            <w:tcW w:w="1192" w:type="dxa"/>
            <w:vMerge w:val="restart"/>
            <w:tcBorders>
              <w:top w:val="single" w:sz="4" w:space="0" w:color="000000"/>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武汉华胜工程建设科技有限公司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武汉开目信息技术股份有限公司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武汉精典风景园林有限公司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武汉鑫昶文化有限公司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深圳市华科兆恒科技有限公司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华工制造装备数字化国家工程中心有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武汉华中科大建筑规划设计研究院有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华中科技大学出版社有限责任公司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武汉数字化设计与制造创新中心有限 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武汉同济科技集团有限公司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武汉华宏资产经营管理有限公司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武汉华创欣网科技有限公司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武汉四海一家传媒股份有限公司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湖北菲利华石英玻璃股份有限公司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代恒</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武汉百望信息技术有限公司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2" w:type="dxa"/>
            <w:vMerge/>
            <w:tcBorders>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武汉武信天喻科技投资有限公司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16"/>
          <w:szCs w:val="16"/>
        </w:rPr>
      </w:pPr>
    </w:p>
    <w:p>
      <w:pPr>
        <w:pStyle w:val="Heading3"/>
        <w:spacing w:line="240" w:lineRule="auto" w:before="35"/>
        <w:ind w:right="0"/>
        <w:jc w:val="left"/>
        <w:rPr>
          <w:b w:val="0"/>
          <w:bCs w:val="0"/>
        </w:rPr>
      </w:pPr>
      <w:r>
        <w:rPr>
          <w:rFonts w:ascii="宋体" w:hAnsi="宋体" w:cs="宋体" w:eastAsia="宋体" w:hint="default"/>
        </w:rPr>
        <w:t>4</w:t>
      </w:r>
      <w:r>
        <w:rPr/>
        <w:t>、公司现任及报告期内离任董事、监事和高级管理人员近三年证券监管机构处罚的情况</w:t>
      </w:r>
      <w:r>
        <w:rPr>
          <w:b w:val="0"/>
          <w:bCs w:val="0"/>
        </w:rPr>
      </w:r>
    </w:p>
    <w:p>
      <w:pPr>
        <w:pStyle w:val="BodyText"/>
        <w:spacing w:line="240" w:lineRule="auto" w:before="103"/>
        <w:ind w:right="0"/>
        <w:jc w:val="left"/>
      </w:pPr>
      <w:r>
        <w:rPr/>
        <w:t>□ 适用 √ 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董事、监事、高级管理人员报酬的决策程序、确定依据、实际支付情况</w:t>
      </w:r>
    </w:p>
    <w:p>
      <w:pPr>
        <w:spacing w:line="240" w:lineRule="auto" w:before="6"/>
        <w:rPr>
          <w:rFonts w:ascii="宋体" w:hAnsi="宋体" w:cs="宋体" w:eastAsia="宋体" w:hint="default"/>
          <w:sz w:val="10"/>
          <w:szCs w:val="10"/>
        </w:rPr>
      </w:pPr>
    </w:p>
    <w:p>
      <w:pPr>
        <w:pStyle w:val="BodyText"/>
        <w:spacing w:line="240" w:lineRule="auto" w:before="44"/>
        <w:ind w:left="0" w:right="1121"/>
        <w:jc w:val="right"/>
      </w:pPr>
      <w:r>
        <w:rPr/>
        <w:pict>
          <v:shape style="position:absolute;margin-left:56.34pt;margin-top:-1.628254pt;width:479.55pt;height:127.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4"/>
                    <w:gridCol w:w="6184"/>
                  </w:tblGrid>
                  <w:tr>
                    <w:trPr>
                      <w:trHeight w:val="740"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
                            <w:sz w:val="18"/>
                            <w:szCs w:val="18"/>
                          </w:rPr>
                          <w:t>董事、监事、高级管理人员报酬的决策程序</w:t>
                        </w:r>
                      </w:p>
                    </w:tc>
                    <w:tc>
                      <w:tcPr>
                        <w:tcW w:w="61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0"/>
                          <w:jc w:val="left"/>
                          <w:rPr>
                            <w:rFonts w:ascii="宋体" w:hAnsi="宋体" w:cs="宋体" w:eastAsia="宋体" w:hint="default"/>
                            <w:sz w:val="18"/>
                            <w:szCs w:val="18"/>
                          </w:rPr>
                        </w:pPr>
                        <w:r>
                          <w:rPr>
                            <w:rFonts w:ascii="宋体" w:hAnsi="宋体" w:cs="宋体" w:eastAsia="宋体" w:hint="default"/>
                            <w:spacing w:val="-2"/>
                            <w:sz w:val="18"/>
                            <w:szCs w:val="18"/>
                          </w:rPr>
                          <w:t>公司第六届董事会第二十四次会议审议通过《</w:t>
                        </w:r>
                        <w:r>
                          <w:rPr>
                            <w:rFonts w:ascii="宋体" w:hAnsi="宋体" w:cs="宋体" w:eastAsia="宋体" w:hint="default"/>
                            <w:spacing w:val="-2"/>
                            <w:sz w:val="18"/>
                            <w:szCs w:val="18"/>
                          </w:rPr>
                          <w:t>2017</w:t>
                        </w:r>
                        <w:r>
                          <w:rPr>
                            <w:rFonts w:ascii="宋体" w:hAnsi="宋体" w:cs="宋体" w:eastAsia="宋体" w:hint="default"/>
                            <w:spacing w:val="-2"/>
                            <w:sz w:val="18"/>
                            <w:szCs w:val="18"/>
                          </w:rPr>
                          <w:t>年度经营层薪酬考核方案》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年年度股东大会审议通过《</w:t>
                        </w:r>
                        <w:r>
                          <w:rPr>
                            <w:rFonts w:ascii="宋体" w:hAnsi="宋体" w:cs="宋体" w:eastAsia="宋体" w:hint="default"/>
                            <w:sz w:val="18"/>
                            <w:szCs w:val="18"/>
                          </w:rPr>
                          <w:t>2017</w:t>
                        </w:r>
                        <w:r>
                          <w:rPr>
                            <w:rFonts w:ascii="宋体" w:hAnsi="宋体" w:cs="宋体" w:eastAsia="宋体" w:hint="default"/>
                            <w:sz w:val="18"/>
                            <w:szCs w:val="18"/>
                          </w:rPr>
                          <w:t>年度董事长薪酬考核方案》。</w:t>
                        </w:r>
                      </w:p>
                    </w:tc>
                  </w:tr>
                  <w:tr>
                    <w:trPr>
                      <w:trHeight w:val="1051"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23"/>
                          <w:jc w:val="center"/>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6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both"/>
                          <w:rPr>
                            <w:rFonts w:ascii="宋体" w:hAnsi="宋体" w:cs="宋体" w:eastAsia="宋体" w:hint="default"/>
                            <w:sz w:val="18"/>
                            <w:szCs w:val="18"/>
                          </w:rPr>
                        </w:pPr>
                        <w:r>
                          <w:rPr>
                            <w:rFonts w:ascii="宋体" w:hAnsi="宋体" w:cs="宋体" w:eastAsia="宋体" w:hint="default"/>
                            <w:sz w:val="18"/>
                            <w:szCs w:val="18"/>
                          </w:rPr>
                          <w:t>公司董事和高级管理人员的报酬按照年度薪酬考核方案，结合其履职情况、工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作业绩、忠实与勤勉义务的履行情况等考核确定并发放。公司职工代表监事的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报酬根据公司人力资源部相关规定经考核后发放。</w:t>
                        </w:r>
                      </w:p>
                    </w:tc>
                  </w:tr>
                  <w:tr>
                    <w:trPr>
                      <w:trHeight w:val="739" w:hRule="exact"/>
                    </w:trPr>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w:t>
                        </w:r>
                        <w:r>
                          <w:rPr>
                            <w:rFonts w:ascii="宋体" w:hAnsi="宋体" w:cs="宋体" w:eastAsia="宋体" w:hint="default"/>
                            <w:sz w:val="18"/>
                            <w:szCs w:val="18"/>
                          </w:rPr>
                          <w:t> 情况</w:t>
                        </w:r>
                      </w:p>
                    </w:tc>
                    <w:tc>
                      <w:tcPr>
                        <w:tcW w:w="6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z w:val="18"/>
                            <w:szCs w:val="18"/>
                          </w:rPr>
                          <w:t>报告期内，公司实际支付董事、监事、高级管理人员（含报告期内离任董事、</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监事、高级管理人员）报酬合计</w:t>
                        </w:r>
                        <w:r>
                          <w:rPr>
                            <w:rFonts w:ascii="宋体" w:hAnsi="宋体" w:cs="宋体" w:eastAsia="宋体" w:hint="default"/>
                            <w:sz w:val="18"/>
                            <w:szCs w:val="18"/>
                          </w:rPr>
                          <w:t>402.79</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31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2041"/>
        <w:gridCol w:w="1134"/>
        <w:gridCol w:w="1134"/>
        <w:gridCol w:w="1247"/>
        <w:gridCol w:w="1418"/>
        <w:gridCol w:w="124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3" w:right="72"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85.92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熊赟</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程哲</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吴俊军</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109.22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孙震</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孙颉</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田祖海</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胡华夏</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王彬</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代恒</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402.79</w:t>
            </w:r>
          </w:p>
        </w:tc>
        <w:tc>
          <w:tcPr>
            <w:tcW w:w="12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30"/>
      <w:bookmarkEnd w:id="130"/>
      <w:r>
        <w:rPr>
          <w:b w:val="0"/>
          <w:bCs w:val="0"/>
        </w:rPr>
      </w:r>
      <w:r>
        <w:rPr>
          <w:rFonts w:ascii="宋体" w:hAnsi="宋体" w:cs="宋体" w:eastAsia="宋体" w:hint="default"/>
        </w:rPr>
        <w:t>1</w:t>
      </w:r>
      <w:r>
        <w:rPr/>
        <w:t>、员工数量、专业构成及教育程度</w:t>
      </w:r>
      <w:r>
        <w:rPr>
          <w:b w:val="0"/>
          <w:bCs w:val="0"/>
        </w:rPr>
      </w:r>
    </w:p>
    <w:p>
      <w:pPr>
        <w:spacing w:line="240" w:lineRule="auto" w:before="4"/>
        <w:rPr>
          <w:rFonts w:ascii="宋体" w:hAnsi="宋体" w:cs="宋体" w:eastAsia="宋体" w:hint="default"/>
          <w:b/>
          <w:bCs/>
          <w:sz w:val="22"/>
          <w:szCs w:val="22"/>
        </w:rPr>
      </w:pPr>
    </w:p>
    <w:tbl>
      <w:tblPr>
        <w:tblW w:w="0" w:type="auto"/>
        <w:jc w:val="left"/>
        <w:tblInd w:w="1129" w:type="dxa"/>
        <w:tblLayout w:type="fixed"/>
        <w:tblCellMar>
          <w:top w:w="0" w:type="dxa"/>
          <w:left w:w="0" w:type="dxa"/>
          <w:bottom w:w="0" w:type="dxa"/>
          <w:right w:w="0" w:type="dxa"/>
        </w:tblCellMar>
        <w:tblLook w:val="01E0"/>
      </w:tblPr>
      <w:tblGrid>
        <w:gridCol w:w="3402"/>
        <w:gridCol w:w="3262"/>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2,663</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 职工人数（人）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66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2,663</w:t>
            </w:r>
          </w:p>
        </w:tc>
      </w:tr>
      <w:tr>
        <w:trPr>
          <w:trHeight w:val="402" w:hRule="exact"/>
        </w:trPr>
        <w:tc>
          <w:tcPr>
            <w:tcW w:w="66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宋体" w:hAnsi="宋体" w:cs="宋体" w:eastAsia="宋体" w:hint="default"/>
        </w:rPr>
        <w:t>2</w:t>
      </w:r>
      <w:r>
        <w:rPr/>
        <w:t>、薪酬政策</w:t>
      </w:r>
      <w:r>
        <w:rPr>
          <w:b w:val="0"/>
          <w:bCs w:val="0"/>
        </w:rPr>
      </w:r>
    </w:p>
    <w:p>
      <w:pPr>
        <w:spacing w:line="240" w:lineRule="auto" w:before="3"/>
        <w:rPr>
          <w:rFonts w:ascii="宋体" w:hAnsi="宋体" w:cs="宋体" w:eastAsia="宋体" w:hint="default"/>
          <w:b/>
          <w:bCs/>
          <w:sz w:val="23"/>
          <w:szCs w:val="23"/>
        </w:rPr>
      </w:pPr>
    </w:p>
    <w:p>
      <w:pPr>
        <w:pStyle w:val="BodyText"/>
        <w:spacing w:line="319" w:lineRule="auto"/>
        <w:ind w:right="1043" w:firstLine="360"/>
        <w:jc w:val="both"/>
      </w:pPr>
      <w:r>
        <w:rPr/>
        <w:t>公司建立了较完善的薪酬体系，根据有关法律法规并结合公司实际情况制定了员工薪酬、绩效考核、员工福利等制度。 在控股子公司制定了股权激励</w:t>
      </w:r>
      <w:r>
        <w:rPr>
          <w:rFonts w:ascii="宋体" w:hAnsi="宋体" w:cs="宋体" w:eastAsia="宋体" w:hint="default"/>
        </w:rPr>
        <w:t>+</w:t>
      </w:r>
      <w:r>
        <w:rPr/>
        <w:t>业绩奖励相结合的激励制度。</w:t>
      </w: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bookmarkStart w:name="3、培训计划" w:id="132"/>
      <w:bookmarkEnd w:id="132"/>
      <w:r>
        <w:rPr>
          <w:b w:val="0"/>
          <w:bCs w:val="0"/>
        </w:rPr>
      </w:r>
      <w:r>
        <w:rPr>
          <w:rFonts w:ascii="宋体" w:hAnsi="宋体" w:cs="宋体" w:eastAsia="宋体" w:hint="default"/>
        </w:rPr>
        <w:t>3</w:t>
      </w:r>
      <w:r>
        <w:rPr/>
        <w:t>、培训计划</w:t>
      </w:r>
      <w:r>
        <w:rPr>
          <w:b w:val="0"/>
          <w:bCs w:val="0"/>
        </w:rPr>
      </w:r>
    </w:p>
    <w:p>
      <w:pPr>
        <w:spacing w:line="240" w:lineRule="auto" w:before="3"/>
        <w:rPr>
          <w:rFonts w:ascii="宋体" w:hAnsi="宋体" w:cs="宋体" w:eastAsia="宋体" w:hint="default"/>
          <w:b/>
          <w:bCs/>
          <w:sz w:val="23"/>
          <w:szCs w:val="23"/>
        </w:rPr>
      </w:pPr>
    </w:p>
    <w:p>
      <w:pPr>
        <w:pStyle w:val="BodyText"/>
        <w:spacing w:line="316" w:lineRule="auto"/>
        <w:ind w:right="1130" w:firstLine="360"/>
        <w:jc w:val="both"/>
      </w:pPr>
      <w:r>
        <w:rPr>
          <w:spacing w:val="-2"/>
        </w:rPr>
        <w:t>公司持续改进员工培训制度体系、师资体系和课程体系，完善人才培养机制，在对上年度培训效果反馈进行分析和评估</w:t>
      </w:r>
      <w:r>
        <w:rPr/>
        <w:t> </w:t>
      </w:r>
      <w:r>
        <w:rPr>
          <w:spacing w:val="-2"/>
        </w:rPr>
        <w:t>的基础上，根据公司业务发展需要和员工多样化培训需求制订年度员工培训计划。在制度体系建设方面，强化培训与其他业</w:t>
      </w:r>
      <w:r>
        <w:rPr>
          <w:spacing w:val="-66"/>
        </w:rPr>
        <w:t> </w:t>
      </w:r>
      <w:r>
        <w:rPr>
          <w:spacing w:val="-66"/>
        </w:rPr>
      </w:r>
      <w:r>
        <w:rPr>
          <w:spacing w:val="-2"/>
        </w:rPr>
        <w:t>务模块间的联系，规范新员工培养及部门内部的知识传递要求，进一步完善《员工培训管理规定》等制度；在师资体系建设</w:t>
      </w:r>
      <w:r>
        <w:rPr>
          <w:spacing w:val="-66"/>
        </w:rPr>
        <w:t> </w:t>
      </w:r>
      <w:r>
        <w:rPr>
          <w:spacing w:val="-66"/>
        </w:rPr>
      </w:r>
      <w:r>
        <w:rPr>
          <w:spacing w:val="-2"/>
        </w:rPr>
        <w:t>方面，不断充实内部培训师师资力量，提升讲师知识传递能力，同时配以内部培训师管理与激励机制促进内部培训体系的完</w:t>
      </w:r>
      <w:r>
        <w:rPr>
          <w:spacing w:val="-66"/>
        </w:rPr>
        <w:t> </w:t>
      </w:r>
      <w:r>
        <w:rPr>
          <w:spacing w:val="-66"/>
        </w:rPr>
      </w:r>
      <w:r>
        <w:rPr>
          <w:spacing w:val="-2"/>
        </w:rPr>
        <w:t>善；在课程体系构建方面，围绕公司战略制订年度课程计划并动态调整，按月更新课程库保证知识及时有效传递；在培训实</w:t>
      </w:r>
      <w:r>
        <w:rPr>
          <w:spacing w:val="-65"/>
        </w:rPr>
        <w:t> </w:t>
      </w:r>
      <w:r>
        <w:rPr>
          <w:spacing w:val="-65"/>
        </w:rPr>
      </w:r>
      <w:r>
        <w:rPr>
          <w:spacing w:val="-2"/>
        </w:rPr>
        <w:t>施方面，除按计划推动常规培训外，依据特定需求组织专项培训，以满足不同层级及不同岗位的技能需求，在提升员工综合</w:t>
      </w:r>
      <w:r>
        <w:rPr>
          <w:spacing w:val="-66"/>
        </w:rPr>
        <w:t> </w:t>
      </w:r>
      <w:r>
        <w:rPr>
          <w:spacing w:val="-66"/>
        </w:rPr>
      </w:r>
      <w:r>
        <w:rPr/>
        <w:t>能力的同时帮助员工明晰职业发展规划。</w:t>
      </w:r>
    </w:p>
    <w:p>
      <w:pPr>
        <w:spacing w:after="0" w:line="316"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4、劳务外包情况" w:id="133"/>
      <w:bookmarkEnd w:id="133"/>
      <w:r>
        <w:rPr>
          <w:b w:val="0"/>
          <w:bCs w:val="0"/>
        </w:rPr>
      </w:r>
      <w:r>
        <w:rPr>
          <w:rFonts w:ascii="宋体" w:hAnsi="宋体" w:cs="宋体" w:eastAsia="宋体" w:hint="default"/>
        </w:rPr>
        <w:t>4</w:t>
      </w:r>
      <w:r>
        <w:rPr/>
        <w:t>、劳务外包情况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93" w:right="0"/>
        <w:jc w:val="left"/>
      </w:pPr>
      <w:r>
        <w:rPr>
          <w:spacing w:val="-6"/>
        </w:rPr>
        <w:t>报告期内，公司严格按照《公司法》、《证券法》、《上市公司治理准则》、《深圳证券交易所创业板股票上市规则》、</w:t>
      </w:r>
    </w:p>
    <w:p>
      <w:pPr>
        <w:pStyle w:val="BodyText"/>
        <w:spacing w:line="319" w:lineRule="auto" w:before="76"/>
        <w:ind w:left="1133" w:right="1133"/>
        <w:jc w:val="both"/>
      </w:pPr>
      <w:r>
        <w:rPr>
          <w:spacing w:val="-2"/>
        </w:rPr>
        <w:t>《深圳证券交易所创业板上市公司规范运作指引》和其他相关法律、行政法规、部门规章、规范性文件的要求，不断完善公</w:t>
      </w:r>
      <w:r>
        <w:rPr>
          <w:spacing w:val="-66"/>
        </w:rPr>
        <w:t> </w:t>
      </w:r>
      <w:r>
        <w:rPr>
          <w:spacing w:val="-66"/>
        </w:rPr>
      </w:r>
      <w:r>
        <w:rPr>
          <w:spacing w:val="-2"/>
        </w:rPr>
        <w:t>司治理结构，建立健全公司内部控制制度，规范公司内部管理，切实履行信息披露义务，积极开展投资者关系管理工作，提</w:t>
      </w:r>
      <w:r>
        <w:rPr>
          <w:spacing w:val="-66"/>
        </w:rPr>
        <w:t> </w:t>
      </w:r>
      <w:r>
        <w:rPr>
          <w:spacing w:val="-66"/>
        </w:rPr>
      </w:r>
      <w:r>
        <w:rPr>
          <w:spacing w:val="-2"/>
        </w:rPr>
        <w:t>高公司治理水平。截至报告期末，公司治理的实际状况符合中国证监会发布的有关上市公司治理的部门规章、规范性文件和</w:t>
      </w:r>
      <w:r>
        <w:rPr>
          <w:spacing w:val="-66"/>
        </w:rPr>
        <w:t> </w:t>
      </w:r>
      <w:r>
        <w:rPr>
          <w:spacing w:val="-66"/>
        </w:rPr>
      </w:r>
      <w:r>
        <w:rPr/>
        <w:t>深圳证券交易所发布的相关自律规则的要求。</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r>
        <w:rPr>
          <w:rFonts w:ascii="宋体" w:hAnsi="宋体" w:cs="宋体" w:eastAsia="宋体" w:hint="default"/>
        </w:rPr>
        <w:t>1</w:t>
      </w:r>
      <w:r>
        <w:rPr/>
        <w:t>、股东与股东大会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left="1133" w:right="1132" w:firstLine="360"/>
        <w:jc w:val="both"/>
      </w:pPr>
      <w:r>
        <w:rPr>
          <w:spacing w:val="-2"/>
        </w:rPr>
        <w:t>公司严格按照《公司章程》、公司《股东大会议事规则》、《中小投资者单独计票管理办法》的规定召集、召开股东大</w:t>
      </w:r>
      <w:r>
        <w:rPr/>
        <w:t> </w:t>
      </w:r>
      <w:r>
        <w:rPr>
          <w:spacing w:val="-2"/>
        </w:rPr>
        <w:t>会。公司召开股东大会全面采取现场投票与网络投票结合的方式，审议影响中小投资者利益的重大事项时对中小投资者表决</w:t>
      </w:r>
      <w:r>
        <w:rPr>
          <w:spacing w:val="-64"/>
        </w:rPr>
        <w:t> </w:t>
      </w:r>
      <w:r>
        <w:rPr>
          <w:spacing w:val="-64"/>
        </w:rPr>
      </w:r>
      <w:r>
        <w:rPr/>
        <w:t>单独计票，并及时披露中小投资者的表决结果，确保全体股东特别是中小股东享有平等地位，充分行使股东权力。</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r>
        <w:rPr>
          <w:rFonts w:ascii="宋体" w:hAnsi="宋体" w:cs="宋体" w:eastAsia="宋体" w:hint="default"/>
        </w:rPr>
        <w:t>2</w:t>
      </w:r>
      <w:r>
        <w:rPr/>
        <w:t>、董事与董事会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left="1133" w:right="1033" w:firstLine="360"/>
        <w:jc w:val="left"/>
      </w:pPr>
      <w:r>
        <w:rPr/>
        <w:t>公司董事会有</w:t>
      </w:r>
      <w:r>
        <w:rPr>
          <w:rFonts w:ascii="宋体" w:hAnsi="宋体" w:cs="宋体" w:eastAsia="宋体" w:hint="default"/>
        </w:rPr>
        <w:t>9</w:t>
      </w:r>
      <w:r>
        <w:rPr/>
        <w:t>名董事，其中</w:t>
      </w:r>
      <w:r>
        <w:rPr>
          <w:rFonts w:ascii="宋体" w:hAnsi="宋体" w:cs="宋体" w:eastAsia="宋体" w:hint="default"/>
        </w:rPr>
        <w:t>3</w:t>
      </w:r>
      <w:r>
        <w:rPr/>
        <w:t>名独立董事，董事的选举程序、董事会的人数及人员构成符合法律、法规和《公司章程》 </w:t>
      </w:r>
      <w:r>
        <w:rPr>
          <w:spacing w:val="-5"/>
        </w:rPr>
        <w:t>的要求。公司董事依据《深圳证券交易所创业板上市公司规范运作指引》、公司《董事会议事规则》、《独立董事工作制度》</w:t>
      </w:r>
      <w:r>
        <w:rPr>
          <w:spacing w:val="-79"/>
        </w:rPr>
        <w:t> </w:t>
      </w:r>
      <w:r>
        <w:rPr>
          <w:spacing w:val="-79"/>
        </w:rPr>
      </w:r>
      <w:r>
        <w:rPr>
          <w:spacing w:val="-2"/>
        </w:rPr>
        <w:t>等开展工作，出席公司董事会，列席公司股东大会，勤勉尽责地履行职责和义务，同时积极参加相关培训，熟悉相关法律法</w:t>
      </w:r>
      <w:r>
        <w:rPr>
          <w:spacing w:val="-66"/>
        </w:rPr>
        <w:t> </w:t>
      </w:r>
      <w:r>
        <w:rPr>
          <w:spacing w:val="-66"/>
        </w:rPr>
      </w:r>
      <w:r>
        <w:rPr/>
        <w:t>规。公司董事会的召集、召开符合法律、行政法规、部门规章、规范性文件和《公司章程》等制度的有关规定。</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r>
        <w:rPr>
          <w:rFonts w:ascii="宋体" w:hAnsi="宋体" w:cs="宋体" w:eastAsia="宋体" w:hint="default"/>
        </w:rPr>
        <w:t>3</w:t>
      </w:r>
      <w:r>
        <w:rPr/>
        <w:t>、监事与监事会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left="1133" w:right="1129" w:firstLine="360"/>
        <w:jc w:val="both"/>
      </w:pPr>
      <w:r>
        <w:rPr>
          <w:spacing w:val="-2"/>
        </w:rPr>
        <w:t>公司监事会有</w:t>
      </w:r>
      <w:r>
        <w:rPr>
          <w:rFonts w:ascii="宋体" w:hAnsi="宋体" w:cs="宋体" w:eastAsia="宋体" w:hint="default"/>
          <w:spacing w:val="-2"/>
        </w:rPr>
        <w:t>3</w:t>
      </w:r>
      <w:r>
        <w:rPr>
          <w:spacing w:val="-2"/>
        </w:rPr>
        <w:t>名监事，其中</w:t>
      </w:r>
      <w:r>
        <w:rPr>
          <w:rFonts w:ascii="宋体" w:hAnsi="宋体" w:cs="宋体" w:eastAsia="宋体" w:hint="default"/>
          <w:spacing w:val="-2"/>
        </w:rPr>
        <w:t>1</w:t>
      </w:r>
      <w:r>
        <w:rPr>
          <w:spacing w:val="-2"/>
        </w:rPr>
        <w:t>名职工代表监事，监事的选举程序、监事会的人数及人员构成符合法律、法规和《公司章</w:t>
      </w:r>
      <w:r>
        <w:rPr/>
        <w:t> </w:t>
      </w:r>
      <w:r>
        <w:rPr>
          <w:spacing w:val="-2"/>
        </w:rPr>
        <w:t>程》的要求。公司监事按照公司《监事会议事规则》的要求，认真履行监督职责，对公司重大事项、关联交易、财务状况以</w:t>
      </w:r>
      <w:r>
        <w:rPr>
          <w:spacing w:val="-67"/>
        </w:rPr>
        <w:t> </w:t>
      </w:r>
      <w:r>
        <w:rPr>
          <w:spacing w:val="-67"/>
        </w:rPr>
      </w:r>
      <w:r>
        <w:rPr>
          <w:spacing w:val="-2"/>
        </w:rPr>
        <w:t>及董事、高级管理人员履行职责的合法合规性进行监督。公司监事会的召集、召开符合法律、行政法规、部门规章、规范性</w:t>
      </w:r>
      <w:r>
        <w:rPr>
          <w:spacing w:val="-68"/>
        </w:rPr>
        <w:t> </w:t>
      </w:r>
      <w:r>
        <w:rPr>
          <w:spacing w:val="-68"/>
        </w:rPr>
      </w:r>
      <w:r>
        <w:rPr/>
        <w:t>文件和《公司章程》等制度的有关规定。</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r>
        <w:rPr>
          <w:rFonts w:ascii="宋体" w:hAnsi="宋体" w:cs="宋体" w:eastAsia="宋体" w:hint="default"/>
        </w:rPr>
        <w:t>4</w:t>
      </w:r>
      <w:r>
        <w:rPr/>
        <w:t>、关联交易</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left="1133" w:right="1132" w:firstLine="360"/>
        <w:jc w:val="both"/>
      </w:pPr>
      <w:r>
        <w:rPr>
          <w:spacing w:val="-2"/>
        </w:rPr>
        <w:t>公司严格按照有关法律、法规、《公司章程》、公司《关联交易管理制度》、《关联交易管理细则》的规定审核、披露</w:t>
      </w:r>
      <w:r>
        <w:rPr/>
        <w:t> 公司各项关联交易事项，公司关联交易价格公允，不存在损害公司利益、中小股东利益及违规操作的情况。</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r>
        <w:rPr>
          <w:rFonts w:ascii="宋体" w:hAnsi="宋体" w:cs="宋体" w:eastAsia="宋体" w:hint="default"/>
        </w:rPr>
        <w:t>5</w:t>
      </w:r>
      <w:r>
        <w:rPr/>
        <w:t>、绩效评价与激励约束机制</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left="1133" w:right="1133" w:firstLine="360"/>
        <w:jc w:val="both"/>
      </w:pPr>
      <w:r>
        <w:rPr>
          <w:spacing w:val="-2"/>
        </w:rPr>
        <w:t>公司董事的薪酬由股东大会决定，高级管理人员的薪酬由董事会决定。公司经营层的薪酬与公司经营业绩、根据公司经</w:t>
      </w:r>
      <w:r>
        <w:rPr/>
        <w:t> 营目标制定的关键管理工作相关指标挂钩。</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r>
        <w:rPr>
          <w:rFonts w:ascii="宋体" w:hAnsi="宋体" w:cs="宋体" w:eastAsia="宋体" w:hint="default"/>
        </w:rPr>
        <w:t>6</w:t>
      </w:r>
      <w:r>
        <w:rPr/>
        <w:t>、信息披露与透明度</w:t>
      </w:r>
      <w:r>
        <w:rPr>
          <w:b w:val="0"/>
          <w:bCs w:val="0"/>
        </w:rPr>
      </w:r>
    </w:p>
    <w:p>
      <w:pPr>
        <w:spacing w:after="0" w:line="240" w:lineRule="auto"/>
        <w:jc w:val="both"/>
        <w:sectPr>
          <w:pgSz w:w="11910" w:h="16840"/>
          <w:pgMar w:header="877" w:footer="979" w:top="1100" w:bottom="1160" w:left="0" w:right="0"/>
        </w:sectPr>
      </w:pPr>
    </w:p>
    <w:p>
      <w:pPr>
        <w:spacing w:line="240" w:lineRule="auto" w:before="12"/>
        <w:rPr>
          <w:rFonts w:ascii="宋体" w:hAnsi="宋体" w:cs="宋体" w:eastAsia="宋体" w:hint="default"/>
          <w:b/>
          <w:bCs/>
          <w:sz w:val="21"/>
          <w:szCs w:val="21"/>
        </w:rPr>
      </w:pPr>
    </w:p>
    <w:p>
      <w:pPr>
        <w:pStyle w:val="BodyText"/>
        <w:spacing w:line="319" w:lineRule="auto" w:before="44"/>
        <w:ind w:left="1133" w:right="1033" w:firstLine="360"/>
        <w:jc w:val="left"/>
      </w:pPr>
      <w:r>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w:t>
      </w:r>
      <w:r>
        <w:rPr>
          <w:spacing w:val="-85"/>
        </w:rPr>
        <w:t> </w:t>
      </w:r>
      <w:r>
        <w:rPr>
          <w:spacing w:val="-85"/>
        </w:rPr>
      </w:r>
      <w:r>
        <w:rPr>
          <w:spacing w:val="-3"/>
        </w:rPr>
        <w:t>回答投资者咨询；指定《中国证券报》、《证券时报》《上海证券报》、《证券日报》和巨潮资讯网（</w:t>
      </w:r>
      <w:hyperlink r:id="rId13">
        <w:r>
          <w:rPr>
            <w:rFonts w:ascii="宋体" w:hAnsi="宋体" w:cs="宋体" w:eastAsia="宋体" w:hint="default"/>
            <w:spacing w:val="-3"/>
          </w:rPr>
          <w:t>www.cninfo.com.cn</w:t>
        </w:r>
      </w:hyperlink>
      <w:r>
        <w:rPr>
          <w:spacing w:val="-3"/>
        </w:rPr>
        <w:t>）</w:t>
      </w:r>
      <w:r>
        <w:rPr>
          <w:spacing w:val="-77"/>
        </w:rPr>
        <w:t> </w:t>
      </w:r>
      <w:r>
        <w:rPr/>
        <w:t>为公司信息披露报纸和网站，确保公司所有股东能够以平等的机会获得信息。</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r>
        <w:rPr>
          <w:rFonts w:ascii="宋体" w:hAnsi="宋体" w:cs="宋体" w:eastAsia="宋体" w:hint="default"/>
        </w:rPr>
        <w:t>7</w:t>
      </w:r>
      <w:r>
        <w:rPr/>
        <w:t>、利益相关者</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left="1133" w:right="3553" w:firstLine="360"/>
        <w:jc w:val="left"/>
      </w:pPr>
      <w:r>
        <w:rPr/>
        <w:t>公司尊重和维护利益相关者的合法权利，协调平衡股东、员工、社会等各方利益。 公司治理的实际状况与中国证监会发布的有关上市公司治理的规范性文件是否存在重大差异</w:t>
      </w:r>
    </w:p>
    <w:p>
      <w:pPr>
        <w:pStyle w:val="BodyText"/>
        <w:spacing w:line="203" w:lineRule="exact"/>
        <w:ind w:left="1133" w:right="0"/>
        <w:jc w:val="left"/>
      </w:pPr>
      <w:r>
        <w:rPr/>
        <w:t>□ 是 √ 否</w:t>
      </w:r>
    </w:p>
    <w:p>
      <w:pPr>
        <w:pStyle w:val="BodyText"/>
        <w:spacing w:line="240" w:lineRule="auto" w:before="117"/>
        <w:ind w:left="1493"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公司的重大决策由股东大会和董事会依法作出。公司控股股东严格规范其行为，未直接或间接干预公司的决策及依法开</w:t>
      </w:r>
      <w:r>
        <w:rPr/>
        <w:t> 展的生产经营活动。公司拥有自主经营能力，在业务、人员、资产、机构、财务上独立于控股股东。</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40"/>
      <w:bookmarkEnd w:id="140"/>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596"/>
        <w:gridCol w:w="1247"/>
        <w:gridCol w:w="794"/>
        <w:gridCol w:w="1594"/>
        <w:gridCol w:w="1595"/>
        <w:gridCol w:w="2948"/>
      </w:tblGrid>
      <w:tr>
        <w:trPr>
          <w:trHeight w:val="7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1" w:right="31" w:firstLine="90"/>
              <w:jc w:val="left"/>
              <w:rPr>
                <w:rFonts w:ascii="宋体" w:hAnsi="宋体" w:cs="宋体" w:eastAsia="宋体" w:hint="default"/>
                <w:sz w:val="18"/>
                <w:szCs w:val="18"/>
              </w:rPr>
            </w:pPr>
            <w:r>
              <w:rPr>
                <w:rFonts w:ascii="宋体" w:hAnsi="宋体" w:cs="宋体" w:eastAsia="宋体" w:hint="default"/>
                <w:sz w:val="18"/>
                <w:szCs w:val="18"/>
              </w:rPr>
              <w:t>投资者 参与比例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5"/>
              <w:ind w:left="22" w:right="16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2017-016</w:t>
            </w:r>
            <w:r>
              <w:rPr>
                <w:rFonts w:ascii="宋体" w:hAnsi="宋体" w:cs="宋体" w:eastAsia="宋体" w:hint="default"/>
                <w:spacing w:val="-5"/>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年年度股东大 会</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年年度股东大会决议公告》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2017-017</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5"/>
              <w:ind w:left="22" w:right="16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2017-031</w:t>
            </w:r>
            <w:r>
              <w:rPr>
                <w:rFonts w:ascii="宋体" w:hAnsi="宋体" w:cs="宋体" w:eastAsia="宋体" w:hint="default"/>
                <w:spacing w:val="-5"/>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年第三次临时 股东大会</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5"/>
              <w:ind w:left="22" w:right="16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2017-043</w:t>
            </w:r>
            <w:r>
              <w:rPr>
                <w:rFonts w:ascii="宋体" w:hAnsi="宋体" w:cs="宋体" w:eastAsia="宋体" w:hint="default"/>
                <w:spacing w:val="-5"/>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年第四次临时 股东大会</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p>
          <w:p>
            <w:pPr>
              <w:pStyle w:val="TableParagraph"/>
              <w:spacing w:line="319" w:lineRule="auto" w:before="75"/>
              <w:ind w:left="22" w:right="16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2017-056</w:t>
            </w:r>
            <w:r>
              <w:rPr>
                <w:rFonts w:ascii="宋体" w:hAnsi="宋体" w:cs="宋体" w:eastAsia="宋体" w:hint="default"/>
                <w:spacing w:val="-5"/>
                <w:sz w:val="18"/>
                <w:szCs w:val="18"/>
              </w:rPr>
              <w:t>）</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1133" w:right="0"/>
        <w:jc w:val="left"/>
        <w:rPr>
          <w:b w:val="0"/>
          <w:bCs w:val="0"/>
        </w:rPr>
      </w:pPr>
      <w:bookmarkStart w:name="2、表决权恢复的优先股股东请求召开临时股东大会" w:id="141"/>
      <w:bookmarkEnd w:id="141"/>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43"/>
      <w:bookmarkEnd w:id="143"/>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276"/>
        <w:gridCol w:w="1418"/>
        <w:gridCol w:w="992"/>
        <w:gridCol w:w="1340"/>
        <w:gridCol w:w="1056"/>
        <w:gridCol w:w="1007"/>
        <w:gridCol w:w="1700"/>
        <w:gridCol w:w="781"/>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5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54" w:right="72"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40" w:right="41" w:firstLine="90"/>
              <w:jc w:val="left"/>
              <w:rPr>
                <w:rFonts w:ascii="宋体" w:hAnsi="宋体" w:cs="宋体" w:eastAsia="宋体" w:hint="default"/>
                <w:sz w:val="18"/>
                <w:szCs w:val="18"/>
              </w:rPr>
            </w:pPr>
            <w:r>
              <w:rPr>
                <w:rFonts w:ascii="宋体" w:hAnsi="宋体" w:cs="宋体" w:eastAsia="宋体" w:hint="default"/>
                <w:sz w:val="18"/>
                <w:szCs w:val="18"/>
              </w:rPr>
              <w:t>现场出席 董事会次数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15" w:right="33" w:hanging="181"/>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73" w:right="71" w:firstLine="90"/>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47" w:right="47" w:firstLine="270"/>
              <w:jc w:val="left"/>
              <w:rPr>
                <w:rFonts w:ascii="宋体" w:hAnsi="宋体" w:cs="宋体" w:eastAsia="宋体" w:hint="default"/>
                <w:sz w:val="18"/>
                <w:szCs w:val="18"/>
              </w:rPr>
            </w:pPr>
            <w:r>
              <w:rPr>
                <w:rFonts w:ascii="宋体" w:hAnsi="宋体" w:cs="宋体" w:eastAsia="宋体" w:hint="default"/>
                <w:sz w:val="18"/>
                <w:szCs w:val="18"/>
              </w:rPr>
              <w:t>缺席 董事会次数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14" w:right="35"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5" w:right="24"/>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胡华夏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3</w:t>
            </w:r>
          </w:p>
        </w:tc>
      </w:tr>
    </w:tbl>
    <w:p>
      <w:pPr>
        <w:spacing w:line="240" w:lineRule="auto" w:before="9"/>
        <w:rPr>
          <w:rFonts w:ascii="宋体" w:hAnsi="宋体" w:cs="宋体" w:eastAsia="宋体" w:hint="default"/>
          <w:b/>
          <w:bCs/>
          <w:sz w:val="6"/>
          <w:szCs w:val="6"/>
        </w:rPr>
      </w:pPr>
    </w:p>
    <w:p>
      <w:pPr>
        <w:pStyle w:val="BodyText"/>
        <w:spacing w:line="357" w:lineRule="auto" w:before="44"/>
        <w:ind w:left="1494" w:right="5892" w:hanging="360"/>
        <w:jc w:val="left"/>
      </w:pPr>
      <w:r>
        <w:rPr/>
        <w:t>连续两次未亲自出席董事会的说明 公司独立董事不存在连续两次未亲自出席董事会的情况。</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2、独立董事对公司有关事项提出异议的情况" w:id="144"/>
      <w:bookmarkEnd w:id="144"/>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both"/>
      </w:pPr>
      <w:r>
        <w:rPr/>
        <w:t>独立董事对公司有关事项是否提出异议</w:t>
      </w:r>
    </w:p>
    <w:p>
      <w:pPr>
        <w:pStyle w:val="BodyText"/>
        <w:spacing w:line="240" w:lineRule="auto" w:before="117"/>
        <w:ind w:right="0"/>
        <w:jc w:val="both"/>
      </w:pPr>
      <w:r>
        <w:rPr/>
        <w:t>□ 是 √ 否</w:t>
      </w:r>
    </w:p>
    <w:p>
      <w:pPr>
        <w:pStyle w:val="BodyText"/>
        <w:spacing w:line="240" w:lineRule="auto" w:before="116"/>
        <w:ind w:left="1493" w:right="0"/>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独立董事履行职责的其他说明" w:id="145"/>
      <w:bookmarkEnd w:id="145"/>
      <w:r>
        <w:rPr>
          <w:b w:val="0"/>
          <w:bCs w:val="0"/>
        </w:rPr>
      </w:r>
      <w:r>
        <w:rPr>
          <w:rFonts w:ascii="宋体" w:hAnsi="宋体" w:cs="宋体" w:eastAsia="宋体" w:hint="default"/>
        </w:rPr>
        <w:t>3</w:t>
      </w:r>
      <w:r>
        <w:rPr/>
        <w:t>、独立董事履行职责的其他说明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both"/>
      </w:pPr>
      <w:r>
        <w:rPr/>
        <w:t>独立董事对公司有关建议是否被采纳</w:t>
      </w:r>
    </w:p>
    <w:p>
      <w:pPr>
        <w:pStyle w:val="BodyText"/>
        <w:spacing w:line="439" w:lineRule="auto" w:before="116"/>
        <w:ind w:left="1133" w:right="6793"/>
        <w:jc w:val="left"/>
      </w:pPr>
      <w:r>
        <w:rPr/>
        <w:t>√ 是 □ 否 独立董事对公司有关建议被采纳或未被采纳的说明</w:t>
      </w:r>
    </w:p>
    <w:p>
      <w:pPr>
        <w:pStyle w:val="BodyText"/>
        <w:spacing w:line="202" w:lineRule="exact"/>
        <w:ind w:left="1133" w:right="0" w:firstLine="360"/>
        <w:jc w:val="both"/>
      </w:pPr>
      <w:r>
        <w:rPr/>
        <w:t>公司独立董事严格按照中国证监会和深圳证券交易所的有关规定及《公司章程》、《董事会议事规则》、《独立董事工</w:t>
      </w:r>
    </w:p>
    <w:p>
      <w:pPr>
        <w:pStyle w:val="BodyText"/>
        <w:spacing w:line="319" w:lineRule="auto" w:before="76"/>
        <w:ind w:left="1133" w:right="1130"/>
        <w:jc w:val="both"/>
      </w:pPr>
      <w:r>
        <w:rPr>
          <w:spacing w:val="-2"/>
        </w:rPr>
        <w:t>作制度》履行职责，对报告期内公司年度利润分配预案、续聘年度审计机构、年度经营层薪酬考核方案、年度内部控制评价</w:t>
      </w:r>
      <w:r>
        <w:rPr>
          <w:spacing w:val="-66"/>
        </w:rPr>
        <w:t> </w:t>
      </w:r>
      <w:r>
        <w:rPr>
          <w:spacing w:val="-66"/>
        </w:rPr>
      </w:r>
      <w:r>
        <w:rPr>
          <w:spacing w:val="-2"/>
        </w:rPr>
        <w:t>报告、关联交易、计提资产减值准备、董事会换届选举、聘任高级管理人员、委托理财、子公司天喻教育增资扩股等事项发</w:t>
      </w:r>
      <w:r>
        <w:rPr>
          <w:spacing w:val="-68"/>
        </w:rPr>
        <w:t> </w:t>
      </w:r>
      <w:r>
        <w:rPr>
          <w:spacing w:val="-68"/>
        </w:rPr>
      </w:r>
      <w:r>
        <w:rPr>
          <w:spacing w:val="-2"/>
        </w:rPr>
        <w:t>表了独立意见；同时密切关注公司经营情况，结合自身专业特长在公司业务发展、财务管理、投资决策、资本运作等方面提</w:t>
      </w:r>
      <w:r>
        <w:rPr>
          <w:spacing w:val="-66"/>
        </w:rPr>
        <w:t> </w:t>
      </w:r>
      <w:r>
        <w:rPr>
          <w:spacing w:val="-66"/>
        </w:rPr>
      </w:r>
      <w:r>
        <w:rPr/>
        <w:t>出了专业性建议，为完善公司监督机制，维护公司和全体股东的合法权益发挥了重要的作用。</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报告期内，公司董事会下设审计委员会共召开四次会议，审议通过了公司关联交易情况报告、内部控制评价报告、财务</w:t>
      </w:r>
      <w:r>
        <w:rPr/>
        <w:t> </w:t>
      </w:r>
      <w:r>
        <w:rPr>
          <w:spacing w:val="-2"/>
        </w:rPr>
        <w:t>报告、续聘年度审计机构、内部审计工作报告及计划、选举审计委员会主任委员等事项。审计委员会围绕年报编制及财务报</w:t>
      </w:r>
      <w:r>
        <w:rPr>
          <w:spacing w:val="-66"/>
        </w:rPr>
        <w:t> </w:t>
      </w:r>
      <w:r>
        <w:rPr>
          <w:spacing w:val="-66"/>
        </w:rPr>
      </w:r>
      <w:r>
        <w:rPr>
          <w:spacing w:val="-2"/>
        </w:rPr>
        <w:t>表审计，按照公司《董事会审计委员会年度报告工作制度》的要求，认真听取经营层对公司生产经营情况及重大事项进展情</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1133" w:right="0"/>
        <w:jc w:val="left"/>
      </w:pPr>
      <w:r>
        <w:rPr/>
        <w:t>况的汇报，并与年审注册会计师就关键审计事项进行了事前、事中、事后沟通，督促年审注册会计师按时完成审计工作。</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监事会在报告期内的监督活动中发现公司是否存在风险</w:t>
      </w:r>
    </w:p>
    <w:p>
      <w:pPr>
        <w:pStyle w:val="BodyText"/>
        <w:spacing w:line="240" w:lineRule="auto" w:before="116"/>
        <w:ind w:right="0"/>
        <w:jc w:val="left"/>
      </w:pPr>
      <w:r>
        <w:rPr/>
        <w:t>□ 是 √ 否</w:t>
      </w:r>
    </w:p>
    <w:p>
      <w:pPr>
        <w:pStyle w:val="BodyText"/>
        <w:spacing w:line="240" w:lineRule="auto" w:before="117"/>
        <w:ind w:left="1475" w:right="6971"/>
        <w:jc w:val="center"/>
      </w:pPr>
      <w:r>
        <w:rPr/>
        <w:t>公司监事会对报告期内的监督事项无异议。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公司高级管理人员的薪酬由基本年薪、年功薪酬和年终业绩奖励组成。其中，基本年薪和年功薪酬主要与岗位、资历经</w:t>
      </w:r>
      <w:r>
        <w:rPr/>
        <w:t> </w:t>
      </w:r>
      <w:r>
        <w:rPr>
          <w:spacing w:val="-2"/>
        </w:rPr>
        <w:t>验挂钩，年终业绩奖励与公司经营业绩挂钩（参与公司业务团队考核的高级管理人员的年终业绩奖励与该业务的经营业绩挂</w:t>
      </w:r>
      <w:r>
        <w:rPr>
          <w:spacing w:val="-64"/>
        </w:rPr>
        <w:t> </w:t>
      </w:r>
      <w:r>
        <w:rPr>
          <w:spacing w:val="-64"/>
        </w:rPr>
      </w:r>
      <w:r>
        <w:rPr/>
        <w:t>钩）。公司根据年度经营目标完成情况以及高级管理人员的工作业绩对高级管理人员进行年度绩效考核并确定年度薪酬。</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50"/>
      <w:bookmarkEnd w:id="150"/>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内控自我评价报告" w:id="151"/>
      <w:bookmarkEnd w:id="151"/>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195"/>
        <w:gridCol w:w="6374"/>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年度内部控制评价报告》</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99.84%</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缺陷认定标准" w:id="152"/>
      <w:bookmarkEnd w:id="152"/>
      <w:r>
        <w:rPr>
          <w:b w:val="0"/>
          <w:bCs w:val="0"/>
        </w:rPr>
      </w:r>
      <w:r>
        <w:rPr>
          <w:rFonts w:ascii="宋体" w:hAnsi="宋体" w:cs="宋体" w:eastAsia="宋体" w:hint="default"/>
        </w:rPr>
        <w:t>3</w:t>
      </w:r>
      <w:r>
        <w:rPr/>
        <w:t>、缺陷认定标准</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4"/>
        <w:ind w:right="0"/>
        <w:jc w:val="left"/>
        <w:rPr>
          <w:b w:val="0"/>
          <w:bCs w:val="0"/>
        </w:rPr>
      </w:pPr>
      <w:bookmarkStart w:name="（1）财务报告内部控制缺陷认定标准" w:id="153"/>
      <w:bookmarkEnd w:id="153"/>
      <w:r>
        <w:rPr>
          <w:b w:val="0"/>
          <w:bCs w:val="0"/>
        </w:rPr>
      </w:r>
      <w:r>
        <w:rPr/>
        <w:t>（</w:t>
      </w:r>
      <w:r>
        <w:rPr>
          <w:rFonts w:ascii="宋体" w:hAnsi="宋体" w:cs="宋体" w:eastAsia="宋体" w:hint="default"/>
        </w:rPr>
        <w:t>1</w:t>
      </w:r>
      <w:r>
        <w:rPr/>
        <w:t>）财务报告内部控制缺陷认定标准</w:t>
      </w:r>
      <w:r>
        <w:rPr>
          <w:b w:val="0"/>
          <w:bCs w:val="0"/>
        </w:rPr>
      </w:r>
    </w:p>
    <w:p>
      <w:pPr>
        <w:spacing w:after="0" w:line="240" w:lineRule="auto"/>
        <w:jc w:val="left"/>
        <w:sectPr>
          <w:pgSz w:w="11910" w:h="16840"/>
          <w:pgMar w:header="877" w:footer="979" w:top="1100" w:bottom="1160" w:left="0" w:right="0"/>
        </w:sectPr>
      </w:pPr>
    </w:p>
    <w:p>
      <w:pPr>
        <w:spacing w:line="240" w:lineRule="auto" w:before="11"/>
        <w:rPr>
          <w:rFonts w:ascii="宋体" w:hAnsi="宋体" w:cs="宋体" w:eastAsia="宋体" w:hint="default"/>
          <w:b/>
          <w:bCs/>
          <w:sz w:val="27"/>
          <w:szCs w:val="27"/>
        </w:rPr>
      </w:pPr>
    </w:p>
    <w:p>
      <w:pPr>
        <w:pStyle w:val="BodyText"/>
        <w:spacing w:line="240" w:lineRule="auto" w:before="44"/>
        <w:ind w:left="1133" w:right="0"/>
        <w:jc w:val="left"/>
      </w:pPr>
      <w:r>
        <w:rPr/>
        <w:t>财务报告内部控制缺陷评价的定量标准</w:t>
      </w:r>
    </w:p>
    <w:p>
      <w:pPr>
        <w:spacing w:line="240" w:lineRule="auto" w:before="1"/>
        <w:rPr>
          <w:rFonts w:ascii="宋体" w:hAnsi="宋体" w:cs="宋体" w:eastAsia="宋体" w:hint="default"/>
          <w:sz w:val="14"/>
          <w:szCs w:val="14"/>
        </w:rPr>
      </w:pPr>
    </w:p>
    <w:tbl>
      <w:tblPr>
        <w:tblW w:w="0" w:type="auto"/>
        <w:jc w:val="left"/>
        <w:tblInd w:w="1196" w:type="dxa"/>
        <w:tblLayout w:type="fixed"/>
        <w:tblCellMar>
          <w:top w:w="0" w:type="dxa"/>
          <w:left w:w="0" w:type="dxa"/>
          <w:bottom w:w="0" w:type="dxa"/>
          <w:right w:w="0" w:type="dxa"/>
        </w:tblCellMar>
        <w:tblLook w:val="01E0"/>
      </w:tblPr>
      <w:tblGrid>
        <w:gridCol w:w="992"/>
        <w:gridCol w:w="1219"/>
        <w:gridCol w:w="3038"/>
        <w:gridCol w:w="1276"/>
        <w:gridCol w:w="2980"/>
      </w:tblGrid>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5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40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9" w:lineRule="auto"/>
              <w:ind w:left="-1" w:right="127"/>
              <w:jc w:val="left"/>
              <w:rPr>
                <w:rFonts w:ascii="宋体" w:hAnsi="宋体" w:cs="宋体" w:eastAsia="宋体" w:hint="default"/>
                <w:sz w:val="18"/>
                <w:szCs w:val="18"/>
              </w:rPr>
            </w:pPr>
            <w:r>
              <w:rPr>
                <w:rFonts w:ascii="宋体" w:hAnsi="宋体" w:cs="宋体" w:eastAsia="宋体" w:hint="default"/>
                <w:sz w:val="18"/>
                <w:szCs w:val="18"/>
              </w:rPr>
              <w:t>财务报告错报 金额大于等于</w:t>
            </w: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2,500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8" w:hRule="exact"/>
        </w:trPr>
        <w:tc>
          <w:tcPr>
            <w:tcW w:w="99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1" w:right="127"/>
              <w:jc w:val="left"/>
              <w:rPr>
                <w:rFonts w:ascii="宋体" w:hAnsi="宋体" w:cs="宋体" w:eastAsia="宋体" w:hint="default"/>
                <w:sz w:val="18"/>
                <w:szCs w:val="18"/>
              </w:rPr>
            </w:pPr>
            <w:r>
              <w:rPr>
                <w:rFonts w:ascii="宋体" w:hAnsi="宋体" w:cs="宋体" w:eastAsia="宋体" w:hint="default"/>
                <w:sz w:val="18"/>
                <w:szCs w:val="18"/>
              </w:rPr>
              <w:t>财务报告错报 金额小于</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55"/>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500 </w:t>
            </w:r>
            <w:r>
              <w:rPr>
                <w:rFonts w:ascii="宋体" w:hAnsi="宋体" w:cs="宋体" w:eastAsia="宋体" w:hint="default"/>
                <w:sz w:val="18"/>
                <w:szCs w:val="18"/>
              </w:rPr>
              <w:t>万元</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且大于等于</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43"/>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，且绝对金额大于等于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45"/>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2,500 </w:t>
            </w:r>
            <w:r>
              <w:rPr>
                <w:rFonts w:ascii="宋体" w:hAnsi="宋体" w:cs="宋体" w:eastAsia="宋体" w:hint="default"/>
                <w:sz w:val="18"/>
                <w:szCs w:val="18"/>
              </w:rPr>
              <w:t>万元</w:t>
            </w:r>
          </w:p>
        </w:tc>
        <w:tc>
          <w:tcPr>
            <w:tcW w:w="1276" w:type="dxa"/>
            <w:vMerge/>
            <w:tcBorders>
              <w:left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43"/>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，且绝对金额大于等于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01"/>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，且绝对金额小于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vMerge/>
            <w:tcBorders>
              <w:left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43"/>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，且绝对金额大 于等于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714" w:hRule="exact"/>
        </w:trPr>
        <w:tc>
          <w:tcPr>
            <w:tcW w:w="99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，且绝对金额小于</w:t>
            </w:r>
            <w:r>
              <w:rPr>
                <w:rFonts w:ascii="宋体" w:hAnsi="宋体" w:cs="宋体" w:eastAsia="宋体" w:hint="default"/>
                <w:spacing w:val="-44"/>
                <w:sz w:val="18"/>
                <w:szCs w:val="18"/>
              </w:rPr>
              <w:t> </w:t>
            </w:r>
            <w:r>
              <w:rPr>
                <w:rFonts w:ascii="宋体" w:hAnsi="宋体" w:cs="宋体" w:eastAsia="宋体" w:hint="default"/>
                <w:sz w:val="18"/>
                <w:szCs w:val="18"/>
              </w:rPr>
              <w:t>3,000 </w:t>
            </w:r>
            <w:r>
              <w:rPr>
                <w:rFonts w:ascii="宋体" w:hAnsi="宋体" w:cs="宋体" w:eastAsia="宋体" w:hint="default"/>
                <w:sz w:val="18"/>
                <w:szCs w:val="18"/>
              </w:rPr>
              <w:t>万元</w:t>
            </w:r>
          </w:p>
        </w:tc>
        <w:tc>
          <w:tcPr>
            <w:tcW w:w="1276" w:type="dxa"/>
            <w:vMerge/>
            <w:tcBorders>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43"/>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，且绝对金额大于等于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 w:right="127"/>
              <w:jc w:val="left"/>
              <w:rPr>
                <w:rFonts w:ascii="宋体" w:hAnsi="宋体" w:cs="宋体" w:eastAsia="宋体" w:hint="default"/>
                <w:sz w:val="18"/>
                <w:szCs w:val="18"/>
              </w:rPr>
            </w:pPr>
            <w:r>
              <w:rPr>
                <w:rFonts w:ascii="宋体" w:hAnsi="宋体" w:cs="宋体" w:eastAsia="宋体" w:hint="default"/>
                <w:sz w:val="18"/>
                <w:szCs w:val="18"/>
              </w:rPr>
              <w:t>财务报告错报 金额小于</w:t>
            </w: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992"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8" w:hRule="exact"/>
        </w:trPr>
        <w:tc>
          <w:tcPr>
            <w:tcW w:w="99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72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BodyText"/>
        <w:spacing w:line="316" w:lineRule="auto" w:before="51"/>
        <w:ind w:left="1133" w:right="1033"/>
        <w:jc w:val="left"/>
      </w:pPr>
      <w:r>
        <w:rPr/>
        <w:t>注：如同属上述四个指标的缺陷衡量范围，采用孰低原则；上述指标均采用最近一个会计年度经审计的合并财务报表数据，</w:t>
      </w:r>
      <w:r>
        <w:rPr>
          <w:spacing w:val="-85"/>
        </w:rPr>
        <w:t> </w:t>
      </w:r>
      <w:r>
        <w:rPr>
          <w:spacing w:val="-85"/>
        </w:rPr>
      </w:r>
      <w:r>
        <w:rPr/>
        <w:t>如数据为负值，取其绝对值计算。</w:t>
      </w:r>
    </w:p>
    <w:p>
      <w:pPr>
        <w:pStyle w:val="BodyText"/>
        <w:spacing w:line="240" w:lineRule="auto" w:before="136"/>
        <w:ind w:left="1133" w:right="0"/>
        <w:jc w:val="left"/>
      </w:pPr>
      <w:r>
        <w:rPr/>
        <w:t>财务报告内部控制缺陷评价的定性标准</w:t>
      </w:r>
    </w:p>
    <w:p>
      <w:pPr>
        <w:spacing w:line="240" w:lineRule="auto" w:before="1"/>
        <w:rPr>
          <w:rFonts w:ascii="宋体" w:hAnsi="宋体" w:cs="宋体" w:eastAsia="宋体" w:hint="default"/>
          <w:sz w:val="14"/>
          <w:szCs w:val="14"/>
        </w:rPr>
      </w:pPr>
    </w:p>
    <w:tbl>
      <w:tblPr>
        <w:tblW w:w="0" w:type="auto"/>
        <w:jc w:val="left"/>
        <w:tblInd w:w="1183" w:type="dxa"/>
        <w:tblLayout w:type="fixed"/>
        <w:tblCellMar>
          <w:top w:w="0" w:type="dxa"/>
          <w:left w:w="0" w:type="dxa"/>
          <w:bottom w:w="0" w:type="dxa"/>
          <w:right w:w="0" w:type="dxa"/>
        </w:tblCellMar>
        <w:tblLook w:val="01E0"/>
      </w:tblPr>
      <w:tblGrid>
        <w:gridCol w:w="1018"/>
        <w:gridCol w:w="8512"/>
      </w:tblGrid>
      <w:tr>
        <w:trPr>
          <w:trHeight w:val="40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141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302" w:lineRule="auto" w:before="51"/>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外部审计机构、上市公司监管机构或其他外部机构发现公司董事、监事和高级管理人员在经营管理活动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中舞弊；</w:t>
            </w:r>
          </w:p>
          <w:p>
            <w:pPr>
              <w:pStyle w:val="TableParagraph"/>
              <w:tabs>
                <w:tab w:pos="419" w:val="left" w:leader="none"/>
              </w:tabs>
              <w:spacing w:line="240" w:lineRule="auto" w:before="70"/>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对已经公告的财务报表进行重大差错更正；</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外部审计机构发现当期财务报表存在重大错报，而内部控制在运行过程中未能发现该错报。</w:t>
            </w:r>
          </w:p>
        </w:tc>
      </w:tr>
      <w:tr>
        <w:trPr>
          <w:trHeight w:val="110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2"/>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未依照公认的会计准则选择和应用会计政策；</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未建立经营管理活动相关的反舞弊程序和控制措施；</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对于非常规或特殊交易的账务处理没有建立相应的控制机制或没有实施且没有相应的补偿性控制。</w:t>
            </w:r>
          </w:p>
        </w:tc>
      </w:tr>
      <w:tr>
        <w:trPr>
          <w:trHeight w:val="40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8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不构成重大缺陷和重要缺陷的内部控制缺陷，认定为一般缺陷。</w:t>
            </w:r>
          </w:p>
        </w:tc>
      </w:tr>
    </w:tbl>
    <w:p>
      <w:pPr>
        <w:spacing w:line="240" w:lineRule="auto" w:before="1"/>
        <w:rPr>
          <w:rFonts w:ascii="宋体" w:hAnsi="宋体" w:cs="宋体" w:eastAsia="宋体" w:hint="default"/>
          <w:sz w:val="14"/>
          <w:szCs w:val="14"/>
        </w:rPr>
      </w:pPr>
    </w:p>
    <w:p>
      <w:pPr>
        <w:pStyle w:val="Heading3"/>
        <w:spacing w:line="240" w:lineRule="auto"/>
        <w:ind w:left="1133" w:right="0"/>
        <w:jc w:val="left"/>
        <w:rPr>
          <w:b w:val="0"/>
          <w:bCs w:val="0"/>
        </w:rPr>
      </w:pPr>
      <w:bookmarkStart w:name="（2）非财务报告内部控制缺陷认定标准" w:id="154"/>
      <w:bookmarkEnd w:id="154"/>
      <w:r>
        <w:rPr>
          <w:b w:val="0"/>
          <w:bCs w:val="0"/>
        </w:rPr>
      </w:r>
      <w:r>
        <w:rPr/>
        <w:t>（</w:t>
      </w:r>
      <w:r>
        <w:rPr>
          <w:rFonts w:ascii="宋体" w:hAnsi="宋体" w:cs="宋体" w:eastAsia="宋体" w:hint="default"/>
        </w:rPr>
        <w:t>2</w:t>
      </w:r>
      <w:r>
        <w:rPr/>
        <w:t>）非财务报告内部控制缺陷认定标准</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1133" w:right="0"/>
        <w:jc w:val="left"/>
      </w:pPr>
      <w:r>
        <w:rPr/>
        <w:t>非财务报告内部控制缺陷评价的定量标准</w:t>
      </w:r>
    </w:p>
    <w:p>
      <w:pPr>
        <w:spacing w:line="240" w:lineRule="auto" w:before="1"/>
        <w:rPr>
          <w:rFonts w:ascii="宋体" w:hAnsi="宋体" w:cs="宋体" w:eastAsia="宋体" w:hint="default"/>
          <w:sz w:val="14"/>
          <w:szCs w:val="14"/>
        </w:rPr>
      </w:pPr>
    </w:p>
    <w:tbl>
      <w:tblPr>
        <w:tblW w:w="0" w:type="auto"/>
        <w:jc w:val="left"/>
        <w:tblInd w:w="1210" w:type="dxa"/>
        <w:tblLayout w:type="fixed"/>
        <w:tblCellMar>
          <w:top w:w="0" w:type="dxa"/>
          <w:left w:w="0" w:type="dxa"/>
          <w:bottom w:w="0" w:type="dxa"/>
          <w:right w:w="0" w:type="dxa"/>
        </w:tblCellMar>
        <w:tblLook w:val="01E0"/>
      </w:tblPr>
      <w:tblGrid>
        <w:gridCol w:w="987"/>
        <w:gridCol w:w="8491"/>
      </w:tblGrid>
      <w:tr>
        <w:trPr>
          <w:trHeight w:val="407"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407"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直接财产损失或影响程度大于等于利润总额的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8"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直接财产损失或影响程度小于利润总额的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且大于等于</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大于等于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3"/>
          <w:szCs w:val="3"/>
        </w:rPr>
      </w:pPr>
    </w:p>
    <w:tbl>
      <w:tblPr>
        <w:tblW w:w="0" w:type="auto"/>
        <w:jc w:val="left"/>
        <w:tblInd w:w="1210" w:type="dxa"/>
        <w:tblLayout w:type="fixed"/>
        <w:tblCellMar>
          <w:top w:w="0" w:type="dxa"/>
          <w:left w:w="0" w:type="dxa"/>
          <w:bottom w:w="0" w:type="dxa"/>
          <w:right w:w="0" w:type="dxa"/>
        </w:tblCellMar>
        <w:tblLook w:val="01E0"/>
      </w:tblPr>
      <w:tblGrid>
        <w:gridCol w:w="987"/>
        <w:gridCol w:w="8491"/>
      </w:tblGrid>
      <w:tr>
        <w:trPr>
          <w:trHeight w:val="332" w:hRule="exact"/>
        </w:trPr>
        <w:tc>
          <w:tcPr>
            <w:tcW w:w="987" w:type="dxa"/>
            <w:tcBorders>
              <w:top w:val="nil" w:sz="6" w:space="0" w:color="auto"/>
              <w:left w:val="nil" w:sz="6" w:space="0" w:color="auto"/>
              <w:bottom w:val="single" w:sz="4" w:space="0" w:color="000000"/>
              <w:right w:val="nil" w:sz="6" w:space="0" w:color="auto"/>
            </w:tcBorders>
          </w:tcPr>
          <w:p>
            <w:pPr/>
          </w:p>
        </w:tc>
        <w:tc>
          <w:tcPr>
            <w:tcW w:w="8491" w:type="dxa"/>
            <w:tcBorders>
              <w:top w:val="nil" w:sz="6" w:space="0" w:color="auto"/>
              <w:left w:val="nil" w:sz="6" w:space="0" w:color="auto"/>
              <w:bottom w:val="single" w:sz="4" w:space="0" w:color="000000"/>
              <w:right w:val="nil" w:sz="6" w:space="0" w:color="auto"/>
            </w:tcBorders>
          </w:tcPr>
          <w:p>
            <w:pPr/>
          </w:p>
        </w:tc>
      </w:tr>
      <w:tr>
        <w:trPr>
          <w:trHeight w:val="408"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8"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8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直接财产损失或影响程度小于利润总额的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BodyText"/>
        <w:spacing w:line="436" w:lineRule="auto" w:before="51"/>
        <w:ind w:left="1133" w:right="2833"/>
        <w:jc w:val="left"/>
      </w:pPr>
      <w:r>
        <w:rPr/>
        <w:pict>
          <v:group style="position:absolute;margin-left:55.200001pt;margin-top:-37.278259pt;width:485pt;height:.1pt;mso-position-horizontal-relative:page;mso-position-vertical-relative:paragraph;z-index:-795424" coordorigin="1104,-746" coordsize="9700,2">
            <v:shape style="position:absolute;left:1104;top:-746;width:9700;height:2" coordorigin="1104,-746" coordsize="9700,0" path="m1104,-746l10804,-746e" filled="false" stroked="true" strokeweight=".72pt" strokecolor="#000000">
              <v:path arrowok="t"/>
            </v:shape>
            <w10:wrap type="none"/>
          </v:group>
        </w:pict>
      </w:r>
      <w:r>
        <w:rPr/>
        <w:t>注：上述指标采用最近一个会计年度经审计的合并财务报表数据，如数据为负值，取其绝对值计算。 非财务报告内部控制缺陷评价的定性标准</w:t>
      </w:r>
    </w:p>
    <w:p>
      <w:pPr>
        <w:spacing w:line="240" w:lineRule="auto" w:before="10"/>
        <w:rPr>
          <w:rFonts w:ascii="宋体" w:hAnsi="宋体" w:cs="宋体" w:eastAsia="宋体" w:hint="default"/>
          <w:sz w:val="2"/>
          <w:szCs w:val="2"/>
        </w:rPr>
      </w:pPr>
    </w:p>
    <w:tbl>
      <w:tblPr>
        <w:tblW w:w="0" w:type="auto"/>
        <w:jc w:val="left"/>
        <w:tblInd w:w="1211" w:type="dxa"/>
        <w:tblLayout w:type="fixed"/>
        <w:tblCellMar>
          <w:top w:w="0" w:type="dxa"/>
          <w:left w:w="0" w:type="dxa"/>
          <w:bottom w:w="0" w:type="dxa"/>
          <w:right w:w="0" w:type="dxa"/>
        </w:tblCellMar>
        <w:tblLook w:val="01E0"/>
      </w:tblPr>
      <w:tblGrid>
        <w:gridCol w:w="1002"/>
        <w:gridCol w:w="8472"/>
      </w:tblGrid>
      <w:tr>
        <w:trPr>
          <w:trHeight w:val="402"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2435"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2"/>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公司重要业务事项、环节和高风险领域缺乏制度控制或制度体系失效，对公司经营造成重大影响；</w:t>
            </w:r>
          </w:p>
          <w:p>
            <w:pPr>
              <w:pStyle w:val="TableParagraph"/>
              <w:tabs>
                <w:tab w:pos="419" w:val="left" w:leader="none"/>
              </w:tabs>
              <w:spacing w:line="302" w:lineRule="auto" w:before="102"/>
              <w:ind w:left="419" w:right="-2"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公司缺乏对重大决策、重大事项、重要人事任免事项及大额资金支付业务的决策程序，导致公司出现重</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大损失；</w:t>
            </w:r>
          </w:p>
          <w:p>
            <w:pPr>
              <w:pStyle w:val="TableParagraph"/>
              <w:tabs>
                <w:tab w:pos="419" w:val="left" w:leader="none"/>
              </w:tabs>
              <w:spacing w:line="302" w:lineRule="auto" w:before="69"/>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公司严重违犯国家法律、法规或规范性文件，受到政府部门责令停产停业、暂扣或吊销许可证及执照的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行政处罚，对公司造成严重的负面影响或重大损失；</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公司受到中国证监会处罚、证券交易所公开谴责；</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公司核心管理人员和高级技术人员流失严重，造成经营活动难以正常进行。</w:t>
            </w:r>
          </w:p>
        </w:tc>
      </w:tr>
      <w:tr>
        <w:trPr>
          <w:trHeight w:val="243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1"/>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公司重要业务事项、环节和高风险领域相关的制度控制或系统存在缺陷，对公司经营造成重要影响；</w:t>
            </w:r>
          </w:p>
          <w:p>
            <w:pPr>
              <w:pStyle w:val="TableParagraph"/>
              <w:tabs>
                <w:tab w:pos="419" w:val="left" w:leader="none"/>
              </w:tabs>
              <w:spacing w:line="302" w:lineRule="auto" w:before="103"/>
              <w:ind w:left="419" w:right="0"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公司重大决策、重大事项、重要人事任免事项及大额资金支付业务决策程序不完善或不规范，导致公司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出现重要损失；</w:t>
            </w:r>
          </w:p>
          <w:p>
            <w:pPr>
              <w:pStyle w:val="TableParagraph"/>
              <w:tabs>
                <w:tab w:pos="419" w:val="left" w:leader="none"/>
              </w:tabs>
              <w:spacing w:line="302" w:lineRule="auto" w:before="68"/>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2"/>
                <w:sz w:val="18"/>
                <w:szCs w:val="18"/>
              </w:rPr>
              <w:t>公司违犯国家法律、法规或规范性文件，受到除责令停产停业、暂扣或吊销许可证及执照以外的行政处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罚；</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公司受到注册地中国证监会派出机构处罚、证券交易所通报批评；</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公司关键岗位业务人员流失严重。</w:t>
            </w:r>
          </w:p>
        </w:tc>
      </w:tr>
      <w:tr>
        <w:trPr>
          <w:trHeight w:val="402"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8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不构成重大缺陷和重要缺陷的内部控制缺陷，认定为一般缺陷。</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 适用 √ 不适用</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1130"/>
        <w:jc w:val="center"/>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left="1133" w:right="0"/>
        <w:jc w:val="left"/>
      </w:pPr>
      <w:r>
        <w:rPr/>
        <w:t>公司是否存在公开发行并在证券交易所上市，且在年度报告批准报出日未到期或到期未能全额兑付的公司债券</w:t>
      </w:r>
    </w:p>
    <w:p>
      <w:pPr>
        <w:pStyle w:val="BodyText"/>
        <w:spacing w:line="240" w:lineRule="auto" w:before="116"/>
        <w:ind w:left="1133" w:right="0"/>
        <w:jc w:val="left"/>
      </w:pPr>
      <w:r>
        <w:rPr/>
        <w:t>□ 是 √ 否</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30"/>
        <w:jc w:val="center"/>
        <w:rPr>
          <w:b w:val="0"/>
          <w:bCs w:val="0"/>
        </w:rPr>
      </w:pPr>
      <w:bookmarkStart w:name="第十一节 财务报告" w:id="158"/>
      <w:bookmarkEnd w:id="158"/>
      <w:r>
        <w:rPr>
          <w:b w:val="0"/>
          <w:bCs w:val="0"/>
        </w:rPr>
      </w:r>
      <w:bookmarkStart w:name="_bookmark10"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010278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bl>
    <w:p>
      <w:pPr>
        <w:spacing w:line="240" w:lineRule="auto" w:before="9"/>
        <w:rPr>
          <w:rFonts w:ascii="宋体" w:hAnsi="宋体" w:cs="宋体" w:eastAsia="宋体" w:hint="default"/>
          <w:b/>
          <w:bCs/>
          <w:sz w:val="6"/>
          <w:szCs w:val="6"/>
        </w:rPr>
      </w:pPr>
    </w:p>
    <w:p>
      <w:pPr>
        <w:pStyle w:val="BodyText"/>
        <w:spacing w:line="240" w:lineRule="auto" w:before="44"/>
        <w:ind w:left="1131" w:right="1130"/>
        <w:jc w:val="center"/>
      </w:pPr>
      <w:r>
        <w:rPr/>
        <w:t>审计报告正文</w:t>
      </w:r>
    </w:p>
    <w:p>
      <w:pPr>
        <w:spacing w:before="156"/>
        <w:ind w:left="1129" w:right="1130"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3"/>
        <w:rPr>
          <w:rFonts w:ascii="宋体" w:hAnsi="宋体" w:cs="宋体" w:eastAsia="宋体" w:hint="default"/>
          <w:b/>
          <w:bCs/>
          <w:sz w:val="12"/>
          <w:szCs w:val="12"/>
        </w:rPr>
      </w:pPr>
    </w:p>
    <w:p>
      <w:pPr>
        <w:pStyle w:val="BodyText"/>
        <w:spacing w:line="240" w:lineRule="auto" w:before="44"/>
        <w:ind w:left="0" w:right="1130"/>
        <w:jc w:val="right"/>
      </w:pPr>
      <w:r>
        <w:rPr/>
        <w:t>众环审字（</w:t>
      </w:r>
      <w:r>
        <w:rPr>
          <w:rFonts w:ascii="宋体" w:hAnsi="宋体" w:cs="宋体" w:eastAsia="宋体" w:hint="default"/>
        </w:rPr>
        <w:t>2018</w:t>
      </w:r>
      <w:r>
        <w:rPr/>
        <w:t>）</w:t>
      </w:r>
      <w:r>
        <w:rPr>
          <w:rFonts w:ascii="宋体" w:hAnsi="宋体" w:cs="宋体" w:eastAsia="宋体" w:hint="default"/>
        </w:rPr>
        <w:t>010278</w:t>
      </w:r>
      <w:r>
        <w:rPr/>
        <w:t>号</w:t>
      </w:r>
    </w:p>
    <w:p>
      <w:pPr>
        <w:pStyle w:val="BodyText"/>
        <w:spacing w:line="240" w:lineRule="auto" w:before="117"/>
        <w:ind w:left="1133" w:right="0"/>
        <w:jc w:val="left"/>
      </w:pPr>
      <w:r>
        <w:rPr/>
        <w:t>武汉天喻信息产业股份有限公司全体股东：</w:t>
      </w:r>
    </w:p>
    <w:p>
      <w:pPr>
        <w:spacing w:line="240" w:lineRule="auto" w:before="7"/>
        <w:rPr>
          <w:rFonts w:ascii="宋体" w:hAnsi="宋体" w:cs="宋体" w:eastAsia="宋体" w:hint="default"/>
          <w:sz w:val="11"/>
          <w:szCs w:val="11"/>
        </w:rPr>
      </w:pPr>
    </w:p>
    <w:p>
      <w:pPr>
        <w:pStyle w:val="BodyText"/>
        <w:spacing w:line="357" w:lineRule="auto" w:before="44"/>
        <w:ind w:left="1493" w:right="1118" w:firstLine="1"/>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我们审计了后附的武汉天喻信息产业股份有限公司（以下简称“天喻信息”）财务报表，包括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p>
    <w:p>
      <w:pPr>
        <w:pStyle w:val="BodyText"/>
        <w:spacing w:line="224" w:lineRule="exact"/>
        <w:ind w:left="1133" w:right="0"/>
        <w:jc w:val="left"/>
      </w:pPr>
      <w:r>
        <w:rPr/>
        <w:t>母公司资产负债表，</w:t>
      </w:r>
      <w:r>
        <w:rPr>
          <w:rFonts w:ascii="宋体" w:hAnsi="宋体" w:cs="宋体" w:eastAsia="宋体" w:hint="default"/>
        </w:rPr>
        <w:t>2017</w:t>
      </w:r>
      <w:r>
        <w:rPr/>
        <w:t>年度的合并及母公司利润表、合并及母公司现金流量表、合并及母公司股东权益变动表以及财务报</w:t>
      </w:r>
    </w:p>
    <w:p>
      <w:pPr>
        <w:pStyle w:val="BodyText"/>
        <w:spacing w:line="240" w:lineRule="auto" w:before="78"/>
        <w:ind w:right="0"/>
        <w:jc w:val="left"/>
      </w:pPr>
      <w:r>
        <w:rPr/>
        <w:t>表附注。</w:t>
      </w:r>
    </w:p>
    <w:p>
      <w:pPr>
        <w:pStyle w:val="BodyText"/>
        <w:spacing w:line="319" w:lineRule="auto" w:before="115"/>
        <w:ind w:left="1133" w:right="0" w:firstLine="360"/>
        <w:jc w:val="left"/>
      </w:pPr>
      <w:r>
        <w:rPr>
          <w:spacing w:val="-2"/>
        </w:rPr>
        <w:t>我们认为，后附的财务报表在所有重大方面按照企业会计准则的规定编制，公允反映了天喻信息</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及母公司财务状况以及</w:t>
      </w:r>
      <w:r>
        <w:rPr>
          <w:rFonts w:ascii="宋体" w:hAnsi="宋体" w:cs="宋体" w:eastAsia="宋体" w:hint="default"/>
        </w:rPr>
        <w:t>2017</w:t>
      </w:r>
      <w:r>
        <w:rPr/>
        <w:t>年度的合并及母公司经营成果和现金流量。</w:t>
      </w:r>
    </w:p>
    <w:p>
      <w:pPr>
        <w:pStyle w:val="BodyText"/>
        <w:spacing w:line="357" w:lineRule="auto" w:before="137"/>
        <w:ind w:left="1493"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224" w:lineRule="exact"/>
        <w:ind w:right="0"/>
        <w:jc w:val="left"/>
      </w:pPr>
      <w:r>
        <w:rPr/>
        <w:t>步阐述了我们在这些准则下的责任。按照中国注册会计师职业道德守则，我们独立于天喻信息，并履行了职业道德方面的其</w:t>
      </w:r>
    </w:p>
    <w:p>
      <w:pPr>
        <w:pStyle w:val="BodyText"/>
        <w:spacing w:line="439" w:lineRule="auto" w:before="77"/>
        <w:ind w:left="1495" w:right="3733" w:hanging="362"/>
        <w:jc w:val="left"/>
        <w:rPr>
          <w:rFonts w:ascii="宋体" w:hAnsi="宋体" w:cs="宋体" w:eastAsia="宋体" w:hint="default"/>
        </w:rPr>
      </w:pPr>
      <w:r>
        <w:rPr/>
        <w:t>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202" w:lineRule="exact"/>
        <w:ind w:left="1494" w:right="0"/>
        <w:jc w:val="left"/>
      </w:pPr>
      <w:r>
        <w:rPr/>
        <w:t>关键审计事项是我们根据职业判断，认为对本期财务报表审计最为重要的事项。这些事项的应对以对财务报表整体进行</w:t>
      </w:r>
    </w:p>
    <w:p>
      <w:pPr>
        <w:pStyle w:val="BodyText"/>
        <w:spacing w:line="240" w:lineRule="auto" w:before="77"/>
        <w:ind w:right="0"/>
        <w:jc w:val="left"/>
      </w:pPr>
      <w:r>
        <w:rPr/>
        <w:t>审计并形成审计意见为背景，我们不对这些事项单独发表意见。</w:t>
      </w:r>
    </w:p>
    <w:p>
      <w:pPr>
        <w:pStyle w:val="BodyText"/>
        <w:spacing w:line="357" w:lineRule="auto" w:before="116"/>
        <w:ind w:left="1494" w:right="1122"/>
        <w:jc w:val="left"/>
      </w:pPr>
      <w:r>
        <w:rPr/>
        <w:t>（一）存货跌价准备计提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日，天喻信息存货账面余额为</w:t>
      </w:r>
      <w:r>
        <w:rPr>
          <w:rFonts w:ascii="宋体" w:hAnsi="宋体" w:cs="宋体" w:eastAsia="宋体" w:hint="default"/>
        </w:rPr>
        <w:t>43,261.82</w:t>
      </w:r>
      <w:r>
        <w:rPr/>
        <w:t>万元，跌价准备余额为</w:t>
      </w:r>
      <w:r>
        <w:rPr>
          <w:rFonts w:ascii="宋体" w:hAnsi="宋体" w:cs="宋体" w:eastAsia="宋体" w:hint="default"/>
        </w:rPr>
        <w:t>7,430.52</w:t>
      </w:r>
      <w:r>
        <w:rPr/>
        <w:t>万元，相关信息请见财务报</w:t>
      </w:r>
    </w:p>
    <w:p>
      <w:pPr>
        <w:pStyle w:val="BodyText"/>
        <w:spacing w:line="357" w:lineRule="auto"/>
        <w:ind w:left="1494" w:right="0" w:hanging="360"/>
        <w:jc w:val="left"/>
      </w:pPr>
      <w:r>
        <w:rPr/>
        <w:t>表附注（七）</w:t>
      </w:r>
      <w:r>
        <w:rPr>
          <w:rFonts w:ascii="宋体" w:hAnsi="宋体" w:cs="宋体" w:eastAsia="宋体" w:hint="default"/>
        </w:rPr>
        <w:t>6</w:t>
      </w:r>
      <w:r>
        <w:rPr/>
        <w:t>“存货”。 </w:t>
      </w:r>
      <w:r>
        <w:rPr>
          <w:spacing w:val="-2"/>
        </w:rPr>
        <w:t>存货账面价值重大，占合并财务报表资产总额的</w:t>
      </w:r>
      <w:r>
        <w:rPr>
          <w:rFonts w:ascii="宋体" w:hAnsi="宋体" w:cs="宋体" w:eastAsia="宋体" w:hint="default"/>
          <w:spacing w:val="-2"/>
        </w:rPr>
        <w:t>19.52%</w:t>
      </w:r>
      <w:r>
        <w:rPr>
          <w:spacing w:val="-2"/>
        </w:rPr>
        <w:t>。由于存货金额重大且存货跌价准备的计提涉及管理层作出重大</w:t>
      </w:r>
    </w:p>
    <w:p>
      <w:pPr>
        <w:pStyle w:val="BodyText"/>
        <w:spacing w:line="357" w:lineRule="auto"/>
        <w:ind w:left="1494" w:right="6612" w:hanging="360"/>
        <w:jc w:val="left"/>
      </w:pPr>
      <w:r>
        <w:rPr/>
        <w:t>判断，我们将存货跌价准备计提作为关键审计事项。 在审计中如何应对该事项：</w:t>
      </w:r>
    </w:p>
    <w:p>
      <w:pPr>
        <w:pStyle w:val="BodyText"/>
        <w:spacing w:line="240" w:lineRule="auto" w:before="29"/>
        <w:ind w:left="1494" w:right="0"/>
        <w:jc w:val="left"/>
      </w:pPr>
      <w:r>
        <w:rPr>
          <w:rFonts w:ascii="宋体" w:hAnsi="宋体" w:cs="宋体" w:eastAsia="宋体" w:hint="default"/>
        </w:rPr>
        <w:t>1.</w:t>
      </w:r>
      <w:r>
        <w:rPr/>
        <w:t>评价管理层与计提存货跌价准备相关的关键财务报告内部控制设计和运行有效性；</w:t>
      </w:r>
    </w:p>
    <w:p>
      <w:pPr>
        <w:pStyle w:val="BodyText"/>
        <w:spacing w:line="240" w:lineRule="auto" w:before="116"/>
        <w:ind w:left="1494" w:right="0"/>
        <w:jc w:val="left"/>
      </w:pPr>
      <w:r>
        <w:rPr>
          <w:rFonts w:ascii="宋体" w:hAnsi="宋体" w:cs="宋体" w:eastAsia="宋体" w:hint="default"/>
        </w:rPr>
        <w:t>2.</w:t>
      </w:r>
      <w:r>
        <w:rPr/>
        <w:t>执行存货监盘，检查存货的数量和状况，关注残次冷背等存在减值迹象的存货是否被正确识别；</w:t>
      </w:r>
    </w:p>
    <w:p>
      <w:pPr>
        <w:pStyle w:val="BodyText"/>
        <w:spacing w:line="240" w:lineRule="auto" w:before="116"/>
        <w:ind w:left="1494" w:right="0"/>
        <w:jc w:val="left"/>
      </w:pPr>
      <w:r>
        <w:rPr>
          <w:rFonts w:ascii="宋体" w:hAnsi="宋体" w:cs="宋体" w:eastAsia="宋体" w:hint="default"/>
        </w:rPr>
        <w:t>3.</w:t>
      </w:r>
      <w:r>
        <w:rPr/>
        <w:t>对存货可变现净值所涉及的重要假设进行评价</w:t>
      </w:r>
      <w:r>
        <w:rPr>
          <w:spacing w:val="-87"/>
        </w:rPr>
        <w:t>，</w:t>
      </w:r>
      <w:r>
        <w:rPr/>
        <w:t>例如检查销售价格和至完工时发生的成本</w:t>
      </w:r>
      <w:r>
        <w:rPr>
          <w:spacing w:val="-87"/>
        </w:rPr>
        <w:t>、</w:t>
      </w:r>
      <w:r>
        <w:rPr/>
        <w:t>销售费用以及相关税金等；</w:t>
      </w:r>
    </w:p>
    <w:p>
      <w:pPr>
        <w:pStyle w:val="BodyText"/>
        <w:spacing w:line="240" w:lineRule="auto" w:before="116"/>
        <w:ind w:left="1494" w:right="0"/>
        <w:jc w:val="left"/>
      </w:pPr>
      <w:r>
        <w:rPr>
          <w:rFonts w:ascii="宋体" w:hAnsi="宋体" w:cs="宋体" w:eastAsia="宋体" w:hint="default"/>
        </w:rPr>
        <w:t>4.</w:t>
      </w:r>
      <w:r>
        <w:rPr/>
        <w:t>重新计算存货跌价准备的计提金额；</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93" w:right="0"/>
        <w:jc w:val="left"/>
      </w:pPr>
      <w:r>
        <w:rPr>
          <w:rFonts w:ascii="宋体" w:hAnsi="宋体" w:cs="宋体" w:eastAsia="宋体" w:hint="default"/>
        </w:rPr>
        <w:t>5.</w:t>
      </w:r>
      <w:r>
        <w:rPr/>
        <w:t>检查在财务报表中有关存货跌价准备的披露是否符合企业会计准则的要求。</w:t>
      </w:r>
    </w:p>
    <w:p>
      <w:pPr>
        <w:pStyle w:val="BodyText"/>
        <w:spacing w:line="357" w:lineRule="auto" w:before="116"/>
        <w:ind w:left="1493" w:right="0"/>
        <w:jc w:val="left"/>
      </w:pPr>
      <w:r>
        <w:rPr/>
        <w:t>（二）应收账款坏账准备计提 </w:t>
      </w: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日，天喻信息应收账款账面余额为</w:t>
      </w:r>
      <w:r>
        <w:rPr>
          <w:rFonts w:ascii="宋体" w:hAnsi="宋体" w:cs="宋体" w:eastAsia="宋体" w:hint="default"/>
          <w:spacing w:val="-2"/>
        </w:rPr>
        <w:t>63,562.95</w:t>
      </w:r>
      <w:r>
        <w:rPr>
          <w:spacing w:val="-2"/>
        </w:rPr>
        <w:t>万元，坏账准备余额为</w:t>
      </w:r>
      <w:r>
        <w:rPr>
          <w:rFonts w:ascii="宋体" w:hAnsi="宋体" w:cs="宋体" w:eastAsia="宋体" w:hint="default"/>
          <w:spacing w:val="-2"/>
        </w:rPr>
        <w:t>12,120.85</w:t>
      </w:r>
      <w:r>
        <w:rPr>
          <w:spacing w:val="-2"/>
        </w:rPr>
        <w:t>万元，相关信息请见财</w:t>
      </w:r>
    </w:p>
    <w:p>
      <w:pPr>
        <w:pStyle w:val="BodyText"/>
        <w:spacing w:line="357" w:lineRule="auto"/>
        <w:ind w:left="1494" w:right="0" w:hanging="360"/>
        <w:jc w:val="left"/>
      </w:pPr>
      <w:r>
        <w:rPr/>
        <w:t>务报表附注（七）</w:t>
      </w:r>
      <w:r>
        <w:rPr>
          <w:rFonts w:ascii="宋体" w:hAnsi="宋体" w:cs="宋体" w:eastAsia="宋体" w:hint="default"/>
        </w:rPr>
        <w:t>3 </w:t>
      </w:r>
      <w:r>
        <w:rPr/>
        <w:t>“应收账款”。 </w:t>
      </w:r>
      <w:r>
        <w:rPr>
          <w:spacing w:val="-2"/>
        </w:rPr>
        <w:t>应收账款账面价值重大，占合并财务报表资产总额的</w:t>
      </w:r>
      <w:r>
        <w:rPr>
          <w:rFonts w:ascii="宋体" w:hAnsi="宋体" w:cs="宋体" w:eastAsia="宋体" w:hint="default"/>
          <w:spacing w:val="-2"/>
        </w:rPr>
        <w:t>28.03%</w:t>
      </w:r>
      <w:r>
        <w:rPr>
          <w:spacing w:val="-2"/>
        </w:rPr>
        <w:t>。由于应收账款金额重大且应收账款可收回金额的确定涉及</w:t>
      </w:r>
    </w:p>
    <w:p>
      <w:pPr>
        <w:pStyle w:val="BodyText"/>
        <w:spacing w:line="360" w:lineRule="auto"/>
        <w:ind w:left="1493" w:right="4093" w:hanging="360"/>
        <w:jc w:val="left"/>
      </w:pPr>
      <w:r>
        <w:rPr/>
        <w:t>管理层作出重大判断，我们将应收账款坏账准备的计提作为关键审计事项。 在审计中如何应对该事项： </w:t>
      </w:r>
      <w:r>
        <w:rPr>
          <w:rFonts w:ascii="宋体" w:hAnsi="宋体" w:cs="宋体" w:eastAsia="宋体" w:hint="default"/>
        </w:rPr>
        <w:t>1.</w:t>
      </w:r>
      <w:r>
        <w:rPr/>
        <w:t>评价管理层对确定应收账款坏账准备相关的关键内部控制设计和运行有效性；</w:t>
      </w:r>
    </w:p>
    <w:p>
      <w:pPr>
        <w:pStyle w:val="BodyText"/>
        <w:spacing w:line="319" w:lineRule="auto" w:before="25"/>
        <w:ind w:left="1133" w:right="0" w:firstLine="360"/>
        <w:jc w:val="left"/>
      </w:pPr>
      <w:r>
        <w:rPr>
          <w:rFonts w:ascii="宋体" w:hAnsi="宋体" w:cs="宋体" w:eastAsia="宋体" w:hint="default"/>
          <w:spacing w:val="-2"/>
        </w:rPr>
        <w:t>2.</w:t>
      </w:r>
      <w:r>
        <w:rPr>
          <w:spacing w:val="-2"/>
        </w:rPr>
        <w:t>对于单项金额重大的应收账款，抽样并复核了管理层计算可收回金额的依据，包括管理层结合客户经营情况、市场环</w:t>
      </w:r>
      <w:r>
        <w:rPr/>
        <w:t> 境、历史还款情况等对客户信用风险作出的评估；</w:t>
      </w:r>
    </w:p>
    <w:p>
      <w:pPr>
        <w:pStyle w:val="BodyText"/>
        <w:spacing w:line="240" w:lineRule="auto" w:before="56"/>
        <w:ind w:left="1493" w:right="0"/>
        <w:jc w:val="left"/>
      </w:pPr>
      <w:r>
        <w:rPr>
          <w:rFonts w:ascii="宋体" w:hAnsi="宋体" w:cs="宋体" w:eastAsia="宋体" w:hint="default"/>
        </w:rPr>
        <w:t>3.</w:t>
      </w:r>
      <w:r>
        <w:rPr/>
        <w:t>重新计算坏账准备计提金额是否准确。</w:t>
      </w:r>
    </w:p>
    <w:p>
      <w:pPr>
        <w:pStyle w:val="BodyText"/>
        <w:spacing w:line="439" w:lineRule="auto" w:before="117"/>
        <w:ind w:left="1495" w:right="3913" w:hanging="2"/>
        <w:jc w:val="left"/>
        <w:rPr>
          <w:rFonts w:ascii="宋体" w:hAnsi="宋体" w:cs="宋体" w:eastAsia="宋体" w:hint="default"/>
        </w:rPr>
      </w:pPr>
      <w:r>
        <w:rPr>
          <w:rFonts w:ascii="宋体" w:hAnsi="宋体" w:cs="宋体" w:eastAsia="宋体" w:hint="default"/>
        </w:rPr>
        <w:t>4.</w:t>
      </w:r>
      <w:r>
        <w:rPr/>
        <w:t>检查在财务报表中有关应收账款坏账准备的披露是否符合企业会计准则的要求。 </w:t>
      </w:r>
      <w:r>
        <w:rPr>
          <w:rFonts w:ascii="宋体" w:hAnsi="宋体" w:cs="宋体" w:eastAsia="宋体" w:hint="default"/>
          <w:b/>
          <w:bCs/>
        </w:rPr>
        <w:t>四、其他信息</w:t>
      </w:r>
      <w:r>
        <w:rPr>
          <w:rFonts w:ascii="宋体" w:hAnsi="宋体" w:cs="宋体" w:eastAsia="宋体" w:hint="default"/>
        </w:rPr>
      </w:r>
    </w:p>
    <w:p>
      <w:pPr>
        <w:pStyle w:val="BodyText"/>
        <w:spacing w:line="202" w:lineRule="exact"/>
        <w:ind w:left="1493" w:right="0"/>
        <w:jc w:val="left"/>
      </w:pPr>
      <w:r>
        <w:rPr/>
        <w:t>天喻信息管理层对其他信息负责。其他信息包括天喻信息</w:t>
      </w:r>
      <w:r>
        <w:rPr>
          <w:rFonts w:ascii="宋体" w:hAnsi="宋体" w:cs="宋体" w:eastAsia="宋体" w:hint="default"/>
        </w:rPr>
        <w:t>2017</w:t>
      </w:r>
      <w:r>
        <w:rPr/>
        <w:t>年年度报告中涵盖的信息，但不包括财务报表和我们的审</w:t>
      </w:r>
    </w:p>
    <w:p>
      <w:pPr>
        <w:pStyle w:val="BodyText"/>
        <w:spacing w:line="240" w:lineRule="auto" w:before="77"/>
        <w:ind w:left="1133" w:right="0"/>
        <w:jc w:val="left"/>
      </w:pPr>
      <w:r>
        <w:rPr/>
        <w:t>计报告。</w:t>
      </w:r>
    </w:p>
    <w:p>
      <w:pPr>
        <w:pStyle w:val="BodyText"/>
        <w:spacing w:line="357" w:lineRule="auto" w:before="116"/>
        <w:ind w:left="149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149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0"/>
        <w:jc w:val="left"/>
      </w:pPr>
      <w:r>
        <w:rPr/>
        <w:t>报告。</w:t>
      </w:r>
    </w:p>
    <w:p>
      <w:pPr>
        <w:spacing w:line="240" w:lineRule="auto" w:before="12"/>
        <w:rPr>
          <w:rFonts w:ascii="宋体" w:hAnsi="宋体" w:cs="宋体" w:eastAsia="宋体" w:hint="default"/>
          <w:sz w:val="14"/>
          <w:szCs w:val="14"/>
        </w:rPr>
      </w:pPr>
    </w:p>
    <w:p>
      <w:pPr>
        <w:spacing w:line="357" w:lineRule="auto" w:before="0"/>
        <w:ind w:left="1494" w:right="1117"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5"/>
          <w:sz w:val="18"/>
          <w:szCs w:val="18"/>
        </w:rPr>
        <w:t>天喻信息管理层负责按照企业会计准则的规定编制财务报表，使其实现公允反映，并设计、执行和维护必要的内部控制，</w:t>
      </w:r>
    </w:p>
    <w:p>
      <w:pPr>
        <w:pStyle w:val="BodyText"/>
        <w:spacing w:line="357" w:lineRule="auto"/>
        <w:ind w:left="1494" w:right="0" w:hanging="360"/>
        <w:jc w:val="left"/>
      </w:pPr>
      <w:r>
        <w:rPr/>
        <w:t>以使财务报表不存在由于舞弊或错误导致的重大错报。 </w:t>
      </w:r>
      <w:r>
        <w:rPr>
          <w:spacing w:val="-2"/>
        </w:rPr>
        <w:t>在编制财务报表时，管理层负责评估天喻信息的持续经营能力，披露与持续经营相关的事项（如适用），并运用持续经</w:t>
      </w:r>
    </w:p>
    <w:p>
      <w:pPr>
        <w:pStyle w:val="BodyText"/>
        <w:spacing w:line="357" w:lineRule="auto"/>
        <w:ind w:left="1494" w:right="5352" w:hanging="360"/>
        <w:jc w:val="left"/>
      </w:pPr>
      <w:r>
        <w:rPr/>
        <w:t>营假设，除非计划清算天喻信息、终止运营或别无其他现实的选择。 治理层负责监督天喻信息的财务报告过程。</w:t>
      </w:r>
    </w:p>
    <w:p>
      <w:pPr>
        <w:spacing w:line="357" w:lineRule="auto" w:before="107"/>
        <w:ind w:left="1494" w:right="0" w:firstLine="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24" w:lineRule="exact"/>
        <w:ind w:right="0"/>
        <w:jc w:val="left"/>
      </w:pPr>
      <w:r>
        <w:rPr/>
        <w:t>告。合理保证是高水平的保证，但并不能保证按照审计准则执行的审计在某一重大错报存在时总能发现。错报可能由于舞弊</w:t>
      </w:r>
    </w:p>
    <w:p>
      <w:pPr>
        <w:pStyle w:val="BodyText"/>
        <w:spacing w:line="319" w:lineRule="auto" w:before="76"/>
        <w:ind w:right="1118"/>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8"/>
        <w:ind w:left="1494" w:right="0"/>
        <w:jc w:val="left"/>
      </w:pPr>
      <w:r>
        <w:rPr/>
        <w:t>在按照审计准则执行审计工作的过程中，我们运用职业判断，并保持职业怀疑。同时，我们也执行以下工作：</w:t>
      </w:r>
    </w:p>
    <w:p>
      <w:pPr>
        <w:pStyle w:val="BodyText"/>
        <w:spacing w:line="319" w:lineRule="auto" w:before="115"/>
        <w:ind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4"/>
        </w:rPr>
        <w:t> </w:t>
      </w:r>
      <w:r>
        <w:rPr>
          <w:spacing w:val="-84"/>
        </w:rPr>
      </w:r>
      <w:r>
        <w:rPr/>
        <w:t>未能发现由于舞弊导致的重大错报的风险高于未能发现由于错误导致的重大错报的风险。</w:t>
      </w:r>
    </w:p>
    <w:p>
      <w:pPr>
        <w:pStyle w:val="BodyText"/>
        <w:spacing w:line="240" w:lineRule="auto" w:before="56"/>
        <w:ind w:left="1493"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117"/>
        <w:ind w:left="1493"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9" w:lineRule="auto" w:before="115"/>
        <w:ind w:right="1131" w:firstLine="360"/>
        <w:jc w:val="both"/>
      </w:pPr>
      <w:r>
        <w:rPr/>
        <w:t>（</w:t>
      </w:r>
      <w:r>
        <w:rPr>
          <w:rFonts w:ascii="宋体" w:hAnsi="宋体" w:cs="宋体" w:eastAsia="宋体" w:hint="default"/>
        </w:rPr>
        <w:t>4</w:t>
      </w:r>
      <w:r>
        <w:rPr/>
        <w:t>）对管理层使用持续经营假设的恰当性得出结论。同时，根据获取的审计证据，就可能导致对天喻信息持续经营能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于截至审计报告日可获得的信息。然而，未来的事项或情况可能导致天喻信息不能持续经营。</w:t>
      </w:r>
    </w:p>
    <w:p>
      <w:pPr>
        <w:spacing w:after="0" w:line="319" w:lineRule="auto"/>
        <w:jc w:val="both"/>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93"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9" w:lineRule="auto" w:before="115"/>
        <w:ind w:right="1131" w:firstLine="360"/>
        <w:jc w:val="both"/>
      </w:pPr>
      <w:r>
        <w:rPr/>
        <w:t>（</w:t>
      </w:r>
      <w:r>
        <w:rPr>
          <w:rFonts w:ascii="宋体" w:hAnsi="宋体" w:cs="宋体" w:eastAsia="宋体" w:hint="default"/>
        </w:rPr>
        <w:t>6</w:t>
      </w:r>
      <w:r>
        <w:rPr/>
        <w:t>）就天喻信息中实体或业务活动的财务信息获取充分、适当的审计证据，以对财务报表发表审计意见。我们负责指 导、监督和执行集团审计，并对审计意见承担全部责任。</w:t>
      </w:r>
    </w:p>
    <w:p>
      <w:pPr>
        <w:pStyle w:val="BodyText"/>
        <w:spacing w:line="319" w:lineRule="auto" w:before="56"/>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left="1133"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55"/>
        <w:ind w:left="1133"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tabs>
          <w:tab w:pos="6804" w:val="left" w:leader="none"/>
        </w:tabs>
        <w:spacing w:line="357" w:lineRule="auto"/>
        <w:ind w:left="6804" w:right="2129" w:hanging="5671"/>
        <w:jc w:val="left"/>
      </w:pPr>
      <w:r>
        <w:rPr/>
        <w:t>中审众环会计师事务所（特殊普通合伙）</w:t>
        <w:tab/>
        <w:t>中国注册会计师 陈刚（项目合伙人） 中国注册会计师 聂慧蓉</w:t>
      </w:r>
    </w:p>
    <w:p>
      <w:pPr>
        <w:pStyle w:val="BodyText"/>
        <w:tabs>
          <w:tab w:pos="3114" w:val="left" w:leader="none"/>
          <w:tab w:pos="6804" w:val="left" w:leader="none"/>
        </w:tabs>
        <w:spacing w:line="240" w:lineRule="auto" w:before="29"/>
        <w:ind w:left="1674" w:right="0"/>
        <w:jc w:val="left"/>
      </w:pPr>
      <w:r>
        <w:rPr/>
        <w:t>中国</w:t>
        <w:tab/>
        <w:t>武汉</w:t>
        <w:tab/>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61"/>
      <w:bookmarkEnd w:id="161"/>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62"/>
      <w:bookmarkEnd w:id="162"/>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060" w:bottom="1160" w:left="0" w:right="0"/>
        </w:sectPr>
      </w:pPr>
    </w:p>
    <w:p>
      <w:pPr>
        <w:pStyle w:val="BodyText"/>
        <w:spacing w:line="240" w:lineRule="auto" w:before="44"/>
        <w:ind w:left="1133" w:right="-19"/>
        <w:jc w:val="left"/>
      </w:pPr>
      <w:r>
        <w:rPr/>
        <w:t>编制单位：武汉天喻信息产业股份有限公司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5" w:right="1291"/>
        <w:jc w:val="center"/>
      </w:pPr>
      <w:r>
        <w:rPr/>
        <w:t>单位：元</w:t>
      </w:r>
    </w:p>
    <w:p>
      <w:pPr>
        <w:spacing w:after="0" w:line="240" w:lineRule="auto"/>
        <w:jc w:val="center"/>
        <w:sectPr>
          <w:type w:val="continuous"/>
          <w:pgSz w:w="11910" w:h="16840"/>
          <w:pgMar w:top="1580" w:bottom="840" w:left="0" w:right="0"/>
          <w:cols w:num="3" w:equalWidth="0">
            <w:col w:w="4555" w:space="40"/>
            <w:col w:w="2102" w:space="2043"/>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384,869,771.51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391,340,826.27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2,257,750.00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514,420,932.15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453,024,327.88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16,646,992.86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76,496,152.78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14,499,667.80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16,230,139.07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358,312,958.06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386,751,349.33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77,841.74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84,543,742.38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3,823,542.97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1,373,771,906.50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1,329,924,088.30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150,774,906.40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20,225,920.00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8,866,860.76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11,893,004.69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194,066,073.15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195,481,450.22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740,547.46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44,558,955.98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47,103,932.60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6,224,135.44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6,224,135.44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20,659,060.00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13,695,041.57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35,520,071.51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29,582,867.36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776,275.03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5,302,632.58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461,446,338.27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330,249,531.92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1,835,218,244.77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1,660,173,620.22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150,993,361.82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112,835,904.06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256,914,216.78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156,876,657.54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44,776,183.72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58,898,683.30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56,719,078.31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53,550,441.64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15,145,530.91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22,520,349.70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111,166.67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52,368,883.37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31,432,076.49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597,007,254.91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536,225,279.40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19,870,000.00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20,301,435.96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719,088.00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26,901,435.96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20,589,088.00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623,908,690.87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556,814,367.40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412,857,560.19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415,473,632.74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115,041,470.44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4,074,832.00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62,426,948.52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55,974,262.79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206,317,721.77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203,075,186.92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1,226,699,700.92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1,108,653,914.45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-15,390,147.02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-5,294,661.63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1,211,309,553.90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1,103,359,252.82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1,835,218,244.77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1,660,173,620.22</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63"/>
      <w:bookmarkEnd w:id="163"/>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344,261,401.61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347,003,997.82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2,257,750.00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493,549,156.86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445,682,887.49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15,447,218.04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75,687,926.50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174,991,190.10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155,995,675.95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330,875,517.86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371,873,392.36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77,841.74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82,646,773.44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2,817,037.18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1,442,249,099.65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1,401,318,667.30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150,374,906.40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19,825,920.00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172,685,273.05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178,727,332.81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184,374,351.43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183,705,154.21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43,615,701.43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45,916,994.73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12,726,801.09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4,657,340.68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35,390,586.42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29,481,899.00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776,275.03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5,302,632.58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599,943,894.85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467,617,274.01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2,042,192,994.50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1,868,935,941.31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150,993,361.82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112,835,904.06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277,541,874.10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180,700,900.44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39,384,994.23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56,543,780.82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42,309,605.59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39,908,255.30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8,567,660.79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20,680,217.14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111,166.67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31,800,091.08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56,094,473.67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570,687,587.61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566,874,698.10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17,430,000.00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20,301,435.96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719,088.00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25,001,435.96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18,149,088.00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595,689,023.57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585,023,786.10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403,997,757.24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403,997,757.24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115,041,470.44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4,074,832.00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62,426,948.52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55,974,262.79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434,981,794.73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389,809,303.18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1,446,503,970.93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1,283,912,155.21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2,042,192,994.50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1,868,935,941.31</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合并利润表" w:id="164"/>
      <w:bookmarkEnd w:id="164"/>
      <w:r>
        <w:rPr>
          <w:b w:val="0"/>
          <w:bCs w:val="0"/>
        </w:rPr>
      </w:r>
      <w:r>
        <w:rPr>
          <w:rFonts w:ascii="宋体" w:hAnsi="宋体" w:cs="宋体" w:eastAsia="宋体" w:hint="default"/>
        </w:rPr>
        <w:t>3</w:t>
      </w:r>
      <w:r>
        <w:rPr/>
        <w:t>、合并利润表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1,936,070,390.59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1,627,326,894.26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1,936,070,390.59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1,627,326,894.26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1,964,923,685.45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1,624,008,893.26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1,460,387,870.67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1,161,541,999.30</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12,476,680.81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11,512,371.06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217,095,916.86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189,892,538.10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228,823,092.47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228,791,622.25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5,803,223.98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9,356,441.49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40,336,900.66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22,913,921.06</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-1,490,877.49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-3,819,886.44</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-3,272,957.49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-4,497,646.44</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1,467,762.19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852,083.15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52,066,175.13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23,189,764.97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350,197.71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412,461.49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20,685,286.16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305,687.44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552,702.96</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23,296,539.02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20,482,780.91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11,821,196.38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15,959,474.89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11,475,342.64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4,523,306.02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11,475,342.64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4,523,306.02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22,596,900.58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19,849,784.44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-11,121,557.94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-15,326,478.42</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110,966,638.44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-1,112,616.00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110,966,638.44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-1,112,616.00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 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 分类进损益的其他综合收益中享有的 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110,966,638.44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-1,112,616.00</w:t>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 重分类进损益的其他综合收益中享有 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 动损益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110,966,638.44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-1,112,616.00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 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122,441,981.08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3,410,690.02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133,563,539.02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18,737,168.44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-11,121,557.94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-15,326,478.42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0.0525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0.0462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0.0525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0.0462</w:t>
            </w:r>
          </w:p>
        </w:tc>
      </w:tr>
    </w:tbl>
    <w:p>
      <w:pPr>
        <w:spacing w:line="240" w:lineRule="auto" w:before="7"/>
        <w:rPr>
          <w:rFonts w:ascii="Times New Roman" w:hAnsi="Times New Roman" w:cs="Times New Roman" w:eastAsia="Times New Roman" w:hint="default"/>
          <w:sz w:val="7"/>
          <w:szCs w:val="7"/>
        </w:rPr>
      </w:pPr>
    </w:p>
    <w:p>
      <w:pPr>
        <w:pStyle w:val="BodyText"/>
        <w:tabs>
          <w:tab w:pos="4644" w:val="left" w:leader="none"/>
          <w:tab w:pos="8695" w:val="left" w:leader="none"/>
        </w:tabs>
        <w:spacing w:line="240" w:lineRule="auto" w:before="44"/>
        <w:ind w:right="0"/>
        <w:jc w:val="left"/>
      </w:pPr>
      <w:r>
        <w:rPr/>
        <w:t>法定代表人：张新访</w:t>
        <w:tab/>
        <w:t>主管会计工作负责人：孙静</w:t>
        <w:tab/>
        <w:t>会计机构负责人：张艳菊</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5"/>
        <w:ind w:left="1133" w:right="0"/>
        <w:jc w:val="left"/>
        <w:rPr>
          <w:b w:val="0"/>
          <w:bCs w:val="0"/>
        </w:rPr>
      </w:pPr>
      <w:bookmarkStart w:name="4、母公司利润表" w:id="165"/>
      <w:bookmarkEnd w:id="165"/>
      <w:r>
        <w:rPr>
          <w:b w:val="0"/>
          <w:bCs w:val="0"/>
        </w:rPr>
      </w:r>
      <w:r>
        <w:rPr>
          <w:rFonts w:ascii="宋体" w:hAnsi="宋体" w:cs="宋体" w:eastAsia="宋体" w:hint="default"/>
        </w:rPr>
        <w:t>4</w:t>
      </w:r>
      <w:r>
        <w:rPr/>
        <w:t>、母公司利润表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1081"/>
        <w:gridCol w:w="2219"/>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6" w:right="0"/>
              <w:jc w:val="left"/>
              <w:rPr>
                <w:rFonts w:ascii="宋体" w:hAnsi="宋体" w:cs="宋体" w:eastAsia="宋体" w:hint="default"/>
                <w:sz w:val="18"/>
                <w:szCs w:val="18"/>
              </w:rPr>
            </w:pPr>
            <w:r>
              <w:rPr>
                <w:rFonts w:ascii="宋体"/>
                <w:sz w:val="18"/>
              </w:rPr>
              <w:t>1,834,965,339.95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1,549,861,145.12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6" w:right="0"/>
              <w:jc w:val="left"/>
              <w:rPr>
                <w:rFonts w:ascii="宋体" w:hAnsi="宋体" w:cs="宋体" w:eastAsia="宋体" w:hint="default"/>
                <w:sz w:val="18"/>
                <w:szCs w:val="18"/>
              </w:rPr>
            </w:pPr>
            <w:r>
              <w:rPr>
                <w:rFonts w:ascii="宋体"/>
                <w:sz w:val="18"/>
              </w:rPr>
              <w:t>1,461,294,837.42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1,158,577,051.14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11,402,637.77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10,923,190.39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139,061,216.61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114,518,702.71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152,864,363.63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152,380,997.46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881,559.71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9,132,257.08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38,558,813.54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22,589,755.99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-4,514,193.80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-5,749,823.28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-3,267,731.64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-5,827,583.28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35"/>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6" w:right="0"/>
              <w:jc w:val="left"/>
              <w:rPr>
                <w:rFonts w:ascii="宋体" w:hAnsi="宋体" w:cs="宋体" w:eastAsia="宋体" w:hint="default"/>
                <w:sz w:val="18"/>
                <w:szCs w:val="18"/>
              </w:rPr>
            </w:pPr>
            <w:r>
              <w:rPr>
                <w:rFonts w:ascii="宋体"/>
                <w:sz w:val="18"/>
              </w:rPr>
              <w:t>1,471,396.71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1,665,656.55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47,595,419.32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75,454,533.50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77,655,023.62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101,045.52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17,255,282.86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279,645.35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499,616.30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75,275,933.67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94,410,690.18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10,749,076.39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15,098,449.41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79,312,240.77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64,526,857.28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79,312,240.77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110,966,638.44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-1,112,616.00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 或净资产的变动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102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 分类进损益的其他综合收益中享有的 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110,966,638.44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-1,112,616.00</w:t>
            </w: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 重分类进损益的其他综合收益中享有 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 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110,966,638.44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-1,112,616.00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 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175,493,495.72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78,199,624.77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0.1844</w:t>
            </w:r>
          </w:p>
        </w:tc>
      </w:tr>
    </w:tbl>
    <w:p>
      <w:pPr>
        <w:spacing w:line="240" w:lineRule="auto" w:before="9"/>
        <w:rPr>
          <w:rFonts w:ascii="宋体" w:hAnsi="宋体" w:cs="宋体" w:eastAsia="宋体" w:hint="default"/>
          <w:sz w:val="6"/>
          <w:szCs w:val="6"/>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合并现金流量表" w:id="166"/>
      <w:bookmarkEnd w:id="166"/>
      <w:r>
        <w:rPr>
          <w:b w:val="0"/>
          <w:bCs w:val="0"/>
        </w:rPr>
      </w:r>
      <w:r>
        <w:rPr>
          <w:rFonts w:ascii="宋体" w:hAnsi="宋体" w:cs="宋体" w:eastAsia="宋体" w:hint="default"/>
        </w:rPr>
        <w:t>5</w:t>
      </w:r>
      <w:r>
        <w:rPr/>
        <w:t>、合并现金流量表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76"/>
        <w:gridCol w:w="3176"/>
        <w:gridCol w:w="3176"/>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1" w:right="0"/>
              <w:jc w:val="left"/>
              <w:rPr>
                <w:rFonts w:ascii="宋体" w:hAnsi="宋体" w:cs="宋体" w:eastAsia="宋体" w:hint="default"/>
                <w:sz w:val="18"/>
                <w:szCs w:val="18"/>
              </w:rPr>
            </w:pPr>
            <w:r>
              <w:rPr>
                <w:rFonts w:ascii="宋体"/>
                <w:sz w:val="18"/>
              </w:rPr>
              <w:t>2,019,127,863.15</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2" w:right="0"/>
              <w:jc w:val="left"/>
              <w:rPr>
                <w:rFonts w:ascii="宋体" w:hAnsi="宋体" w:cs="宋体" w:eastAsia="宋体" w:hint="default"/>
                <w:sz w:val="18"/>
                <w:szCs w:val="18"/>
              </w:rPr>
            </w:pPr>
            <w:r>
              <w:rPr>
                <w:rFonts w:ascii="宋体"/>
                <w:sz w:val="18"/>
              </w:rPr>
              <w:t>1,921,058,030.76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76"/>
        <w:gridCol w:w="3176"/>
        <w:gridCol w:w="3176"/>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45,239,027.51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14,659,621.40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56,463,428.52</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29,672,169.62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2,120,830,319.18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1,965,389,821.78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1,228,421,657.14</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1,250,139,082.88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330,990,827.70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324,605,123.53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124,784,855.21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125,370,275.04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250,285,611.75</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184,686,387.89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1,934,482,951.80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1,884,800,869.34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186,347,367.38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80,588,952.44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1,782,080.00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677,760.00</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1,856,547.29</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86,391.87</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3,638,627.29</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764,151.87</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43,666,857.86</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38,640,259.07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80,250,000.00</w:t>
            </w: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1,741,321.59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123,916,857.86</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40,381,580.66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-120,278,230.57</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-39,617,428.79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76"/>
        <w:gridCol w:w="3176"/>
        <w:gridCol w:w="3176"/>
      </w:tblGrid>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 到的现金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554,587,676.00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554,587,676.00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572,429,929.39</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21,589,470.41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29,077,791.39</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1,590,000.00</w:t>
            </w: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463,179,470.41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601,507,720.78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-83,179,470.41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-46,920,044.78</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 响</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-841,908.90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-1,948,893.67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-17,952,242.50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-7,897,414.80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383,859,935.15</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391,757,349.95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365,907,692.65</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383,859,935.15</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6、母公司现金流量表" w:id="167"/>
      <w:bookmarkEnd w:id="167"/>
      <w:r>
        <w:rPr>
          <w:b w:val="0"/>
          <w:bCs w:val="0"/>
        </w:rPr>
      </w:r>
      <w:r>
        <w:rPr>
          <w:rFonts w:ascii="宋体" w:hAnsi="宋体" w:cs="宋体" w:eastAsia="宋体" w:hint="default"/>
        </w:rPr>
        <w:t>6</w:t>
      </w:r>
      <w:r>
        <w:rPr/>
        <w:t>、母公司现金流量表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76"/>
        <w:gridCol w:w="3176"/>
        <w:gridCol w:w="3176"/>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1,911,413,041.73</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1,826,139,722.66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45,176,891.27</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14,586,493.09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85,625,773.08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26,821,402.09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2,042,215,706.08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1,867,547,617.84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1,251,916,397.50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1,279,175,360.58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196,796,178.87</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202,270,492.29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118,616,712.09</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118,759,263.16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270,839,261.88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207,731,547.92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1,838,168,550.34</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1,807,936,663.95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204,047,155.74</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59,610,953.89</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76"/>
        <w:gridCol w:w="3176"/>
        <w:gridCol w:w="3176"/>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1,445,785.96</w:t>
            </w: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82,080.00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77,760.00</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1,634,696.60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35,741.02</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3,162,562.56</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113,501.02</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39,001,122.94</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24,485,567.72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3,500,000.00</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119,001,122.94</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27,985,567.72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-115,838,560.38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-27,872,066.70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554,587,676.00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554,587,676.00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440,000,000.00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572,429,929.39</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21,589,470.41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29,077,791.39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7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461,589,470.41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601,507,720.78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-101,589,470.41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-46,920,044.78</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 响</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-841,908.90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-1,948,893.67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-14,222,783.95</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-17,130,051.26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339,674,106.70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356,804,157.96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325,451,322.75</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339,674,106.70</w:t>
            </w:r>
          </w:p>
        </w:tc>
      </w:tr>
    </w:tbl>
    <w:p>
      <w:pPr>
        <w:spacing w:line="240" w:lineRule="auto" w:before="9"/>
        <w:rPr>
          <w:rFonts w:ascii="宋体" w:hAnsi="宋体" w:cs="宋体" w:eastAsia="宋体" w:hint="default"/>
          <w:sz w:val="6"/>
          <w:szCs w:val="6"/>
        </w:rPr>
      </w:pPr>
    </w:p>
    <w:p>
      <w:pPr>
        <w:pStyle w:val="BodyText"/>
        <w:tabs>
          <w:tab w:pos="4644" w:val="left" w:leader="none"/>
          <w:tab w:pos="8695" w:val="left" w:leader="none"/>
        </w:tabs>
        <w:spacing w:line="240" w:lineRule="auto" w:before="44"/>
        <w:ind w:right="0"/>
        <w:jc w:val="left"/>
      </w:pPr>
      <w:r>
        <w:rPr/>
        <w:t>法定代表人：张新访</w:t>
        <w:tab/>
        <w:t>主管会计工作负责人：孙静</w:t>
        <w:tab/>
        <w:t>会计机构负责人：张艳菊</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680" w:right="0"/>
        <w:jc w:val="left"/>
        <w:rPr>
          <w:b w:val="0"/>
          <w:bCs w:val="0"/>
        </w:rPr>
      </w:pPr>
      <w:bookmarkStart w:name="7、合并所有者权益变动表" w:id="168"/>
      <w:bookmarkEnd w:id="168"/>
      <w:r>
        <w:rPr>
          <w:b w:val="0"/>
          <w:bCs w:val="0"/>
        </w:rPr>
      </w:r>
      <w:r>
        <w:rPr>
          <w:rFonts w:ascii="宋体" w:hAnsi="宋体" w:cs="宋体" w:eastAsia="宋体" w:hint="default"/>
        </w:rPr>
        <w:t>7</w:t>
      </w:r>
      <w:r>
        <w:rPr/>
        <w:t>、合并所有者权益变动表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680" w:right="0"/>
        <w:jc w:val="left"/>
      </w:pPr>
      <w:r>
        <w:rPr/>
        <w:t>本期金额</w:t>
      </w:r>
    </w:p>
    <w:p>
      <w:pPr>
        <w:pStyle w:val="BodyText"/>
        <w:spacing w:line="240" w:lineRule="auto" w:before="116"/>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972"/>
        <w:gridCol w:w="1328"/>
        <w:gridCol w:w="420"/>
        <w:gridCol w:w="275"/>
        <w:gridCol w:w="160"/>
        <w:gridCol w:w="378"/>
        <w:gridCol w:w="1328"/>
        <w:gridCol w:w="462"/>
        <w:gridCol w:w="1344"/>
        <w:gridCol w:w="407"/>
        <w:gridCol w:w="1273"/>
        <w:gridCol w:w="420"/>
        <w:gridCol w:w="1420"/>
        <w:gridCol w:w="1336"/>
        <w:gridCol w:w="1559"/>
      </w:tblGrid>
      <w:tr>
        <w:trPr>
          <w:trHeight w:val="402" w:hRule="exact"/>
        </w:trPr>
        <w:tc>
          <w:tcPr>
            <w:tcW w:w="2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0"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972" w:type="dxa"/>
            <w:vMerge/>
            <w:tcBorders>
              <w:left w:val="single" w:sz="4" w:space="0" w:color="000000"/>
              <w:right w:val="single" w:sz="4" w:space="0" w:color="000000"/>
            </w:tcBorders>
          </w:tcPr>
          <w:p>
            <w:pPr/>
          </w:p>
        </w:tc>
        <w:tc>
          <w:tcPr>
            <w:tcW w:w="921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2972" w:type="dxa"/>
            <w:vMerge/>
            <w:tcBorders>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1" w:right="71"/>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8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5" w:right="4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07" w:type="dxa"/>
            <w:vMerge w:val="restart"/>
            <w:tcBorders>
              <w:top w:val="single" w:sz="4" w:space="0" w:color="000000"/>
              <w:left w:val="single" w:sz="4" w:space="0" w:color="000000"/>
              <w:right w:val="single" w:sz="4" w:space="0" w:color="000000"/>
            </w:tcBorders>
          </w:tcPr>
          <w:p>
            <w:pPr>
              <w:pStyle w:val="TableParagraph"/>
              <w:spacing w:line="319" w:lineRule="auto" w:before="97"/>
              <w:ind w:left="107" w:right="10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4"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36"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714" w:hRule="exact"/>
        </w:trPr>
        <w:tc>
          <w:tcPr>
            <w:tcW w:w="2972"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3" w:right="2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21" w:right="3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3" w:right="92"/>
              <w:jc w:val="left"/>
              <w:rPr>
                <w:rFonts w:ascii="宋体" w:hAnsi="宋体" w:cs="宋体" w:eastAsia="宋体" w:hint="default"/>
                <w:sz w:val="18"/>
                <w:szCs w:val="18"/>
              </w:rPr>
            </w:pPr>
            <w:r>
              <w:rPr>
                <w:rFonts w:ascii="宋体" w:hAnsi="宋体" w:cs="宋体" w:eastAsia="宋体" w:hint="default"/>
                <w:sz w:val="18"/>
                <w:szCs w:val="18"/>
              </w:rPr>
              <w:t>其 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407"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336"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415,473,632.74</w:t>
            </w: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4,074,832.00</w:t>
            </w: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55,974,262.79</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203,075,186.92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-5,294,661.63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1,103,359,252.82</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415,473,632.74</w:t>
            </w: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4,074,832.00</w:t>
            </w: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55,974,262.79</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203,075,186.92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-5,294,661.63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1,103,359,252.82</w:t>
            </w:r>
          </w:p>
        </w:tc>
      </w:tr>
      <w:tr>
        <w:trPr>
          <w:trHeight w:val="71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号填列）</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18"/>
                <w:szCs w:val="18"/>
              </w:rPr>
            </w:pPr>
            <w:r>
              <w:rPr>
                <w:rFonts w:ascii="宋体"/>
                <w:sz w:val="18"/>
              </w:rPr>
              <w:t>-2,616,072.55</w:t>
            </w: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110,966,638.44</w:t>
            </w: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6,452,685.73</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3,242,534.85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-10,095,485.39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107,950,301.08</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110,966,638.44</w:t>
            </w: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22,596,900.58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-11,121,557.94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122,441,981.08</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gridSpan w:val="2"/>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67" w:footer="979" w:top="1060" w:bottom="1160" w:left="760" w:right="0"/>
          <w:pgNumType w:start="75"/>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972"/>
        <w:gridCol w:w="1328"/>
        <w:gridCol w:w="420"/>
        <w:gridCol w:w="434"/>
        <w:gridCol w:w="378"/>
        <w:gridCol w:w="1328"/>
        <w:gridCol w:w="462"/>
        <w:gridCol w:w="1344"/>
        <w:gridCol w:w="407"/>
        <w:gridCol w:w="1273"/>
        <w:gridCol w:w="420"/>
        <w:gridCol w:w="1420"/>
        <w:gridCol w:w="1336"/>
        <w:gridCol w:w="1559"/>
      </w:tblGrid>
      <w:tr>
        <w:trPr>
          <w:trHeight w:val="416" w:hRule="exact"/>
        </w:trPr>
        <w:tc>
          <w:tcPr>
            <w:tcW w:w="29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378" w:type="dxa"/>
            <w:tcBorders>
              <w:top w:val="single" w:sz="15" w:space="0" w:color="000000"/>
              <w:left w:val="single" w:sz="4" w:space="0" w:color="000000"/>
              <w:bottom w:val="single" w:sz="4" w:space="0" w:color="000000"/>
              <w:right w:val="single" w:sz="4" w:space="0" w:color="000000"/>
            </w:tcBorders>
          </w:tcPr>
          <w:p>
            <w:pPr/>
          </w:p>
        </w:tc>
        <w:tc>
          <w:tcPr>
            <w:tcW w:w="1328" w:type="dxa"/>
            <w:tcBorders>
              <w:top w:val="single" w:sz="15" w:space="0" w:color="000000"/>
              <w:left w:val="single" w:sz="4" w:space="0" w:color="000000"/>
              <w:bottom w:val="single" w:sz="4" w:space="0" w:color="000000"/>
              <w:right w:val="single" w:sz="4" w:space="0" w:color="000000"/>
            </w:tcBorders>
          </w:tcPr>
          <w:p>
            <w:pPr/>
          </w:p>
        </w:tc>
        <w:tc>
          <w:tcPr>
            <w:tcW w:w="462" w:type="dxa"/>
            <w:tcBorders>
              <w:top w:val="single" w:sz="15" w:space="0" w:color="000000"/>
              <w:left w:val="single" w:sz="4" w:space="0" w:color="000000"/>
              <w:bottom w:val="single" w:sz="4" w:space="0" w:color="000000"/>
              <w:right w:val="single" w:sz="4" w:space="0" w:color="000000"/>
            </w:tcBorders>
          </w:tcPr>
          <w:p>
            <w:pPr/>
          </w:p>
        </w:tc>
        <w:tc>
          <w:tcPr>
            <w:tcW w:w="1344" w:type="dxa"/>
            <w:tcBorders>
              <w:top w:val="single" w:sz="15" w:space="0" w:color="000000"/>
              <w:left w:val="single" w:sz="4" w:space="0" w:color="000000"/>
              <w:bottom w:val="single" w:sz="4" w:space="0" w:color="000000"/>
              <w:right w:val="single" w:sz="4" w:space="0" w:color="000000"/>
            </w:tcBorders>
          </w:tcPr>
          <w:p>
            <w:pPr/>
          </w:p>
        </w:tc>
        <w:tc>
          <w:tcPr>
            <w:tcW w:w="407" w:type="dxa"/>
            <w:tcBorders>
              <w:top w:val="single" w:sz="15" w:space="0" w:color="000000"/>
              <w:left w:val="single" w:sz="4" w:space="0" w:color="000000"/>
              <w:bottom w:val="single" w:sz="4" w:space="0" w:color="000000"/>
              <w:right w:val="single" w:sz="4" w:space="0" w:color="000000"/>
            </w:tcBorders>
          </w:tcPr>
          <w:p>
            <w:pPr/>
          </w:p>
        </w:tc>
        <w:tc>
          <w:tcPr>
            <w:tcW w:w="12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6,452,685.73</w:t>
            </w:r>
          </w:p>
        </w:tc>
        <w:tc>
          <w:tcPr>
            <w:tcW w:w="420" w:type="dxa"/>
            <w:tcBorders>
              <w:top w:val="single" w:sz="15" w:space="0" w:color="000000"/>
              <w:left w:val="single" w:sz="4" w:space="0" w:color="000000"/>
              <w:bottom w:val="single" w:sz="4" w:space="0" w:color="000000"/>
              <w:right w:val="single" w:sz="4" w:space="0" w:color="000000"/>
            </w:tcBorders>
          </w:tcPr>
          <w:p>
            <w:pPr/>
          </w:p>
        </w:tc>
        <w:tc>
          <w:tcPr>
            <w:tcW w:w="14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-19,354,365.73</w:t>
            </w:r>
          </w:p>
        </w:tc>
        <w:tc>
          <w:tcPr>
            <w:tcW w:w="133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-12,901,680.00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6,452,685.73</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-12,901,680.00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-12,901,680.00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-2,616,072.55</w:t>
            </w: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1,026,072.55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-1,590,000.00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412,857,560.19</w:t>
            </w:r>
          </w:p>
        </w:tc>
        <w:tc>
          <w:tcPr>
            <w:tcW w:w="4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115,041,470.44</w:t>
            </w:r>
          </w:p>
        </w:tc>
        <w:tc>
          <w:tcPr>
            <w:tcW w:w="40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62,426,948.52</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206,317,721.77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-15,390,147.02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1,211,309,553.90</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760" w:right="0"/>
        </w:sectPr>
      </w:pPr>
    </w:p>
    <w:p>
      <w:pPr>
        <w:spacing w:line="240" w:lineRule="auto" w:before="4"/>
        <w:rPr>
          <w:rFonts w:ascii="Times New Roman" w:hAnsi="Times New Roman" w:cs="Times New Roman" w:eastAsia="Times New Roman" w:hint="default"/>
          <w:sz w:val="3"/>
          <w:szCs w:val="3"/>
        </w:rPr>
      </w:pPr>
    </w:p>
    <w:p>
      <w:pPr>
        <w:spacing w:line="20" w:lineRule="exact"/>
        <w:ind w:left="6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0"/>
        <w:ind w:left="660" w:right="0"/>
        <w:jc w:val="left"/>
      </w:pPr>
      <w:r>
        <w:rPr/>
        <w:t>上期金额</w:t>
      </w:r>
    </w:p>
    <w:p>
      <w:pPr>
        <w:pStyle w:val="BodyText"/>
        <w:spacing w:line="240" w:lineRule="auto" w:before="117"/>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56"/>
        <w:gridCol w:w="1328"/>
        <w:gridCol w:w="420"/>
        <w:gridCol w:w="434"/>
        <w:gridCol w:w="370"/>
        <w:gridCol w:w="1337"/>
        <w:gridCol w:w="588"/>
        <w:gridCol w:w="1193"/>
        <w:gridCol w:w="426"/>
        <w:gridCol w:w="1276"/>
        <w:gridCol w:w="425"/>
        <w:gridCol w:w="1418"/>
        <w:gridCol w:w="1322"/>
        <w:gridCol w:w="1559"/>
      </w:tblGrid>
      <w:tr>
        <w:trPr>
          <w:trHeight w:val="402" w:hRule="exact"/>
        </w:trPr>
        <w:tc>
          <w:tcPr>
            <w:tcW w:w="2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956" w:type="dxa"/>
            <w:vMerge/>
            <w:tcBorders>
              <w:left w:val="single" w:sz="4" w:space="0" w:color="000000"/>
              <w:right w:val="single" w:sz="4" w:space="0" w:color="000000"/>
            </w:tcBorders>
          </w:tcPr>
          <w:p>
            <w:pPr/>
          </w:p>
        </w:tc>
        <w:tc>
          <w:tcPr>
            <w:tcW w:w="921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1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956" w:type="dxa"/>
            <w:vMerge/>
            <w:tcBorders>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7" w:right="22" w:hanging="86"/>
              <w:jc w:val="left"/>
              <w:rPr>
                <w:rFonts w:ascii="宋体" w:hAnsi="宋体" w:cs="宋体" w:eastAsia="宋体" w:hint="default"/>
                <w:sz w:val="18"/>
                <w:szCs w:val="18"/>
              </w:rPr>
            </w:pPr>
            <w:r>
              <w:rPr>
                <w:rFonts w:ascii="宋体" w:hAnsi="宋体" w:cs="宋体" w:eastAsia="宋体" w:hint="default"/>
                <w:spacing w:val="-3"/>
                <w:sz w:val="18"/>
                <w:szCs w:val="18"/>
              </w:rPr>
              <w:t>减：库</w:t>
            </w:r>
            <w:r>
              <w:rPr>
                <w:rFonts w:ascii="宋体" w:hAnsi="宋体" w:cs="宋体" w:eastAsia="宋体" w:hint="default"/>
                <w:sz w:val="18"/>
                <w:szCs w:val="18"/>
              </w:rPr>
              <w:t> 存股</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316" w:lineRule="auto" w:before="97"/>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2"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714" w:hRule="exact"/>
        </w:trPr>
        <w:tc>
          <w:tcPr>
            <w:tcW w:w="2956"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3" w:right="2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1" w:right="3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0"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1337"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415,687,239.48</w:t>
            </w: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5,187,448.00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48,043,038.71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6,190,418.61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1,117,823,571.36</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415,687,239.48</w:t>
            </w: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5,187,448.00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48,043,038.71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6,190,418.61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1,117,823,571.36</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号填列）</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-213,606.74</w:t>
            </w: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-1,112,616.0</w:t>
            </w:r>
          </w:p>
          <w:p>
            <w:pPr>
              <w:pStyle w:val="TableParagraph"/>
              <w:spacing w:line="240" w:lineRule="auto" w:before="77"/>
              <w:ind w:right="19"/>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7,931,224.08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-9,584,239.64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-11,485,080.24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-14,464,318.54</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-1,112,616.0</w:t>
            </w:r>
          </w:p>
          <w:p>
            <w:pPr>
              <w:pStyle w:val="TableParagraph"/>
              <w:spacing w:line="240" w:lineRule="auto" w:before="77"/>
              <w:ind w:right="19"/>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19,849,784.44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-15,326,478.42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3,410,690.02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3,627,791.44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3,627,791.44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3,627,791.44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3,627,791.44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7,931,224.08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-29,434,024.08</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7,931,224.08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-7,931,224.08</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7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56"/>
        <w:gridCol w:w="1328"/>
        <w:gridCol w:w="420"/>
        <w:gridCol w:w="434"/>
        <w:gridCol w:w="370"/>
        <w:gridCol w:w="1337"/>
        <w:gridCol w:w="588"/>
        <w:gridCol w:w="1193"/>
        <w:gridCol w:w="426"/>
        <w:gridCol w:w="1276"/>
        <w:gridCol w:w="425"/>
        <w:gridCol w:w="1418"/>
        <w:gridCol w:w="1322"/>
        <w:gridCol w:w="1559"/>
      </w:tblGrid>
      <w:tr>
        <w:trPr>
          <w:trHeight w:val="416" w:hRule="exact"/>
        </w:trPr>
        <w:tc>
          <w:tcPr>
            <w:tcW w:w="29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28"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370" w:type="dxa"/>
            <w:tcBorders>
              <w:top w:val="single" w:sz="15" w:space="0" w:color="000000"/>
              <w:left w:val="single" w:sz="4" w:space="0" w:color="000000"/>
              <w:bottom w:val="single" w:sz="4" w:space="0" w:color="000000"/>
              <w:right w:val="single" w:sz="4" w:space="0" w:color="000000"/>
            </w:tcBorders>
          </w:tcPr>
          <w:p>
            <w:pPr/>
          </w:p>
        </w:tc>
        <w:tc>
          <w:tcPr>
            <w:tcW w:w="1337" w:type="dxa"/>
            <w:tcBorders>
              <w:top w:val="single" w:sz="15" w:space="0" w:color="000000"/>
              <w:left w:val="single" w:sz="4" w:space="0" w:color="000000"/>
              <w:bottom w:val="single" w:sz="4" w:space="0" w:color="000000"/>
              <w:right w:val="single" w:sz="4" w:space="0" w:color="000000"/>
            </w:tcBorders>
          </w:tcPr>
          <w:p>
            <w:pPr/>
          </w:p>
        </w:tc>
        <w:tc>
          <w:tcPr>
            <w:tcW w:w="588" w:type="dxa"/>
            <w:tcBorders>
              <w:top w:val="single" w:sz="15" w:space="0" w:color="000000"/>
              <w:left w:val="single" w:sz="4" w:space="0" w:color="000000"/>
              <w:bottom w:val="single" w:sz="4" w:space="0" w:color="000000"/>
              <w:right w:val="single" w:sz="4" w:space="0" w:color="000000"/>
            </w:tcBorders>
          </w:tcPr>
          <w:p>
            <w:pPr/>
          </w:p>
        </w:tc>
        <w:tc>
          <w:tcPr>
            <w:tcW w:w="1193"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322"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-213,606.74</w:t>
            </w: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213,606.74</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415,473,632.74</w:t>
            </w:r>
          </w:p>
        </w:tc>
        <w:tc>
          <w:tcPr>
            <w:tcW w:w="5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4,074,832.00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55,974,262.79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203,075,186.92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-5,294,661.63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1,103,359,252.82</w:t>
            </w:r>
          </w:p>
        </w:tc>
      </w:tr>
    </w:tbl>
    <w:p>
      <w:pPr>
        <w:spacing w:line="240" w:lineRule="auto" w:before="9"/>
        <w:rPr>
          <w:rFonts w:ascii="宋体" w:hAnsi="宋体" w:cs="宋体" w:eastAsia="宋体" w:hint="default"/>
          <w:sz w:val="6"/>
          <w:szCs w:val="6"/>
        </w:rPr>
      </w:pPr>
    </w:p>
    <w:p>
      <w:pPr>
        <w:pStyle w:val="BodyText"/>
        <w:tabs>
          <w:tab w:pos="6302" w:val="left" w:leader="none"/>
          <w:tab w:pos="12665" w:val="left" w:leader="none"/>
        </w:tabs>
        <w:spacing w:line="240" w:lineRule="auto" w:before="44"/>
        <w:ind w:left="660" w:right="0"/>
        <w:jc w:val="left"/>
      </w:pPr>
      <w:r>
        <w:rPr>
          <w:spacing w:val="-4"/>
        </w:rPr>
        <w:t>法定代表人：张新访</w:t>
        <w:tab/>
      </w:r>
      <w:r>
        <w:rPr>
          <w:spacing w:val="-3"/>
        </w:rPr>
        <w:t>主管会计工作负责人：孙静</w:t>
        <w:tab/>
        <w:t>会计机构负责人：张艳菊</w:t>
      </w:r>
    </w:p>
    <w:p>
      <w:pPr>
        <w:spacing w:after="0" w:line="240" w:lineRule="auto"/>
        <w:jc w:val="left"/>
        <w:sectPr>
          <w:pgSz w:w="16840" w:h="11910" w:orient="landscape"/>
          <w:pgMar w:header="867" w:footer="979" w:top="1060" w:bottom="1160" w:left="780" w:right="0"/>
        </w:sectPr>
      </w:pPr>
    </w:p>
    <w:p>
      <w:pPr>
        <w:spacing w:line="240" w:lineRule="auto" w:before="12"/>
        <w:rPr>
          <w:rFonts w:ascii="宋体" w:hAnsi="宋体" w:cs="宋体" w:eastAsia="宋体" w:hint="default"/>
          <w:sz w:val="2"/>
          <w:szCs w:val="2"/>
        </w:rPr>
      </w:pPr>
    </w:p>
    <w:p>
      <w:pPr>
        <w:spacing w:line="20" w:lineRule="exact"/>
        <w:ind w:left="6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640" w:right="0"/>
        <w:jc w:val="left"/>
        <w:rPr>
          <w:b w:val="0"/>
          <w:bCs w:val="0"/>
        </w:rPr>
      </w:pPr>
      <w:bookmarkStart w:name="8、母公司所有者权益变动表" w:id="169"/>
      <w:bookmarkEnd w:id="169"/>
      <w:r>
        <w:rPr>
          <w:b w:val="0"/>
          <w:bCs w:val="0"/>
        </w:rPr>
      </w:r>
      <w:r>
        <w:rPr>
          <w:rFonts w:ascii="宋体" w:hAnsi="宋体" w:cs="宋体" w:eastAsia="宋体" w:hint="default"/>
        </w:rPr>
        <w:t>8</w:t>
      </w:r>
      <w:r>
        <w:rPr/>
        <w:t>、母公司所有者权益变动表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640" w:right="0"/>
        <w:jc w:val="left"/>
      </w:pPr>
      <w:r>
        <w:rPr/>
        <w:t>本期金额</w:t>
      </w:r>
    </w:p>
    <w:p>
      <w:pPr>
        <w:pStyle w:val="BodyText"/>
        <w:spacing w:line="240" w:lineRule="auto" w:before="116"/>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942"/>
        <w:gridCol w:w="1328"/>
        <w:gridCol w:w="658"/>
        <w:gridCol w:w="708"/>
        <w:gridCol w:w="566"/>
        <w:gridCol w:w="1419"/>
        <w:gridCol w:w="850"/>
        <w:gridCol w:w="1418"/>
        <w:gridCol w:w="828"/>
        <w:gridCol w:w="1327"/>
        <w:gridCol w:w="1419"/>
        <w:gridCol w:w="1559"/>
      </w:tblGrid>
      <w:tr>
        <w:trPr>
          <w:trHeight w:val="402" w:hRule="exact"/>
        </w:trPr>
        <w:tc>
          <w:tcPr>
            <w:tcW w:w="2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942" w:type="dxa"/>
            <w:vMerge/>
            <w:tcBorders>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val="restart"/>
            <w:tcBorders>
              <w:top w:val="single" w:sz="4" w:space="0" w:color="000000"/>
              <w:left w:val="single" w:sz="4" w:space="0" w:color="000000"/>
              <w:right w:val="single" w:sz="4" w:space="0" w:color="000000"/>
            </w:tcBorders>
          </w:tcPr>
          <w:p>
            <w:pPr>
              <w:pStyle w:val="TableParagraph"/>
              <w:spacing w:line="319" w:lineRule="auto" w:before="97"/>
              <w:ind w:left="329"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942"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403,997,757.24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4,074,832.00</w:t>
            </w: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55,974,262.79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389,809,303.18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1,283,912,155.21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430,056,000.00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403,997,757.24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4,074,832.00</w:t>
            </w: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55,974,262.79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389,809,303.18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1,283,912,155.21</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号填列）</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110,966,638.44</w:t>
            </w: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6,452,685.73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45,172,491.55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162,591,815.72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110,966,638.44</w:t>
            </w: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64,526,857.28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175,493,495.72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6,452,685.73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-19,354,365.73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-12,901,680.00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6,452,685.73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-6,452,685.73</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-12,901,680.00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-12,901,680.00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80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2"/>
        <w:gridCol w:w="1328"/>
        <w:gridCol w:w="658"/>
        <w:gridCol w:w="708"/>
        <w:gridCol w:w="566"/>
        <w:gridCol w:w="1419"/>
        <w:gridCol w:w="850"/>
        <w:gridCol w:w="1418"/>
        <w:gridCol w:w="828"/>
        <w:gridCol w:w="1327"/>
        <w:gridCol w:w="1419"/>
        <w:gridCol w:w="1559"/>
      </w:tblGrid>
      <w:tr>
        <w:trPr>
          <w:trHeight w:val="416" w:hRule="exact"/>
        </w:trPr>
        <w:tc>
          <w:tcPr>
            <w:tcW w:w="29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15" w:space="0" w:color="000000"/>
              <w:left w:val="single" w:sz="4" w:space="0" w:color="000000"/>
              <w:bottom w:val="single" w:sz="4" w:space="0" w:color="000000"/>
              <w:right w:val="single" w:sz="4" w:space="0" w:color="000000"/>
            </w:tcBorders>
          </w:tcPr>
          <w:p>
            <w:pPr/>
          </w:p>
        </w:tc>
        <w:tc>
          <w:tcPr>
            <w:tcW w:w="65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828" w:type="dxa"/>
            <w:tcBorders>
              <w:top w:val="single" w:sz="15" w:space="0" w:color="000000"/>
              <w:left w:val="single" w:sz="4" w:space="0" w:color="000000"/>
              <w:bottom w:val="single" w:sz="4" w:space="0" w:color="000000"/>
              <w:right w:val="single" w:sz="4" w:space="0" w:color="000000"/>
            </w:tcBorders>
          </w:tcPr>
          <w:p>
            <w:pPr/>
          </w:p>
        </w:tc>
        <w:tc>
          <w:tcPr>
            <w:tcW w:w="1327"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430,056,000.00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403,997,757.24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115,041,470.44</w:t>
            </w:r>
          </w:p>
        </w:tc>
        <w:tc>
          <w:tcPr>
            <w:tcW w:w="8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62,426,948.52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sz w:val="18"/>
              </w:rPr>
              <w:t>434,981,794.73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1,446,503,970.93</w:t>
            </w:r>
          </w:p>
        </w:tc>
      </w:tr>
    </w:tbl>
    <w:p>
      <w:pPr>
        <w:spacing w:line="240" w:lineRule="auto" w:before="9"/>
        <w:rPr>
          <w:rFonts w:ascii="宋体" w:hAnsi="宋体" w:cs="宋体" w:eastAsia="宋体" w:hint="default"/>
          <w:sz w:val="6"/>
          <w:szCs w:val="6"/>
        </w:rPr>
      </w:pPr>
    </w:p>
    <w:p>
      <w:pPr>
        <w:pStyle w:val="BodyText"/>
        <w:spacing w:line="240" w:lineRule="auto" w:before="44"/>
        <w:ind w:left="640" w:right="0"/>
        <w:jc w:val="left"/>
      </w:pPr>
      <w:r>
        <w:rPr/>
        <w:t>上期金额</w:t>
      </w:r>
    </w:p>
    <w:p>
      <w:pPr>
        <w:pStyle w:val="BodyText"/>
        <w:spacing w:line="240" w:lineRule="auto" w:before="117"/>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271" w:type="dxa"/>
        <w:tblLayout w:type="fixed"/>
        <w:tblCellMar>
          <w:top w:w="0" w:type="dxa"/>
          <w:left w:w="0" w:type="dxa"/>
          <w:bottom w:w="0" w:type="dxa"/>
          <w:right w:w="0" w:type="dxa"/>
        </w:tblCellMar>
        <w:tblLook w:val="01E0"/>
      </w:tblPr>
      <w:tblGrid>
        <w:gridCol w:w="2774"/>
        <w:gridCol w:w="1328"/>
        <w:gridCol w:w="658"/>
        <w:gridCol w:w="708"/>
        <w:gridCol w:w="566"/>
        <w:gridCol w:w="1419"/>
        <w:gridCol w:w="850"/>
        <w:gridCol w:w="1372"/>
        <w:gridCol w:w="826"/>
        <w:gridCol w:w="1273"/>
        <w:gridCol w:w="1353"/>
        <w:gridCol w:w="1560"/>
      </w:tblGrid>
      <w:tr>
        <w:trPr>
          <w:trHeight w:val="402" w:hRule="exact"/>
        </w:trPr>
        <w:tc>
          <w:tcPr>
            <w:tcW w:w="2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774" w:type="dxa"/>
            <w:vMerge/>
            <w:tcBorders>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val="restart"/>
            <w:tcBorders>
              <w:top w:val="single" w:sz="4" w:space="0" w:color="000000"/>
              <w:left w:val="single" w:sz="4" w:space="0" w:color="000000"/>
              <w:right w:val="single" w:sz="4" w:space="0" w:color="000000"/>
            </w:tcBorders>
          </w:tcPr>
          <w:p>
            <w:pPr>
              <w:pStyle w:val="TableParagraph"/>
              <w:spacing w:line="316" w:lineRule="auto" w:before="97"/>
              <w:ind w:left="329"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774"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35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5,187,448.00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48,043,038.71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339,931,086.49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1,227,215,330.44</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5,187,448.00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48,043,038.71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339,931,086.49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1,227,215,330.44</w:t>
            </w:r>
          </w:p>
        </w:tc>
      </w:tr>
      <w:tr>
        <w:trPr>
          <w:trHeight w:val="714"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16"/>
                <w:sz w:val="18"/>
                <w:szCs w:val="18"/>
              </w:rPr>
              <w:t>三、本期增减变动金额（减少以“－</w:t>
            </w:r>
            <w:r>
              <w:rPr>
                <w:rFonts w:ascii="宋体" w:hAnsi="宋体" w:cs="宋体" w:eastAsia="宋体" w:hint="default"/>
                <w:sz w:val="18"/>
                <w:szCs w:val="18"/>
              </w:rPr>
              <w:t> 号填列）</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-1,112,616.00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7,931,224.08</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49,878,216.69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56,696,824.77</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-1,112,616.00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79,312,240.77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78,199,624.77</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800" w:right="0"/>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74"/>
        <w:gridCol w:w="1328"/>
        <w:gridCol w:w="658"/>
        <w:gridCol w:w="708"/>
        <w:gridCol w:w="566"/>
        <w:gridCol w:w="1419"/>
        <w:gridCol w:w="850"/>
        <w:gridCol w:w="1372"/>
        <w:gridCol w:w="826"/>
        <w:gridCol w:w="1273"/>
        <w:gridCol w:w="1353"/>
        <w:gridCol w:w="1560"/>
      </w:tblGrid>
      <w:tr>
        <w:trPr>
          <w:trHeight w:val="416" w:hRule="exact"/>
        </w:trPr>
        <w:tc>
          <w:tcPr>
            <w:tcW w:w="27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15" w:space="0" w:color="000000"/>
              <w:left w:val="single" w:sz="4" w:space="0" w:color="000000"/>
              <w:bottom w:val="single" w:sz="4" w:space="0" w:color="000000"/>
              <w:right w:val="single" w:sz="4" w:space="0" w:color="000000"/>
            </w:tcBorders>
          </w:tcPr>
          <w:p>
            <w:pPr/>
          </w:p>
        </w:tc>
        <w:tc>
          <w:tcPr>
            <w:tcW w:w="65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372" w:type="dxa"/>
            <w:tcBorders>
              <w:top w:val="single" w:sz="15" w:space="0" w:color="000000"/>
              <w:left w:val="single" w:sz="4" w:space="0" w:color="000000"/>
              <w:bottom w:val="single" w:sz="4" w:space="0" w:color="000000"/>
              <w:right w:val="single" w:sz="4" w:space="0" w:color="000000"/>
            </w:tcBorders>
          </w:tcPr>
          <w:p>
            <w:pPr/>
          </w:p>
        </w:tc>
        <w:tc>
          <w:tcPr>
            <w:tcW w:w="826" w:type="dxa"/>
            <w:tcBorders>
              <w:top w:val="single" w:sz="15" w:space="0" w:color="000000"/>
              <w:left w:val="single" w:sz="4" w:space="0" w:color="000000"/>
              <w:bottom w:val="single" w:sz="4" w:space="0" w:color="000000"/>
              <w:right w:val="single" w:sz="4" w:space="0" w:color="000000"/>
            </w:tcBorders>
          </w:tcPr>
          <w:p>
            <w:pPr/>
          </w:p>
        </w:tc>
        <w:tc>
          <w:tcPr>
            <w:tcW w:w="1273" w:type="dxa"/>
            <w:tcBorders>
              <w:top w:val="single" w:sz="15" w:space="0" w:color="000000"/>
              <w:left w:val="single" w:sz="4" w:space="0" w:color="000000"/>
              <w:bottom w:val="single" w:sz="4" w:space="0" w:color="000000"/>
              <w:right w:val="single" w:sz="4" w:space="0" w:color="000000"/>
            </w:tcBorders>
          </w:tcPr>
          <w:p>
            <w:pPr/>
          </w:p>
        </w:tc>
        <w:tc>
          <w:tcPr>
            <w:tcW w:w="1353"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．股份支付计入所有者权益的金额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7,931,224.08</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-29,434,024.08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7,931,224.08</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-7,931,224.08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-21,502,800.00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430,056,000.00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403,997,757.24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sz w:val="18"/>
              </w:rPr>
              <w:t>4,074,832.00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55,974,262.79</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389,809,303.18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1,283,912,155.21</w:t>
            </w:r>
          </w:p>
        </w:tc>
      </w:tr>
    </w:tbl>
    <w:p>
      <w:pPr>
        <w:spacing w:line="240" w:lineRule="auto" w:before="9"/>
        <w:rPr>
          <w:rFonts w:ascii="宋体" w:hAnsi="宋体" w:cs="宋体" w:eastAsia="宋体" w:hint="default"/>
          <w:sz w:val="6"/>
          <w:szCs w:val="6"/>
        </w:rPr>
      </w:pPr>
    </w:p>
    <w:p>
      <w:pPr>
        <w:pStyle w:val="BodyText"/>
        <w:tabs>
          <w:tab w:pos="6122" w:val="left" w:leader="none"/>
          <w:tab w:pos="12485" w:val="left" w:leader="none"/>
        </w:tabs>
        <w:spacing w:line="240" w:lineRule="auto" w:before="44"/>
        <w:ind w:left="480" w:right="0"/>
        <w:jc w:val="left"/>
      </w:pPr>
      <w:r>
        <w:rPr>
          <w:spacing w:val="-4"/>
        </w:rPr>
        <w:t>法定代表人：张新访</w:t>
        <w:tab/>
      </w:r>
      <w:r>
        <w:rPr>
          <w:spacing w:val="-3"/>
        </w:rPr>
        <w:t>主管会计工作负责人：孙静</w:t>
        <w:tab/>
        <w:t>会计机构负责人：张艳菊</w:t>
      </w:r>
    </w:p>
    <w:p>
      <w:pPr>
        <w:spacing w:after="0" w:line="240" w:lineRule="auto"/>
        <w:jc w:val="left"/>
        <w:sectPr>
          <w:pgSz w:w="16840" w:h="11910" w:orient="landscape"/>
          <w:pgMar w:header="867" w:footer="979" w:top="1060" w:bottom="1160" w:left="9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公司基本情况" w:id="170"/>
      <w:bookmarkEnd w:id="170"/>
      <w:r>
        <w:rPr>
          <w:b w:val="0"/>
          <w:bCs w:val="0"/>
        </w:rPr>
      </w: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4" w:right="0"/>
        <w:jc w:val="left"/>
      </w:pPr>
      <w:r>
        <w:rPr>
          <w:rFonts w:ascii="宋体" w:hAnsi="宋体" w:cs="宋体" w:eastAsia="宋体" w:hint="default"/>
        </w:rPr>
        <w:t>1</w:t>
      </w:r>
      <w:r>
        <w:rPr/>
        <w:t>、本公司历史沿革及注册资本 </w:t>
      </w:r>
      <w:r>
        <w:rPr>
          <w:spacing w:val="-2"/>
        </w:rPr>
        <w:t>公司是于</w:t>
      </w:r>
      <w:r>
        <w:rPr>
          <w:rFonts w:ascii="宋体" w:hAnsi="宋体" w:cs="宋体" w:eastAsia="宋体" w:hint="default"/>
          <w:spacing w:val="-2"/>
        </w:rPr>
        <w:t>2000</w:t>
      </w:r>
      <w:r>
        <w:rPr>
          <w:spacing w:val="-2"/>
        </w:rPr>
        <w:t>年</w:t>
      </w:r>
      <w:r>
        <w:rPr>
          <w:rFonts w:ascii="宋体" w:hAnsi="宋体" w:cs="宋体" w:eastAsia="宋体" w:hint="default"/>
          <w:spacing w:val="-2"/>
        </w:rPr>
        <w:t>11</w:t>
      </w:r>
      <w:r>
        <w:rPr>
          <w:spacing w:val="-2"/>
        </w:rPr>
        <w:t>月由武汉天喻信息产业有限责任公司整体变更设立的股份有限公司。</w:t>
      </w:r>
      <w:r>
        <w:rPr>
          <w:rFonts w:ascii="宋体" w:hAnsi="宋体" w:cs="宋体" w:eastAsia="宋体" w:hint="default"/>
          <w:spacing w:val="-2"/>
        </w:rPr>
        <w:t>2011</w:t>
      </w:r>
      <w:r>
        <w:rPr>
          <w:spacing w:val="-2"/>
        </w:rPr>
        <w:t>年，经中国证券监督管理委</w:t>
      </w:r>
    </w:p>
    <w:p>
      <w:pPr>
        <w:pStyle w:val="BodyText"/>
        <w:spacing w:line="224" w:lineRule="exact"/>
        <w:ind w:right="0"/>
        <w:jc w:val="left"/>
      </w:pPr>
      <w:r>
        <w:rPr/>
        <w:t>员会核准，公司首次公开发行人民币普通股（</w:t>
      </w:r>
      <w:r>
        <w:rPr>
          <w:rFonts w:ascii="宋体" w:hAnsi="宋体" w:cs="宋体" w:eastAsia="宋体" w:hint="default"/>
        </w:rPr>
        <w:t>A</w:t>
      </w:r>
      <w:r>
        <w:rPr/>
        <w:t>股）股票</w:t>
      </w:r>
      <w:r>
        <w:rPr>
          <w:rFonts w:ascii="宋体" w:hAnsi="宋体" w:cs="宋体" w:eastAsia="宋体" w:hint="default"/>
        </w:rPr>
        <w:t>1,991</w:t>
      </w:r>
      <w:r>
        <w:rPr/>
        <w:t>万股（每股面值人民币</w:t>
      </w:r>
      <w:r>
        <w:rPr>
          <w:rFonts w:ascii="宋体" w:hAnsi="宋体" w:cs="宋体" w:eastAsia="宋体" w:hint="default"/>
        </w:rPr>
        <w:t>1</w:t>
      </w:r>
      <w:r>
        <w:rPr/>
        <w:t>元），每股发行价格为人民币</w:t>
      </w:r>
      <w:r>
        <w:rPr>
          <w:rFonts w:ascii="宋体" w:hAnsi="宋体" w:cs="宋体" w:eastAsia="宋体" w:hint="default"/>
        </w:rPr>
        <w:t>40</w:t>
      </w:r>
      <w:r>
        <w:rPr/>
        <w:t>元，</w:t>
      </w:r>
    </w:p>
    <w:p>
      <w:pPr>
        <w:pStyle w:val="BodyText"/>
        <w:spacing w:line="357" w:lineRule="auto" w:before="77"/>
        <w:ind w:left="1493" w:right="1213" w:hanging="360"/>
        <w:jc w:val="left"/>
        <w:rPr>
          <w:rFonts w:ascii="宋体" w:hAnsi="宋体" w:cs="宋体" w:eastAsia="宋体" w:hint="default"/>
        </w:rPr>
      </w:pPr>
      <w:r>
        <w:rPr/>
        <w:t>并于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日在深圳证券交易所创业板上市，发行后公司注册资本为</w:t>
      </w:r>
      <w:r>
        <w:rPr>
          <w:rFonts w:ascii="宋体" w:hAnsi="宋体" w:cs="宋体" w:eastAsia="宋体" w:hint="default"/>
        </w:rPr>
        <w:t>7,964</w:t>
      </w:r>
      <w:r>
        <w:rPr/>
        <w:t>万元。 </w:t>
      </w:r>
      <w:r>
        <w:rPr>
          <w:rFonts w:ascii="宋体" w:hAnsi="宋体" w:cs="宋体" w:eastAsia="宋体" w:hint="default"/>
        </w:rPr>
        <w:t>2012</w:t>
      </w:r>
      <w:r>
        <w:rPr/>
        <w:t>年</w:t>
      </w:r>
      <w:r>
        <w:rPr>
          <w:rFonts w:ascii="宋体" w:hAnsi="宋体" w:cs="宋体" w:eastAsia="宋体" w:hint="default"/>
        </w:rPr>
        <w:t>5</w:t>
      </w:r>
      <w:r>
        <w:rPr/>
        <w:t>月，经</w:t>
      </w:r>
      <w:r>
        <w:rPr>
          <w:rFonts w:ascii="宋体" w:hAnsi="宋体" w:cs="宋体" w:eastAsia="宋体" w:hint="default"/>
        </w:rPr>
        <w:t>2011</w:t>
      </w:r>
      <w:r>
        <w:rPr/>
        <w:t>年年度股东大会决议通过，公司以</w:t>
      </w:r>
      <w:r>
        <w:rPr>
          <w:rFonts w:ascii="宋体" w:hAnsi="宋体" w:cs="宋体" w:eastAsia="宋体" w:hint="default"/>
        </w:rPr>
        <w:t>2011</w:t>
      </w:r>
      <w:r>
        <w:rPr/>
        <w:t>年末总股本</w:t>
      </w:r>
      <w:r>
        <w:rPr>
          <w:rFonts w:ascii="宋体" w:hAnsi="宋体" w:cs="宋体" w:eastAsia="宋体" w:hint="default"/>
        </w:rPr>
        <w:t>7,964</w:t>
      </w:r>
      <w:r>
        <w:rPr/>
        <w:t>万股为基数，以资本公积向全体股东每</w:t>
      </w:r>
      <w:r>
        <w:rPr>
          <w:rFonts w:ascii="宋体" w:hAnsi="宋体" w:cs="宋体" w:eastAsia="宋体" w:hint="default"/>
        </w:rPr>
        <w:t>10</w:t>
      </w:r>
    </w:p>
    <w:p>
      <w:pPr>
        <w:pStyle w:val="BodyText"/>
        <w:spacing w:line="224" w:lineRule="exact"/>
        <w:ind w:left="1133" w:right="0"/>
        <w:jc w:val="left"/>
      </w:pPr>
      <w:r>
        <w:rPr/>
        <w:t>股转增</w:t>
      </w:r>
      <w:r>
        <w:rPr>
          <w:rFonts w:ascii="宋体" w:hAnsi="宋体" w:cs="宋体" w:eastAsia="宋体" w:hint="default"/>
        </w:rPr>
        <w:t>8</w:t>
      </w:r>
      <w:r>
        <w:rPr/>
        <w:t>股，变更后注册资本为人民币</w:t>
      </w:r>
      <w:r>
        <w:rPr>
          <w:rFonts w:ascii="宋体" w:hAnsi="宋体" w:cs="宋体" w:eastAsia="宋体" w:hint="default"/>
        </w:rPr>
        <w:t>14,335.20</w:t>
      </w:r>
      <w:r>
        <w:rPr/>
        <w:t>万元；</w:t>
      </w:r>
      <w:r>
        <w:rPr>
          <w:rFonts w:ascii="宋体" w:hAnsi="宋体" w:cs="宋体" w:eastAsia="宋体" w:hint="default"/>
        </w:rPr>
        <w:t>2013</w:t>
      </w:r>
      <w:r>
        <w:rPr/>
        <w:t>年</w:t>
      </w:r>
      <w:r>
        <w:rPr>
          <w:rFonts w:ascii="宋体" w:hAnsi="宋体" w:cs="宋体" w:eastAsia="宋体" w:hint="default"/>
        </w:rPr>
        <w:t>5</w:t>
      </w:r>
      <w:r>
        <w:rPr/>
        <w:t>月，经</w:t>
      </w:r>
      <w:r>
        <w:rPr>
          <w:rFonts w:ascii="宋体" w:hAnsi="宋体" w:cs="宋体" w:eastAsia="宋体" w:hint="default"/>
        </w:rPr>
        <w:t>2012</w:t>
      </w:r>
      <w:r>
        <w:rPr/>
        <w:t>年年度股东大会决议通过，公司以</w:t>
      </w:r>
      <w:r>
        <w:rPr>
          <w:rFonts w:ascii="宋体" w:hAnsi="宋体" w:cs="宋体" w:eastAsia="宋体" w:hint="default"/>
        </w:rPr>
        <w:t>2012</w:t>
      </w:r>
      <w:r>
        <w:rPr/>
        <w:t>年末总股</w:t>
      </w:r>
    </w:p>
    <w:p>
      <w:pPr>
        <w:pStyle w:val="BodyText"/>
        <w:spacing w:line="319" w:lineRule="auto" w:before="76"/>
        <w:ind w:left="1133" w:right="1130"/>
        <w:jc w:val="both"/>
      </w:pPr>
      <w:r>
        <w:rPr>
          <w:spacing w:val="-2"/>
        </w:rPr>
        <w:t>本</w:t>
      </w:r>
      <w:r>
        <w:rPr>
          <w:rFonts w:ascii="宋体" w:hAnsi="宋体" w:cs="宋体" w:eastAsia="宋体" w:hint="default"/>
          <w:spacing w:val="-2"/>
        </w:rPr>
        <w:t>14,335.20</w:t>
      </w:r>
      <w:r>
        <w:rPr>
          <w:spacing w:val="-2"/>
        </w:rPr>
        <w:t>万股为基数，以资本公积向全体股东每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股，变更后注册资本为人民币</w:t>
      </w:r>
      <w:r>
        <w:rPr>
          <w:rFonts w:ascii="宋体" w:hAnsi="宋体" w:cs="宋体" w:eastAsia="宋体" w:hint="default"/>
          <w:spacing w:val="-2"/>
        </w:rPr>
        <w:t>21,502.80</w:t>
      </w:r>
      <w:r>
        <w:rPr>
          <w:spacing w:val="-2"/>
        </w:rPr>
        <w:t>万元；</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月，经</w:t>
      </w:r>
      <w:r>
        <w:rPr>
          <w:spacing w:val="-40"/>
        </w:rPr>
        <w:t> </w:t>
      </w:r>
      <w:r>
        <w:rPr>
          <w:spacing w:val="-40"/>
        </w:rPr>
      </w:r>
      <w:r>
        <w:rPr>
          <w:rFonts w:ascii="宋体" w:hAnsi="宋体" w:cs="宋体" w:eastAsia="宋体" w:hint="default"/>
        </w:rPr>
        <w:t>2013</w:t>
      </w:r>
      <w:r>
        <w:rPr/>
        <w:t>年年度股东大会决议通过，公司以</w:t>
      </w:r>
      <w:r>
        <w:rPr>
          <w:rFonts w:ascii="宋体" w:hAnsi="宋体" w:cs="宋体" w:eastAsia="宋体" w:hint="default"/>
        </w:rPr>
        <w:t>2013</w:t>
      </w:r>
      <w:r>
        <w:rPr/>
        <w:t>年末总股本</w:t>
      </w:r>
      <w:r>
        <w:rPr>
          <w:rFonts w:ascii="宋体" w:hAnsi="宋体" w:cs="宋体" w:eastAsia="宋体" w:hint="default"/>
        </w:rPr>
        <w:t>21,502.80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股，变 更后注册资本为人民币</w:t>
      </w:r>
      <w:r>
        <w:rPr>
          <w:rFonts w:ascii="宋体" w:hAnsi="宋体" w:cs="宋体" w:eastAsia="宋体" w:hint="default"/>
        </w:rPr>
        <w:t>43,005.60</w:t>
      </w:r>
      <w:r>
        <w:rPr/>
        <w:t>万元。</w:t>
      </w:r>
    </w:p>
    <w:p>
      <w:pPr>
        <w:pStyle w:val="BodyText"/>
        <w:spacing w:line="240" w:lineRule="auto" w:before="58"/>
        <w:ind w:left="1493" w:right="0"/>
        <w:jc w:val="left"/>
      </w:pPr>
      <w:r>
        <w:rPr>
          <w:rFonts w:ascii="宋体" w:hAnsi="宋体" w:cs="宋体" w:eastAsia="宋体" w:hint="default"/>
        </w:rPr>
        <w:t>2</w:t>
      </w:r>
      <w:r>
        <w:rPr/>
        <w:t>、本公司注册地：武汉市东湖新技术开发区华工大学科技园</w:t>
      </w:r>
    </w:p>
    <w:p>
      <w:pPr>
        <w:pStyle w:val="BodyText"/>
        <w:spacing w:line="240" w:lineRule="auto" w:before="116"/>
        <w:ind w:left="1494" w:right="0"/>
        <w:jc w:val="left"/>
      </w:pPr>
      <w:r>
        <w:rPr>
          <w:rFonts w:ascii="宋体" w:hAnsi="宋体" w:cs="宋体" w:eastAsia="宋体" w:hint="default"/>
        </w:rPr>
        <w:t>3</w:t>
      </w:r>
      <w:r>
        <w:rPr/>
        <w:t>、组织形式：股份有限公司（上市）</w:t>
      </w:r>
    </w:p>
    <w:p>
      <w:pPr>
        <w:pStyle w:val="BodyText"/>
        <w:spacing w:line="240" w:lineRule="auto" w:before="116"/>
        <w:ind w:left="1494" w:right="0"/>
        <w:jc w:val="left"/>
      </w:pPr>
      <w:r>
        <w:rPr>
          <w:rFonts w:ascii="宋体" w:hAnsi="宋体" w:cs="宋体" w:eastAsia="宋体" w:hint="default"/>
        </w:rPr>
        <w:t>4</w:t>
      </w:r>
      <w:r>
        <w:rPr/>
        <w:t>、总部地址：武汉市东湖新技术开发区华工大学科技园</w:t>
      </w:r>
    </w:p>
    <w:p>
      <w:pPr>
        <w:pStyle w:val="BodyText"/>
        <w:spacing w:line="357" w:lineRule="auto" w:before="117"/>
        <w:ind w:left="1494" w:right="0"/>
        <w:jc w:val="left"/>
      </w:pPr>
      <w:r>
        <w:rPr>
          <w:rFonts w:ascii="宋体" w:hAnsi="宋体" w:cs="宋体" w:eastAsia="宋体" w:hint="default"/>
        </w:rPr>
        <w:t>5</w:t>
      </w:r>
      <w:r>
        <w:rPr/>
        <w:t>、本公司的主营业务： </w:t>
      </w:r>
      <w:r>
        <w:rPr>
          <w:spacing w:val="-2"/>
        </w:rPr>
        <w:t>本公司：主要从事与数据安全相关的智能卡、终端设备及系统解决方案等的设计、制造、销售和服务，商用密码产品的</w:t>
      </w:r>
    </w:p>
    <w:p>
      <w:pPr>
        <w:pStyle w:val="BodyText"/>
        <w:spacing w:line="224" w:lineRule="exact"/>
        <w:ind w:right="0"/>
        <w:jc w:val="left"/>
      </w:pPr>
      <w:r>
        <w:rPr/>
        <w:t>开发、生产，以及相关商品和技术的进出口，产品应用于金融、通信、交通、税控、社保、医疗卫生及工商等政务领域，满</w:t>
      </w:r>
    </w:p>
    <w:p>
      <w:pPr>
        <w:pStyle w:val="BodyText"/>
        <w:spacing w:line="357" w:lineRule="auto" w:before="77"/>
        <w:ind w:left="1494" w:right="1212" w:hanging="360"/>
        <w:jc w:val="left"/>
        <w:rPr>
          <w:rFonts w:ascii="宋体" w:hAnsi="宋体" w:cs="宋体" w:eastAsia="宋体" w:hint="default"/>
        </w:rPr>
      </w:pPr>
      <w:r>
        <w:rPr/>
        <w:t>足不同客户群体的市场需求。 子公司天喻教育：主要从事以国家教育信息化建设为背景的</w:t>
      </w:r>
      <w:r>
        <w:rPr>
          <w:rFonts w:ascii="宋体" w:hAnsi="宋体" w:cs="宋体" w:eastAsia="宋体" w:hint="default"/>
        </w:rPr>
        <w:t>K12</w:t>
      </w:r>
      <w:r>
        <w:rPr/>
        <w:t>阶段教育云平台与应用的开发、销售、运营业务及</w:t>
      </w:r>
      <w:r>
        <w:rPr>
          <w:rFonts w:ascii="宋体" w:hAnsi="宋体" w:cs="宋体" w:eastAsia="宋体" w:hint="default"/>
        </w:rPr>
        <w:t>K12</w:t>
      </w:r>
    </w:p>
    <w:p>
      <w:pPr>
        <w:pStyle w:val="BodyText"/>
        <w:spacing w:line="224" w:lineRule="exact"/>
        <w:ind w:left="1133" w:right="0"/>
        <w:jc w:val="left"/>
      </w:pPr>
      <w:r>
        <w:rPr/>
        <w:t>阶段学生在线学习服务平台运营服务。其子公司深圳市易考乐学测评有限公司主要从事基础教育领域考试测评产品的开发、</w:t>
      </w:r>
    </w:p>
    <w:p>
      <w:pPr>
        <w:pStyle w:val="BodyText"/>
        <w:spacing w:line="319" w:lineRule="auto" w:before="77"/>
        <w:ind w:right="1131"/>
        <w:jc w:val="both"/>
      </w:pPr>
      <w:r>
        <w:rPr>
          <w:spacing w:val="-2"/>
        </w:rPr>
        <w:t>销售及运营服务；子公司无锡尚蠡信息科技有限公司主要从事基础教育领域校园、校务信息化管理产品的开发、销售及运营</w:t>
      </w:r>
      <w:r>
        <w:rPr>
          <w:spacing w:val="-66"/>
        </w:rPr>
        <w:t> </w:t>
      </w:r>
      <w:r>
        <w:rPr>
          <w:spacing w:val="-66"/>
        </w:rPr>
      </w:r>
      <w:r>
        <w:rPr>
          <w:spacing w:val="-2"/>
        </w:rPr>
        <w:t>服务；子公司上海天喻云企业发展有限公司主要从事上海地区智慧教育产品的销售及运营服务；子公司贵州天喻通慧教育科</w:t>
      </w:r>
      <w:r>
        <w:rPr>
          <w:spacing w:val="-64"/>
        </w:rPr>
        <w:t> </w:t>
      </w:r>
      <w:r>
        <w:rPr>
          <w:spacing w:val="-64"/>
        </w:rPr>
      </w:r>
      <w:r>
        <w:rPr/>
        <w:t>技有限公司主要从事贵州地区智慧教育产品的销售及运营服务。</w:t>
      </w:r>
    </w:p>
    <w:p>
      <w:pPr>
        <w:pStyle w:val="BodyText"/>
        <w:spacing w:line="357" w:lineRule="auto" w:before="58"/>
        <w:ind w:left="1493" w:right="0"/>
        <w:jc w:val="left"/>
      </w:pPr>
      <w:r>
        <w:rPr/>
        <w:t>子公司擎动网络：主要从事流通领域的供应链</w:t>
      </w:r>
      <w:r>
        <w:rPr>
          <w:rFonts w:ascii="宋体" w:hAnsi="宋体" w:cs="宋体" w:eastAsia="宋体" w:hint="default"/>
        </w:rPr>
        <w:t>SaaS+</w:t>
      </w:r>
      <w:r>
        <w:rPr/>
        <w:t>金融支付服务平台的开发与运营服务。 </w:t>
      </w:r>
      <w:r>
        <w:rPr>
          <w:spacing w:val="-2"/>
        </w:rPr>
        <w:t>子公司湖北百旺：以税控产品及服务的技术开发、产品销售、技术服务为主营业务，致力于为增值税纳税企业提供税控</w:t>
      </w:r>
    </w:p>
    <w:p>
      <w:pPr>
        <w:pStyle w:val="BodyText"/>
        <w:spacing w:line="224" w:lineRule="exact"/>
        <w:ind w:left="1133" w:right="0"/>
        <w:jc w:val="left"/>
      </w:pPr>
      <w:r>
        <w:rPr/>
        <w:t>盘、税务专用打印机、税控开票软件、涉税业务培训、税务服务支持、税务综合解决方案等产品和服务，并向政府提供税控</w:t>
      </w:r>
    </w:p>
    <w:p>
      <w:pPr>
        <w:pStyle w:val="BodyText"/>
        <w:spacing w:line="357" w:lineRule="auto" w:before="77"/>
        <w:ind w:left="1493" w:right="1123" w:hanging="360"/>
        <w:jc w:val="left"/>
      </w:pPr>
      <w:r>
        <w:rPr/>
        <w:t>行业信息系统、技术服务、技术培训等服务。 子公司果核科技：主要从事基于</w:t>
      </w:r>
      <w:r>
        <w:rPr>
          <w:rFonts w:ascii="宋体" w:hAnsi="宋体" w:cs="宋体" w:eastAsia="宋体" w:hint="default"/>
        </w:rPr>
        <w:t>TEE</w:t>
      </w:r>
      <w:r>
        <w:rPr/>
        <w:t>的手机安全解决方案及相关安全应用的开发、运营、项目实施等技术服务。 子公司聚联网络：面向银行、银行的个人和企业客户、商户提供基于移动互联网的产品和服务。构建</w:t>
      </w:r>
      <w:r>
        <w:rPr>
          <w:rFonts w:ascii="宋体" w:hAnsi="宋体" w:cs="宋体" w:eastAsia="宋体" w:hint="default"/>
        </w:rPr>
        <w:t>NFC</w:t>
      </w:r>
      <w:r>
        <w:rPr/>
        <w:t>支付服务生态</w:t>
      </w:r>
    </w:p>
    <w:p>
      <w:pPr>
        <w:pStyle w:val="BodyText"/>
        <w:spacing w:line="357" w:lineRule="auto"/>
        <w:ind w:left="1493" w:right="0" w:hanging="360"/>
        <w:jc w:val="left"/>
      </w:pPr>
      <w:r>
        <w:rPr/>
        <w:t>体系，通过智能支付设备、支付管理平台、系统解决方案为用户提供支付应用服务。 </w:t>
      </w:r>
      <w:r>
        <w:rPr>
          <w:spacing w:val="-2"/>
        </w:rPr>
        <w:t>湖北天喻教育研究院：主要从事教育政策、理论、应用研究，基于云计算和大数据的教育管理、测量、评价方式和工具</w:t>
      </w:r>
    </w:p>
    <w:p>
      <w:pPr>
        <w:pStyle w:val="BodyText"/>
        <w:spacing w:line="357" w:lineRule="auto"/>
        <w:ind w:left="1433" w:right="3733" w:hanging="300"/>
        <w:jc w:val="left"/>
      </w:pPr>
      <w:r>
        <w:rPr/>
        <w:t>的研发及推广，教育信息化解决方案咨询及培训服务等。 </w:t>
      </w:r>
      <w:r>
        <w:rPr>
          <w:rFonts w:ascii="宋体" w:hAnsi="宋体" w:cs="宋体" w:eastAsia="宋体" w:hint="default"/>
        </w:rPr>
        <w:t>6</w:t>
      </w:r>
      <w:r>
        <w:rPr/>
        <w:t>、本公司母公司及实际控制人的名称： 本公司的母公司为华工创投，实际控制人为华中科技大学。 </w:t>
      </w:r>
      <w:r>
        <w:rPr>
          <w:rFonts w:ascii="宋体" w:hAnsi="宋体" w:cs="宋体" w:eastAsia="宋体" w:hint="default"/>
        </w:rPr>
        <w:t>7</w:t>
      </w:r>
      <w:r>
        <w:rPr/>
        <w:t>、财务报告的批准报出者和财务报告批准报出日： 本财务报告于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日经公司第七届董事会第七次会议批准报出。</w:t>
      </w:r>
    </w:p>
    <w:p>
      <w:pPr>
        <w:pStyle w:val="BodyText"/>
        <w:spacing w:line="319" w:lineRule="auto" w:before="28"/>
        <w:ind w:left="1133" w:right="1118" w:firstLine="360"/>
        <w:jc w:val="left"/>
      </w:pPr>
      <w:r>
        <w:rPr>
          <w:spacing w:val="-2"/>
        </w:rPr>
        <w:t>截至报告期末，纳入合并范围的子公司</w:t>
      </w:r>
      <w:r>
        <w:rPr>
          <w:rFonts w:ascii="宋体" w:hAnsi="宋体" w:cs="宋体" w:eastAsia="宋体" w:hint="default"/>
          <w:spacing w:val="-2"/>
        </w:rPr>
        <w:t>/</w:t>
      </w:r>
      <w:r>
        <w:rPr>
          <w:spacing w:val="-2"/>
        </w:rPr>
        <w:t>非营利组织共计</w:t>
      </w:r>
      <w:r>
        <w:rPr>
          <w:rFonts w:ascii="宋体" w:hAnsi="宋体" w:cs="宋体" w:eastAsia="宋体" w:hint="default"/>
          <w:spacing w:val="-2"/>
        </w:rPr>
        <w:t>10</w:t>
      </w:r>
      <w:r>
        <w:rPr>
          <w:spacing w:val="-2"/>
        </w:rPr>
        <w:t>家，详见本附注九、</w:t>
      </w:r>
      <w:r>
        <w:rPr>
          <w:rFonts w:ascii="宋体" w:hAnsi="宋体" w:cs="宋体" w:eastAsia="宋体" w:hint="default"/>
          <w:spacing w:val="-2"/>
        </w:rPr>
        <w:t>1</w:t>
      </w:r>
      <w:r>
        <w:rPr>
          <w:spacing w:val="-2"/>
        </w:rPr>
        <w:t>，本报告期合并范围变化情况详见本附</w:t>
      </w:r>
      <w:r>
        <w:rPr/>
        <w:t> 注八。</w:t>
      </w:r>
    </w:p>
    <w:p>
      <w:pPr>
        <w:spacing w:after="0" w:line="319" w:lineRule="auto"/>
        <w:jc w:val="left"/>
        <w:sectPr>
          <w:headerReference w:type="default" r:id="rId34"/>
          <w:footerReference w:type="default" r:id="rId35"/>
          <w:pgSz w:w="11910" w:h="16840"/>
          <w:pgMar w:header="877" w:footer="979" w:top="1100" w:bottom="1160" w:left="0" w:right="0"/>
          <w:pgNumType w:start="82"/>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72"/>
      <w:bookmarkEnd w:id="172"/>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left="1133" w:right="0" w:firstLine="360"/>
        <w:jc w:val="left"/>
      </w:pPr>
      <w:r>
        <w:rPr>
          <w:spacing w:val="-2"/>
        </w:rPr>
        <w:t>本财务报表以持续经营为基础编制，根据实际发生的交易和事项，按照《企业会计准则</w:t>
      </w:r>
      <w:r>
        <w:rPr>
          <w:rFonts w:ascii="宋体" w:hAnsi="宋体" w:cs="宋体" w:eastAsia="宋体" w:hint="default"/>
          <w:spacing w:val="-2"/>
        </w:rPr>
        <w:t>--</w:t>
      </w:r>
      <w:r>
        <w:rPr>
          <w:spacing w:val="-2"/>
        </w:rPr>
        <w:t>基本准则》和其他各项会计准</w:t>
      </w:r>
      <w:r>
        <w:rPr/>
        <w:t> 则的规定进行确认和计量，在此基础上编制财务报表。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持续经营" w:id="173"/>
      <w:bookmarkEnd w:id="173"/>
      <w:r>
        <w:rPr>
          <w:b w:val="0"/>
          <w:bCs w:val="0"/>
        </w:rPr>
      </w:r>
      <w:r>
        <w:rPr>
          <w:rFonts w:ascii="宋体" w:hAnsi="宋体" w:cs="宋体" w:eastAsia="宋体" w:hint="default"/>
        </w:rPr>
        <w:t>2</w:t>
      </w:r>
      <w:r>
        <w:rPr/>
        <w:t>、持续经营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34" w:right="0"/>
        <w:jc w:val="left"/>
      </w:pPr>
      <w:r>
        <w:rPr/>
        <w:t>本公司自报告期末起</w:t>
      </w:r>
      <w:r>
        <w:rPr>
          <w:rFonts w:ascii="宋体" w:hAnsi="宋体" w:cs="宋体" w:eastAsia="宋体" w:hint="default"/>
        </w:rPr>
        <w:t>12</w:t>
      </w:r>
      <w:r>
        <w:rPr/>
        <w:t>个月内不存在对本公司持续经营能力产生重大疑虑的事项或情况。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3" w:right="7693" w:hanging="360"/>
        <w:jc w:val="left"/>
      </w:pPr>
      <w:r>
        <w:rPr/>
        <w:t>公司是否需要遵守特殊行业的披露要求 否</w:t>
      </w:r>
    </w:p>
    <w:p>
      <w:pPr>
        <w:pStyle w:val="BodyText"/>
        <w:spacing w:line="357" w:lineRule="auto" w:before="105"/>
        <w:ind w:left="1493" w:right="0" w:hanging="360"/>
        <w:jc w:val="left"/>
      </w:pPr>
      <w:r>
        <w:rPr/>
        <w:t>具体会计政策和会计估计提示： </w:t>
      </w:r>
      <w:r>
        <w:rPr>
          <w:spacing w:val="-2"/>
        </w:rPr>
        <w:t>本公司根据实际经营特点，依据相关会计准则的规定，对应收款项、固定资产、无形资产、收入等交易和事项制定了具</w:t>
      </w:r>
    </w:p>
    <w:p>
      <w:pPr>
        <w:pStyle w:val="BodyText"/>
        <w:spacing w:line="225" w:lineRule="exact"/>
        <w:ind w:left="1133" w:right="0"/>
        <w:jc w:val="left"/>
      </w:pPr>
      <w:r>
        <w:rPr/>
        <w:t>体会计政策和会计估计。</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75"/>
      <w:bookmarkEnd w:id="175"/>
      <w:r>
        <w:rPr>
          <w:b w:val="0"/>
          <w:bCs w:val="0"/>
        </w:rPr>
      </w:r>
      <w:r>
        <w:rPr>
          <w:rFonts w:ascii="宋体" w:hAnsi="宋体" w:cs="宋体" w:eastAsia="宋体" w:hint="default"/>
        </w:rPr>
        <w:t>1</w:t>
      </w:r>
      <w:r>
        <w:rPr/>
        <w:t>、遵循企业会计准则的声明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本财务报表符合企业会计准则的要求，真实、完整地反映了本公司的财务状况、经营成果和现金流量等有关信息。</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会计期间" w:id="176"/>
      <w:bookmarkEnd w:id="176"/>
      <w:r>
        <w:rPr>
          <w:b w:val="0"/>
          <w:bCs w:val="0"/>
        </w:rPr>
      </w:r>
      <w:r>
        <w:rPr>
          <w:rFonts w:ascii="宋体" w:hAnsi="宋体" w:cs="宋体" w:eastAsia="宋体" w:hint="default"/>
        </w:rPr>
        <w:t>2</w:t>
      </w:r>
      <w:r>
        <w:rPr/>
        <w:t>、会计期间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营业周期" w:id="177"/>
      <w:bookmarkEnd w:id="177"/>
      <w:r>
        <w:rPr>
          <w:b w:val="0"/>
          <w:bCs w:val="0"/>
        </w:rPr>
      </w:r>
      <w:r>
        <w:rPr>
          <w:rFonts w:ascii="宋体" w:hAnsi="宋体" w:cs="宋体" w:eastAsia="宋体" w:hint="default"/>
        </w:rPr>
        <w:t>3</w:t>
      </w:r>
      <w:r>
        <w:rPr/>
        <w:t>、营业周期</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133" w:right="1131" w:firstLine="360"/>
        <w:jc w:val="both"/>
      </w:pPr>
      <w:r>
        <w:rPr>
          <w:spacing w:val="-2"/>
        </w:rPr>
        <w:t>正常营业周期，是指企业从购买用于加工的资产起至实现现金或现金等价物的期间。本公司正常营业周期短于一年。正</w:t>
      </w:r>
      <w:r>
        <w:rPr/>
        <w:t> </w:t>
      </w:r>
      <w:r>
        <w:rPr>
          <w:spacing w:val="-2"/>
        </w:rPr>
        <w:t>常营业周期短于一年的，自资产负债表日起一年内变现的资产或自资产负债表日起一年内到期应予以清偿的负债归类为流动</w:t>
      </w:r>
      <w:r>
        <w:rPr>
          <w:spacing w:val="-64"/>
        </w:rPr>
        <w:t> </w:t>
      </w:r>
      <w:r>
        <w:rPr>
          <w:spacing w:val="-64"/>
        </w:rPr>
      </w:r>
      <w:r>
        <w:rPr/>
        <w:t>资产或流动负债。</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bookmarkStart w:name="4、记账本位币" w:id="178"/>
      <w:bookmarkEnd w:id="178"/>
      <w:r>
        <w:rPr>
          <w:b w:val="0"/>
          <w:bCs w:val="0"/>
        </w:rPr>
      </w:r>
      <w:r>
        <w:rPr>
          <w:rFonts w:ascii="宋体" w:hAnsi="宋体" w:cs="宋体" w:eastAsia="宋体" w:hint="default"/>
        </w:rPr>
        <w:t>4</w:t>
      </w:r>
      <w:r>
        <w:rPr/>
        <w:t>、记账本位币</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本公司以人民币为记账本位币。</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同一控制下和非同一控制下企业合并的会计处理方法" w:id="179"/>
      <w:bookmarkEnd w:id="179"/>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032" w:firstLine="360"/>
        <w:jc w:val="left"/>
      </w:pPr>
      <w:r>
        <w:rPr/>
        <w:t>（</w:t>
      </w:r>
      <w:r>
        <w:rPr>
          <w:rFonts w:ascii="宋体" w:hAnsi="宋体" w:cs="宋体" w:eastAsia="宋体" w:hint="default"/>
        </w:rPr>
        <w:t>1</w:t>
      </w:r>
      <w:r>
        <w:rPr/>
        <w:t>）本公司报告期内发生同一控制下企业合并的，采用权益结合法进行会计处理。合并方在企业合并中取得的资产和 </w:t>
      </w:r>
      <w:r>
        <w:rPr>
          <w:spacing w:val="-2"/>
        </w:rPr>
        <w:t>负债，于合并日按照被合并方在最终控制方合并财务报表中的账面价值计量。合并方取得的净资产账面价值与支付的合并对</w:t>
      </w:r>
      <w:r>
        <w:rPr>
          <w:spacing w:val="-64"/>
        </w:rPr>
        <w:t> </w:t>
      </w:r>
      <w:r>
        <w:rPr>
          <w:spacing w:val="-64"/>
        </w:rPr>
      </w:r>
      <w:r>
        <w:rPr>
          <w:spacing w:val="-2"/>
        </w:rPr>
        <w:t>价账面价值（或发行股份面值总额）的差额，调整资本公积；资本公积不足冲减的，调整留存收益。合并方为进行企业合并</w:t>
      </w:r>
      <w:r>
        <w:rPr>
          <w:spacing w:val="-68"/>
        </w:rPr>
        <w:t> </w:t>
      </w:r>
      <w:r>
        <w:rPr>
          <w:spacing w:val="-68"/>
        </w:rPr>
      </w:r>
      <w:r>
        <w:rPr/>
        <w:t>发生的各项直接相关费用，包括为进行企业合并而支付的审计费用、评估费用、法律服务费用等，于发生时计入当期损益。</w:t>
      </w:r>
      <w:r>
        <w:rPr>
          <w:spacing w:val="-85"/>
        </w:rPr>
        <w:t> </w:t>
      </w:r>
      <w:r>
        <w:rPr>
          <w:spacing w:val="-85"/>
        </w:rPr>
      </w:r>
      <w:r>
        <w:rPr>
          <w:spacing w:val="-2"/>
        </w:rPr>
        <w:t>为企业合并发行的债券或承担其他债务支付的手续费、佣金等，计入所发行债券及其他债务的初始计量金额。企业合并中发</w:t>
      </w:r>
    </w:p>
    <w:p>
      <w:pPr>
        <w:spacing w:after="0" w:line="319"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32"/>
        <w:jc w:val="both"/>
      </w:pPr>
      <w:r>
        <w:rPr>
          <w:spacing w:val="-2"/>
        </w:rPr>
        <w:t>行权益性证券发生的手续费、佣金等费用，抵减权益性证券溢价收入，溢价收入不足冲减的，冲减留存收益。企业合并形成</w:t>
      </w:r>
      <w:r>
        <w:rPr>
          <w:spacing w:val="-66"/>
        </w:rPr>
        <w:t> </w:t>
      </w:r>
      <w:r>
        <w:rPr>
          <w:spacing w:val="-66"/>
        </w:rPr>
      </w:r>
      <w:r>
        <w:rPr>
          <w:spacing w:val="-2"/>
        </w:rPr>
        <w:t>母子公司关系的，编制合并财务报表，按照本公司制定的“合并财务报表”会计政策执行；合并财务报表比较数据调整的期</w:t>
      </w:r>
      <w:r>
        <w:rPr>
          <w:spacing w:val="-66"/>
        </w:rPr>
        <w:t> </w:t>
      </w:r>
      <w:r>
        <w:rPr>
          <w:spacing w:val="-66"/>
        </w:rPr>
      </w:r>
      <w:r>
        <w:rPr/>
        <w:t>间应不早于合并方、被合并方处于最终控制方的控制之下孰晚的时间。</w:t>
      </w:r>
    </w:p>
    <w:p>
      <w:pPr>
        <w:pStyle w:val="BodyText"/>
        <w:spacing w:line="319" w:lineRule="auto" w:before="55"/>
        <w:ind w:left="1133" w:right="1132" w:firstLine="360"/>
        <w:jc w:val="both"/>
      </w:pPr>
      <w:r>
        <w:rPr/>
        <w:t>（</w:t>
      </w:r>
      <w:r>
        <w:rPr>
          <w:rFonts w:ascii="宋体" w:hAnsi="宋体" w:cs="宋体" w:eastAsia="宋体" w:hint="default"/>
        </w:rPr>
        <w:t>2</w:t>
      </w:r>
      <w:r>
        <w:rPr/>
        <w:t>）本公司报告期内发生非同一控制下的企业合并的，采用购买法进行会计处理。区别下列情况确定合并成本：①一 </w:t>
      </w:r>
      <w:r>
        <w:rPr>
          <w:spacing w:val="-2"/>
        </w:rPr>
        <w:t>次交换交易实现的企业合并，合并成本为在购买日为取得对被购买方的控制权而付出的资产、发生或承担的负债以及发行的</w:t>
      </w:r>
      <w:r>
        <w:rPr>
          <w:spacing w:val="-64"/>
        </w:rPr>
        <w:t> </w:t>
      </w:r>
      <w:r>
        <w:rPr>
          <w:spacing w:val="-64"/>
        </w:rPr>
      </w:r>
      <w:r>
        <w:rPr>
          <w:spacing w:val="-2"/>
        </w:rPr>
        <w:t>权益性证券的公允价值。②通过多次交换交易分步实现的企业合并，对于购买日之前持有的被购买方的股权，区分个别财务</w:t>
      </w:r>
      <w:r>
        <w:rPr>
          <w:spacing w:val="-66"/>
        </w:rPr>
        <w:t> </w:t>
      </w:r>
      <w:r>
        <w:rPr>
          <w:spacing w:val="-66"/>
        </w:rPr>
      </w:r>
      <w:r>
        <w:rPr/>
        <w:t>报表和合并财务报表进行相关会计处理：</w:t>
      </w:r>
      <w:r>
        <w:rPr>
          <w:rFonts w:ascii="宋体" w:hAnsi="宋体" w:cs="宋体" w:eastAsia="宋体" w:hint="default"/>
        </w:rPr>
        <w:t>A</w:t>
      </w:r>
      <w:r>
        <w:rPr/>
        <w:t>、在个别财务报表中，按照原持有被购买方的股权投资的账面价值加上新增投资</w:t>
      </w:r>
      <w:r>
        <w:rPr>
          <w:spacing w:val="-83"/>
        </w:rPr>
        <w:t> </w:t>
      </w:r>
      <w:r>
        <w:rPr>
          <w:spacing w:val="-83"/>
        </w:rPr>
      </w:r>
      <w:r>
        <w:rPr>
          <w:spacing w:val="-2"/>
        </w:rPr>
        <w:t>成本之和，作为改按成本法核算的初始投资成本；购买日之前持有的股权投资因采用权益法核算而确认的其他综合收益，在</w:t>
      </w:r>
      <w:r>
        <w:rPr>
          <w:spacing w:val="-66"/>
        </w:rPr>
        <w:t> </w:t>
      </w:r>
      <w:r>
        <w:rPr>
          <w:spacing w:val="-66"/>
        </w:rPr>
      </w:r>
      <w:r>
        <w:rPr>
          <w:spacing w:val="-2"/>
        </w:rPr>
        <w:t>处置该项投资时采用与被购买方直接处置相关资产或负债相同的基础进行会计处理。购买日之前持有的股权投资按照《企业</w:t>
      </w:r>
      <w:r>
        <w:rPr>
          <w:spacing w:val="-64"/>
        </w:rPr>
        <w:t> </w:t>
      </w:r>
      <w:r>
        <w:rPr>
          <w:spacing w:val="-64"/>
        </w:rPr>
      </w:r>
      <w:r>
        <w:rPr>
          <w:spacing w:val="-2"/>
        </w:rPr>
        <w:t>会计准则第</w:t>
      </w:r>
      <w:r>
        <w:rPr>
          <w:rFonts w:ascii="宋体" w:hAnsi="宋体" w:cs="宋体" w:eastAsia="宋体" w:hint="default"/>
          <w:spacing w:val="-2"/>
        </w:rPr>
        <w:t>22</w:t>
      </w:r>
      <w:r>
        <w:rPr>
          <w:spacing w:val="-2"/>
        </w:rPr>
        <w:t>号——金融工具确认和计量》的有关规定进行会计处理的，原计入其他综合收益的累计公允价值变动在改按成</w:t>
      </w:r>
      <w:r>
        <w:rPr>
          <w:spacing w:val="-62"/>
        </w:rPr>
        <w:t> </w:t>
      </w:r>
      <w:r>
        <w:rPr>
          <w:spacing w:val="-62"/>
        </w:rPr>
      </w:r>
      <w:r>
        <w:rPr/>
        <w:t>本法核算时转入当期损益。</w:t>
      </w:r>
      <w:r>
        <w:rPr>
          <w:rFonts w:ascii="宋体" w:hAnsi="宋体" w:cs="宋体" w:eastAsia="宋体" w:hint="default"/>
        </w:rPr>
        <w:t>B</w:t>
      </w:r>
      <w:r>
        <w:rPr/>
        <w:t>、在合并财务报表中，对于购买日之前持有的被购买方的股权，按照该股权在购买日的公允价</w:t>
      </w:r>
      <w:r>
        <w:rPr>
          <w:spacing w:val="-83"/>
        </w:rPr>
        <w:t> </w:t>
      </w:r>
      <w:r>
        <w:rPr>
          <w:spacing w:val="-83"/>
        </w:rPr>
      </w:r>
      <w:r>
        <w:rPr>
          <w:spacing w:val="-2"/>
        </w:rPr>
        <w:t>值进行重新计量，公允价值与其账面价值的差额计入当期投资收益；购买日之前持有的被购买方的股权涉及权益法核算下的</w:t>
      </w:r>
      <w:r>
        <w:rPr>
          <w:spacing w:val="-64"/>
        </w:rPr>
        <w:t> </w:t>
      </w:r>
      <w:r>
        <w:rPr>
          <w:spacing w:val="-64"/>
        </w:rPr>
      </w:r>
      <w:r>
        <w:rPr>
          <w:spacing w:val="-2"/>
        </w:rPr>
        <w:t>其他综合收益等的，与其相关的其他综合收益等转为购买日所属当期投资收益。本公司在附注中披露其在购买日之前持有的</w:t>
      </w:r>
      <w:r>
        <w:rPr>
          <w:spacing w:val="-64"/>
        </w:rPr>
        <w:t> </w:t>
      </w:r>
      <w:r>
        <w:rPr>
          <w:spacing w:val="-64"/>
        </w:rPr>
      </w:r>
      <w:r>
        <w:rPr>
          <w:spacing w:val="-2"/>
        </w:rPr>
        <w:t>被购买方的股权在购买日的公允价值、按照公允价值重新计量产生的相关利得或损失的金额。③为企业合并发生的审计、法</w:t>
      </w:r>
      <w:r>
        <w:rPr>
          <w:spacing w:val="-66"/>
        </w:rPr>
        <w:t> </w:t>
      </w:r>
      <w:r>
        <w:rPr>
          <w:spacing w:val="-66"/>
        </w:rPr>
      </w:r>
      <w:r>
        <w:rPr>
          <w:spacing w:val="-2"/>
        </w:rPr>
        <w:t>律服务、评估咨询等中介费用以及其他相关管理费用，于发生时计入当期损益；作为合并对价发行的权益性证券或债务性证</w:t>
      </w:r>
      <w:r>
        <w:rPr>
          <w:spacing w:val="-66"/>
        </w:rPr>
        <w:t> </w:t>
      </w:r>
      <w:r>
        <w:rPr>
          <w:spacing w:val="-66"/>
        </w:rPr>
      </w:r>
      <w:r>
        <w:rPr>
          <w:spacing w:val="-2"/>
        </w:rPr>
        <w:t>券的交易费用，计入权益性证券或债务性证券的初始确认金额。④在合并合同或协议中对可能影响合并成本的未来事项作出</w:t>
      </w:r>
      <w:r>
        <w:rPr>
          <w:spacing w:val="-64"/>
        </w:rPr>
        <w:t> </w:t>
      </w:r>
      <w:r>
        <w:rPr>
          <w:spacing w:val="-64"/>
        </w:rPr>
      </w:r>
      <w:r>
        <w:rPr/>
        <w:t>约定的，购买日如果估计未来事项很可能发生并且对合并成本的影响金额能够可靠计量的，将其计入合并成本。</w:t>
      </w:r>
    </w:p>
    <w:p>
      <w:pPr>
        <w:pStyle w:val="BodyText"/>
        <w:spacing w:line="319" w:lineRule="auto" w:before="56"/>
        <w:ind w:left="1133" w:right="1043" w:firstLine="360"/>
        <w:jc w:val="both"/>
      </w:pPr>
      <w:r>
        <w:rPr>
          <w:spacing w:val="-4"/>
        </w:rPr>
        <w:t>本公司在购买日对作为企业合并对价付出的资产、发生或承担的负债按照公允价值计量，公允价值与其账面价值的差额，</w:t>
      </w:r>
      <w:r>
        <w:rPr/>
        <w:t> 计入当期损益。</w:t>
      </w:r>
    </w:p>
    <w:p>
      <w:pPr>
        <w:pStyle w:val="BodyText"/>
        <w:spacing w:line="319" w:lineRule="auto" w:before="55"/>
        <w:ind w:left="1133" w:right="1131" w:firstLine="360"/>
        <w:jc w:val="both"/>
      </w:pPr>
      <w:r>
        <w:rPr>
          <w:spacing w:val="-2"/>
        </w:rPr>
        <w:t>本公司在购买日对合并成本进行分配，按照规定确认所取得的被购买方各项可辨认资产、负债及或有负债。①对合并成</w:t>
      </w:r>
      <w:r>
        <w:rPr/>
        <w:t> </w:t>
      </w:r>
      <w:r>
        <w:rPr>
          <w:spacing w:val="-2"/>
        </w:rPr>
        <w:t>本大于合并中取得的被购买方可辨认净资产公允价值份额的差额，确认为商誉。②对合并成本小于合并中取得的被购买方可</w:t>
      </w:r>
      <w:r>
        <w:rPr>
          <w:spacing w:val="-64"/>
        </w:rPr>
        <w:t> </w:t>
      </w:r>
      <w:r>
        <w:rPr>
          <w:spacing w:val="-64"/>
        </w:rPr>
      </w:r>
      <w:r>
        <w:rPr>
          <w:spacing w:val="-2"/>
        </w:rPr>
        <w:t>辨认净资产公允价值份额的差额，则对取得的被购买方各项可辨认资产、负债及或有负债的公允价值以及合并成本的计量进</w:t>
      </w:r>
      <w:r>
        <w:rPr>
          <w:spacing w:val="-64"/>
        </w:rPr>
        <w:t> </w:t>
      </w:r>
      <w:r>
        <w:rPr>
          <w:spacing w:val="-64"/>
        </w:rPr>
      </w:r>
      <w:r>
        <w:rPr/>
        <w:t>行复核；经复核后合并成本仍小于合并中取得的被购买方可辨认净资产公允价值份额的，其差额计入当期损益。</w:t>
      </w:r>
    </w:p>
    <w:p>
      <w:pPr>
        <w:pStyle w:val="BodyText"/>
        <w:spacing w:line="319" w:lineRule="auto" w:before="55"/>
        <w:ind w:left="1133" w:right="1133" w:firstLine="360"/>
        <w:jc w:val="both"/>
      </w:pPr>
      <w:r>
        <w:rPr>
          <w:spacing w:val="-2"/>
        </w:rPr>
        <w:t>企业合并形成母子公司关系的，母公司设置备查簿，记录企业合并中取得的子公司各项可辨认资产、负债及或有负债等</w:t>
      </w:r>
      <w:r>
        <w:rPr/>
        <w:t> </w:t>
      </w:r>
      <w:r>
        <w:rPr>
          <w:spacing w:val="-2"/>
        </w:rPr>
        <w:t>在购买日的公允价值。编制合并财务报表时，以购买日确定的各项可辨认资产、负债及或有负债的公允价值为基础对子公司</w:t>
      </w:r>
      <w:r>
        <w:rPr>
          <w:spacing w:val="-66"/>
        </w:rPr>
        <w:t> </w:t>
      </w:r>
      <w:r>
        <w:rPr>
          <w:spacing w:val="-66"/>
        </w:rPr>
      </w:r>
      <w:r>
        <w:rPr/>
        <w:t>的财务报表进行调整，按照本公司制定的“合并财务报表”会计政策执行。</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6、合并财务报表的编制方法" w:id="180"/>
      <w:bookmarkEnd w:id="180"/>
      <w:r>
        <w:rPr>
          <w:b w:val="0"/>
          <w:bCs w:val="0"/>
        </w:rPr>
      </w:r>
      <w:r>
        <w:rPr>
          <w:rFonts w:ascii="宋体" w:hAnsi="宋体" w:cs="宋体" w:eastAsia="宋体" w:hint="default"/>
        </w:rPr>
        <w:t>6</w:t>
      </w:r>
      <w:r>
        <w:rPr/>
        <w:t>、合并财务报表的编制方法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1118"/>
        <w:jc w:val="left"/>
      </w:pPr>
      <w:r>
        <w:rPr/>
        <w:t>（</w:t>
      </w:r>
      <w:r>
        <w:rPr>
          <w:rFonts w:ascii="宋体" w:hAnsi="宋体" w:cs="宋体" w:eastAsia="宋体" w:hint="default"/>
        </w:rPr>
        <w:t>1</w:t>
      </w:r>
      <w:r>
        <w:rPr/>
        <w:t>）合并范围 </w:t>
      </w:r>
      <w:r>
        <w:rPr>
          <w:spacing w:val="-2"/>
        </w:rPr>
        <w:t>合并财务报表的合并范围以控制为基础予以确定，包括本公司及全部子公司截至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日止的年度财务报表。子</w:t>
      </w:r>
    </w:p>
    <w:p>
      <w:pPr>
        <w:pStyle w:val="BodyText"/>
        <w:spacing w:line="224" w:lineRule="exact"/>
        <w:ind w:right="0"/>
        <w:jc w:val="both"/>
      </w:pPr>
      <w:r>
        <w:rPr/>
        <w:t>公司，是指被本公司控制的主体（含企业、被投资单位中可分割的部分，以及本公司所控制的结构化主体等）。控制，是指</w:t>
      </w:r>
    </w:p>
    <w:p>
      <w:pPr>
        <w:pStyle w:val="BodyText"/>
        <w:spacing w:line="319" w:lineRule="auto" w:before="76"/>
        <w:ind w:right="1132"/>
        <w:jc w:val="both"/>
      </w:pPr>
      <w:r>
        <w:rPr>
          <w:spacing w:val="-2"/>
        </w:rPr>
        <w:t>投资方拥有对被投资方的权力，通过参与被投资方的相关活动而享有可变回报，并且有能力运用对被投资方的权力影响其回</w:t>
      </w:r>
      <w:r>
        <w:rPr>
          <w:spacing w:val="-64"/>
        </w:rPr>
        <w:t> </w:t>
      </w:r>
      <w:r>
        <w:rPr>
          <w:spacing w:val="-64"/>
        </w:rPr>
      </w:r>
      <w:r>
        <w:rPr/>
        <w:t>报金额。</w:t>
      </w:r>
    </w:p>
    <w:p>
      <w:pPr>
        <w:pStyle w:val="BodyText"/>
        <w:spacing w:line="357" w:lineRule="auto" w:before="56"/>
        <w:ind w:left="1494" w:right="3552"/>
        <w:jc w:val="left"/>
      </w:pPr>
      <w:r>
        <w:rPr/>
        <w:t>（</w:t>
      </w:r>
      <w:r>
        <w:rPr>
          <w:rFonts w:ascii="宋体" w:hAnsi="宋体" w:cs="宋体" w:eastAsia="宋体" w:hint="default"/>
        </w:rPr>
        <w:t>2</w:t>
      </w:r>
      <w:r>
        <w:rPr/>
        <w:t>）合并财务报表编制方法 本公司以自身和其子公司的财务报表为基础，根据其他有关资料，编制合并财务报表。</w:t>
      </w:r>
    </w:p>
    <w:p>
      <w:pPr>
        <w:pStyle w:val="BodyText"/>
        <w:spacing w:line="319" w:lineRule="auto" w:before="28"/>
        <w:ind w:left="1133" w:right="1131" w:firstLine="360"/>
        <w:jc w:val="both"/>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319" w:lineRule="auto" w:before="55"/>
        <w:ind w:left="1133"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57" w:lineRule="auto" w:before="56"/>
        <w:ind w:left="1493" w:right="0"/>
        <w:jc w:val="left"/>
      </w:pPr>
      <w:r>
        <w:rPr/>
        <w:t>（</w:t>
      </w:r>
      <w:r>
        <w:rPr>
          <w:rFonts w:ascii="宋体" w:hAnsi="宋体" w:cs="宋体" w:eastAsia="宋体" w:hint="default"/>
        </w:rPr>
        <w:t>3</w:t>
      </w:r>
      <w:r>
        <w:rPr/>
        <w:t>）少数股东权益和损益的列报 </w:t>
      </w:r>
      <w:r>
        <w:rPr>
          <w:spacing w:val="-2"/>
        </w:rPr>
        <w:t>子公司所有者权益中不属于母公司的份额，作为少数股东权益，在合并资产负债表中所有者权益项目下以“少数股东权</w:t>
      </w:r>
    </w:p>
    <w:p>
      <w:pPr>
        <w:spacing w:after="0" w:line="357"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3" w:right="1753" w:hanging="360"/>
        <w:jc w:val="left"/>
      </w:pPr>
      <w:r>
        <w:rPr/>
        <w:t>益”项目列示。 子公司当期净损益中属于少数股东权益的份额，在合并利润表中净利润项目下以“少数股东损益”项目列示。</w:t>
      </w:r>
    </w:p>
    <w:p>
      <w:pPr>
        <w:pStyle w:val="BodyText"/>
        <w:spacing w:line="357" w:lineRule="auto" w:before="29"/>
        <w:ind w:left="1494" w:right="0"/>
        <w:jc w:val="left"/>
      </w:pPr>
      <w:r>
        <w:rPr/>
        <w:t>（</w:t>
      </w:r>
      <w:r>
        <w:rPr>
          <w:rFonts w:ascii="宋体" w:hAnsi="宋体" w:cs="宋体" w:eastAsia="宋体" w:hint="default"/>
        </w:rPr>
        <w:t>4</w:t>
      </w:r>
      <w:r>
        <w:rPr/>
        <w:t>）超额亏损的处理 </w:t>
      </w:r>
      <w:r>
        <w:rPr>
          <w:spacing w:val="-2"/>
        </w:rPr>
        <w:t>在合并财务报表中，子公司少数股东分担的当期亏损超过了少数股东在该子公司期初所有者权益中所享有的份额的，其</w:t>
      </w:r>
    </w:p>
    <w:p>
      <w:pPr>
        <w:pStyle w:val="BodyText"/>
        <w:spacing w:line="225" w:lineRule="exact"/>
        <w:ind w:right="0"/>
        <w:jc w:val="both"/>
      </w:pPr>
      <w:r>
        <w:rPr/>
        <w:t>余额仍冲减少数股东权益。</w:t>
      </w:r>
    </w:p>
    <w:p>
      <w:pPr>
        <w:pStyle w:val="BodyText"/>
        <w:spacing w:line="357" w:lineRule="auto" w:before="116"/>
        <w:ind w:left="1493" w:right="0"/>
        <w:jc w:val="left"/>
      </w:pPr>
      <w:r>
        <w:rPr/>
        <w:t>（</w:t>
      </w:r>
      <w:r>
        <w:rPr>
          <w:rFonts w:ascii="宋体" w:hAnsi="宋体" w:cs="宋体" w:eastAsia="宋体" w:hint="default"/>
        </w:rPr>
        <w:t>5</w:t>
      </w:r>
      <w:r>
        <w:rPr/>
        <w:t>）当期增加减少子公司的合并报表处理 </w:t>
      </w:r>
      <w:r>
        <w:rPr>
          <w:spacing w:val="-2"/>
        </w:rPr>
        <w:t>在报告期内，因同一控制下企业合并增加的子公司，编制合并资产负债表时，调整合并资产负债表的年初余额。因非同</w:t>
      </w:r>
    </w:p>
    <w:p>
      <w:pPr>
        <w:pStyle w:val="BodyText"/>
        <w:spacing w:line="224" w:lineRule="exact"/>
        <w:ind w:left="1133" w:right="0"/>
        <w:jc w:val="both"/>
      </w:pPr>
      <w:r>
        <w:rPr/>
        <w:t>一控制下企业合并增加的子公司，编制合并资产负债表时，不调整合并资产负债表的年初余额。在报告期内处置子公司，编</w:t>
      </w:r>
    </w:p>
    <w:p>
      <w:pPr>
        <w:pStyle w:val="BodyText"/>
        <w:spacing w:line="357" w:lineRule="auto" w:before="77"/>
        <w:ind w:left="1494" w:right="0" w:hanging="360"/>
        <w:jc w:val="left"/>
      </w:pPr>
      <w:r>
        <w:rPr/>
        <w:t>制合并资产负债表时，不调整合并资产负债表的年初余额。 </w:t>
      </w:r>
      <w:r>
        <w:rPr>
          <w:spacing w:val="-2"/>
        </w:rPr>
        <w:t>在报告期内，因同一控制下企业合并增加的子公司，将该子公司在合并当期的期初至报告期末的收入、费用、利润纳入</w:t>
      </w:r>
    </w:p>
    <w:p>
      <w:pPr>
        <w:pStyle w:val="BodyText"/>
        <w:spacing w:line="224" w:lineRule="exact"/>
        <w:ind w:right="0"/>
        <w:jc w:val="both"/>
      </w:pPr>
      <w:r>
        <w:rPr/>
        <w:t>合并利润表</w:t>
      </w:r>
      <w:r>
        <w:rPr>
          <w:spacing w:val="-87"/>
        </w:rPr>
        <w:t>，</w:t>
      </w:r>
      <w:r>
        <w:rPr/>
        <w:t>将该子公司合并当期期初至报告期末的现金流量纳入合并现金流量表</w:t>
      </w:r>
      <w:r>
        <w:rPr>
          <w:spacing w:val="-87"/>
        </w:rPr>
        <w:t>。</w:t>
      </w:r>
      <w:r>
        <w:rPr/>
        <w:t>因非同一控制下企业合并增加的子公司，</w:t>
      </w:r>
    </w:p>
    <w:p>
      <w:pPr>
        <w:pStyle w:val="BodyText"/>
        <w:spacing w:line="319" w:lineRule="auto" w:before="76"/>
        <w:ind w:right="1132"/>
        <w:jc w:val="both"/>
      </w:pPr>
      <w:r>
        <w:rPr>
          <w:spacing w:val="-2"/>
        </w:rPr>
        <w:t>将该子公司自购买日至报告期末的收入、费用、利润纳入合并利润表，将该子公司购买日至报告期末的现金流量纳入合并现</w:t>
      </w:r>
      <w:r>
        <w:rPr>
          <w:spacing w:val="-66"/>
        </w:rPr>
        <w:t> </w:t>
      </w:r>
      <w:r>
        <w:rPr>
          <w:spacing w:val="-66"/>
        </w:rPr>
      </w:r>
      <w:r>
        <w:rPr>
          <w:spacing w:val="-2"/>
        </w:rPr>
        <w:t>金流量表。在报告期内处置子公司，将该子公司期初至处置日的收入、费用、利润纳入合并利润表，将该子公司期初至处置</w:t>
      </w:r>
      <w:r>
        <w:rPr>
          <w:spacing w:val="-66"/>
        </w:rPr>
        <w:t> </w:t>
      </w:r>
      <w:r>
        <w:rPr>
          <w:spacing w:val="-66"/>
        </w:rPr>
      </w:r>
      <w:r>
        <w:rPr/>
        <w:t>日的现金流量纳入合并现金流量表。</w:t>
      </w:r>
    </w:p>
    <w:p>
      <w:pPr>
        <w:pStyle w:val="BodyText"/>
        <w:spacing w:line="319" w:lineRule="auto" w:before="55"/>
        <w:ind w:right="1032" w:firstLine="360"/>
        <w:jc w:val="left"/>
      </w:pPr>
      <w:r>
        <w:rPr>
          <w:spacing w:val="-2"/>
        </w:rPr>
        <w:t>因处置部分股权投资或其他原因丧失了对原有子公司控制权时，对于处置后的剩余股权投资，按照其在丧失控制权日的</w:t>
      </w:r>
      <w:r>
        <w:rPr/>
        <w:t> </w:t>
      </w:r>
      <w:r>
        <w:rPr>
          <w:spacing w:val="-2"/>
        </w:rPr>
        <w:t>公允价值进行重新计量。处置股权取得的对价与剩余股权公允价值之和，减去按原持股比例计算应享有原有子公司自购买日</w:t>
      </w:r>
      <w:r>
        <w:rPr>
          <w:spacing w:val="-64"/>
        </w:rPr>
        <w:t> </w:t>
      </w:r>
      <w:r>
        <w:rPr>
          <w:spacing w:val="-64"/>
        </w:rPr>
      </w:r>
      <w:r>
        <w:rPr/>
        <w:t>开始持续计算的净资产的份额之间的差额，计入丧失控制权当期的投资收益。与原有子公司股权投资相关的其他综合收益，</w:t>
      </w:r>
      <w:r>
        <w:rPr>
          <w:spacing w:val="-85"/>
        </w:rPr>
        <w:t> </w:t>
      </w:r>
      <w:r>
        <w:rPr>
          <w:spacing w:val="-85"/>
        </w:rPr>
      </w:r>
      <w:r>
        <w:rPr/>
        <w:t>在丧失控制权时转为当期投资收益。</w:t>
      </w:r>
    </w:p>
    <w:p>
      <w:pPr>
        <w:pStyle w:val="BodyText"/>
        <w:spacing w:line="319" w:lineRule="auto" w:before="56"/>
        <w:ind w:right="1131" w:firstLine="360"/>
        <w:jc w:val="both"/>
      </w:pPr>
      <w:r>
        <w:rPr>
          <w:spacing w:val="-2"/>
        </w:rPr>
        <w:t>因购买少数股权新取得的长期股权投资与按照新增持股比例计算应享有子公司的可辨认净资产份额之间的差额，以及在</w:t>
      </w:r>
      <w:r>
        <w:rPr/>
        <w:t> 不丧失控制权的情况下因部分处置对子公司的股权投资而取得的处置价款与处置长期股权投资相对应享有子公司净资产份</w:t>
      </w:r>
      <w:r>
        <w:rPr>
          <w:spacing w:val="-9"/>
        </w:rPr>
        <w:t> </w:t>
      </w:r>
      <w:r>
        <w:rPr>
          <w:spacing w:val="-9"/>
        </w:rPr>
      </w:r>
      <w:r>
        <w:rPr/>
        <w:t>额的差额，均调整合并资产负债表中的资本公积中的股本溢价，资本公积中的股本溢价不足冲减的，调整留存收益。</w:t>
      </w:r>
    </w:p>
    <w:p>
      <w:pPr>
        <w:pStyle w:val="BodyText"/>
        <w:spacing w:line="357" w:lineRule="auto" w:before="57"/>
        <w:ind w:left="1494" w:right="0"/>
        <w:jc w:val="left"/>
      </w:pPr>
      <w:r>
        <w:rPr/>
        <w:t>（</w:t>
      </w:r>
      <w:r>
        <w:rPr>
          <w:rFonts w:ascii="宋体" w:hAnsi="宋体" w:cs="宋体" w:eastAsia="宋体" w:hint="default"/>
        </w:rPr>
        <w:t>6</w:t>
      </w:r>
      <w:r>
        <w:rPr/>
        <w:t>）分步处置股权至丧失控制权的合并报表处理 </w:t>
      </w:r>
      <w:r>
        <w:rPr>
          <w:spacing w:val="-2"/>
        </w:rPr>
        <w:t>处置对子公司股权投资直至丧失控制权的各项交易属于一揽子交易的，将各项交易作为一项处置子公司并丧失控制权的</w:t>
      </w:r>
    </w:p>
    <w:p>
      <w:pPr>
        <w:pStyle w:val="BodyText"/>
        <w:spacing w:line="224" w:lineRule="exact"/>
        <w:ind w:right="0"/>
        <w:jc w:val="both"/>
      </w:pPr>
      <w:r>
        <w:rPr/>
        <w:t>交易进行会计处理；但是，在丧失控制权之前每一次处置价款与处置投资对应的享有该子公司净资产份额的差额，在合并财</w:t>
      </w:r>
    </w:p>
    <w:p>
      <w:pPr>
        <w:pStyle w:val="BodyText"/>
        <w:spacing w:line="319" w:lineRule="auto" w:before="76"/>
        <w:ind w:right="1131"/>
        <w:jc w:val="both"/>
      </w:pPr>
      <w:r>
        <w:rPr>
          <w:spacing w:val="-2"/>
        </w:rPr>
        <w:t>务报表中确认为其他综合收益，在丧失控制权时一并转入丧失控制权当期的损益。不属于一揽子交易的，在丧失控制权之前</w:t>
      </w:r>
      <w:r>
        <w:rPr>
          <w:spacing w:val="-66"/>
        </w:rPr>
        <w:t> </w:t>
      </w:r>
      <w:r>
        <w:rPr>
          <w:spacing w:val="-66"/>
        </w:rPr>
      </w:r>
      <w:r>
        <w:rPr>
          <w:spacing w:val="-2"/>
        </w:rPr>
        <w:t>与丧失控制权时，按照前述不丧失控制权的情况下部分处置对子公司的股权投资与丧失对原有子公司控制权时的会计政策实</w:t>
      </w:r>
      <w:r>
        <w:rPr>
          <w:spacing w:val="-64"/>
        </w:rPr>
        <w:t> </w:t>
      </w:r>
      <w:r>
        <w:rPr>
          <w:spacing w:val="-64"/>
        </w:rPr>
      </w:r>
      <w:r>
        <w:rPr/>
        <w:t>施会计处理。</w:t>
      </w:r>
    </w:p>
    <w:p>
      <w:pPr>
        <w:pStyle w:val="BodyText"/>
        <w:spacing w:line="319" w:lineRule="auto" w:before="56"/>
        <w:ind w:right="1132" w:firstLine="360"/>
        <w:jc w:val="both"/>
      </w:pPr>
      <w:r>
        <w:rPr>
          <w:spacing w:val="-2"/>
        </w:rPr>
        <w:t>处置对子公司股权投资的各项交易的条款、条件以及经济影响符合以下一种或多种情况，表明将多次交易事项作为一揽</w:t>
      </w:r>
      <w:r>
        <w:rPr/>
        <w:t> </w:t>
      </w:r>
      <w:r>
        <w:rPr>
          <w:spacing w:val="-2"/>
        </w:rPr>
        <w:t>子交易进行会计处理：①这些交易是同时或者在考虑了彼此影响的情况下订立的；②这些交易整体才能达成一项完整的商业</w:t>
      </w:r>
      <w:r>
        <w:rPr>
          <w:spacing w:val="-64"/>
        </w:rPr>
        <w:t> </w:t>
      </w:r>
      <w:r>
        <w:rPr>
          <w:spacing w:val="-64"/>
        </w:rPr>
      </w:r>
      <w:r>
        <w:rPr>
          <w:spacing w:val="-2"/>
        </w:rPr>
        <w:t>结果；③一项交易的发生取决于其他至少一项交易的发生；④一项交易单独看是不经济的，但是和其他交易一并考虑时是经</w:t>
      </w:r>
      <w:r>
        <w:rPr>
          <w:spacing w:val="-66"/>
        </w:rPr>
        <w:t> </w:t>
      </w:r>
      <w:r>
        <w:rPr>
          <w:spacing w:val="-66"/>
        </w:rPr>
      </w:r>
      <w:r>
        <w:rPr/>
        <w:t>济的。</w:t>
      </w:r>
    </w:p>
    <w:p>
      <w:pPr>
        <w:pStyle w:val="BodyText"/>
        <w:spacing w:line="240" w:lineRule="auto" w:before="56"/>
        <w:ind w:left="1494" w:right="0"/>
        <w:jc w:val="left"/>
      </w:pPr>
      <w:r>
        <w:rPr/>
        <w:t>个别财务报表分步处置股权至丧失控制权按照处置长期股权投资的会计政策实施会计处理。</w:t>
      </w:r>
    </w:p>
    <w:p>
      <w:pPr>
        <w:spacing w:line="240" w:lineRule="auto" w:before="10"/>
        <w:rPr>
          <w:rFonts w:ascii="宋体" w:hAnsi="宋体" w:cs="宋体" w:eastAsia="宋体" w:hint="default"/>
          <w:sz w:val="26"/>
          <w:szCs w:val="26"/>
        </w:rPr>
      </w:pPr>
    </w:p>
    <w:p>
      <w:pPr>
        <w:pStyle w:val="Heading3"/>
        <w:spacing w:line="240" w:lineRule="auto"/>
        <w:ind w:left="1133" w:right="0"/>
        <w:jc w:val="both"/>
        <w:rPr>
          <w:b w:val="0"/>
          <w:bCs w:val="0"/>
        </w:rPr>
      </w:pPr>
      <w:bookmarkStart w:name="7、合营安排分类及共同经营会计处理方法" w:id="181"/>
      <w:bookmarkEnd w:id="181"/>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）合营安排的分类 </w:t>
      </w:r>
      <w:r>
        <w:rPr>
          <w:spacing w:val="-2"/>
        </w:rPr>
        <w:t>合营安排，是指一项由两个或两个以上的参与方共同控制的安排。本公司将合营安排分为共同经营和合营企业。共同经</w:t>
      </w:r>
    </w:p>
    <w:p>
      <w:pPr>
        <w:pStyle w:val="BodyText"/>
        <w:spacing w:line="224" w:lineRule="exact"/>
        <w:ind w:right="0"/>
        <w:jc w:val="both"/>
      </w:pPr>
      <w:r>
        <w:rPr/>
        <w:t>营，是指合营方享有该安排相关资产且承担该安排相关负债的合营安排。合营企业，是指合营方仅对该安排的净资产享有权</w:t>
      </w:r>
    </w:p>
    <w:p>
      <w:pPr>
        <w:pStyle w:val="BodyText"/>
        <w:spacing w:line="357" w:lineRule="auto" w:before="77"/>
        <w:ind w:left="1493" w:right="1118" w:hanging="360"/>
        <w:jc w:val="left"/>
      </w:pPr>
      <w:r>
        <w:rPr/>
        <w:t>利的合营安排。 </w:t>
      </w:r>
      <w:r>
        <w:rPr>
          <w:spacing w:val="-2"/>
        </w:rPr>
        <w:t>未通过单独主体达成的合营安排，划分为共同经营。单独主体，是指具有单独可辨认的财务架构的主体，包括单独的法</w:t>
      </w:r>
    </w:p>
    <w:p>
      <w:pPr>
        <w:pStyle w:val="BodyText"/>
        <w:spacing w:line="224" w:lineRule="exact"/>
        <w:ind w:left="1133" w:right="0"/>
        <w:jc w:val="both"/>
      </w:pPr>
      <w:r>
        <w:rPr/>
        <w:t>人主体和不具备法人主体资格但法律认可的主体。通过单独主体达成的合营安排，通常划分为合营企业，但有确凿证据表明</w:t>
      </w:r>
    </w:p>
    <w:p>
      <w:pPr>
        <w:pStyle w:val="BodyText"/>
        <w:spacing w:line="316" w:lineRule="auto" w:before="76"/>
        <w:ind w:left="1133" w:right="1132"/>
        <w:jc w:val="both"/>
      </w:pPr>
      <w:r>
        <w:rPr>
          <w:spacing w:val="-2"/>
        </w:rPr>
        <w:t>满足下列任一条件并且符合相关法律法规规定的合营安排应当划分为共同经营：合营安排的法律形式表明，合营方对该安排</w:t>
      </w:r>
      <w:r>
        <w:rPr>
          <w:spacing w:val="-64"/>
        </w:rPr>
        <w:t> </w:t>
      </w:r>
      <w:r>
        <w:rPr>
          <w:spacing w:val="-64"/>
        </w:rPr>
      </w:r>
      <w:r>
        <w:rPr>
          <w:spacing w:val="-2"/>
        </w:rPr>
        <w:t>中的相关资产和负债分别享有权利和承担义务；合营安排的合同条款约定，合营方对该安排中的相关资产和负债分别享有权</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0"/>
        <w:jc w:val="left"/>
      </w:pPr>
      <w:r>
        <w:rPr/>
        <w:t>利和承担义务；其他相关事实和情况表明，合营方对该安排中的相关资产和负债分别享有权利和承担义务，如合营方享有与 合营安排相关的几乎所有产出，并且该安排中负债的清偿持续依赖于合营方的支持。不能仅凭合营方对合营安排提供债务担 </w:t>
      </w:r>
      <w:r>
        <w:rPr>
          <w:spacing w:val="-4"/>
        </w:rPr>
        <w:t>保即将其视为合营方承担该安排相关负债。合营方承担向合营安排支付认缴出资义务的，不视为合营方承担该安排相关负债。</w:t>
      </w:r>
      <w:r>
        <w:rPr>
          <w:spacing w:val="-44"/>
        </w:rPr>
        <w:t> </w:t>
      </w:r>
      <w:r>
        <w:rPr>
          <w:spacing w:val="-44"/>
        </w:rPr>
      </w:r>
      <w:r>
        <w:rPr>
          <w:spacing w:val="-2"/>
        </w:rPr>
        <w:t>相关事实和情况变化导致合营方在合营安排中享有的权利和承担的义务发生变化的，本公司对合营安排的分类进行重新评估。</w:t>
      </w:r>
      <w:r>
        <w:rPr>
          <w:spacing w:val="-62"/>
        </w:rPr>
        <w:t> </w:t>
      </w:r>
      <w:r>
        <w:rPr>
          <w:spacing w:val="-62"/>
        </w:rPr>
      </w:r>
      <w:r>
        <w:rPr/>
        <w:t>对于为完成不同活动而设立多项合营安排的一个框架性协议，本公司分别确定各项合营安排的分类。</w:t>
      </w:r>
    </w:p>
    <w:p>
      <w:pPr>
        <w:pStyle w:val="BodyText"/>
        <w:spacing w:line="240" w:lineRule="auto" w:before="56"/>
        <w:ind w:left="1493" w:right="0"/>
        <w:jc w:val="left"/>
      </w:pPr>
      <w:r>
        <w:rPr/>
        <w:t>确定共同控制的依据及对合营企业的计量的会计政策详见本附注五、</w:t>
      </w:r>
      <w:r>
        <w:rPr>
          <w:rFonts w:ascii="宋体" w:hAnsi="宋体" w:cs="宋体" w:eastAsia="宋体" w:hint="default"/>
        </w:rPr>
        <w:t>14</w:t>
      </w:r>
      <w:r>
        <w:rPr/>
        <w:t>。</w:t>
      </w:r>
    </w:p>
    <w:p>
      <w:pPr>
        <w:pStyle w:val="BodyText"/>
        <w:spacing w:line="357" w:lineRule="auto" w:before="117"/>
        <w:ind w:left="1494" w:right="0"/>
        <w:jc w:val="left"/>
      </w:pPr>
      <w:r>
        <w:rPr/>
        <w:t>（</w:t>
      </w:r>
      <w:r>
        <w:rPr>
          <w:rFonts w:ascii="宋体" w:hAnsi="宋体" w:cs="宋体" w:eastAsia="宋体" w:hint="default"/>
        </w:rPr>
        <w:t>2</w:t>
      </w:r>
      <w:r>
        <w:rPr/>
        <w:t>）共同经营的会计处理方法 </w:t>
      </w:r>
      <w:r>
        <w:rPr>
          <w:spacing w:val="-2"/>
        </w:rPr>
        <w:t>本公司确认其与共同经营中利益份额相关的下列项目，并按照相关企业会计准则的规定进行会计处理：确认单独所持有</w:t>
      </w:r>
    </w:p>
    <w:p>
      <w:pPr>
        <w:pStyle w:val="BodyText"/>
        <w:spacing w:line="224" w:lineRule="exact"/>
        <w:ind w:right="0"/>
        <w:jc w:val="left"/>
      </w:pPr>
      <w:r>
        <w:rPr/>
        <w:t>的资产，以及按其份额确认共同持有的资产；确认单独所承担的负债，以及按其份额确认共同承担的负债；确认出售其享有</w:t>
      </w:r>
    </w:p>
    <w:p>
      <w:pPr>
        <w:pStyle w:val="BodyText"/>
        <w:spacing w:line="319" w:lineRule="auto" w:before="76"/>
        <w:ind w:right="0"/>
        <w:jc w:val="left"/>
      </w:pPr>
      <w:r>
        <w:rPr>
          <w:spacing w:val="-2"/>
        </w:rPr>
        <w:t>的共同经营产出份额所产生的收入；按其份额确认共同经营因出售产出所产生的收入；确认单独所发生的费用，以及按其份</w:t>
      </w:r>
      <w:r>
        <w:rPr>
          <w:spacing w:val="-66"/>
        </w:rPr>
        <w:t> </w:t>
      </w:r>
      <w:r>
        <w:rPr>
          <w:spacing w:val="-66"/>
        </w:rPr>
      </w:r>
      <w:r>
        <w:rPr/>
        <w:t>额确认共同经营发生的费用。</w:t>
      </w:r>
    </w:p>
    <w:p>
      <w:pPr>
        <w:pStyle w:val="BodyText"/>
        <w:spacing w:line="319" w:lineRule="auto" w:before="55"/>
        <w:ind w:left="1133" w:right="1129" w:firstLine="360"/>
        <w:jc w:val="both"/>
      </w:pPr>
      <w:r>
        <w:rPr>
          <w:spacing w:val="-2"/>
        </w:rPr>
        <w:t>本公司向共同经营投出或出售资产等（该资产构成业务的除外），在该资产等由共同经营出售给第三方之前，仅确认因</w:t>
      </w:r>
      <w:r>
        <w:rPr/>
        <w:t> 该交易产生的损益中归属于共同经营其他参与方的部分。投出或出售的资产发生符合《企业会计准则第</w:t>
      </w:r>
      <w:r>
        <w:rPr>
          <w:rFonts w:ascii="宋体" w:hAnsi="宋体" w:cs="宋体" w:eastAsia="宋体" w:hint="default"/>
        </w:rPr>
        <w:t>8</w:t>
      </w:r>
      <w:r>
        <w:rPr/>
        <w:t>号——资产减值》</w:t>
      </w:r>
      <w:r>
        <w:rPr>
          <w:spacing w:val="-82"/>
        </w:rPr>
        <w:t> </w:t>
      </w:r>
      <w:r>
        <w:rPr>
          <w:spacing w:val="-82"/>
        </w:rPr>
      </w:r>
      <w:r>
        <w:rPr>
          <w:spacing w:val="-2"/>
        </w:rPr>
        <w:t>等规定的资产减值损失的，本公司全额确认该损失。本公司自共同经营购买资产等（该资产构成业务的除外），在将该资产</w:t>
      </w:r>
      <w:r>
        <w:rPr>
          <w:spacing w:val="-66"/>
        </w:rPr>
        <w:t> </w:t>
      </w:r>
      <w:r>
        <w:rPr>
          <w:spacing w:val="-66"/>
        </w:rPr>
      </w:r>
      <w:r>
        <w:rPr>
          <w:spacing w:val="-2"/>
        </w:rPr>
        <w:t>等出售给第三方之前，仅确认因该交易产生的损益中归属于共同经营其他参与方的部分。购入的资产发生符合《企业会计准</w:t>
      </w:r>
      <w:r>
        <w:rPr>
          <w:spacing w:val="-66"/>
        </w:rPr>
        <w:t> </w:t>
      </w:r>
      <w:r>
        <w:rPr>
          <w:spacing w:val="-66"/>
        </w:rPr>
      </w:r>
      <w:r>
        <w:rPr/>
        <w:t>则第</w:t>
      </w:r>
      <w:r>
        <w:rPr>
          <w:rFonts w:ascii="宋体" w:hAnsi="宋体" w:cs="宋体" w:eastAsia="宋体" w:hint="default"/>
        </w:rPr>
        <w:t>8</w:t>
      </w:r>
      <w:r>
        <w:rPr/>
        <w:t>号——资产减值》等规定的资产减值损失的，本公司按其承担的份额确认该部分损失。</w:t>
      </w:r>
    </w:p>
    <w:p>
      <w:pPr>
        <w:pStyle w:val="BodyText"/>
        <w:spacing w:line="319" w:lineRule="auto" w:before="56"/>
        <w:ind w:left="1133" w:right="1132" w:firstLine="360"/>
        <w:jc w:val="both"/>
      </w:pPr>
      <w:r>
        <w:rPr>
          <w:spacing w:val="-2"/>
        </w:rPr>
        <w:t>本公司属于对共同经营不享有共同控制的参与方的，如果享有该共同经营相关资产且承担该共同经营相关负债的，按照</w:t>
      </w:r>
      <w:r>
        <w:rPr/>
        <w:t> 上述原则进行会计处理；否则，按照本公司制定的金融工具或长期股权投资计量的会计政策进行会计处理。</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8、现金及现金等价物的确定标准" w:id="182"/>
      <w:bookmarkEnd w:id="182"/>
      <w:r>
        <w:rPr>
          <w:b w:val="0"/>
          <w:bCs w:val="0"/>
        </w:rPr>
      </w:r>
      <w:r>
        <w:rPr>
          <w:rFonts w:ascii="宋体" w:hAnsi="宋体" w:cs="宋体" w:eastAsia="宋体" w:hint="default"/>
        </w:rPr>
        <w:t>8</w:t>
      </w:r>
      <w:r>
        <w:rPr/>
        <w:t>、现金及现金等价物的确定标准</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133" w:right="1133" w:firstLine="360"/>
        <w:jc w:val="both"/>
      </w:pPr>
      <w:r>
        <w:rPr>
          <w:spacing w:val="-2"/>
        </w:rPr>
        <w:t>本公司现金包括库存现金、可以随时用于支付的存款；现金等价物包括本公司持有的期限短（一般指从购买日起三个月</w:t>
      </w:r>
      <w:r>
        <w:rPr/>
        <w:t> 内到期）、流动性强、易于转换为已知金额现金、价值变动风险很小的投资。</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9、外币业务和外币报表折算" w:id="183"/>
      <w:bookmarkEnd w:id="183"/>
      <w:r>
        <w:rPr>
          <w:b w:val="0"/>
          <w:bCs w:val="0"/>
        </w:rPr>
      </w:r>
      <w:r>
        <w:rPr>
          <w:rFonts w:ascii="宋体" w:hAnsi="宋体" w:cs="宋体" w:eastAsia="宋体" w:hint="default"/>
        </w:rPr>
        <w:t>9</w:t>
      </w:r>
      <w:r>
        <w:rPr/>
        <w:t>、外币业务和外币报表折算</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本公司外币交易均按交易发生日的即期汇率或即期汇率的近似汇率折算为记账本位币。</w:t>
      </w:r>
    </w:p>
    <w:p>
      <w:pPr>
        <w:pStyle w:val="BodyText"/>
        <w:spacing w:line="357" w:lineRule="auto" w:before="116"/>
        <w:ind w:left="1494" w:right="0"/>
        <w:jc w:val="left"/>
      </w:pPr>
      <w:r>
        <w:rPr/>
        <w:t>（</w:t>
      </w:r>
      <w:r>
        <w:rPr>
          <w:rFonts w:ascii="宋体" w:hAnsi="宋体" w:cs="宋体" w:eastAsia="宋体" w:hint="default"/>
        </w:rPr>
        <w:t>1</w:t>
      </w:r>
      <w:r>
        <w:rPr/>
        <w:t>）汇兑差额的处理 </w:t>
      </w:r>
      <w:r>
        <w:rPr>
          <w:spacing w:val="-2"/>
        </w:rPr>
        <w:t>在资产负债表日，按照下列规定对外币货币性项目和外币非货币性项目进行处理：外币货币性项目，采用资产负债表日</w:t>
      </w:r>
    </w:p>
    <w:p>
      <w:pPr>
        <w:pStyle w:val="BodyText"/>
        <w:spacing w:line="224" w:lineRule="exact"/>
        <w:ind w:right="0"/>
        <w:jc w:val="left"/>
      </w:pPr>
      <w:r>
        <w:rPr/>
        <w:t>即期汇率折算</w:t>
      </w:r>
      <w:r>
        <w:rPr>
          <w:spacing w:val="-82"/>
        </w:rPr>
        <w:t>。</w:t>
      </w:r>
      <w:r>
        <w:rPr/>
        <w:t>因资产负债表日即期汇率与初始确认时或前一资产负债表日即期汇率或即期汇率的近似汇率不同而产生的汇</w:t>
      </w:r>
    </w:p>
    <w:p>
      <w:pPr>
        <w:pStyle w:val="BodyText"/>
        <w:spacing w:line="319" w:lineRule="auto" w:before="76"/>
        <w:ind w:right="1032"/>
        <w:jc w:val="left"/>
      </w:pPr>
      <w:r>
        <w:rPr/>
        <w:t>兑差额，计入当期损益；以历史成本计量的外币非货币性项目，仍采用交易发生日的即期汇率或即期汇率的近似汇率折算，</w:t>
      </w:r>
      <w:r>
        <w:rPr>
          <w:spacing w:val="-85"/>
        </w:rPr>
        <w:t> </w:t>
      </w:r>
      <w:r>
        <w:rPr>
          <w:spacing w:val="-85"/>
        </w:rPr>
      </w:r>
      <w:r>
        <w:rPr>
          <w:spacing w:val="-2"/>
        </w:rPr>
        <w:t>不改变其记账本位币金额；以公允价值计量的外币非货币性项目，采用公允价值确定日的即期汇率或即期汇率的近似汇率折</w:t>
      </w:r>
      <w:r>
        <w:rPr>
          <w:spacing w:val="-64"/>
        </w:rPr>
        <w:t> </w:t>
      </w:r>
      <w:r>
        <w:rPr>
          <w:spacing w:val="-64"/>
        </w:rPr>
      </w:r>
      <w:r>
        <w:rPr>
          <w:spacing w:val="-2"/>
        </w:rPr>
        <w:t>算，折算后的记账本位币金额与原记账本位币金额的差额，作为公允价值变动（含汇率变动）处理，计入当期损益；在资本</w:t>
      </w:r>
      <w:r>
        <w:rPr>
          <w:spacing w:val="-68"/>
        </w:rPr>
        <w:t> </w:t>
      </w:r>
      <w:r>
        <w:rPr>
          <w:spacing w:val="-68"/>
        </w:rPr>
      </w:r>
      <w:r>
        <w:rPr/>
        <w:t>化期间内，外币专门借款本金及利息的汇兑差额，予以资本化，计入符合资本化条件的资产的成本。</w:t>
      </w:r>
    </w:p>
    <w:p>
      <w:pPr>
        <w:pStyle w:val="BodyText"/>
        <w:spacing w:line="357" w:lineRule="auto" w:before="58"/>
        <w:ind w:left="1494" w:right="0"/>
        <w:jc w:val="left"/>
      </w:pPr>
      <w:r>
        <w:rPr/>
        <w:t>（</w:t>
      </w:r>
      <w:r>
        <w:rPr>
          <w:rFonts w:ascii="宋体" w:hAnsi="宋体" w:cs="宋体" w:eastAsia="宋体" w:hint="default"/>
        </w:rPr>
        <w:t>2</w:t>
      </w:r>
      <w:r>
        <w:rPr/>
        <w:t>）外币财务报表的折算 </w:t>
      </w:r>
      <w:r>
        <w:rPr>
          <w:spacing w:val="-2"/>
        </w:rPr>
        <w:t>本公司对境外经营的财务报表进行折算时，遵循下列规定：资产负债表中的资产和负债项目，采用资产负债表日的即期</w:t>
      </w:r>
    </w:p>
    <w:p>
      <w:pPr>
        <w:pStyle w:val="BodyText"/>
        <w:spacing w:line="224" w:lineRule="exact"/>
        <w:ind w:left="1133" w:right="0"/>
        <w:jc w:val="left"/>
      </w:pPr>
      <w:r>
        <w:rPr/>
        <w:t>汇率折算，所有者权益项目除“未分配利润”项目外，其他项目采用发生时的即期汇率或即期汇率的近似汇率折算；利润表</w:t>
      </w:r>
    </w:p>
    <w:p>
      <w:pPr>
        <w:pStyle w:val="BodyText"/>
        <w:spacing w:line="319" w:lineRule="auto" w:before="76"/>
        <w:ind w:left="1133" w:right="0"/>
        <w:jc w:val="left"/>
      </w:pPr>
      <w:r>
        <w:rPr>
          <w:spacing w:val="-4"/>
        </w:rPr>
        <w:t>中的收入和费用项目，采用交易发生日的即期汇率或即期汇率的近似汇率折算。按照上述折算产生的外币财务报表折算差额，</w:t>
      </w:r>
      <w:r>
        <w:rPr>
          <w:spacing w:val="-44"/>
        </w:rPr>
        <w:t> </w:t>
      </w:r>
      <w:r>
        <w:rPr>
          <w:spacing w:val="-44"/>
        </w:rPr>
      </w:r>
      <w:r>
        <w:rPr/>
        <w:t>确认为其他综合收益。比较财务报表的折算比照上述规定处理。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0、金融工具" w:id="184"/>
      <w:bookmarkEnd w:id="184"/>
      <w:r>
        <w:rPr>
          <w:b w:val="0"/>
          <w:bCs w:val="0"/>
        </w:rPr>
      </w:r>
      <w:r>
        <w:rPr>
          <w:rFonts w:ascii="宋体" w:hAnsi="宋体" w:cs="宋体" w:eastAsia="宋体" w:hint="default"/>
        </w:rPr>
        <w:t>10</w:t>
      </w:r>
      <w:r>
        <w:rPr/>
        <w:t>、金融工具</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w:t>
      </w:r>
      <w:r>
        <w:rPr>
          <w:rFonts w:ascii="宋体" w:hAnsi="宋体" w:cs="宋体" w:eastAsia="宋体" w:hint="default"/>
        </w:rPr>
        <w:t>1</w:t>
      </w:r>
      <w:r>
        <w:rPr/>
        <w:t>）金融工具的确认</w:t>
      </w:r>
    </w:p>
    <w:p>
      <w:pPr>
        <w:spacing w:after="0" w:line="240" w:lineRule="auto"/>
        <w:jc w:val="left"/>
        <w:sectPr>
          <w:footerReference w:type="default" r:id="rId36"/>
          <w:pgSz w:w="11910" w:h="16840"/>
          <w:pgMar w:footer="1489" w:header="877" w:top="1100" w:bottom="1680" w:left="0" w:right="0"/>
          <w:pgNumType w:start="86"/>
        </w:sectPr>
      </w:pPr>
    </w:p>
    <w:p>
      <w:pPr>
        <w:spacing w:line="240" w:lineRule="auto" w:before="13"/>
        <w:rPr>
          <w:rFonts w:ascii="宋体" w:hAnsi="宋体" w:cs="宋体" w:eastAsia="宋体" w:hint="default"/>
          <w:sz w:val="21"/>
          <w:szCs w:val="21"/>
        </w:rPr>
      </w:pPr>
    </w:p>
    <w:p>
      <w:pPr>
        <w:pStyle w:val="BodyText"/>
        <w:spacing w:line="240" w:lineRule="auto" w:before="44"/>
        <w:ind w:left="1493" w:right="0"/>
        <w:jc w:val="left"/>
      </w:pPr>
      <w:r>
        <w:rPr/>
        <w:t>本公司成为金融工具合同的一方时，确认一项金融资产或金融负债。</w:t>
      </w:r>
    </w:p>
    <w:p>
      <w:pPr>
        <w:pStyle w:val="BodyText"/>
        <w:spacing w:line="240" w:lineRule="auto" w:before="116"/>
        <w:ind w:left="1493" w:right="0"/>
        <w:jc w:val="left"/>
      </w:pPr>
      <w:r>
        <w:rPr/>
        <w:t>（</w:t>
      </w:r>
      <w:r>
        <w:rPr>
          <w:rFonts w:ascii="宋体" w:hAnsi="宋体" w:cs="宋体" w:eastAsia="宋体" w:hint="default"/>
        </w:rPr>
        <w:t>2</w:t>
      </w:r>
      <w:r>
        <w:rPr/>
        <w:t>）金融资产的分类和计量</w:t>
      </w:r>
    </w:p>
    <w:p>
      <w:pPr>
        <w:pStyle w:val="BodyText"/>
        <w:spacing w:line="319" w:lineRule="auto" w:before="116"/>
        <w:ind w:right="0" w:firstLine="360"/>
        <w:jc w:val="left"/>
      </w:pPr>
      <w:r>
        <w:rPr>
          <w:spacing w:val="-2"/>
        </w:rPr>
        <w:t>①本公司基于风险管理、投资策略及持有金融资产的目的等原因，将持有的金融资产划分为以公允价值计量且其变动计</w:t>
      </w:r>
      <w:r>
        <w:rPr/>
        <w:t> 入当期损益的金融资产、持有至到期投资、贷款和应收款项、可供出售金融资产。</w:t>
      </w:r>
    </w:p>
    <w:p>
      <w:pPr>
        <w:pStyle w:val="BodyText"/>
        <w:spacing w:line="357" w:lineRule="auto" w:before="57"/>
        <w:ind w:left="1494" w:right="0"/>
        <w:jc w:val="left"/>
      </w:pPr>
      <w:r>
        <w:rPr>
          <w:rFonts w:ascii="宋体" w:hAnsi="宋体" w:cs="宋体" w:eastAsia="宋体" w:hint="default"/>
        </w:rPr>
        <w:t>A</w:t>
      </w: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57" w:lineRule="auto"/>
        <w:ind w:left="1494" w:right="0" w:hanging="360"/>
        <w:jc w:val="left"/>
      </w:pPr>
      <w:r>
        <w:rPr/>
        <w:t>计入当期损益的金融资产。 </w:t>
      </w:r>
      <w:r>
        <w:rPr>
          <w:spacing w:val="-2"/>
        </w:rPr>
        <w:t>交易性金融资产是指满足下列条件之一的金融资产：取得该金融资产的目的是为了在短期内出售；属于进行集中管理的</w:t>
      </w:r>
    </w:p>
    <w:p>
      <w:pPr>
        <w:pStyle w:val="BodyText"/>
        <w:spacing w:line="224" w:lineRule="exact"/>
        <w:ind w:right="0"/>
        <w:jc w:val="left"/>
      </w:pPr>
      <w:r>
        <w:rPr/>
        <w:t>可辨认金融工具组合的一部分，且有客观证据表明企业近期采用短期获利方式对该组合进行管理；属于衍生工具，但是，被</w:t>
      </w:r>
    </w:p>
    <w:p>
      <w:pPr>
        <w:pStyle w:val="BodyText"/>
        <w:spacing w:line="319" w:lineRule="auto" w:before="76"/>
        <w:ind w:right="0"/>
        <w:jc w:val="left"/>
      </w:pP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9" w:lineRule="auto" w:before="55"/>
        <w:ind w:right="1131" w:firstLine="360"/>
        <w:jc w:val="both"/>
      </w:pPr>
      <w:r>
        <w:rPr>
          <w:spacing w:val="-2"/>
        </w:rPr>
        <w:t>只有符合以下条件之一，金融资产才可在初始计量时指定为以公允价值计量且变动计入当期损益的金融资产：该项指定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9" w:lineRule="auto" w:before="55"/>
        <w:ind w:right="1118" w:firstLine="360"/>
        <w:jc w:val="left"/>
      </w:pPr>
      <w:r>
        <w:rPr>
          <w:spacing w:val="-2"/>
        </w:rPr>
        <w:t>在活跃市场中没有报价、公允价值不能可靠计量的权益工具投资，不得指定为以公允价值计量且其变动计入当期损益的</w:t>
      </w:r>
      <w:r>
        <w:rPr/>
        <w:t> 金融资产。</w:t>
      </w:r>
    </w:p>
    <w:p>
      <w:pPr>
        <w:pStyle w:val="BodyText"/>
        <w:spacing w:line="357" w:lineRule="auto" w:before="58"/>
        <w:ind w:left="1494" w:right="1117"/>
        <w:jc w:val="left"/>
      </w:pPr>
      <w:r>
        <w:rPr>
          <w:rFonts w:ascii="宋体" w:hAnsi="宋体" w:cs="宋体" w:eastAsia="宋体" w:hint="default"/>
        </w:rPr>
        <w:t>B</w:t>
      </w:r>
      <w:r>
        <w:rPr/>
        <w:t>、持有至到期投资 </w:t>
      </w:r>
      <w:r>
        <w:rPr>
          <w:spacing w:val="-5"/>
        </w:rPr>
        <w:t>持有至到期投资，是指到期日固定、回收金额固定或可确定，且本公司有明确意图和能力持有至到期的非衍生金融资产。</w:t>
      </w:r>
      <w:r>
        <w:rPr/>
        <w:t> </w:t>
      </w:r>
      <w:r>
        <w:rPr>
          <w:rFonts w:ascii="宋体" w:hAnsi="宋体" w:cs="宋体" w:eastAsia="宋体" w:hint="default"/>
        </w:rPr>
        <w:t>C</w:t>
      </w:r>
      <w:r>
        <w:rPr/>
        <w:t>、贷款和应收款项</w:t>
      </w:r>
    </w:p>
    <w:p>
      <w:pPr>
        <w:pStyle w:val="BodyText"/>
        <w:spacing w:line="357" w:lineRule="auto" w:before="29"/>
        <w:ind w:left="1493" w:right="3193"/>
        <w:jc w:val="left"/>
      </w:pPr>
      <w:r>
        <w:rPr/>
        <w:t>贷款和应收款项，是指在活跃市场中没有报价、回收金额固定或可确定的非衍生金融资产。 </w:t>
      </w:r>
      <w:r>
        <w:rPr>
          <w:rFonts w:ascii="宋体" w:hAnsi="宋体" w:cs="宋体" w:eastAsia="宋体" w:hint="default"/>
        </w:rPr>
        <w:t>D</w:t>
      </w:r>
      <w:r>
        <w:rPr/>
        <w:t>、可供出售金融资产</w:t>
      </w:r>
    </w:p>
    <w:p>
      <w:pPr>
        <w:pStyle w:val="BodyText"/>
        <w:spacing w:line="357" w:lineRule="auto" w:before="28"/>
        <w:ind w:left="1494" w:right="1032"/>
        <w:jc w:val="left"/>
      </w:pPr>
      <w:r>
        <w:rPr/>
        <w:t>可供出售金融资产，是指初始确认时即指定为可供出售的非衍生金融资产，以及除上述金融资产类别以外的金融资产。</w:t>
      </w:r>
      <w:r>
        <w:rPr>
          <w:spacing w:val="-85"/>
        </w:rPr>
        <w:t> </w:t>
      </w:r>
      <w:r>
        <w:rPr>
          <w:spacing w:val="-85"/>
        </w:rPr>
      </w:r>
      <w:r>
        <w:rPr>
          <w:spacing w:val="-2"/>
        </w:rPr>
        <w:t>本公司在初始确认时将某金融资产划分为以公允价值计量且其变动计入当期损益的金融资产后，不能重分类为其他类金</w:t>
      </w:r>
    </w:p>
    <w:p>
      <w:pPr>
        <w:pStyle w:val="BodyText"/>
        <w:spacing w:line="225" w:lineRule="exact"/>
        <w:ind w:right="0"/>
        <w:jc w:val="left"/>
      </w:pPr>
      <w:r>
        <w:rPr/>
        <w:t>融资产；其他类金融资产也不能重分类为以公允价值计量且其变动计入当期损益的金融资产。</w:t>
      </w:r>
    </w:p>
    <w:p>
      <w:pPr>
        <w:pStyle w:val="BodyText"/>
        <w:spacing w:line="319" w:lineRule="auto" w:before="115"/>
        <w:ind w:right="0" w:firstLine="360"/>
        <w:jc w:val="left"/>
      </w:pPr>
      <w:r>
        <w:rPr>
          <w:spacing w:val="-2"/>
        </w:rPr>
        <w:t>②金融资产在初始确认时以公允价值计量。对于以公允价值计量且其变动计入当期损益的金融资产，相关交易费用直接</w:t>
      </w:r>
      <w:r>
        <w:rPr/>
        <w:t> 计入当期损益；对于其他类别的金融资产，相关交易费用计入初始确认金额。</w:t>
      </w:r>
    </w:p>
    <w:p>
      <w:pPr>
        <w:pStyle w:val="BodyText"/>
        <w:spacing w:line="357" w:lineRule="auto" w:before="56"/>
        <w:ind w:left="1494" w:right="0"/>
        <w:jc w:val="left"/>
      </w:pPr>
      <w:r>
        <w:rPr/>
        <w:t>③金融资产的后续计量 </w:t>
      </w:r>
      <w:r>
        <w:rPr>
          <w:rFonts w:ascii="宋体" w:hAnsi="宋体" w:cs="宋体" w:eastAsia="宋体" w:hint="default"/>
          <w:spacing w:val="-4"/>
        </w:rPr>
        <w:t>A</w:t>
      </w:r>
      <w:r>
        <w:rPr>
          <w:spacing w:val="-4"/>
        </w:rPr>
        <w:t>、以公允价值计量且其变动计入当期损益的金融资产，采用公允价值进行后续计量，公允价值变动形成的利得或损失，</w:t>
      </w:r>
    </w:p>
    <w:p>
      <w:pPr>
        <w:pStyle w:val="BodyText"/>
        <w:spacing w:line="357" w:lineRule="auto"/>
        <w:ind w:left="1493" w:right="1123" w:hanging="360"/>
        <w:jc w:val="left"/>
      </w:pPr>
      <w:r>
        <w:rPr/>
        <w:t>计入当期损益。 </w:t>
      </w:r>
      <w:r>
        <w:rPr>
          <w:rFonts w:ascii="宋体" w:hAnsi="宋体" w:cs="宋体" w:eastAsia="宋体" w:hint="default"/>
        </w:rPr>
        <w:t>B</w:t>
      </w:r>
      <w:r>
        <w:rPr/>
        <w:t>、持有至到期投资，采用实际利率法，按摊余成本进行后续计量，终止确认、减值以及摊销形成的利得或损失，计入</w:t>
      </w:r>
    </w:p>
    <w:p>
      <w:pPr>
        <w:pStyle w:val="BodyText"/>
        <w:spacing w:line="225" w:lineRule="exact"/>
        <w:ind w:right="0"/>
        <w:jc w:val="left"/>
      </w:pPr>
      <w:r>
        <w:rPr/>
        <w:t>当期损益。</w:t>
      </w:r>
    </w:p>
    <w:p>
      <w:pPr>
        <w:pStyle w:val="BodyText"/>
        <w:spacing w:line="319" w:lineRule="auto" w:before="115"/>
        <w:ind w:right="1122" w:firstLine="360"/>
        <w:jc w:val="left"/>
      </w:pPr>
      <w:r>
        <w:rPr>
          <w:rFonts w:ascii="宋体" w:hAnsi="宋体" w:cs="宋体" w:eastAsia="宋体" w:hint="default"/>
        </w:rPr>
        <w:t>C</w:t>
      </w:r>
      <w:r>
        <w:rPr/>
        <w:t>、贷款和应收款项，采用实际利率法，按摊余成本进行后续计量，终止确认、减值以及摊销形成的利得或损失，计入 当期损益。</w:t>
      </w:r>
    </w:p>
    <w:p>
      <w:pPr>
        <w:pStyle w:val="BodyText"/>
        <w:spacing w:line="319" w:lineRule="auto" w:before="56"/>
        <w:ind w:right="1032" w:firstLine="360"/>
        <w:jc w:val="left"/>
      </w:pPr>
      <w:r>
        <w:rPr>
          <w:rFonts w:ascii="宋体" w:hAnsi="宋体" w:cs="宋体" w:eastAsia="宋体" w:hint="default"/>
        </w:rPr>
        <w:t>D</w:t>
      </w:r>
      <w:r>
        <w:rPr/>
        <w:t>、可供出售金融资产，采用公允价值进行后续计量，公允价值变动计入其他综合收益，在该可供出售金融资产发生减 </w:t>
      </w:r>
      <w:r>
        <w:rPr>
          <w:spacing w:val="-2"/>
        </w:rPr>
        <w:t>值或终止确认时转出，计入当期损益。可供出售金融资产持有期间实现的利息或现金股利，计入当期损益。在活跃市场中没</w:t>
      </w:r>
      <w:r>
        <w:rPr>
          <w:spacing w:val="-66"/>
        </w:rPr>
        <w:t> </w:t>
      </w:r>
      <w:r>
        <w:rPr>
          <w:spacing w:val="-66"/>
        </w:rPr>
      </w:r>
      <w:r>
        <w:rPr/>
        <w:t>有报价且其公允价值不能可靠计量的权益工具投资，以及与该权益工具挂钩并须通过交付该权益工具结算的衍生金融资产，</w:t>
      </w:r>
      <w:r>
        <w:rPr>
          <w:spacing w:val="-85"/>
        </w:rPr>
        <w:t> </w:t>
      </w:r>
      <w:r>
        <w:rPr>
          <w:spacing w:val="-85"/>
        </w:rPr>
      </w:r>
      <w:r>
        <w:rPr/>
        <w:t>按照成本计量。</w:t>
      </w:r>
    </w:p>
    <w:p>
      <w:pPr>
        <w:pStyle w:val="BodyText"/>
        <w:spacing w:line="357" w:lineRule="auto" w:before="56"/>
        <w:ind w:left="1493" w:right="1123"/>
        <w:jc w:val="left"/>
      </w:pPr>
      <w:r>
        <w:rPr/>
        <w:t>④金融资产的减值准备 </w:t>
      </w:r>
      <w:r>
        <w:rPr>
          <w:rFonts w:ascii="宋体" w:hAnsi="宋体" w:cs="宋体" w:eastAsia="宋体" w:hint="default"/>
        </w:rPr>
        <w:t>A</w:t>
      </w:r>
      <w:r>
        <w:rPr/>
        <w:t>、本公司在期末对以公允价值计量且其变动计入当期损益的金融资产以外的金融资产的账面价值进行检查，有客观证</w:t>
      </w:r>
    </w:p>
    <w:p>
      <w:pPr>
        <w:pStyle w:val="BodyText"/>
        <w:spacing w:line="225" w:lineRule="exact"/>
        <w:ind w:right="0"/>
        <w:jc w:val="left"/>
      </w:pPr>
      <w:r>
        <w:rPr/>
        <w:t>据表明该金融资产发生减值的，确认减值损失，计提减值准备。</w:t>
      </w:r>
    </w:p>
    <w:p>
      <w:pPr>
        <w:spacing w:after="0" w:line="225" w:lineRule="exact"/>
        <w:jc w:val="left"/>
        <w:sectPr>
          <w:footerReference w:type="default" r:id="rId37"/>
          <w:pgSz w:w="11910" w:h="16840"/>
          <w:pgMar w:footer="979" w:header="877" w:top="1100" w:bottom="1160" w:left="0" w:right="0"/>
          <w:pgNumType w:start="87"/>
        </w:sectPr>
      </w:pPr>
    </w:p>
    <w:p>
      <w:pPr>
        <w:spacing w:line="240" w:lineRule="auto" w:before="13"/>
        <w:rPr>
          <w:rFonts w:ascii="宋体" w:hAnsi="宋体" w:cs="宋体" w:eastAsia="宋体" w:hint="default"/>
          <w:sz w:val="21"/>
          <w:szCs w:val="21"/>
        </w:rPr>
      </w:pPr>
    </w:p>
    <w:p>
      <w:pPr>
        <w:pStyle w:val="BodyText"/>
        <w:spacing w:line="360" w:lineRule="auto" w:before="44"/>
        <w:ind w:left="1493" w:right="3823"/>
        <w:jc w:val="left"/>
      </w:pPr>
      <w:r>
        <w:rPr>
          <w:rFonts w:ascii="宋体" w:hAnsi="宋体" w:cs="宋体" w:eastAsia="宋体" w:hint="default"/>
        </w:rPr>
        <w:t>B</w:t>
      </w:r>
      <w:r>
        <w:rPr/>
        <w:t>、本公司确定金融资产发生减值的客观证据包括下列各项： </w:t>
      </w: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 </w:t>
      </w:r>
      <w:r>
        <w:rPr>
          <w:rFonts w:ascii="宋体" w:hAnsi="宋体" w:cs="宋体" w:eastAsia="宋体" w:hint="default"/>
        </w:rPr>
        <w:t>c</w:t>
      </w:r>
      <w:r>
        <w:rPr/>
        <w:t>）债权人出于经济或法律等方面因素的考虑，对发生财务困难的债务人作出让步； </w:t>
      </w:r>
      <w:r>
        <w:rPr>
          <w:rFonts w:ascii="宋体" w:hAnsi="宋体" w:cs="宋体" w:eastAsia="宋体" w:hint="default"/>
        </w:rPr>
        <w:t>d</w:t>
      </w:r>
      <w:r>
        <w:rPr/>
        <w:t>）债务人很可能倒闭或进行其他财务重组； </w:t>
      </w:r>
      <w:r>
        <w:rPr>
          <w:rFonts w:ascii="宋体" w:hAnsi="宋体" w:cs="宋体" w:eastAsia="宋体" w:hint="default"/>
        </w:rPr>
        <w:t>e</w:t>
      </w:r>
      <w:r>
        <w:rPr/>
        <w:t>）因发行方发生重大财务困难，该金融资产无法在活跃市场继续交易；</w:t>
      </w:r>
    </w:p>
    <w:p>
      <w:pPr>
        <w:pStyle w:val="BodyText"/>
        <w:spacing w:line="319" w:lineRule="auto" w:before="25"/>
        <w:ind w:right="1130" w:firstLine="360"/>
        <w:jc w:val="both"/>
      </w:pPr>
      <w:r>
        <w:rPr>
          <w:rFonts w:ascii="宋体" w:hAnsi="宋体" w:cs="宋体" w:eastAsia="宋体" w:hint="default"/>
        </w:rPr>
        <w:t>f</w:t>
      </w:r>
      <w:r>
        <w:rPr/>
        <w:t>）无法辨认一组金融资产中的某项资产的现金流量是否已经减少，但根据公开的数据对其进行总体评价后发现，该组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60" w:lineRule="auto" w:before="56"/>
        <w:ind w:left="1493" w:right="1123"/>
        <w:jc w:val="left"/>
      </w:pPr>
      <w:r>
        <w:rPr>
          <w:rFonts w:ascii="宋体" w:hAnsi="宋体" w:cs="宋体" w:eastAsia="宋体" w:hint="default"/>
        </w:rPr>
        <w:t>g</w:t>
      </w:r>
      <w:r>
        <w:rPr/>
        <w:t>）债务人经营所处的技术、市场、经济或法律环境等发生重大不利变化，使权益工具投资人可能无法收回投资成本； </w:t>
      </w:r>
      <w:r>
        <w:rPr>
          <w:rFonts w:ascii="宋体" w:hAnsi="宋体" w:cs="宋体" w:eastAsia="宋体" w:hint="default"/>
        </w:rPr>
        <w:t>h</w:t>
      </w:r>
      <w:r>
        <w:rPr/>
        <w:t>）权益工具投资的公允价值发生严重或非暂时性下跌；</w:t>
      </w:r>
    </w:p>
    <w:p>
      <w:pPr>
        <w:pStyle w:val="BodyText"/>
        <w:spacing w:line="360" w:lineRule="auto" w:before="26"/>
        <w:ind w:left="1494" w:right="6162"/>
        <w:jc w:val="left"/>
      </w:pPr>
      <w:r>
        <w:rPr>
          <w:rFonts w:ascii="宋体" w:hAnsi="宋体" w:cs="宋体" w:eastAsia="宋体" w:hint="default"/>
        </w:rPr>
        <w:t>i</w:t>
      </w:r>
      <w:r>
        <w:rPr/>
        <w:t>）其他表明金融资产发生减值的客观证据。 </w:t>
      </w:r>
      <w:r>
        <w:rPr>
          <w:rFonts w:ascii="宋体" w:hAnsi="宋体" w:cs="宋体" w:eastAsia="宋体" w:hint="default"/>
        </w:rPr>
        <w:t>C</w:t>
      </w:r>
      <w:r>
        <w:rPr/>
        <w:t>、金融资产减值损失的计量 </w:t>
      </w:r>
      <w:r>
        <w:rPr>
          <w:rFonts w:ascii="宋体" w:hAnsi="宋体" w:cs="宋体" w:eastAsia="宋体" w:hint="default"/>
        </w:rPr>
        <w:t>a</w:t>
      </w:r>
      <w:r>
        <w:rPr/>
        <w:t>）持有至到期投资、贷款和应收款项减值损失的计量</w:t>
      </w:r>
    </w:p>
    <w:p>
      <w:pPr>
        <w:pStyle w:val="BodyText"/>
        <w:spacing w:line="319" w:lineRule="auto" w:before="25"/>
        <w:ind w:right="1131" w:firstLine="360"/>
        <w:jc w:val="both"/>
      </w:pPr>
      <w:r>
        <w:rPr>
          <w:spacing w:val="-2"/>
        </w:rPr>
        <w:t>持有至到期投资、贷款和应收款项（以摊余成本后续计量的金融资产）的减值准备，按该金融资产预计未来现金流量现</w:t>
      </w:r>
      <w:r>
        <w:rPr/>
        <w:t> 值低于其账面价值的差额计提，计入当期损益。</w:t>
      </w:r>
    </w:p>
    <w:p>
      <w:pPr>
        <w:pStyle w:val="BodyText"/>
        <w:spacing w:line="319" w:lineRule="auto" w:before="55"/>
        <w:ind w:right="1130" w:firstLine="360"/>
        <w:jc w:val="both"/>
      </w:pPr>
      <w:r>
        <w:rPr>
          <w:spacing w:val="-2"/>
        </w:rPr>
        <w:t>本公司对单项金额重大的金融资产单独进行减值测试，对单项金额不重大的金融资产，单独或包括在具有类似信用风险</w:t>
      </w:r>
      <w:r>
        <w:rPr/>
        <w:t> </w:t>
      </w:r>
      <w:r>
        <w:rPr>
          <w:spacing w:val="-2"/>
        </w:rPr>
        <w:t>特征的金融资产组合中进行减值测试。单独测试未发生减值的金融资产，无论单项金额重大与否，仍将包括在具有类似信用</w:t>
      </w:r>
      <w:r>
        <w:rPr>
          <w:spacing w:val="-66"/>
        </w:rPr>
        <w:t> </w:t>
      </w:r>
      <w:r>
        <w:rPr>
          <w:spacing w:val="-66"/>
        </w:rPr>
      </w:r>
      <w:r>
        <w:rPr>
          <w:spacing w:val="-2"/>
        </w:rPr>
        <w:t>风险特征的金融资产组合中再进行减值测试。已单独确认减值损失的金融资产，不包括在具有类似信用风险特征的金融资产</w:t>
      </w:r>
      <w:r>
        <w:rPr>
          <w:spacing w:val="-63"/>
        </w:rPr>
        <w:t> </w:t>
      </w:r>
      <w:r>
        <w:rPr>
          <w:spacing w:val="-63"/>
        </w:rPr>
      </w:r>
      <w:r>
        <w:rPr/>
        <w:t>组合中进行减值测试。</w:t>
      </w:r>
    </w:p>
    <w:p>
      <w:pPr>
        <w:pStyle w:val="BodyText"/>
        <w:spacing w:line="319" w:lineRule="auto" w:before="57"/>
        <w:ind w:right="1132" w:firstLine="360"/>
        <w:jc w:val="both"/>
      </w:pPr>
      <w:r>
        <w:rPr>
          <w:spacing w:val="-2"/>
        </w:rPr>
        <w:t>本公司对以摊余成本计量的金融资产确认资产减值损失后，如有客观证据表明该金融资产价值已经恢复，且客观上与确</w:t>
      </w:r>
      <w:r>
        <w:rPr/>
        <w:t> 认该损失后发生的事项有关，原确认的减值损失予以转回，计入当期损益。</w:t>
      </w:r>
    </w:p>
    <w:p>
      <w:pPr>
        <w:pStyle w:val="BodyText"/>
        <w:spacing w:line="357" w:lineRule="auto" w:before="56"/>
        <w:ind w:left="1494" w:right="0"/>
        <w:jc w:val="left"/>
      </w:pPr>
      <w:r>
        <w:rPr>
          <w:rFonts w:ascii="宋体" w:hAnsi="宋体" w:cs="宋体" w:eastAsia="宋体" w:hint="default"/>
        </w:rPr>
        <w:t>b</w:t>
      </w:r>
      <w:r>
        <w:rPr/>
        <w:t>）可供出售金融资产 </w:t>
      </w:r>
      <w:r>
        <w:rPr>
          <w:spacing w:val="-2"/>
        </w:rPr>
        <w:t>本公司对可供出售金融资产按单项投资进行减值测试。资产负债表日，判断可供出售金融资产的公允价值是否严重或非</w:t>
      </w:r>
    </w:p>
    <w:p>
      <w:pPr>
        <w:pStyle w:val="BodyText"/>
        <w:spacing w:line="224" w:lineRule="exact"/>
        <w:ind w:left="1133" w:right="0"/>
        <w:jc w:val="left"/>
      </w:pPr>
      <w:r>
        <w:rPr/>
        <w:t>暂时性下跌：如果单项可供出售金融资产的公允价值跌幅超过成本</w:t>
      </w:r>
      <w:r>
        <w:rPr>
          <w:rFonts w:ascii="宋体" w:hAnsi="宋体" w:cs="宋体" w:eastAsia="宋体" w:hint="default"/>
        </w:rPr>
        <w:t>50%</w:t>
      </w:r>
      <w:r>
        <w:rPr/>
        <w:t>，或者持续下跌时间达一年以上，则认定该可供出售</w:t>
      </w:r>
    </w:p>
    <w:p>
      <w:pPr>
        <w:pStyle w:val="BodyText"/>
        <w:spacing w:line="319" w:lineRule="auto" w:before="76"/>
        <w:ind w:left="1133" w:right="0"/>
        <w:jc w:val="left"/>
      </w:pPr>
      <w:r>
        <w:rPr>
          <w:spacing w:val="-2"/>
        </w:rPr>
        <w:t>金融资产已发生减值，按成本与公允价值的差额计提减值准备，确认减值损失。可供出售金融资产的期末成本为取得时按照</w:t>
      </w:r>
      <w:r>
        <w:rPr>
          <w:spacing w:val="-66"/>
        </w:rPr>
        <w:t> </w:t>
      </w:r>
      <w:r>
        <w:rPr>
          <w:spacing w:val="-66"/>
        </w:rPr>
      </w:r>
      <w:r>
        <w:rPr/>
        <w:t>投资成本进行初始计量、出售时按加权平均法所计算的摊余成本。</w:t>
      </w:r>
    </w:p>
    <w:p>
      <w:pPr>
        <w:pStyle w:val="BodyText"/>
        <w:spacing w:line="319" w:lineRule="auto" w:before="56"/>
        <w:ind w:right="1132" w:firstLine="360"/>
        <w:jc w:val="both"/>
      </w:pPr>
      <w:r>
        <w:rPr>
          <w:spacing w:val="-2"/>
        </w:rPr>
        <w:t>可供出售金融资产的公允价值发生非暂时性下跌时，即使该金融资产没有终止确认，原直接计入其他综合收益的因公允</w:t>
      </w:r>
      <w:r>
        <w:rPr/>
        <w:t> 价值下降形成的累计损失，亦予以转出，计入当期损益。</w:t>
      </w:r>
    </w:p>
    <w:p>
      <w:pPr>
        <w:pStyle w:val="BodyText"/>
        <w:spacing w:line="319" w:lineRule="auto" w:before="55"/>
        <w:ind w:right="1131" w:firstLine="360"/>
        <w:jc w:val="both"/>
      </w:pPr>
      <w:r>
        <w:rPr>
          <w:spacing w:val="-2"/>
        </w:rPr>
        <w:t>在活跃市场中没有报价且其公允价值不能可靠计量的可供出售权益工具投资，或与该权益工具挂钩并须通过交付该权益</w:t>
      </w:r>
      <w:r>
        <w:rPr/>
        <w:t> </w:t>
      </w:r>
      <w:r>
        <w:rPr>
          <w:spacing w:val="-2"/>
        </w:rPr>
        <w:t>工具结算的衍生金融资产发生减值时，本公司将该权益工具投资或衍生金融资产的账面价值，与按照类似金融资产当时市场</w:t>
      </w:r>
      <w:r>
        <w:rPr>
          <w:spacing w:val="-64"/>
        </w:rPr>
        <w:t> </w:t>
      </w:r>
      <w:r>
        <w:rPr>
          <w:spacing w:val="-64"/>
        </w:rPr>
      </w:r>
      <w:r>
        <w:rPr/>
        <w:t>收益率对未来现金流量折现确定的现值之间的差额，确认为减值损失，计入当期损益。</w:t>
      </w:r>
    </w:p>
    <w:p>
      <w:pPr>
        <w:pStyle w:val="BodyText"/>
        <w:spacing w:line="319" w:lineRule="auto" w:before="55"/>
        <w:ind w:left="1133" w:right="1132" w:firstLine="360"/>
        <w:jc w:val="both"/>
      </w:pPr>
      <w:r>
        <w:rPr>
          <w:spacing w:val="-2"/>
        </w:rPr>
        <w:t>对可供出售债务工具确认资产减值损失后，如有客观证据表明该金融资产价值已经恢复，且客观上与确认损失后发生的</w:t>
      </w:r>
      <w:r>
        <w:rPr/>
        <w:t> 事项有关，原确认的减值损失予以转回，计入当期损益。</w:t>
      </w:r>
    </w:p>
    <w:p>
      <w:pPr>
        <w:pStyle w:val="BodyText"/>
        <w:spacing w:line="319" w:lineRule="auto" w:before="56"/>
        <w:ind w:right="1133" w:firstLine="360"/>
        <w:jc w:val="both"/>
      </w:pPr>
      <w:r>
        <w:rPr>
          <w:spacing w:val="-2"/>
        </w:rPr>
        <w:t>可供出售权益工具投资发生的减值损失，不得通过损益转回。同时，在活跃市场中没有报价且其公允价值不能可靠计量</w:t>
      </w:r>
      <w:r>
        <w:rPr/>
        <w:t> 的权益工具投资或与该权益工具挂钩并须通过交付该权益工具结算的衍生金融资产发生的减值损失，不予转回。</w:t>
      </w:r>
    </w:p>
    <w:p>
      <w:pPr>
        <w:pStyle w:val="BodyText"/>
        <w:spacing w:line="240" w:lineRule="auto" w:before="56"/>
        <w:ind w:left="1493" w:right="0"/>
        <w:jc w:val="left"/>
      </w:pPr>
      <w:r>
        <w:rPr/>
        <w:t>（</w:t>
      </w:r>
      <w:r>
        <w:rPr>
          <w:rFonts w:ascii="宋体" w:hAnsi="宋体" w:cs="宋体" w:eastAsia="宋体" w:hint="default"/>
        </w:rPr>
        <w:t>3</w:t>
      </w:r>
      <w:r>
        <w:rPr/>
        <w:t>）金融负债的分类和计量</w:t>
      </w:r>
    </w:p>
    <w:p>
      <w:pPr>
        <w:pStyle w:val="BodyText"/>
        <w:spacing w:line="357" w:lineRule="auto" w:before="116"/>
        <w:ind w:left="1493" w:right="0"/>
        <w:jc w:val="left"/>
      </w:pPr>
      <w:r>
        <w:rPr/>
        <w:t>①本公司将持有的金融负债分为以公允价值计量且其变动计入当期损益的金融负债和其他金融负债。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357" w:lineRule="auto"/>
        <w:ind w:left="1493" w:right="0" w:hanging="360"/>
        <w:jc w:val="left"/>
      </w:pPr>
      <w:r>
        <w:rPr/>
        <w:t>计入当期损益的金融负债。 </w:t>
      </w:r>
      <w:r>
        <w:rPr>
          <w:spacing w:val="-2"/>
        </w:rPr>
        <w:t>交易性金融负债是指满足下列条件之一的金融负债：承担该金融负债的目的是为了在近期内回购；属于进行集中管理的</w:t>
      </w:r>
    </w:p>
    <w:p>
      <w:pPr>
        <w:spacing w:after="0" w:line="357"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31"/>
        <w:jc w:val="both"/>
      </w:pPr>
      <w:r>
        <w:rPr>
          <w:spacing w:val="-2"/>
        </w:rPr>
        <w:t>可辨认金融工具组合的一部分，且有客观证据表明企业近期采用短期获利方式对该组合进行管理；属于衍生工具，但是，被</w:t>
      </w:r>
      <w:r>
        <w:rPr>
          <w:spacing w:val="-66"/>
        </w:rPr>
        <w:t> </w:t>
      </w:r>
      <w:r>
        <w:rPr>
          <w:spacing w:val="-66"/>
        </w:rPr>
      </w: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9" w:lineRule="auto" w:before="55"/>
        <w:ind w:right="1131" w:firstLine="360"/>
        <w:jc w:val="both"/>
      </w:pPr>
      <w:r>
        <w:rPr>
          <w:spacing w:val="-2"/>
        </w:rPr>
        <w:t>只有符合以下条件之一，金融负债才可在初始计量时指定为以公允价值计量且变动计入当期损益的金融负债：该项指定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9" w:lineRule="auto" w:before="56"/>
        <w:ind w:left="1133" w:right="1131" w:firstLine="360"/>
        <w:jc w:val="both"/>
      </w:pPr>
      <w:r>
        <w:rPr>
          <w:spacing w:val="-2"/>
        </w:rPr>
        <w:t>本公司在初始确认时将某金融负债划分为以公允价值计量且其变动计入当期损益的金融负债后，不能重分类为其他类金</w:t>
      </w:r>
      <w:r>
        <w:rPr/>
        <w:t> 融负债；其他类金融负债也不能重分类为以公允价值计量且其变动计入当期损益的金融负债。</w:t>
      </w:r>
    </w:p>
    <w:p>
      <w:pPr>
        <w:pStyle w:val="BodyText"/>
        <w:spacing w:line="319" w:lineRule="auto" w:before="55"/>
        <w:ind w:left="1133" w:right="1132" w:firstLine="360"/>
        <w:jc w:val="both"/>
      </w:pPr>
      <w:r>
        <w:rPr>
          <w:spacing w:val="-2"/>
        </w:rPr>
        <w:t>②金融负债在初始确认时以公允价值计量。对于以公允价值计量且其变动计入当期损益的金融负债，相关交易费用直接</w:t>
      </w:r>
      <w:r>
        <w:rPr/>
        <w:t> 计入当期损益；对于其他金融负债，相关交易费用计入初始确认金额。</w:t>
      </w:r>
    </w:p>
    <w:p>
      <w:pPr>
        <w:pStyle w:val="BodyText"/>
        <w:spacing w:line="357" w:lineRule="auto" w:before="56"/>
        <w:ind w:left="1493" w:right="0"/>
        <w:jc w:val="left"/>
      </w:pPr>
      <w:r>
        <w:rPr/>
        <w:t>③金融负债的后续计量 </w:t>
      </w:r>
      <w:r>
        <w:rPr>
          <w:rFonts w:ascii="宋体" w:hAnsi="宋体" w:cs="宋体" w:eastAsia="宋体" w:hint="default"/>
          <w:spacing w:val="-4"/>
        </w:rPr>
        <w:t>A</w:t>
      </w:r>
      <w:r>
        <w:rPr>
          <w:spacing w:val="-4"/>
        </w:rPr>
        <w:t>、以公允价值计量且其变动计入当期损益的金融负债，采用公允价值进行后续计量，公允价值变动形成的利得或损失，</w:t>
      </w:r>
    </w:p>
    <w:p>
      <w:pPr>
        <w:pStyle w:val="BodyText"/>
        <w:spacing w:line="357" w:lineRule="auto"/>
        <w:ind w:left="1493" w:right="5263" w:hanging="360"/>
        <w:jc w:val="left"/>
      </w:pPr>
      <w:r>
        <w:rPr/>
        <w:t>计入当期损益。 </w:t>
      </w:r>
      <w:r>
        <w:rPr>
          <w:rFonts w:ascii="宋体" w:hAnsi="宋体" w:cs="宋体" w:eastAsia="宋体" w:hint="default"/>
        </w:rPr>
        <w:t>B</w:t>
      </w:r>
      <w:r>
        <w:rPr/>
        <w:t>、其他金融负债，采用实际利率法，按摊余成本进行后续计量。</w:t>
      </w:r>
    </w:p>
    <w:p>
      <w:pPr>
        <w:pStyle w:val="BodyText"/>
        <w:spacing w:line="357" w:lineRule="auto" w:before="28"/>
        <w:ind w:left="1493" w:right="0"/>
        <w:jc w:val="left"/>
      </w:pPr>
      <w:r>
        <w:rPr/>
        <w:t>（</w:t>
      </w:r>
      <w:r>
        <w:rPr>
          <w:rFonts w:ascii="宋体" w:hAnsi="宋体" w:cs="宋体" w:eastAsia="宋体" w:hint="default"/>
        </w:rPr>
        <w:t>4</w:t>
      </w:r>
      <w:r>
        <w:rPr/>
        <w:t>）金融资产转移确认依据和计量 </w:t>
      </w:r>
      <w:r>
        <w:rPr>
          <w:spacing w:val="-2"/>
        </w:rPr>
        <w:t>本公司在已将金融资产所有权上几乎所有的风险和报酬转移给转入方时终止对该项金融资产的确认。在金融资产整体转</w:t>
      </w:r>
    </w:p>
    <w:p>
      <w:pPr>
        <w:pStyle w:val="BodyText"/>
        <w:spacing w:line="225" w:lineRule="exact"/>
        <w:ind w:left="1133" w:right="0"/>
        <w:jc w:val="left"/>
      </w:pPr>
      <w:r>
        <w:rPr/>
        <w:t>移满足终止确认条件的，将下列两项的差额计入当期损益：</w:t>
      </w:r>
    </w:p>
    <w:p>
      <w:pPr>
        <w:pStyle w:val="BodyText"/>
        <w:spacing w:line="240" w:lineRule="auto" w:before="116"/>
        <w:ind w:left="1494" w:right="0"/>
        <w:jc w:val="left"/>
      </w:pPr>
      <w:r>
        <w:rPr/>
        <w:t>①所转移金融资产的账面价值；</w:t>
      </w:r>
    </w:p>
    <w:p>
      <w:pPr>
        <w:pStyle w:val="BodyText"/>
        <w:spacing w:line="319" w:lineRule="auto" w:before="115"/>
        <w:ind w:right="1132" w:firstLine="360"/>
        <w:jc w:val="both"/>
      </w:pPr>
      <w:r>
        <w:rPr>
          <w:spacing w:val="-2"/>
        </w:rPr>
        <w:t>②因转移而收到的对价，与原计入其他综合收益的公允价值变动累计额（涉及转移的金融资产为可供出售金融资产的情</w:t>
      </w:r>
      <w:r>
        <w:rPr/>
        <w:t> 形）之和。</w:t>
      </w:r>
    </w:p>
    <w:p>
      <w:pPr>
        <w:pStyle w:val="BodyText"/>
        <w:spacing w:line="319" w:lineRule="auto" w:before="56"/>
        <w:ind w:right="1132" w:firstLine="360"/>
        <w:jc w:val="both"/>
      </w:pPr>
      <w:r>
        <w:rPr>
          <w:spacing w:val="-2"/>
        </w:rPr>
        <w:t>本公司的金融资产部分转移满足终止确认条件的，将所转移金融资产整体的账面价值，在终止确认部分和未终止确认部</w:t>
      </w:r>
      <w:r>
        <w:rPr/>
        <w:t> 分之间，按照各自的相对公允价值进行分摊，并将下列两项金额的差额计入当期损益：</w:t>
      </w:r>
    </w:p>
    <w:p>
      <w:pPr>
        <w:pStyle w:val="BodyText"/>
        <w:spacing w:line="240" w:lineRule="auto" w:before="56"/>
        <w:ind w:left="1493" w:right="0"/>
        <w:jc w:val="left"/>
      </w:pPr>
      <w:r>
        <w:rPr/>
        <w:t>①终止确认部分的账面价值；</w:t>
      </w:r>
    </w:p>
    <w:p>
      <w:pPr>
        <w:pStyle w:val="BodyText"/>
        <w:spacing w:line="319" w:lineRule="auto" w:before="115"/>
        <w:ind w:left="1133" w:right="1132" w:firstLine="360"/>
        <w:jc w:val="both"/>
      </w:pPr>
      <w:r>
        <w:rPr>
          <w:spacing w:val="-2"/>
        </w:rPr>
        <w:t>②终止确认部分的对价，与原计入其他综合收益的公允价值变动累计额中对应终止确认部分的金额（涉及转移的金融资</w:t>
      </w:r>
      <w:r>
        <w:rPr/>
        <w:t> 产为可供出售金融资产的情形）之和。</w:t>
      </w:r>
    </w:p>
    <w:p>
      <w:pPr>
        <w:pStyle w:val="BodyText"/>
        <w:spacing w:line="319" w:lineRule="auto" w:before="56"/>
        <w:ind w:left="1133" w:right="1131" w:firstLine="360"/>
        <w:jc w:val="both"/>
      </w:pPr>
      <w:r>
        <w:rPr>
          <w:spacing w:val="-2"/>
        </w:rPr>
        <w:t>原计入其他综合收益的公允价值变动累计额中对应终止确认部分的金额，按照金融资产终止确认部分和未终止确认部分</w:t>
      </w:r>
      <w:r>
        <w:rPr/>
        <w:t> 的相对公允价值，对该累计额进行分摊后确定。</w:t>
      </w:r>
    </w:p>
    <w:p>
      <w:pPr>
        <w:pStyle w:val="BodyText"/>
        <w:spacing w:line="357" w:lineRule="auto" w:before="56"/>
        <w:ind w:left="1493" w:right="0"/>
        <w:jc w:val="left"/>
      </w:pPr>
      <w:r>
        <w:rPr/>
        <w:t>金融资产转移不满足终止确认条件的，继续确认所转移金融资产整体，并将所收到的对价确认为一项金融资产。 </w:t>
      </w:r>
      <w:r>
        <w:rPr>
          <w:spacing w:val="-2"/>
        </w:rPr>
        <w:t>对于继续涉入条件下的金融资产转移，本公司根据继续涉入所转移金融资产的程度确认有关金融资产和金融负债，以充</w:t>
      </w:r>
    </w:p>
    <w:p>
      <w:pPr>
        <w:pStyle w:val="BodyText"/>
        <w:spacing w:line="225" w:lineRule="exact"/>
        <w:ind w:left="1133" w:right="0"/>
        <w:jc w:val="left"/>
      </w:pPr>
      <w:r>
        <w:rPr/>
        <w:t>分反映本公司所保留的权利和承担的义务。</w:t>
      </w:r>
    </w:p>
    <w:p>
      <w:pPr>
        <w:pStyle w:val="BodyText"/>
        <w:spacing w:line="357" w:lineRule="auto" w:before="117"/>
        <w:ind w:left="1494" w:right="1032"/>
        <w:jc w:val="left"/>
      </w:pPr>
      <w:r>
        <w:rPr/>
        <w:t>（</w:t>
      </w:r>
      <w:r>
        <w:rPr>
          <w:rFonts w:ascii="宋体" w:hAnsi="宋体" w:cs="宋体" w:eastAsia="宋体" w:hint="default"/>
        </w:rPr>
        <w:t>5</w:t>
      </w:r>
      <w:r>
        <w:rPr/>
        <w:t>）金融负债的终止确认 本公司金融负债的现时义务全部或部分已经解除的，终止确认该金融负债或其一部分。本公司与债权人之间签订协议，</w:t>
      </w:r>
    </w:p>
    <w:p>
      <w:pPr>
        <w:pStyle w:val="BodyText"/>
        <w:spacing w:line="224" w:lineRule="exact"/>
        <w:ind w:right="0"/>
        <w:jc w:val="left"/>
      </w:pPr>
      <w:r>
        <w:rPr/>
        <w:t>以承担新金融负债方式替换现存金融负债</w:t>
      </w:r>
      <w:r>
        <w:rPr>
          <w:spacing w:val="-87"/>
        </w:rPr>
        <w:t>，</w:t>
      </w:r>
      <w:r>
        <w:rPr/>
        <w:t>且新金融负债与现存金融负债的合同条款实质上不同的</w:t>
      </w:r>
      <w:r>
        <w:rPr>
          <w:spacing w:val="-87"/>
        </w:rPr>
        <w:t>，</w:t>
      </w:r>
      <w:r>
        <w:rPr/>
        <w:t>终止确认现存金融负债，</w:t>
      </w:r>
    </w:p>
    <w:p>
      <w:pPr>
        <w:pStyle w:val="BodyText"/>
        <w:spacing w:line="357" w:lineRule="auto" w:before="77"/>
        <w:ind w:left="1494" w:right="1122" w:hanging="360"/>
        <w:jc w:val="left"/>
      </w:pPr>
      <w:r>
        <w:rPr/>
        <w:t>并同时确认新金融负债。 金融负债全部或部分终止确认的，将终止确认部分的账面价值与支付的对价</w:t>
      </w:r>
      <w:r>
        <w:rPr>
          <w:rFonts w:ascii="宋体" w:hAnsi="宋体" w:cs="宋体" w:eastAsia="宋体" w:hint="default"/>
        </w:rPr>
        <w:t>(</w:t>
      </w:r>
      <w:r>
        <w:rPr/>
        <w:t>包括转出的非现金资产或承担的新金融负</w:t>
      </w:r>
    </w:p>
    <w:p>
      <w:pPr>
        <w:pStyle w:val="BodyText"/>
        <w:spacing w:line="225" w:lineRule="exact"/>
        <w:ind w:right="0"/>
        <w:jc w:val="left"/>
      </w:pPr>
      <w:r>
        <w:rPr/>
        <w:t>债</w:t>
      </w:r>
      <w:r>
        <w:rPr>
          <w:rFonts w:ascii="宋体" w:hAnsi="宋体" w:cs="宋体" w:eastAsia="宋体" w:hint="default"/>
        </w:rPr>
        <w:t>)</w:t>
      </w:r>
      <w:r>
        <w:rPr/>
        <w:t>之间的差额，计入当期损益。</w:t>
      </w:r>
    </w:p>
    <w:p>
      <w:pPr>
        <w:pStyle w:val="BodyText"/>
        <w:spacing w:line="357" w:lineRule="auto" w:before="117"/>
        <w:ind w:left="1493" w:right="0"/>
        <w:jc w:val="left"/>
      </w:pPr>
      <w:r>
        <w:rPr/>
        <w:t>（</w:t>
      </w:r>
      <w:r>
        <w:rPr>
          <w:rFonts w:ascii="宋体" w:hAnsi="宋体" w:cs="宋体" w:eastAsia="宋体" w:hint="default"/>
        </w:rPr>
        <w:t>6</w:t>
      </w:r>
      <w:r>
        <w:rPr/>
        <w:t>）金融资产和金融负债的抵销 </w:t>
      </w:r>
      <w:r>
        <w:rPr>
          <w:spacing w:val="-2"/>
        </w:rPr>
        <w:t>金融资产和金融负债在资产负债表内分别列示，不相互抵销。但同时满足下列条件的，以相互抵销后的净额在资产负债</w:t>
      </w:r>
    </w:p>
    <w:p>
      <w:pPr>
        <w:pStyle w:val="BodyText"/>
        <w:spacing w:line="224" w:lineRule="exact"/>
        <w:ind w:left="1133" w:right="0"/>
        <w:jc w:val="left"/>
      </w:pPr>
      <w:r>
        <w:rPr/>
        <w:t>表内列示：本公司具有抵销已确认金额的法定权利，且该种法定权利是当前可执行的；本公司计划以净额结算，或同时变现</w:t>
      </w:r>
    </w:p>
    <w:p>
      <w:pPr>
        <w:pStyle w:val="BodyText"/>
        <w:spacing w:line="240" w:lineRule="auto" w:before="77"/>
        <w:ind w:left="1133" w:right="0"/>
        <w:jc w:val="left"/>
      </w:pPr>
      <w:r>
        <w:rPr/>
        <w:t>该金融资产和清偿该金融负债</w:t>
      </w:r>
      <w:r>
        <w:rPr>
          <w:spacing w:val="-87"/>
        </w:rPr>
        <w:t>。</w:t>
      </w:r>
      <w:r>
        <w:rPr/>
        <w:t>不满足终止确认条件的金融资产转移</w:t>
      </w:r>
      <w:r>
        <w:rPr>
          <w:spacing w:val="-87"/>
        </w:rPr>
        <w:t>，</w:t>
      </w:r>
      <w:r>
        <w:rPr/>
        <w:t>转出方不得将已转移的金融资产和相关负债进行抵销。</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11、应收款项" w:id="185"/>
      <w:bookmarkEnd w:id="185"/>
      <w:r>
        <w:rPr>
          <w:b w:val="0"/>
          <w:bCs w:val="0"/>
        </w:rPr>
      </w:r>
      <w:r>
        <w:rPr>
          <w:rFonts w:ascii="宋体" w:hAnsi="宋体" w:cs="宋体" w:eastAsia="宋体" w:hint="default"/>
        </w:rPr>
        <w:t>11</w:t>
      </w:r>
      <w:r>
        <w:rPr/>
        <w:t>、应收款项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单项金额重大并单独计提坏账准备的应收款项" w:id="186"/>
      <w:bookmarkEnd w:id="186"/>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1140"/>
        <w:jc w:val="right"/>
      </w:pPr>
      <w:r>
        <w:rPr/>
        <w:pict>
          <v:shape style="position:absolute;margin-left:56.459999pt;margin-top:-69.968285pt;width:479.2pt;height:118.7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万元）以上、</w:t>
                        </w:r>
                      </w:p>
                      <w:p>
                        <w:pPr>
                          <w:pStyle w:val="TableParagraph"/>
                          <w:spacing w:line="319" w:lineRule="auto" w:before="76"/>
                          <w:ind w:left="22" w:right="71"/>
                          <w:jc w:val="left"/>
                          <w:rPr>
                            <w:rFonts w:ascii="宋体" w:hAnsi="宋体" w:cs="宋体" w:eastAsia="宋体" w:hint="default"/>
                            <w:sz w:val="18"/>
                            <w:szCs w:val="18"/>
                          </w:rPr>
                        </w:pPr>
                        <w:r>
                          <w:rPr>
                            <w:rFonts w:ascii="宋体" w:hAnsi="宋体" w:cs="宋体" w:eastAsia="宋体" w:hint="default"/>
                            <w:sz w:val="18"/>
                            <w:szCs w:val="18"/>
                          </w:rPr>
                          <w:t>其他应收款期末单项金额达到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万元）以上的 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单独测试未发生减值的应收款项，包括在具有类似信用风险 特征的应收款项组合中再进行减值测试。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0"/>
        <w:jc w:val="left"/>
        <w:rPr>
          <w:b w:val="0"/>
          <w:bCs w:val="0"/>
        </w:rPr>
      </w:pPr>
      <w:bookmarkStart w:name="（2）按信用风险特征组合计提坏账准备的应收款项" w:id="187"/>
      <w:bookmarkEnd w:id="187"/>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9"/>
        <w:rPr>
          <w:rFonts w:ascii="宋体" w:hAnsi="宋体" w:cs="宋体" w:eastAsia="宋体" w:hint="default"/>
          <w:b/>
          <w:bCs/>
          <w:sz w:val="6"/>
          <w:szCs w:val="6"/>
        </w:rPr>
      </w:pPr>
    </w:p>
    <w:p>
      <w:pPr>
        <w:pStyle w:val="BodyText"/>
        <w:spacing w:line="240" w:lineRule="auto" w:before="44"/>
        <w:ind w:right="0"/>
        <w:jc w:val="left"/>
      </w:pPr>
      <w:r>
        <w:rPr/>
        <w:t>组合中，采用账龄分析法计提坏账准备的：</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组合中，采用余额百分比法计提坏账准备的：</w:t>
      </w:r>
    </w:p>
    <w:p>
      <w:pPr>
        <w:pStyle w:val="BodyText"/>
        <w:spacing w:line="439" w:lineRule="auto" w:before="116"/>
        <w:ind w:right="7512"/>
        <w:jc w:val="left"/>
      </w:pPr>
      <w:r>
        <w:rPr/>
        <w:t>□ 适用 √ 不适用 组合中，采用其他方法计提坏账准备的：</w:t>
      </w:r>
    </w:p>
    <w:p>
      <w:pPr>
        <w:pStyle w:val="BodyText"/>
        <w:spacing w:line="203" w:lineRule="exact"/>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8"/>
      <w:bookmarkEnd w:id="188"/>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的应收款项应进行单项减值测试。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1133" w:right="0"/>
        <w:jc w:val="left"/>
        <w:rPr>
          <w:b w:val="0"/>
          <w:bCs w:val="0"/>
        </w:rPr>
      </w:pPr>
      <w:bookmarkStart w:name="12、存货" w:id="189"/>
      <w:bookmarkEnd w:id="189"/>
      <w:r>
        <w:rPr>
          <w:b w:val="0"/>
          <w:bCs w:val="0"/>
        </w:rPr>
      </w:r>
      <w:r>
        <w:rPr>
          <w:rFonts w:ascii="宋体" w:hAnsi="宋体" w:cs="宋体" w:eastAsia="宋体" w:hint="default"/>
        </w:rPr>
        <w:t>12</w:t>
      </w:r>
      <w:r>
        <w:rPr/>
        <w:t>、存货</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7693" w:hanging="360"/>
        <w:jc w:val="left"/>
      </w:pPr>
      <w:r>
        <w:rPr/>
        <w:t>公司是否需要遵守特殊行业的披露要求 否</w:t>
      </w:r>
    </w:p>
    <w:p>
      <w:pPr>
        <w:pStyle w:val="BodyText"/>
        <w:spacing w:line="316" w:lineRule="auto" w:before="108"/>
        <w:ind w:right="1130" w:firstLine="360"/>
        <w:jc w:val="both"/>
      </w:pPr>
      <w:r>
        <w:rPr/>
        <w:t>（</w:t>
      </w:r>
      <w:r>
        <w:rPr>
          <w:rFonts w:ascii="宋体" w:hAnsi="宋体" w:cs="宋体" w:eastAsia="宋体" w:hint="default"/>
        </w:rPr>
        <w:t>1</w:t>
      </w:r>
      <w:r>
        <w:rPr/>
        <w:t>）存货分类：本公司存货包括在日常活动中持有以备出售的产成品或商品、处于生产过程中的在产品、在生产过程 </w:t>
      </w:r>
      <w:r>
        <w:rPr>
          <w:spacing w:val="-2"/>
        </w:rPr>
        <w:t>或提供劳务过程中耗用的材料和物料等。具体划分为原材料、委托加工物资、在产品、半成品、库存商品、发出商品和劳务</w:t>
      </w:r>
      <w:r>
        <w:rPr>
          <w:spacing w:val="-67"/>
        </w:rPr>
        <w:t> </w:t>
      </w:r>
      <w:r>
        <w:rPr>
          <w:spacing w:val="-67"/>
        </w:rPr>
      </w:r>
      <w:r>
        <w:rPr/>
        <w:t>成本等。</w:t>
      </w:r>
    </w:p>
    <w:p>
      <w:pPr>
        <w:pStyle w:val="BodyText"/>
        <w:spacing w:line="240" w:lineRule="auto" w:before="59"/>
        <w:ind w:left="1494" w:right="0"/>
        <w:jc w:val="left"/>
      </w:pPr>
      <w:r>
        <w:rPr/>
        <w:t>（</w:t>
      </w:r>
      <w:r>
        <w:rPr>
          <w:rFonts w:ascii="宋体" w:hAnsi="宋体" w:cs="宋体" w:eastAsia="宋体" w:hint="default"/>
        </w:rPr>
        <w:t>2</w:t>
      </w:r>
      <w:r>
        <w:rPr/>
        <w:t>）存货的确认：本公司存货同时满足下列条件的，予以确认：</w:t>
      </w:r>
    </w:p>
    <w:p>
      <w:pPr>
        <w:pStyle w:val="BodyText"/>
        <w:spacing w:line="240" w:lineRule="auto" w:before="116"/>
        <w:ind w:left="1493" w:right="0"/>
        <w:jc w:val="left"/>
      </w:pPr>
      <w:r>
        <w:rPr/>
        <w:t>①与该存货有关的经济利益很可能流入企业；</w:t>
      </w:r>
    </w:p>
    <w:p>
      <w:pPr>
        <w:pStyle w:val="BodyText"/>
        <w:spacing w:line="240" w:lineRule="auto" w:before="116"/>
        <w:ind w:left="1493" w:right="0"/>
        <w:jc w:val="left"/>
      </w:pPr>
      <w:r>
        <w:rPr/>
        <w:t>②该存货的成本能够可靠地计量。</w:t>
      </w:r>
    </w:p>
    <w:p>
      <w:pPr>
        <w:pStyle w:val="BodyText"/>
        <w:spacing w:line="319" w:lineRule="auto" w:before="116"/>
        <w:ind w:right="1131" w:firstLine="360"/>
        <w:jc w:val="both"/>
      </w:pPr>
      <w:r>
        <w:rPr/>
        <w:t>（</w:t>
      </w:r>
      <w:r>
        <w:rPr>
          <w:rFonts w:ascii="宋体" w:hAnsi="宋体" w:cs="宋体" w:eastAsia="宋体" w:hint="default"/>
        </w:rPr>
        <w:t>3</w:t>
      </w:r>
      <w:r>
        <w:rPr/>
        <w:t>）存货取得和发出的计价方法：本公司取得的存货按成本进行初始计量，发出按加权平均法确定发出存货的实际成 本。</w:t>
      </w:r>
    </w:p>
    <w:p>
      <w:pPr>
        <w:pStyle w:val="BodyText"/>
        <w:spacing w:line="240" w:lineRule="auto" w:before="56"/>
        <w:ind w:left="1494" w:right="0"/>
        <w:jc w:val="left"/>
      </w:pPr>
      <w:r>
        <w:rPr/>
        <w:t>（</w:t>
      </w:r>
      <w:r>
        <w:rPr>
          <w:rFonts w:ascii="宋体" w:hAnsi="宋体" w:cs="宋体" w:eastAsia="宋体" w:hint="default"/>
        </w:rPr>
        <w:t>4</w:t>
      </w:r>
      <w:r>
        <w:rPr/>
        <w:t>）低值易耗品和包装物的摊销方法：低值易耗品和包装物在领用时根据实际情况采用一次摊销法进行摊销。</w:t>
      </w:r>
    </w:p>
    <w:p>
      <w:pPr>
        <w:pStyle w:val="BodyText"/>
        <w:spacing w:line="319" w:lineRule="auto" w:before="115"/>
        <w:ind w:right="1131" w:firstLine="360"/>
        <w:jc w:val="both"/>
      </w:pPr>
      <w:r>
        <w:rPr/>
        <w:t>（</w:t>
      </w:r>
      <w:r>
        <w:rPr>
          <w:rFonts w:ascii="宋体" w:hAnsi="宋体" w:cs="宋体" w:eastAsia="宋体" w:hint="default"/>
        </w:rPr>
        <w:t>5</w:t>
      </w:r>
      <w:r>
        <w:rPr/>
        <w:t>）期末存货的计量：资产负债表日，存货按成本与可变现净值孰低计量，存货成本高于其可变现净值的，计提存货 跌价准备，计入当期损益。</w:t>
      </w:r>
    </w:p>
    <w:p>
      <w:pPr>
        <w:pStyle w:val="BodyText"/>
        <w:spacing w:line="357" w:lineRule="auto" w:before="58"/>
        <w:ind w:left="1493" w:right="0"/>
        <w:jc w:val="left"/>
      </w:pPr>
      <w:r>
        <w:rPr/>
        <w:t>①可变现净值的确定方法： 确定存货的可变现净值，以取得的确凿证据为基础，并且考虑持有存货的目的、资产负债表日后事项的影响等因素。 </w:t>
      </w:r>
      <w:r>
        <w:rPr>
          <w:spacing w:val="-2"/>
        </w:rPr>
        <w:t>为生产而持有的材料等，用其生产的产成品的可变现净值高于成本的，该材料仍然按照成本计量；材料价格的下降表明</w:t>
      </w:r>
    </w:p>
    <w:p>
      <w:pPr>
        <w:pStyle w:val="BodyText"/>
        <w:spacing w:line="360" w:lineRule="auto"/>
        <w:ind w:left="1493" w:right="2293" w:hanging="360"/>
        <w:jc w:val="left"/>
      </w:pPr>
      <w:r>
        <w:rPr/>
        <w:t>产成品的可变现净值低于成本的，该材料按照可变现净值计量。 为执行销售合同或者劳务合同而持有的存货，其可变现净值以合同价格为基础计算。 持有存货的数量多于销售合同订购数量的，超出部分的存货的可变现净值以一般销售价格为基础计算。</w:t>
      </w:r>
    </w:p>
    <w:p>
      <w:pPr>
        <w:pStyle w:val="BodyText"/>
        <w:spacing w:line="360" w:lineRule="auto" w:before="26"/>
        <w:ind w:left="1493" w:right="4993"/>
        <w:jc w:val="left"/>
      </w:pPr>
      <w:r>
        <w:rPr/>
        <w:t>②存货跌价准备通常按照单个存货项目计提。 对于数量繁多、单价较低的存货，按照存货类别计提存货跌价准备。</w:t>
      </w:r>
    </w:p>
    <w:p>
      <w:pPr>
        <w:pStyle w:val="BodyText"/>
        <w:spacing w:line="319" w:lineRule="auto" w:before="25"/>
        <w:ind w:left="1133" w:right="1133" w:firstLine="360"/>
        <w:jc w:val="both"/>
      </w:pPr>
      <w:r>
        <w:rPr>
          <w:spacing w:val="-2"/>
        </w:rPr>
        <w:t>与在同一地区生产和销售的产品系列相关、具有相同或类似最终用途或目的，且难以与其他项目分开计量的存货，合并</w:t>
      </w:r>
      <w:r>
        <w:rPr/>
        <w:t> 计提存货跌价准备。</w:t>
      </w:r>
    </w:p>
    <w:p>
      <w:pPr>
        <w:pStyle w:val="BodyText"/>
        <w:spacing w:line="240" w:lineRule="auto" w:before="56"/>
        <w:ind w:left="1493" w:right="0"/>
        <w:jc w:val="left"/>
      </w:pPr>
      <w:r>
        <w:rPr/>
        <w:t>（</w:t>
      </w:r>
      <w:r>
        <w:rPr>
          <w:rFonts w:ascii="宋体" w:hAnsi="宋体" w:cs="宋体" w:eastAsia="宋体" w:hint="default"/>
        </w:rPr>
        <w:t>6</w:t>
      </w:r>
      <w:r>
        <w:rPr/>
        <w:t>）存货的盘存制度：本公司采用永续盘存制。</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持有待售资产" w:id="190"/>
      <w:bookmarkEnd w:id="190"/>
      <w:r>
        <w:rPr>
          <w:b w:val="0"/>
          <w:bCs w:val="0"/>
        </w:rPr>
      </w:r>
      <w:r>
        <w:rPr>
          <w:rFonts w:ascii="宋体" w:hAnsi="宋体" w:cs="宋体" w:eastAsia="宋体" w:hint="default"/>
        </w:rPr>
        <w:t>13</w:t>
      </w:r>
      <w:r>
        <w:rPr/>
        <w:t>、持有待售资产</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）持有待售类别的确认标准 </w:t>
      </w:r>
      <w:r>
        <w:rPr>
          <w:spacing w:val="-2"/>
        </w:rPr>
        <w:t>本公司主要通过出售（包括具有商业实质的非货币性资产交换，下同）而非持续使用一项非流动资产或处置组收回其账</w:t>
      </w:r>
    </w:p>
    <w:p>
      <w:pPr>
        <w:pStyle w:val="BodyText"/>
        <w:spacing w:line="225" w:lineRule="exact"/>
        <w:ind w:right="0"/>
        <w:jc w:val="left"/>
      </w:pPr>
      <w:r>
        <w:rPr/>
        <w:t>面价值的，将其划分为持有待售类别。非流动资产或处置组划分为持有待售类别，同时满足下列条件：</w:t>
      </w:r>
    </w:p>
    <w:p>
      <w:pPr>
        <w:pStyle w:val="BodyText"/>
        <w:spacing w:line="240" w:lineRule="auto" w:before="116"/>
        <w:ind w:left="1493" w:right="0"/>
        <w:jc w:val="left"/>
      </w:pPr>
      <w:r>
        <w:rPr/>
        <w:t>①根据类似交易中出售此类资产或处置组的惯例，在当前状况下即可立即出售；</w:t>
      </w:r>
    </w:p>
    <w:p>
      <w:pPr>
        <w:pStyle w:val="BodyText"/>
        <w:spacing w:line="319" w:lineRule="auto" w:before="115"/>
        <w:ind w:left="1133" w:right="1132" w:firstLine="360"/>
        <w:jc w:val="both"/>
      </w:pPr>
      <w:r>
        <w:rPr>
          <w:spacing w:val="-2"/>
        </w:rPr>
        <w:t>②出售极可能发生，即本公司已经就一项出售计划作出决议且获得确定的购买承诺，预计出售将在一年内完成。有关规</w:t>
      </w:r>
      <w:r>
        <w:rPr/>
        <w:t> </w:t>
      </w:r>
      <w:r>
        <w:rPr>
          <w:spacing w:val="-2"/>
        </w:rPr>
        <w:t>定要求本公司相关权力机构或者监管部门批准后方可出售的，应当已经获得批准。确定的购买承诺，是指本公司与其他方签</w:t>
      </w:r>
      <w:r>
        <w:rPr>
          <w:spacing w:val="-66"/>
        </w:rPr>
        <w:t> </w:t>
      </w:r>
      <w:r>
        <w:rPr>
          <w:spacing w:val="-66"/>
        </w:rPr>
      </w:r>
      <w:r>
        <w:rPr>
          <w:spacing w:val="-2"/>
        </w:rPr>
        <w:t>订的具有法律约束力的购买协议，该协议包含交易价格、时间和足够严厉的违约惩罚等重要条款，使协议出现重大调整或者</w:t>
      </w:r>
      <w:r>
        <w:rPr>
          <w:spacing w:val="-66"/>
        </w:rPr>
        <w:t> </w:t>
      </w:r>
      <w:r>
        <w:rPr>
          <w:spacing w:val="-66"/>
        </w:rPr>
      </w:r>
      <w:r>
        <w:rPr/>
        <w:t>撤销的可能性极小。</w:t>
      </w:r>
    </w:p>
    <w:p>
      <w:pPr>
        <w:pStyle w:val="BodyText"/>
        <w:spacing w:line="319" w:lineRule="auto" w:before="57"/>
        <w:ind w:left="1133" w:right="1131" w:firstLine="360"/>
        <w:jc w:val="both"/>
      </w:pPr>
      <w:r>
        <w:rPr>
          <w:spacing w:val="-2"/>
        </w:rPr>
        <w:t>本公司专为转售而取得的非流动资产或处置组，在取得日满足“预计出售将在一年内完成”的规定条件，且短期（通常</w:t>
      </w:r>
      <w:r>
        <w:rPr/>
        <w:t> 为</w:t>
      </w:r>
      <w:r>
        <w:rPr>
          <w:rFonts w:ascii="宋体" w:hAnsi="宋体" w:cs="宋体" w:eastAsia="宋体" w:hint="default"/>
        </w:rPr>
        <w:t>3</w:t>
      </w:r>
      <w:r>
        <w:rPr/>
        <w:t>个月）内很可能满足持有待售类别的其他划分条件的，在取得日将其划分为持有待售类别。</w:t>
      </w:r>
    </w:p>
    <w:p>
      <w:pPr>
        <w:pStyle w:val="BodyText"/>
        <w:spacing w:line="316" w:lineRule="auto" w:before="55"/>
        <w:ind w:left="1133" w:right="1132" w:firstLine="360"/>
        <w:jc w:val="both"/>
      </w:pPr>
      <w:r>
        <w:rPr>
          <w:spacing w:val="-2"/>
        </w:rPr>
        <w:t>处置组，是指在一项交易中作为整体通过出售或其他方式一并处置的一组资产，以及在该交易中转让的与这些资产直接</w:t>
      </w:r>
      <w:r>
        <w:rPr/>
        <w:t> </w:t>
      </w:r>
      <w:r>
        <w:rPr>
          <w:spacing w:val="-4"/>
        </w:rPr>
        <w:t>相关的负债。处置组所属的资产组或资产组组合按照《企业会计准则第</w:t>
      </w:r>
      <w:r>
        <w:rPr>
          <w:rFonts w:ascii="宋体" w:hAnsi="宋体" w:cs="宋体" w:eastAsia="宋体" w:hint="default"/>
          <w:spacing w:val="-4"/>
        </w:rPr>
        <w:t>8</w:t>
      </w:r>
      <w:r>
        <w:rPr>
          <w:spacing w:val="-4"/>
        </w:rPr>
        <w:t>号——资产减值》分摊了企业合并中取得的商誉的，</w:t>
      </w:r>
    </w:p>
    <w:p>
      <w:pPr>
        <w:spacing w:after="0" w:line="316" w:lineRule="auto"/>
        <w:jc w:val="both"/>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1133" w:right="0"/>
        <w:jc w:val="both"/>
      </w:pPr>
      <w:r>
        <w:rPr/>
        <w:t>该处置组应当包含分摊至处置组的商誉。</w:t>
      </w:r>
    </w:p>
    <w:p>
      <w:pPr>
        <w:pStyle w:val="BodyText"/>
        <w:spacing w:line="357" w:lineRule="auto" w:before="116"/>
        <w:ind w:left="1493" w:right="0"/>
        <w:jc w:val="left"/>
      </w:pPr>
      <w:r>
        <w:rPr/>
        <w:t>（</w:t>
      </w:r>
      <w:r>
        <w:rPr>
          <w:rFonts w:ascii="宋体" w:hAnsi="宋体" w:cs="宋体" w:eastAsia="宋体" w:hint="default"/>
        </w:rPr>
        <w:t>2</w:t>
      </w:r>
      <w:r>
        <w:rPr/>
        <w:t>）持有待售类别的会计处理方法 </w:t>
      </w:r>
      <w:r>
        <w:rPr>
          <w:spacing w:val="-2"/>
        </w:rPr>
        <w:t>本公司对于被分类为持有待售类别的非流动资产和处置组，以账面价值与公允价值减去处置费用后的净额孰低进行初始</w:t>
      </w:r>
    </w:p>
    <w:p>
      <w:pPr>
        <w:pStyle w:val="BodyText"/>
        <w:spacing w:line="224" w:lineRule="exact"/>
        <w:ind w:left="1133" w:right="0"/>
        <w:jc w:val="both"/>
      </w:pPr>
      <w:r>
        <w:rPr/>
        <w:t>计量或重新计量。公允价值减去处置费用后的净额低于原账面价值的，其差额确认为资产减值损失计入当期损益，同时计提</w:t>
      </w:r>
    </w:p>
    <w:p>
      <w:pPr>
        <w:pStyle w:val="BodyText"/>
        <w:spacing w:line="319" w:lineRule="auto" w:before="77"/>
        <w:ind w:left="1133" w:right="1131"/>
        <w:jc w:val="both"/>
      </w:pPr>
      <w:r>
        <w:rPr>
          <w:spacing w:val="-2"/>
        </w:rPr>
        <w:t>持有待售资产减值准备；对于持有待售的处置组确认的资产减值损失金额，先抵减处置组中商誉的账面价值，再根据处置组</w:t>
      </w:r>
      <w:r>
        <w:rPr>
          <w:spacing w:val="-66"/>
        </w:rPr>
        <w:t> </w:t>
      </w:r>
      <w:r>
        <w:rPr>
          <w:spacing w:val="-66"/>
        </w:rPr>
      </w:r>
      <w:r>
        <w:rPr>
          <w:spacing w:val="-2"/>
        </w:rPr>
        <w:t>中适用持有待售类别计量规定的各项非流动资产账面价值所占比重，按比例抵减其账面价值。后续资产负债表日持有待售的</w:t>
      </w:r>
      <w:r>
        <w:rPr>
          <w:spacing w:val="-64"/>
        </w:rPr>
        <w:t> </w:t>
      </w:r>
      <w:r>
        <w:rPr>
          <w:spacing w:val="-64"/>
        </w:rPr>
      </w:r>
      <w:r>
        <w:rPr>
          <w:spacing w:val="-2"/>
        </w:rPr>
        <w:t>非流动资产公允价值减去出售费用后的净额增加的，以前减记的金额予以恢复，并在划分为持有待售类别后确认的资产减值</w:t>
      </w:r>
      <w:r>
        <w:rPr>
          <w:spacing w:val="-64"/>
        </w:rPr>
        <w:t> </w:t>
      </w:r>
      <w:r>
        <w:rPr>
          <w:spacing w:val="-64"/>
        </w:rPr>
      </w:r>
      <w:r>
        <w:rPr>
          <w:spacing w:val="-2"/>
        </w:rPr>
        <w:t>损失金额内转回，转回金额计入当期损益。划分为持有待售类别前确认的资产减值损失不予转回。后续资产负债表日持有待</w:t>
      </w:r>
      <w:r>
        <w:rPr>
          <w:spacing w:val="-66"/>
        </w:rPr>
        <w:t> </w:t>
      </w:r>
      <w:r>
        <w:rPr>
          <w:spacing w:val="-66"/>
        </w:rPr>
      </w:r>
      <w:r>
        <w:rPr>
          <w:spacing w:val="-2"/>
        </w:rPr>
        <w:t>售的处置组公允价值减去出售费用后的净额增加的，以前减记的金额予以恢复，并在划分为持有待售类别后适用持有待售类</w:t>
      </w:r>
      <w:r>
        <w:rPr>
          <w:spacing w:val="-64"/>
        </w:rPr>
        <w:t> </w:t>
      </w:r>
      <w:r>
        <w:rPr>
          <w:spacing w:val="-64"/>
        </w:rPr>
      </w:r>
      <w:r>
        <w:rPr>
          <w:spacing w:val="-2"/>
        </w:rPr>
        <w:t>别计量规定的非流动资产确认的资产减值损失金额内转回，转回金额计入当期损益。已抵减的商誉账面价值，以及适用持有</w:t>
      </w:r>
      <w:r>
        <w:rPr>
          <w:spacing w:val="-66"/>
        </w:rPr>
        <w:t> </w:t>
      </w:r>
      <w:r>
        <w:rPr>
          <w:spacing w:val="-66"/>
        </w:rPr>
      </w:r>
      <w:r>
        <w:rPr>
          <w:spacing w:val="-2"/>
        </w:rPr>
        <w:t>待售类别计量规定的非流动资产在划分为持有待售类别前确认的资产减值损失不予转回。持有待售的处置组确认的资产减值</w:t>
      </w:r>
      <w:r>
        <w:rPr>
          <w:spacing w:val="-64"/>
        </w:rPr>
        <w:t> </w:t>
      </w:r>
      <w:r>
        <w:rPr>
          <w:spacing w:val="-64"/>
        </w:rPr>
      </w:r>
      <w:r>
        <w:rPr>
          <w:spacing w:val="-2"/>
        </w:rPr>
        <w:t>损失后续转回金额，根据处置组中除商誉外适用持有待售类别计量规定的各项非流动资产账面价值所占比重，按比例增加其</w:t>
      </w:r>
      <w:r>
        <w:rPr>
          <w:spacing w:val="-64"/>
        </w:rPr>
        <w:t> </w:t>
      </w:r>
      <w:r>
        <w:rPr>
          <w:spacing w:val="-64"/>
        </w:rPr>
      </w:r>
      <w:r>
        <w:rPr>
          <w:spacing w:val="-2"/>
        </w:rPr>
        <w:t>账面价值。持有待售的非流动资产或处置组中的非流动资产不计提折旧或摊销，持有待售的处置组中负债的利息和其他费用</w:t>
      </w:r>
      <w:r>
        <w:rPr>
          <w:spacing w:val="-64"/>
        </w:rPr>
        <w:t> </w:t>
      </w:r>
      <w:r>
        <w:rPr>
          <w:spacing w:val="-64"/>
        </w:rPr>
      </w:r>
      <w:r>
        <w:rPr/>
        <w:t>继续予以确认。</w:t>
      </w:r>
    </w:p>
    <w:p>
      <w:pPr>
        <w:pStyle w:val="BodyText"/>
        <w:spacing w:line="319" w:lineRule="auto" w:before="55"/>
        <w:ind w:right="1130" w:firstLine="360"/>
        <w:jc w:val="both"/>
      </w:pPr>
      <w:r>
        <w:rPr>
          <w:spacing w:val="-2"/>
        </w:rPr>
        <w:t>递延所得税资产、《企业会计准则第</w:t>
      </w:r>
      <w:r>
        <w:rPr>
          <w:rFonts w:ascii="宋体" w:hAnsi="宋体" w:cs="宋体" w:eastAsia="宋体" w:hint="default"/>
          <w:spacing w:val="-2"/>
        </w:rPr>
        <w:t>22</w:t>
      </w:r>
      <w:r>
        <w:rPr>
          <w:spacing w:val="-2"/>
        </w:rPr>
        <w:t>号——金融工具确认和计量》规范的金融资产、以公允价值计量的投资性房地产</w:t>
      </w:r>
      <w:r>
        <w:rPr/>
        <w:t> </w:t>
      </w:r>
      <w:r>
        <w:rPr>
          <w:spacing w:val="-2"/>
        </w:rPr>
        <w:t>和生物资产、保险合同中产生的合同权利、从职工福利中所产生的资产不适用于持有待售类别的计量方法，而是根据相关准</w:t>
      </w:r>
      <w:r>
        <w:rPr>
          <w:spacing w:val="-66"/>
        </w:rPr>
        <w:t> </w:t>
      </w:r>
      <w:r>
        <w:rPr>
          <w:spacing w:val="-66"/>
        </w:rPr>
      </w:r>
      <w:r>
        <w:rPr>
          <w:spacing w:val="-2"/>
        </w:rPr>
        <w:t>则或本公司制定的相应会计政策进行计量。处置组包含适用持有待售类别的计量方法的非流动资产的，持有待售类别的计量</w:t>
      </w:r>
      <w:r>
        <w:rPr>
          <w:spacing w:val="-63"/>
        </w:rPr>
        <w:t> </w:t>
      </w:r>
      <w:r>
        <w:rPr>
          <w:spacing w:val="-63"/>
        </w:rPr>
      </w:r>
      <w:r>
        <w:rPr/>
        <w:t>方法适用于整个处置组。处置组中负债的计量适用相关会计准则。</w:t>
      </w:r>
    </w:p>
    <w:p>
      <w:pPr>
        <w:pStyle w:val="BodyText"/>
        <w:spacing w:line="319" w:lineRule="auto" w:before="55"/>
        <w:ind w:right="1133" w:firstLine="360"/>
        <w:jc w:val="both"/>
      </w:pPr>
      <w:r>
        <w:rPr/>
        <w:t>非流动资产或处置组因不再满足持有待售类别的划分条件而不再继续划分为持有待售类别或非流动资产从持有待售的 </w:t>
      </w:r>
      <w:r>
        <w:rPr>
          <w:spacing w:val="-2"/>
        </w:rPr>
        <w:t>处置组中移除时，按照以下两者孰低计量：①划分为持有待售类别前的账面价值，按照假定不划分为持有待售类别情况下本</w:t>
      </w:r>
      <w:r>
        <w:rPr>
          <w:spacing w:val="-66"/>
        </w:rPr>
        <w:t> </w:t>
      </w:r>
      <w:r>
        <w:rPr>
          <w:spacing w:val="-66"/>
        </w:rPr>
      </w:r>
      <w:r>
        <w:rPr/>
        <w:t>应确认的折旧、摊销或减值等进行调整后的金额；②可收回金额。</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14、长期股权投资" w:id="191"/>
      <w:bookmarkEnd w:id="191"/>
      <w:r>
        <w:rPr>
          <w:b w:val="0"/>
          <w:bCs w:val="0"/>
        </w:rPr>
      </w:r>
      <w:r>
        <w:rPr>
          <w:rFonts w:ascii="宋体" w:hAnsi="宋体" w:cs="宋体" w:eastAsia="宋体" w:hint="default"/>
        </w:rPr>
        <w:t>14</w:t>
      </w:r>
      <w:r>
        <w:rPr/>
        <w:t>、长期股权投资</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长期股权投资包括对子公司、合营企业和联营企业的权益性投资。</w:t>
      </w:r>
    </w:p>
    <w:p>
      <w:pPr>
        <w:pStyle w:val="BodyText"/>
        <w:spacing w:line="357" w:lineRule="auto" w:before="117"/>
        <w:ind w:left="1493" w:right="5893"/>
        <w:jc w:val="left"/>
      </w:pPr>
      <w:r>
        <w:rPr/>
        <w:t>（</w:t>
      </w:r>
      <w:r>
        <w:rPr>
          <w:rFonts w:ascii="宋体" w:hAnsi="宋体" w:cs="宋体" w:eastAsia="宋体" w:hint="default"/>
        </w:rPr>
        <w:t>1</w:t>
      </w:r>
      <w:r>
        <w:rPr/>
        <w:t>）初始计量 本公司分别下列两种情况对长期股权投资进行初始计量：</w:t>
      </w:r>
    </w:p>
    <w:p>
      <w:pPr>
        <w:pStyle w:val="BodyText"/>
        <w:spacing w:line="357" w:lineRule="auto" w:before="28"/>
        <w:ind w:left="1493" w:right="1123"/>
        <w:jc w:val="left"/>
      </w:pPr>
      <w:r>
        <w:rPr/>
        <w:t>①企业合并形成的长期股权投资，按照下列规定确定其初始投资成本：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、同一控制下的企业合并中，合并方以支付现金、转让非现金资产或承担债务方式作为合并对价的，在合并日按照被</w:t>
      </w:r>
    </w:p>
    <w:p>
      <w:pPr>
        <w:pStyle w:val="BodyText"/>
        <w:spacing w:line="224" w:lineRule="exact"/>
        <w:ind w:right="0"/>
        <w:jc w:val="both"/>
      </w:pPr>
      <w:r>
        <w:rPr/>
        <w:t>合并方所有者权益在最终控制方合并财务报表中的账面价值的份额作为长期股权投资的初始投资成本</w:t>
      </w:r>
      <w:r>
        <w:rPr>
          <w:spacing w:val="-82"/>
        </w:rPr>
        <w:t>。</w:t>
      </w:r>
      <w:r>
        <w:rPr/>
        <w:t>长期股权投资初始投</w:t>
      </w:r>
    </w:p>
    <w:p>
      <w:pPr>
        <w:pStyle w:val="BodyText"/>
        <w:spacing w:line="319" w:lineRule="auto" w:before="76"/>
        <w:ind w:right="1131"/>
        <w:jc w:val="both"/>
      </w:pPr>
      <w:r>
        <w:rPr>
          <w:spacing w:val="-2"/>
        </w:rPr>
        <w:t>资成本与支付的现金、转让的非现金资产以及所承担债务账面价值之间的差额，调整资本公积；资本公积不足冲减的，调整</w:t>
      </w:r>
      <w:r>
        <w:rPr>
          <w:spacing w:val="-66"/>
        </w:rPr>
        <w:t> </w:t>
      </w:r>
      <w:r>
        <w:rPr>
          <w:spacing w:val="-66"/>
        </w:rPr>
      </w:r>
      <w:r>
        <w:rPr>
          <w:spacing w:val="-5"/>
        </w:rPr>
        <w:t>留存收益。为进行企业合并发生的各项直接相关费用，包括为进行企业合并而支付的审计费用、评估费用、法律服务费用等，</w:t>
      </w:r>
      <w:r>
        <w:rPr>
          <w:spacing w:val="-82"/>
        </w:rPr>
        <w:t> </w:t>
      </w:r>
      <w:r>
        <w:rPr>
          <w:spacing w:val="-82"/>
        </w:rPr>
      </w:r>
      <w:r>
        <w:rPr/>
        <w:t>于发生时计入当期损益。</w:t>
      </w:r>
    </w:p>
    <w:p>
      <w:pPr>
        <w:pStyle w:val="BodyText"/>
        <w:spacing w:line="319" w:lineRule="auto" w:before="55"/>
        <w:ind w:right="113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spacing w:val="-2"/>
        </w:rPr>
        <w:t>值总额之间的差额，调整资本公积；资本公积不足冲减的，调整留存收益。合并中发行权益性证券发生的手续费、佣金等费</w:t>
      </w:r>
      <w:r>
        <w:rPr>
          <w:spacing w:val="-66"/>
        </w:rPr>
        <w:t> </w:t>
      </w:r>
      <w:r>
        <w:rPr>
          <w:spacing w:val="-66"/>
        </w:rPr>
      </w:r>
      <w:r>
        <w:rPr/>
        <w:t>用，抵减权益性证券溢价收入，溢价收入不足冲减的，冲减留存收益。</w:t>
      </w:r>
    </w:p>
    <w:p>
      <w:pPr>
        <w:pStyle w:val="BodyText"/>
        <w:spacing w:line="357" w:lineRule="auto" w:before="56"/>
        <w:ind w:left="1493" w:right="1123"/>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）一次交换交易实现的企业合并，合并成本为在购买日为取得对被购买方的控制权而付出的资产、发生或承担的负债</w:t>
      </w:r>
    </w:p>
    <w:p>
      <w:pPr>
        <w:pStyle w:val="BodyText"/>
        <w:spacing w:line="357" w:lineRule="auto"/>
        <w:ind w:left="1494" w:right="1122" w:hanging="360"/>
        <w:jc w:val="left"/>
      </w:pPr>
      <w:r>
        <w:rPr/>
        <w:t>以及发行的权益性证券的公允价值； </w:t>
      </w:r>
      <w:r>
        <w:rPr>
          <w:rFonts w:ascii="宋体" w:hAnsi="宋体" w:cs="宋体" w:eastAsia="宋体" w:hint="default"/>
        </w:rPr>
        <w:t>b</w:t>
      </w:r>
      <w:r>
        <w:rPr/>
        <w:t>）通过多次交换交易分步实现的企业合并，以购买日之前所持被购买方的股权投资的账面价值与购买日新增投资成本</w:t>
      </w:r>
    </w:p>
    <w:p>
      <w:pPr>
        <w:pStyle w:val="BodyText"/>
        <w:spacing w:line="357" w:lineRule="auto"/>
        <w:ind w:left="1494" w:right="1122" w:hanging="360"/>
        <w:jc w:val="left"/>
      </w:pPr>
      <w:r>
        <w:rPr/>
        <w:t>之和，作为该项投资的初始投资成本； </w:t>
      </w:r>
      <w:r>
        <w:rPr>
          <w:rFonts w:ascii="宋体" w:hAnsi="宋体" w:cs="宋体" w:eastAsia="宋体" w:hint="default"/>
        </w:rPr>
        <w:t>c</w:t>
      </w:r>
      <w:r>
        <w:rPr/>
        <w:t>）为企业合并发生的审计、法律服务、评估咨询等中介费用以及其他相关管理费用，于发生时计入当期损益；作为合</w:t>
      </w:r>
    </w:p>
    <w:p>
      <w:pPr>
        <w:spacing w:after="0" w:line="357"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3" w:right="1123" w:hanging="360"/>
        <w:jc w:val="left"/>
      </w:pPr>
      <w:r>
        <w:rPr/>
        <w:t>并对价发行的权益性证券或债务性证券的交易费用，计入权益性证券或债务性证券的初始确认金额； </w:t>
      </w:r>
      <w:r>
        <w:rPr>
          <w:rFonts w:ascii="宋体" w:hAnsi="宋体" w:cs="宋体" w:eastAsia="宋体" w:hint="default"/>
        </w:rPr>
        <w:t>d</w:t>
      </w:r>
      <w:r>
        <w:rPr/>
        <w:t>）在合并合同或协议中对可能影响合并成本的未来事项作出约定的，购买日如果估计未来事项很可能发生并且对合并</w:t>
      </w:r>
    </w:p>
    <w:p>
      <w:pPr>
        <w:pStyle w:val="BodyText"/>
        <w:spacing w:line="225" w:lineRule="exact"/>
        <w:ind w:right="0"/>
        <w:jc w:val="left"/>
      </w:pPr>
      <w:r>
        <w:rPr/>
        <w:t>成本的影响金额能够可靠计量的，将其计入合并成本。</w:t>
      </w:r>
    </w:p>
    <w:p>
      <w:pPr>
        <w:pStyle w:val="BodyText"/>
        <w:spacing w:line="357" w:lineRule="auto" w:before="117"/>
        <w:ind w:left="1493" w:right="1123"/>
        <w:jc w:val="left"/>
      </w:pPr>
      <w:r>
        <w:rPr/>
        <w:t>②除企业合并形成的长期股权投资以外，其他方式取得的长期股权投资，按照下列规定确定其初始投资成本：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、以支付现金取得的长期股权投资，按照实际支付的购买价款作为初始投资成本。初始投资成本包括与取得长期股权</w:t>
      </w:r>
    </w:p>
    <w:p>
      <w:pPr>
        <w:pStyle w:val="BodyText"/>
        <w:spacing w:line="357" w:lineRule="auto"/>
        <w:ind w:left="1494" w:right="1122" w:hanging="360"/>
        <w:jc w:val="left"/>
      </w:pPr>
      <w:r>
        <w:rPr/>
        <w:t>投资直接相关的费用、税金及其他必要支出。 </w:t>
      </w:r>
      <w:r>
        <w:rPr>
          <w:rFonts w:ascii="宋体" w:hAnsi="宋体" w:cs="宋体" w:eastAsia="宋体" w:hint="default"/>
        </w:rPr>
        <w:t>B</w:t>
      </w:r>
      <w:r>
        <w:rPr/>
        <w:t>、以发行权益性证券取得的长期股权投资，按照发行权益性证券的公允价值作为初始投资成本，但不包括应自被投资</w:t>
      </w:r>
    </w:p>
    <w:p>
      <w:pPr>
        <w:pStyle w:val="BodyText"/>
        <w:spacing w:line="224" w:lineRule="exact"/>
        <w:ind w:right="0"/>
        <w:jc w:val="left"/>
      </w:pPr>
      <w:r>
        <w:rPr/>
        <w:t>单位收取的已宣告但尚未发放的现金股利或利润</w:t>
      </w:r>
      <w:r>
        <w:rPr>
          <w:spacing w:val="-87"/>
        </w:rPr>
        <w:t>。</w:t>
      </w:r>
      <w:r>
        <w:rPr/>
        <w:t>发行或取得自身权益工具时发生的交易费用</w:t>
      </w:r>
      <w:r>
        <w:rPr>
          <w:spacing w:val="-87"/>
        </w:rPr>
        <w:t>，</w:t>
      </w:r>
      <w:r>
        <w:rPr/>
        <w:t>可直接归属于权益性交易的，</w:t>
      </w:r>
    </w:p>
    <w:p>
      <w:pPr>
        <w:pStyle w:val="BodyText"/>
        <w:spacing w:line="240" w:lineRule="auto" w:before="77"/>
        <w:ind w:right="0"/>
        <w:jc w:val="left"/>
      </w:pPr>
      <w:r>
        <w:rPr/>
        <w:t>从权益中扣减。</w:t>
      </w:r>
    </w:p>
    <w:p>
      <w:pPr>
        <w:pStyle w:val="BodyText"/>
        <w:spacing w:line="357" w:lineRule="auto" w:before="117"/>
        <w:ind w:left="1493" w:right="1132"/>
        <w:jc w:val="left"/>
      </w:pPr>
      <w:r>
        <w:rPr>
          <w:rFonts w:ascii="宋体" w:hAnsi="宋体" w:cs="宋体" w:eastAsia="宋体" w:hint="default"/>
          <w:spacing w:val="-4"/>
        </w:rPr>
        <w:t>C</w:t>
      </w:r>
      <w:r>
        <w:rPr>
          <w:spacing w:val="-4"/>
        </w:rPr>
        <w:t>、通过非货币性资产交换取得的长期股权投资，其初始投资成本按照《企业会计准则第</w:t>
      </w:r>
      <w:r>
        <w:rPr>
          <w:rFonts w:ascii="宋体" w:hAnsi="宋体" w:cs="宋体" w:eastAsia="宋体" w:hint="default"/>
          <w:spacing w:val="-4"/>
        </w:rPr>
        <w:t>7</w:t>
      </w:r>
      <w:r>
        <w:rPr>
          <w:spacing w:val="-4"/>
        </w:rPr>
        <w:t>号</w:t>
      </w:r>
      <w:r>
        <w:rPr>
          <w:rFonts w:ascii="宋体" w:hAnsi="宋体" w:cs="宋体" w:eastAsia="宋体" w:hint="default"/>
          <w:spacing w:val="-4"/>
        </w:rPr>
        <w:t>-</w:t>
      </w:r>
      <w:r>
        <w:rPr>
          <w:spacing w:val="-4"/>
        </w:rPr>
        <w:t>非货币性资产交换》确定。</w:t>
      </w:r>
      <w:r>
        <w:rPr>
          <w:spacing w:val="-49"/>
        </w:rPr>
        <w:t> </w:t>
      </w:r>
      <w:r>
        <w:rPr>
          <w:spacing w:val="-49"/>
        </w:rPr>
      </w:r>
      <w:r>
        <w:rPr>
          <w:rFonts w:ascii="宋体" w:hAnsi="宋体" w:cs="宋体" w:eastAsia="宋体" w:hint="default"/>
        </w:rPr>
        <w:t>D</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319" w:lineRule="auto" w:before="26"/>
        <w:ind w:left="1133" w:right="1132" w:firstLine="360"/>
        <w:jc w:val="both"/>
      </w:pPr>
      <w:r>
        <w:rPr>
          <w:spacing w:val="-2"/>
        </w:rPr>
        <w:t>③无论是以何种方式取得长期股权投资，取得投资时，对于支付的对价中包含的应享有被投资单位已经宣告但尚未发放</w:t>
      </w:r>
      <w:r>
        <w:rPr/>
        <w:t> 的现金股利或利润都作为应收项目单独核算，不构成取得长期股权投资的初始投资成本。</w:t>
      </w:r>
    </w:p>
    <w:p>
      <w:pPr>
        <w:pStyle w:val="BodyText"/>
        <w:spacing w:line="357" w:lineRule="auto" w:before="58"/>
        <w:ind w:left="1493" w:right="1118"/>
        <w:jc w:val="left"/>
      </w:pPr>
      <w:r>
        <w:rPr/>
        <w:t>（</w:t>
      </w:r>
      <w:r>
        <w:rPr>
          <w:rFonts w:ascii="宋体" w:hAnsi="宋体" w:cs="宋体" w:eastAsia="宋体" w:hint="default"/>
        </w:rPr>
        <w:t>2</w:t>
      </w:r>
      <w:r>
        <w:rPr/>
        <w:t>）后续计量 </w:t>
      </w:r>
      <w:r>
        <w:rPr>
          <w:spacing w:val="-2"/>
        </w:rPr>
        <w:t>能够对被投资单位实施控制的长期股权投资，在个别财务报表中采用成本法核算。对被投资单位具有共同控制或重大影</w:t>
      </w:r>
    </w:p>
    <w:p>
      <w:pPr>
        <w:pStyle w:val="BodyText"/>
        <w:spacing w:line="225" w:lineRule="exact"/>
        <w:ind w:left="1133" w:right="0"/>
        <w:jc w:val="left"/>
      </w:pPr>
      <w:r>
        <w:rPr/>
        <w:t>响的长期股权投资，采用权益法核算。</w:t>
      </w:r>
    </w:p>
    <w:p>
      <w:pPr>
        <w:pStyle w:val="BodyText"/>
        <w:spacing w:line="319" w:lineRule="auto" w:before="115"/>
        <w:ind w:left="1133" w:right="1132" w:firstLine="360"/>
        <w:jc w:val="both"/>
      </w:pPr>
      <w:r>
        <w:rPr>
          <w:spacing w:val="-2"/>
        </w:rPr>
        <w:t>①采用成本法核算的长期股权投资按照初始投资成本计价。追加或收回投资调整长期股权投资的成本。被投资单位宣告</w:t>
      </w:r>
      <w:r>
        <w:rPr/>
        <w:t> 分派的现金股利或利润，确认为当期投资收益。</w:t>
      </w:r>
    </w:p>
    <w:p>
      <w:pPr>
        <w:pStyle w:val="BodyText"/>
        <w:spacing w:line="319" w:lineRule="auto" w:before="56"/>
        <w:ind w:left="1133" w:right="0" w:firstLine="360"/>
        <w:jc w:val="left"/>
      </w:pPr>
      <w:r>
        <w:rPr/>
        <w:t>②采用权益法核算的长期股权投资，其初始投资成本大于投资时应享有被投资单位可辨认净资产公允价值份额的，不调 </w:t>
      </w:r>
      <w:r>
        <w:rPr>
          <w:spacing w:val="-2"/>
        </w:rPr>
        <w:t>整长期股权投资的初始投资成本；长期股权投资的初始投资成本小于投资时应享有被投资单位可辨认净资产公允价值份额的，</w:t>
      </w:r>
      <w:r>
        <w:rPr>
          <w:spacing w:val="-62"/>
        </w:rPr>
        <w:t> </w:t>
      </w:r>
      <w:r>
        <w:rPr>
          <w:spacing w:val="-62"/>
        </w:rPr>
      </w:r>
      <w:r>
        <w:rPr/>
        <w:t>其差额计入当期损益，同时调整长期股权投资的成本。</w:t>
      </w:r>
    </w:p>
    <w:p>
      <w:pPr>
        <w:pStyle w:val="BodyText"/>
        <w:spacing w:line="319" w:lineRule="auto" w:before="56"/>
        <w:ind w:right="1132" w:firstLine="360"/>
        <w:jc w:val="both"/>
      </w:pPr>
      <w:r>
        <w:rPr>
          <w:spacing w:val="-2"/>
        </w:rPr>
        <w:t>取得长期股权投资后，按照应享有或应分担的被投资单位实现的净损益和其他综合收益的份额，分别确认投资收益和其</w:t>
      </w:r>
      <w:r>
        <w:rPr/>
        <w:t>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投资的账面价值并计入所有者权益。在确认应享有被投资单位净损益的份额时，以取得投资时被投资单位可辨认净资产的公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公司的会计政策及会计期间对被投资单位的财务报表进行调整，并据以确认投资收益和其他综合收益等。确认被投资单位发</w:t>
      </w:r>
      <w:r>
        <w:rPr>
          <w:spacing w:val="-64"/>
        </w:rPr>
        <w:t> </w:t>
      </w:r>
      <w:r>
        <w:rPr>
          <w:spacing w:val="-64"/>
        </w:rPr>
      </w:r>
      <w:r>
        <w:rPr>
          <w:spacing w:val="-2"/>
        </w:rPr>
        <w:t>生的净亏损，以长期股权投资的账面价值以及其他实质上构成对被投资单位净投资的长期权益减记至零为限，本公司负有承</w:t>
      </w:r>
      <w:r>
        <w:rPr>
          <w:spacing w:val="-64"/>
        </w:rPr>
        <w:t> </w:t>
      </w:r>
      <w:r>
        <w:rPr>
          <w:spacing w:val="-64"/>
        </w:rPr>
      </w:r>
      <w:r>
        <w:rPr>
          <w:spacing w:val="-2"/>
        </w:rPr>
        <w:t>担额外损失义务的除外。被投资单位以后实现净利润的，本公司在其收益分享额弥补未确认的亏损分担额后，恢复确认收益</w:t>
      </w:r>
      <w:r>
        <w:rPr>
          <w:spacing w:val="-66"/>
        </w:rPr>
        <w:t> </w:t>
      </w:r>
      <w:r>
        <w:rPr>
          <w:spacing w:val="-66"/>
        </w:rPr>
      </w:r>
      <w:r>
        <w:rPr/>
        <w:t>分享额。</w:t>
      </w:r>
    </w:p>
    <w:p>
      <w:pPr>
        <w:pStyle w:val="BodyText"/>
        <w:spacing w:line="319" w:lineRule="auto" w:before="55"/>
        <w:ind w:right="1132" w:firstLine="360"/>
        <w:jc w:val="both"/>
      </w:pPr>
      <w:r>
        <w:rPr>
          <w:spacing w:val="-2"/>
        </w:rPr>
        <w:t>计算确认应享有或应分担被投资单位的净损益时，与联营企业、合营企业之间发生的未实现内部交易损益按照应享有的</w:t>
      </w:r>
      <w:r>
        <w:rPr/>
        <w:t> </w:t>
      </w:r>
      <w:r>
        <w:rPr>
          <w:spacing w:val="-2"/>
        </w:rPr>
        <w:t>比例计算归属于本公司的部分，予以抵销，在此基础上确认投资收益。本公司与被投资单位发生的未实现内部交易损失属于</w:t>
      </w:r>
      <w:r>
        <w:rPr>
          <w:spacing w:val="-66"/>
        </w:rPr>
        <w:t> </w:t>
      </w:r>
      <w:r>
        <w:rPr>
          <w:spacing w:val="-66"/>
        </w:rPr>
      </w:r>
      <w:r>
        <w:rPr/>
        <w:t>资产减值损失的，予以全额确认。</w:t>
      </w:r>
    </w:p>
    <w:p>
      <w:pPr>
        <w:pStyle w:val="BodyText"/>
        <w:spacing w:line="319" w:lineRule="auto" w:before="56"/>
        <w:ind w:left="1133" w:right="1132" w:firstLine="360"/>
        <w:jc w:val="both"/>
      </w:pPr>
      <w:r>
        <w:rPr>
          <w:spacing w:val="-2"/>
        </w:rPr>
        <w:t>本公司对联营企业的权益性投资，其中一部分通过风险投资机构、共同基金、信托公司或包括投连险基金在内的类似主</w:t>
      </w:r>
      <w:r>
        <w:rPr/>
        <w:t> </w:t>
      </w:r>
      <w:r>
        <w:rPr>
          <w:spacing w:val="-2"/>
        </w:rPr>
        <w:t>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号——金融工具确认和计</w:t>
      </w:r>
      <w:r>
        <w:rPr>
          <w:spacing w:val="-63"/>
        </w:rPr>
        <w:t> </w:t>
      </w:r>
      <w:r>
        <w:rPr/>
        <w:t>量》的有关规定，对间接持有的该部分投资选择以公允价值计量且其变动计入损益，并对其余部分采用权益法核算。</w:t>
      </w:r>
    </w:p>
    <w:p>
      <w:pPr>
        <w:pStyle w:val="BodyText"/>
        <w:spacing w:line="319" w:lineRule="auto" w:before="55"/>
        <w:ind w:left="1133" w:right="1131" w:firstLine="360"/>
        <w:jc w:val="both"/>
      </w:pPr>
      <w:r>
        <w:rPr>
          <w:spacing w:val="-2"/>
        </w:rPr>
        <w:t>③本公司处置长期股权投资，其账面价值与实际取得价款的差额，计入当期损益。采用权益法核算的长期股权投资，在</w:t>
      </w:r>
      <w:r>
        <w:rPr/>
        <w:t> </w:t>
      </w: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55"/>
        <w:ind w:right="1131" w:firstLine="360"/>
        <w:jc w:val="both"/>
      </w:pPr>
      <w:r>
        <w:rPr>
          <w:spacing w:val="-2"/>
        </w:rPr>
        <w:t>④本集团因其他投资方对其子公司增资而导致本集团持股比例下降，从而丧失控制权但能实施共同控制或施加重大影响</w:t>
      </w:r>
      <w:r>
        <w:rPr/>
        <w:t> </w:t>
      </w:r>
      <w:r>
        <w:rPr>
          <w:spacing w:val="-2"/>
        </w:rPr>
        <w:t>的，在个别财务报表中，对该项长期股权投资从成本法转为权益法核算。首先，按照新的持股比例确认本投资方应享有的原</w:t>
      </w:r>
      <w:r>
        <w:rPr>
          <w:spacing w:val="-66"/>
        </w:rPr>
        <w:t> </w:t>
      </w:r>
      <w:r>
        <w:rPr>
          <w:spacing w:val="-66"/>
        </w:rPr>
      </w:r>
      <w:r>
        <w:rPr>
          <w:spacing w:val="-2"/>
        </w:rPr>
        <w:t>子公司因增资扩股而增加净资产的份额，与应结转持股比例下降部分所对应的长期股权投资原账面价值之间的差额计入当期</w:t>
      </w:r>
    </w:p>
    <w:p>
      <w:pPr>
        <w:spacing w:after="0" w:line="316" w:lineRule="auto"/>
        <w:jc w:val="both"/>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1133" w:right="0"/>
        <w:jc w:val="left"/>
      </w:pPr>
      <w:r>
        <w:rPr/>
        <w:t>损益；然后，按照新的持股比例视同自取得投资时即采用权益法核算进行调整。</w:t>
      </w:r>
    </w:p>
    <w:p>
      <w:pPr>
        <w:pStyle w:val="BodyText"/>
        <w:spacing w:line="357" w:lineRule="auto" w:before="116"/>
        <w:ind w:left="1494" w:right="0"/>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224" w:lineRule="exact"/>
        <w:ind w:right="0"/>
        <w:jc w:val="left"/>
      </w:pPr>
      <w:r>
        <w:rPr/>
        <w:t>后才能决策。相关活动，是指对某项安排的回报产生重大影响的活动。重大影响，是指投资方对被投资单位的财务和经营政</w:t>
      </w:r>
    </w:p>
    <w:p>
      <w:pPr>
        <w:pStyle w:val="BodyText"/>
        <w:spacing w:line="240" w:lineRule="auto" w:before="78"/>
        <w:ind w:right="0"/>
        <w:jc w:val="left"/>
      </w:pPr>
      <w:r>
        <w:rPr/>
        <w:t>策有参与决策的权力，但并不能够控制或者与其他方一起共同控制这些政策的制定。</w:t>
      </w:r>
    </w:p>
    <w:p>
      <w:pPr>
        <w:pStyle w:val="BodyText"/>
        <w:spacing w:line="357" w:lineRule="auto" w:before="116"/>
        <w:ind w:left="1493" w:right="2653"/>
        <w:jc w:val="left"/>
      </w:pPr>
      <w:r>
        <w:rPr/>
        <w:t>（</w:t>
      </w:r>
      <w:r>
        <w:rPr>
          <w:rFonts w:ascii="宋体" w:hAnsi="宋体" w:cs="宋体" w:eastAsia="宋体" w:hint="default"/>
        </w:rPr>
        <w:t>4</w:t>
      </w:r>
      <w:r>
        <w:rPr/>
        <w:t>）减值测试方法及减值准备计提方法 长期股权投资的减值测试方法及减值准备计提方法按照本公司制定的“资产减值”会计政策执行。</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15、固定资产" w:id="192"/>
      <w:bookmarkEnd w:id="192"/>
      <w:r>
        <w:rPr>
          <w:b w:val="0"/>
          <w:bCs w:val="0"/>
        </w:rPr>
      </w:r>
      <w:r>
        <w:rPr>
          <w:rFonts w:ascii="宋体" w:hAnsi="宋体" w:cs="宋体" w:eastAsia="宋体" w:hint="default"/>
        </w:rPr>
        <w:t>15</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确认条件" w:id="193"/>
      <w:bookmarkEnd w:id="193"/>
      <w:r>
        <w:rPr>
          <w:b w:val="0"/>
          <w:bCs w:val="0"/>
        </w:rPr>
      </w:r>
      <w:r>
        <w:rPr/>
        <w:t>（</w:t>
      </w:r>
      <w:r>
        <w:rPr>
          <w:rFonts w:ascii="宋体" w:hAnsi="宋体" w:cs="宋体" w:eastAsia="宋体" w:hint="default"/>
        </w:rPr>
        <w:t>1</w:t>
      </w:r>
      <w:r>
        <w:rPr/>
        <w:t>）确认条件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132" w:firstLine="360"/>
        <w:jc w:val="both"/>
      </w:pPr>
      <w:r>
        <w:rPr>
          <w:spacing w:val="-2"/>
        </w:rPr>
        <w:t>本公司固定资产是指为生产商品、提供劳务、出租或经营管理而持有的使用寿命超过一个会计年度的有形资产。固定资</w:t>
      </w:r>
      <w:r>
        <w:rPr/>
        <w:t> </w:t>
      </w:r>
      <w:r>
        <w:rPr>
          <w:spacing w:val="-2"/>
        </w:rPr>
        <w:t>产在同时满足下列条件时，按照成本进行初始计量：①与该固定资产有关的经济利益很可能流入企业；②该固定资产的成本</w:t>
      </w:r>
      <w:r>
        <w:rPr>
          <w:spacing w:val="-67"/>
        </w:rPr>
        <w:t> </w:t>
      </w:r>
      <w:r>
        <w:rPr>
          <w:spacing w:val="-67"/>
        </w:rPr>
      </w:r>
      <w:r>
        <w:rPr/>
        <w:t>能够可靠地计量。</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bookmarkStart w:name="（2）折旧方法" w:id="194"/>
      <w:bookmarkEnd w:id="194"/>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5"/>
      <w:bookmarkEnd w:id="195"/>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131"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用与自有应计折旧资产相一致的折旧政策。能够合理确定租赁期届满时取得租赁资产所有权的，在租赁资产尚可使用年限内</w:t>
      </w:r>
      <w:r>
        <w:rPr>
          <w:spacing w:val="-64"/>
        </w:rPr>
        <w:t> </w:t>
      </w:r>
      <w:r>
        <w:rPr>
          <w:spacing w:val="-64"/>
        </w:rPr>
      </w:r>
      <w:r>
        <w:rPr>
          <w:spacing w:val="-2"/>
        </w:rPr>
        <w:t>计提折旧；无法合理确定租赁期届满时能够取得租赁资产所有权的，在租赁期与租赁资产尚可使用年限两者中较短的期间内</w:t>
      </w:r>
      <w:r>
        <w:rPr>
          <w:spacing w:val="-64"/>
        </w:rPr>
        <w:t> </w:t>
      </w:r>
      <w:r>
        <w:rPr>
          <w:spacing w:val="-64"/>
        </w:rPr>
      </w:r>
      <w:r>
        <w:rPr/>
        <w:t>计提折旧。</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16、在建工程" w:id="196"/>
      <w:bookmarkEnd w:id="196"/>
      <w:r>
        <w:rPr>
          <w:b w:val="0"/>
          <w:bCs w:val="0"/>
        </w:rPr>
      </w:r>
      <w:r>
        <w:rPr>
          <w:rFonts w:ascii="宋体" w:hAnsi="宋体" w:cs="宋体" w:eastAsia="宋体" w:hint="default"/>
        </w:rPr>
        <w:t>16</w:t>
      </w:r>
      <w:r>
        <w:rPr/>
        <w:t>、在建工程</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7693" w:hanging="360"/>
        <w:jc w:val="left"/>
      </w:pPr>
      <w:r>
        <w:rPr/>
        <w:t>公司是否需要遵守特殊行业的披露要求 否</w:t>
      </w:r>
    </w:p>
    <w:p>
      <w:pPr>
        <w:pStyle w:val="BodyText"/>
        <w:spacing w:line="240" w:lineRule="auto" w:before="108"/>
        <w:ind w:left="1493" w:right="0"/>
        <w:jc w:val="left"/>
      </w:pPr>
      <w:r>
        <w:rPr/>
        <w:t>（</w:t>
      </w:r>
      <w:r>
        <w:rPr>
          <w:rFonts w:ascii="宋体" w:hAnsi="宋体" w:cs="宋体" w:eastAsia="宋体" w:hint="default"/>
        </w:rPr>
        <w:t>1</w:t>
      </w:r>
      <w:r>
        <w:rPr/>
        <w:t>）在建工程的计价：按实际发生的支出确定工程成本。在建工程成本还包括应当资本化的借款费用和汇兑损益。</w:t>
      </w:r>
    </w:p>
    <w:p>
      <w:pPr>
        <w:pStyle w:val="BodyText"/>
        <w:spacing w:line="319" w:lineRule="auto" w:before="116"/>
        <w:ind w:right="1131" w:firstLine="360"/>
        <w:jc w:val="both"/>
      </w:pPr>
      <w:r>
        <w:rPr/>
        <w:t>（</w:t>
      </w:r>
      <w:r>
        <w:rPr>
          <w:rFonts w:ascii="宋体" w:hAnsi="宋体" w:cs="宋体" w:eastAsia="宋体" w:hint="default"/>
        </w:rPr>
        <w:t>2</w:t>
      </w:r>
      <w:r>
        <w:rPr/>
        <w:t>）本公司在在建工程达到预定可使用状态时，将在建工程转入固定资产。所建造的已达到预定可使用状态、但尚未 </w:t>
      </w:r>
      <w:r>
        <w:rPr>
          <w:spacing w:val="-2"/>
        </w:rPr>
        <w:t>办理竣工决算的固定资产，按照估计价值确认为固定资产，并计提折旧；待办理了竣工决算手续后，再按实际成本调整原来</w:t>
      </w:r>
      <w:r>
        <w:rPr>
          <w:spacing w:val="-66"/>
        </w:rPr>
        <w:t> </w:t>
      </w:r>
      <w:r>
        <w:rPr>
          <w:spacing w:val="-66"/>
        </w:rPr>
      </w:r>
      <w:r>
        <w:rPr/>
        <w:t>的暂估价值，但不调整原已计提的折旧额。</w:t>
      </w:r>
    </w:p>
    <w:p>
      <w:pPr>
        <w:pStyle w:val="BodyText"/>
        <w:spacing w:line="240" w:lineRule="auto" w:before="56"/>
        <w:ind w:left="1494" w:right="0"/>
        <w:jc w:val="left"/>
      </w:pPr>
      <w:r>
        <w:rPr/>
        <w:t>（</w:t>
      </w:r>
      <w:r>
        <w:rPr>
          <w:rFonts w:ascii="宋体" w:hAnsi="宋体" w:cs="宋体" w:eastAsia="宋体" w:hint="default"/>
        </w:rPr>
        <w:t>3</w:t>
      </w:r>
      <w:r>
        <w:rPr/>
        <w:t>）在建工程的减值，按照本公司制定的“资产减值”会计政策执行。</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17、借款费用" w:id="197"/>
      <w:bookmarkEnd w:id="197"/>
      <w:r>
        <w:rPr>
          <w:b w:val="0"/>
          <w:bCs w:val="0"/>
        </w:rPr>
      </w:r>
      <w:r>
        <w:rPr>
          <w:rFonts w:ascii="宋体" w:hAnsi="宋体" w:cs="宋体" w:eastAsia="宋体" w:hint="default"/>
        </w:rPr>
        <w:t>17</w:t>
      </w:r>
      <w:r>
        <w:rPr/>
        <w:t>、借款费用</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）借款费用资本化的确认原则和资本化期间 </w:t>
      </w:r>
      <w:r>
        <w:rPr>
          <w:spacing w:val="-2"/>
        </w:rPr>
        <w:t>本公司发生的借款费用，可直接归属于符合资本化条件的资产的购建或生产的，在同时满足下列条件时予以资本化，计</w:t>
      </w:r>
    </w:p>
    <w:p>
      <w:pPr>
        <w:pStyle w:val="BodyText"/>
        <w:spacing w:line="225" w:lineRule="exact"/>
        <w:ind w:right="0"/>
        <w:jc w:val="left"/>
      </w:pPr>
      <w:r>
        <w:rPr/>
        <w:t>入相关资产成本：</w:t>
      </w:r>
    </w:p>
    <w:p>
      <w:pPr>
        <w:pStyle w:val="BodyText"/>
        <w:spacing w:line="240" w:lineRule="auto" w:before="117"/>
        <w:ind w:left="1493" w:right="0"/>
        <w:jc w:val="left"/>
      </w:pPr>
      <w:r>
        <w:rPr/>
        <w:t>① 资产支出已经发生；</w:t>
      </w:r>
    </w:p>
    <w:p>
      <w:pPr>
        <w:pStyle w:val="BodyText"/>
        <w:spacing w:line="240" w:lineRule="auto" w:before="116"/>
        <w:ind w:left="1494" w:right="0"/>
        <w:jc w:val="left"/>
      </w:pPr>
      <w:r>
        <w:rPr/>
        <w:t>② 借款费用已经发生；</w:t>
      </w:r>
    </w:p>
    <w:p>
      <w:pPr>
        <w:pStyle w:val="BodyText"/>
        <w:spacing w:line="357" w:lineRule="auto" w:before="116"/>
        <w:ind w:left="1493" w:right="0"/>
        <w:jc w:val="left"/>
      </w:pPr>
      <w:r>
        <w:rPr/>
        <w:t>③ 为使资产达到预定可使用或者可销售状态所必要的购建或者生产活动已经开始。 不符合资本化条件的借款费用，在发生时根据其发生额确认为费用，计入当期的损益。 </w:t>
      </w:r>
      <w:r>
        <w:rPr>
          <w:spacing w:val="-4"/>
        </w:rPr>
        <w:t>符合资本化条件的资产在购建或者生产过程中发生非正常中断、且中断时间连续超过</w:t>
      </w:r>
      <w:r>
        <w:rPr>
          <w:rFonts w:ascii="宋体" w:hAnsi="宋体" w:cs="宋体" w:eastAsia="宋体" w:hint="default"/>
          <w:spacing w:val="-4"/>
        </w:rPr>
        <w:t>3</w:t>
      </w:r>
      <w:r>
        <w:rPr>
          <w:spacing w:val="-4"/>
        </w:rPr>
        <w:t>个月的，暂停借款费用的资本化。</w:t>
      </w:r>
    </w:p>
    <w:p>
      <w:pPr>
        <w:pStyle w:val="BodyText"/>
        <w:spacing w:line="224" w:lineRule="exact"/>
        <w:ind w:left="1133" w:right="0"/>
        <w:jc w:val="left"/>
      </w:pPr>
      <w:r>
        <w:rPr/>
        <w:t>在中断期间发生的借款费用确认为费用，计入当期损益，直至资产的购建或者生产活动重新开始。如果中断是所购建或者生</w:t>
      </w:r>
    </w:p>
    <w:p>
      <w:pPr>
        <w:pStyle w:val="BodyText"/>
        <w:spacing w:line="357" w:lineRule="auto" w:before="77"/>
        <w:ind w:left="1493" w:right="0" w:hanging="360"/>
        <w:jc w:val="left"/>
      </w:pPr>
      <w:r>
        <w:rPr/>
        <w:t>产的符合资本化条件的资产达到预定可使用或者可销售状态必要的程序，借款费用的资本化继续进行。 </w:t>
      </w:r>
      <w:r>
        <w:rPr>
          <w:spacing w:val="-2"/>
        </w:rPr>
        <w:t>购建或者生产符合资本化条件的资产达到预定可使用或者可销售状态时，借款费用停止资本化。以后发生的借款费用于</w:t>
      </w:r>
    </w:p>
    <w:p>
      <w:pPr>
        <w:pStyle w:val="BodyText"/>
        <w:spacing w:line="357" w:lineRule="auto"/>
        <w:ind w:left="1493" w:right="0" w:hanging="360"/>
        <w:jc w:val="left"/>
      </w:pPr>
      <w:r>
        <w:rPr/>
        <w:t>发生当期确认为费用。 </w:t>
      </w:r>
      <w:r>
        <w:rPr>
          <w:spacing w:val="-2"/>
        </w:rPr>
        <w:t>符合资本化条件的资产指需要经过相当长时间的购建或者生产活动才能达到预定可使用或可销售状态的固定资产、投资</w:t>
      </w:r>
    </w:p>
    <w:p>
      <w:pPr>
        <w:pStyle w:val="BodyText"/>
        <w:spacing w:line="225" w:lineRule="exact"/>
        <w:ind w:left="1133" w:right="0"/>
        <w:jc w:val="left"/>
      </w:pPr>
      <w:r>
        <w:rPr/>
        <w:t>性房地产和存货等资产。</w:t>
      </w:r>
    </w:p>
    <w:p>
      <w:pPr>
        <w:pStyle w:val="BodyText"/>
        <w:spacing w:line="357" w:lineRule="auto" w:before="116"/>
        <w:ind w:left="1493" w:right="0"/>
        <w:jc w:val="left"/>
      </w:pPr>
      <w:r>
        <w:rPr/>
        <w:t>（</w:t>
      </w:r>
      <w:r>
        <w:rPr>
          <w:rFonts w:ascii="宋体" w:hAnsi="宋体" w:cs="宋体" w:eastAsia="宋体" w:hint="default"/>
        </w:rPr>
        <w:t>2</w:t>
      </w:r>
      <w:r>
        <w:rPr/>
        <w:t>）借款费用资本化金额的计算方法 </w:t>
      </w:r>
      <w:r>
        <w:rPr>
          <w:spacing w:val="-2"/>
        </w:rPr>
        <w:t>为购建或者生产符合资本化条件的资产而借入专门借款的，以专门借款当期实际发生的利息费用，减去将尚未动用的借</w:t>
      </w:r>
    </w:p>
    <w:p>
      <w:pPr>
        <w:pStyle w:val="BodyText"/>
        <w:spacing w:line="357" w:lineRule="auto"/>
        <w:ind w:left="1493" w:right="0" w:hanging="360"/>
        <w:jc w:val="left"/>
      </w:pPr>
      <w:r>
        <w:rPr/>
        <w:t>款资金存入银行取得的利息收入或进行暂时性投资取得的投资收益后的金额确定。 </w:t>
      </w:r>
      <w:r>
        <w:rPr>
          <w:spacing w:val="-2"/>
        </w:rPr>
        <w:t>为购建或者生产符合资本化条件的资产而占用了一般借款的，根据累计资产支出超过专门借款部分的资产支出加权平均</w:t>
      </w:r>
    </w:p>
    <w:p>
      <w:pPr>
        <w:pStyle w:val="BodyText"/>
        <w:spacing w:line="224" w:lineRule="exact"/>
        <w:ind w:left="1133" w:right="0"/>
        <w:jc w:val="left"/>
      </w:pPr>
      <w:r>
        <w:rPr/>
        <w:t>数乘以所占用一般借款的资本化率，计算确定一般借款应予资本化的利息金额。资本化率根据一般借款加权平均利率计算确</w:t>
      </w:r>
    </w:p>
    <w:p>
      <w:pPr>
        <w:pStyle w:val="BodyText"/>
        <w:spacing w:line="240" w:lineRule="auto" w:before="78"/>
        <w:ind w:left="1133" w:right="0"/>
        <w:jc w:val="left"/>
      </w:pPr>
      <w:r>
        <w:rPr/>
        <w:t>定。</w:t>
      </w:r>
    </w:p>
    <w:p>
      <w:pPr>
        <w:pStyle w:val="BodyText"/>
        <w:spacing w:line="240" w:lineRule="auto" w:before="116"/>
        <w:ind w:left="1494" w:right="0"/>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8、无形资产" w:id="198"/>
      <w:bookmarkEnd w:id="198"/>
      <w:r>
        <w:rPr>
          <w:b w:val="0"/>
          <w:bCs w:val="0"/>
        </w:rPr>
      </w:r>
      <w:r>
        <w:rPr>
          <w:rFonts w:ascii="宋体" w:hAnsi="宋体" w:cs="宋体" w:eastAsia="宋体" w:hint="default"/>
        </w:rPr>
        <w:t>18</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计价方法、使用寿命、减值测试" w:id="199"/>
      <w:bookmarkEnd w:id="199"/>
      <w:r>
        <w:rPr>
          <w:b w:val="0"/>
          <w:bCs w:val="0"/>
        </w:rPr>
      </w:r>
      <w:r>
        <w:rPr/>
        <w:t>（</w:t>
      </w:r>
      <w:r>
        <w:rPr>
          <w:rFonts w:ascii="宋体" w:hAnsi="宋体" w:cs="宋体" w:eastAsia="宋体" w:hint="default"/>
        </w:rPr>
        <w:t>1</w:t>
      </w:r>
      <w:r>
        <w:rPr/>
        <w:t>）计价方法、使用寿命、减值测试</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7693" w:hanging="360"/>
        <w:jc w:val="left"/>
      </w:pPr>
      <w:r>
        <w:rPr/>
        <w:t>公司是否需要遵守特殊行业的披露要求 否</w:t>
      </w:r>
    </w:p>
    <w:p>
      <w:pPr>
        <w:pStyle w:val="BodyText"/>
        <w:spacing w:line="240" w:lineRule="auto" w:before="105"/>
        <w:ind w:left="1493" w:right="0"/>
        <w:jc w:val="left"/>
      </w:pPr>
      <w:r>
        <w:rPr/>
        <w:t>本公司无形资产是指本公司所拥有或者控制的没有实物形态的可辨认非货币性资产。</w:t>
      </w:r>
    </w:p>
    <w:p>
      <w:pPr>
        <w:pStyle w:val="BodyText"/>
        <w:spacing w:line="357" w:lineRule="auto" w:before="117"/>
        <w:ind w:left="1493" w:right="6253"/>
        <w:jc w:val="left"/>
      </w:pPr>
      <w:r>
        <w:rPr/>
        <w:t>①无形资产的确认 本公司在同时满足下列条件时，予以确认无形资产： </w:t>
      </w:r>
      <w:r>
        <w:rPr>
          <w:rFonts w:ascii="宋体" w:hAnsi="宋体" w:cs="宋体" w:eastAsia="宋体" w:hint="default"/>
        </w:rPr>
        <w:t>A</w:t>
      </w:r>
      <w:r>
        <w:rPr/>
        <w:t>、与该无形资产有关的经济利益很可能流入企业； </w:t>
      </w:r>
      <w:r>
        <w:rPr>
          <w:rFonts w:ascii="宋体" w:hAnsi="宋体" w:cs="宋体" w:eastAsia="宋体" w:hint="default"/>
        </w:rPr>
        <w:t>B</w:t>
      </w:r>
      <w:r>
        <w:rPr/>
        <w:t>、该无形资产的成本能够可靠地计量。</w:t>
      </w:r>
    </w:p>
    <w:p>
      <w:pPr>
        <w:pStyle w:val="BodyText"/>
        <w:spacing w:line="360" w:lineRule="auto" w:before="28"/>
        <w:ind w:left="1494" w:right="6882"/>
        <w:jc w:val="left"/>
      </w:pPr>
      <w:r>
        <w:rPr/>
        <w:t>②无形资产的计量 </w:t>
      </w:r>
      <w:r>
        <w:rPr>
          <w:rFonts w:ascii="宋体" w:hAnsi="宋体" w:cs="宋体" w:eastAsia="宋体" w:hint="default"/>
        </w:rPr>
        <w:t>A</w:t>
      </w:r>
      <w:r>
        <w:rPr/>
        <w:t>、本公司无形资产按照成本进行初始计量。 </w:t>
      </w:r>
      <w:r>
        <w:rPr>
          <w:rFonts w:ascii="宋体" w:hAnsi="宋体" w:cs="宋体" w:eastAsia="宋体" w:hint="default"/>
        </w:rPr>
        <w:t>B</w:t>
      </w:r>
      <w:r>
        <w:rPr/>
        <w:t>、无形资产的后续计量</w:t>
      </w:r>
    </w:p>
    <w:p>
      <w:pPr>
        <w:pStyle w:val="BodyText"/>
        <w:spacing w:line="319" w:lineRule="auto" w:before="25"/>
        <w:ind w:right="0" w:firstLine="360"/>
        <w:jc w:val="left"/>
      </w:pPr>
      <w:r>
        <w:rPr>
          <w:spacing w:val="-2"/>
        </w:rPr>
        <w:t>对于使用寿命有限的无形资产在取得时判定其使用寿命并在以后期间在使用寿命内采用直线法，摊销金额按受益项目计</w:t>
      </w:r>
      <w:r>
        <w:rPr/>
        <w:t> 入相关成本、费用核算。使用寿命不确定的无形资产不摊销。</w:t>
      </w:r>
    </w:p>
    <w:p>
      <w:pPr>
        <w:pStyle w:val="BodyText"/>
        <w:spacing w:line="240" w:lineRule="auto" w:before="55"/>
        <w:ind w:left="1494" w:right="0"/>
        <w:jc w:val="left"/>
      </w:pPr>
      <w:r>
        <w:rPr/>
        <w:t>期末，对使用寿命有限的无形资产的使用寿命和摊销方法进行复核，如发生变更则作为会计估计变更处理。此外，还对</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32"/>
        <w:jc w:val="both"/>
      </w:pP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6"/>
        <w:ind w:left="1494" w:right="0"/>
        <w:jc w:val="left"/>
      </w:pPr>
      <w:r>
        <w:rPr/>
        <w:t>无形资产的减值，按照本公司制定的“资产减值”会计政策执行。</w:t>
      </w:r>
    </w:p>
    <w:p>
      <w:pPr>
        <w:spacing w:line="240" w:lineRule="auto" w:before="11"/>
        <w:rPr>
          <w:rFonts w:ascii="宋体" w:hAnsi="宋体" w:cs="宋体" w:eastAsia="宋体" w:hint="default"/>
          <w:sz w:val="26"/>
          <w:szCs w:val="26"/>
        </w:rPr>
      </w:pPr>
    </w:p>
    <w:p>
      <w:pPr>
        <w:pStyle w:val="Heading3"/>
        <w:spacing w:line="240" w:lineRule="auto"/>
        <w:ind w:left="1133" w:right="0"/>
        <w:jc w:val="both"/>
        <w:rPr>
          <w:b w:val="0"/>
          <w:bCs w:val="0"/>
        </w:rPr>
      </w:pPr>
      <w:bookmarkStart w:name="（2）内部研究开发支出会计政策" w:id="200"/>
      <w:bookmarkEnd w:id="200"/>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131" w:firstLine="360"/>
        <w:jc w:val="both"/>
      </w:pPr>
      <w:r>
        <w:rPr>
          <w:spacing w:val="-2"/>
        </w:rPr>
        <w:t>本公司内部研究开发项目的支出分为研究阶段支出与开发阶段支出。研究是指为获取并理解新的科学或技术知识而进行</w:t>
      </w:r>
      <w:r>
        <w:rPr/>
        <w:t> </w:t>
      </w:r>
      <w:r>
        <w:rPr>
          <w:spacing w:val="-2"/>
        </w:rPr>
        <w:t>的独创性的有计划调查。开发是指在进行商业性生产或使用前，将研究成果或其他知识应用于某项计划或设计，以生产出新</w:t>
      </w:r>
      <w:r>
        <w:rPr>
          <w:spacing w:val="-66"/>
        </w:rPr>
        <w:t> </w:t>
      </w:r>
      <w:r>
        <w:rPr>
          <w:spacing w:val="-66"/>
        </w:rPr>
      </w:r>
      <w:r>
        <w:rPr/>
        <w:t>的或具有实质性改进的材料、装置、产品等。</w:t>
      </w:r>
    </w:p>
    <w:p>
      <w:pPr>
        <w:pStyle w:val="BodyText"/>
        <w:spacing w:line="357" w:lineRule="auto" w:before="58"/>
        <w:ind w:left="1493" w:right="1753"/>
        <w:jc w:val="left"/>
      </w:pPr>
      <w:r>
        <w:rPr/>
        <w:t>研究阶段的支出，于发生时计入当期损益。 开发阶段的支出同时满足下列条件的，确认为无形资产，不能满足下述条件的开发阶段的支出计入当期损益：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w:t>
      </w:r>
    </w:p>
    <w:p>
      <w:pPr>
        <w:pStyle w:val="BodyText"/>
        <w:spacing w:line="319" w:lineRule="auto" w:before="26"/>
        <w:ind w:right="1122" w:firstLine="360"/>
        <w:jc w:val="left"/>
      </w:pPr>
      <w:r>
        <w:rPr>
          <w:rFonts w:ascii="宋体" w:hAnsi="宋体" w:cs="宋体" w:eastAsia="宋体" w:hint="default"/>
        </w:rPr>
        <w:t>C</w:t>
      </w:r>
      <w:r>
        <w:rPr/>
        <w:t>、无形资产产生经济利益的方式，包括能够证明运用该无形资产生产的产品存在市场或无形资产自身存在市场，无形 资产将在内部使用的，能够证明其有用性；</w:t>
      </w:r>
    </w:p>
    <w:p>
      <w:pPr>
        <w:pStyle w:val="BodyText"/>
        <w:spacing w:line="360" w:lineRule="auto" w:before="56"/>
        <w:ind w:left="1493" w:right="1843"/>
        <w:jc w:val="left"/>
      </w:pP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 无法区分研究阶段支出和开发阶段支出的，将发生的研发支出全部计入当期损益。</w:t>
      </w:r>
    </w:p>
    <w:p>
      <w:pPr>
        <w:spacing w:line="240" w:lineRule="auto" w:before="11"/>
        <w:rPr>
          <w:rFonts w:ascii="宋体" w:hAnsi="宋体" w:cs="宋体" w:eastAsia="宋体" w:hint="default"/>
          <w:sz w:val="19"/>
          <w:szCs w:val="19"/>
        </w:rPr>
      </w:pPr>
    </w:p>
    <w:p>
      <w:pPr>
        <w:pStyle w:val="Heading3"/>
        <w:spacing w:line="240" w:lineRule="auto"/>
        <w:ind w:left="1133" w:right="0"/>
        <w:jc w:val="both"/>
        <w:rPr>
          <w:b w:val="0"/>
          <w:bCs w:val="0"/>
        </w:rPr>
      </w:pPr>
      <w:bookmarkStart w:name="19、长期资产减值" w:id="201"/>
      <w:bookmarkEnd w:id="201"/>
      <w:r>
        <w:rPr>
          <w:b w:val="0"/>
          <w:bCs w:val="0"/>
        </w:rPr>
      </w:r>
      <w:r>
        <w:rPr>
          <w:rFonts w:ascii="宋体" w:hAnsi="宋体" w:cs="宋体" w:eastAsia="宋体" w:hint="default"/>
        </w:rPr>
        <w:t>19</w:t>
      </w:r>
      <w:r>
        <w:rPr/>
        <w:t>、长期资产减值</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当存在下列迹象的，表明资产可能发生了减值：</w:t>
      </w:r>
    </w:p>
    <w:p>
      <w:pPr>
        <w:pStyle w:val="BodyText"/>
        <w:spacing w:line="240" w:lineRule="auto" w:before="116"/>
        <w:ind w:left="1494" w:right="0"/>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19" w:lineRule="auto" w:before="116"/>
        <w:ind w:right="1122" w:firstLine="360"/>
        <w:jc w:val="left"/>
      </w:pPr>
      <w:r>
        <w:rPr/>
        <w:t>（</w:t>
      </w:r>
      <w:r>
        <w:rPr>
          <w:rFonts w:ascii="宋体" w:hAnsi="宋体" w:cs="宋体" w:eastAsia="宋体" w:hint="default"/>
        </w:rPr>
        <w:t>2</w:t>
      </w:r>
      <w:r>
        <w:rPr/>
        <w:t>）本公司经营所处的经济、技术或法律等环境以及资产所处的市场在当期或将在近期发生重大变化，从而对本公司 产生不利影响。</w:t>
      </w:r>
    </w:p>
    <w:p>
      <w:pPr>
        <w:pStyle w:val="BodyText"/>
        <w:spacing w:line="319" w:lineRule="auto" w:before="55"/>
        <w:ind w:right="0" w:firstLine="360"/>
        <w:jc w:val="left"/>
      </w:pPr>
      <w:r>
        <w:rPr>
          <w:spacing w:val="-4"/>
        </w:rPr>
        <w:t>（</w:t>
      </w:r>
      <w:r>
        <w:rPr>
          <w:rFonts w:ascii="宋体" w:hAnsi="宋体" w:cs="宋体" w:eastAsia="宋体" w:hint="default"/>
          <w:spacing w:val="-4"/>
        </w:rPr>
        <w:t>3</w:t>
      </w:r>
      <w:r>
        <w:rPr>
          <w:spacing w:val="-4"/>
        </w:rPr>
        <w:t>）市场利率或者其他市场投资回报率在当期已经提高，从而影响企业用来计算资产预计未来现金流量现值的折现率，</w:t>
      </w:r>
      <w:r>
        <w:rPr/>
        <w:t> 导致资产可收回金额大幅度降低。</w:t>
      </w:r>
    </w:p>
    <w:p>
      <w:pPr>
        <w:pStyle w:val="BodyText"/>
        <w:spacing w:line="240" w:lineRule="auto" w:before="56"/>
        <w:ind w:left="1494" w:right="0"/>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117"/>
        <w:ind w:left="1494" w:right="0"/>
        <w:jc w:val="left"/>
      </w:pPr>
      <w:r>
        <w:rPr/>
        <w:t>（</w:t>
      </w:r>
      <w:r>
        <w:rPr>
          <w:rFonts w:ascii="宋体" w:hAnsi="宋体" w:cs="宋体" w:eastAsia="宋体" w:hint="default"/>
        </w:rPr>
        <w:t>5</w:t>
      </w:r>
      <w:r>
        <w:rPr/>
        <w:t>）资产已经或者将被闲置、终止使用或者计划提前处置。</w:t>
      </w:r>
    </w:p>
    <w:p>
      <w:pPr>
        <w:pStyle w:val="BodyText"/>
        <w:spacing w:line="319" w:lineRule="auto" w:before="115"/>
        <w:ind w:right="1122" w:firstLine="360"/>
        <w:jc w:val="left"/>
      </w:pPr>
      <w:r>
        <w:rPr/>
        <w:t>（</w:t>
      </w:r>
      <w:r>
        <w:rPr>
          <w:rFonts w:ascii="宋体" w:hAnsi="宋体" w:cs="宋体" w:eastAsia="宋体" w:hint="default"/>
        </w:rPr>
        <w:t>6</w:t>
      </w:r>
      <w:r>
        <w:rPr/>
        <w:t>）本公司内部报告的证据表明资产的经济绩效已经低于或者将低于预期，如资产所创造的净现金流量或者实现的营 业利润（或者损失）远远低于预计金额等。</w:t>
      </w:r>
    </w:p>
    <w:p>
      <w:pPr>
        <w:pStyle w:val="BodyText"/>
        <w:spacing w:line="357" w:lineRule="auto" w:before="56"/>
        <w:ind w:left="1494" w:right="0"/>
        <w:jc w:val="left"/>
      </w:pPr>
      <w:r>
        <w:rPr/>
        <w:t>（</w:t>
      </w:r>
      <w:r>
        <w:rPr>
          <w:rFonts w:ascii="宋体" w:hAnsi="宋体" w:cs="宋体" w:eastAsia="宋体" w:hint="default"/>
        </w:rPr>
        <w:t>7</w:t>
      </w:r>
      <w:r>
        <w:rPr/>
        <w:t>）其他表明资产可能已经发生减值的迹象。 </w:t>
      </w:r>
      <w:r>
        <w:rPr>
          <w:spacing w:val="-2"/>
        </w:rPr>
        <w:t>本公司在资产负债表日对长期股权投资、固定资产、工程物资、在建工程、无形资产（使用寿命不确定的除外）等适用</w:t>
      </w:r>
    </w:p>
    <w:p>
      <w:pPr>
        <w:pStyle w:val="BodyText"/>
        <w:spacing w:line="224" w:lineRule="exact"/>
        <w:ind w:left="1133" w:right="0"/>
        <w:jc w:val="both"/>
      </w:pPr>
      <w:r>
        <w:rPr/>
        <w:t>《企业会计准则第</w:t>
      </w:r>
      <w:r>
        <w:rPr>
          <w:rFonts w:ascii="宋体" w:hAnsi="宋体" w:cs="宋体" w:eastAsia="宋体" w:hint="default"/>
        </w:rPr>
        <w:t>8</w:t>
      </w:r>
      <w:r>
        <w:rPr/>
        <w:t>号——资产减值》的各项资产进行判断，当存在减值迹象时对其进行减值测试</w:t>
      </w:r>
      <w:r>
        <w:rPr>
          <w:rFonts w:ascii="宋体" w:hAnsi="宋体" w:cs="宋体" w:eastAsia="宋体" w:hint="default"/>
        </w:rPr>
        <w:t>-</w:t>
      </w:r>
      <w:r>
        <w:rPr/>
        <w:t>估计其可收回金额。可收</w:t>
      </w:r>
    </w:p>
    <w:p>
      <w:pPr>
        <w:pStyle w:val="BodyText"/>
        <w:spacing w:line="319" w:lineRule="auto" w:before="76"/>
        <w:ind w:left="1133" w:right="1131"/>
        <w:jc w:val="both"/>
      </w:pPr>
      <w:r>
        <w:rPr>
          <w:spacing w:val="-2"/>
        </w:rPr>
        <w:t>回金额以资产的公允价值减去处置费用后的净额与资产预计未来现金流量的现值两者之间较高者确定。资产的可收回金额低</w:t>
      </w:r>
      <w:r>
        <w:rPr>
          <w:spacing w:val="-64"/>
        </w:rPr>
        <w:t> </w:t>
      </w:r>
      <w:r>
        <w:rPr>
          <w:spacing w:val="-64"/>
        </w:rPr>
      </w:r>
      <w:r>
        <w:rPr>
          <w:spacing w:val="-2"/>
        </w:rPr>
        <w:t>于其账面价值的，将资产的账面价值减记至可收回金额，减记的金额确认为资产减值损失，计入当期损益，同时计提相应的</w:t>
      </w:r>
      <w:r>
        <w:rPr>
          <w:spacing w:val="-66"/>
        </w:rPr>
        <w:t> </w:t>
      </w:r>
      <w:r>
        <w:rPr>
          <w:spacing w:val="-66"/>
        </w:rPr>
      </w:r>
      <w:r>
        <w:rPr/>
        <w:t>资产减值准备。</w:t>
      </w:r>
    </w:p>
    <w:p>
      <w:pPr>
        <w:pStyle w:val="BodyText"/>
        <w:spacing w:line="319" w:lineRule="auto" w:before="55"/>
        <w:ind w:left="1133" w:right="0" w:firstLine="360"/>
        <w:jc w:val="left"/>
      </w:pPr>
      <w:r>
        <w:rPr>
          <w:spacing w:val="-2"/>
        </w:rPr>
        <w:t>有迹象表明一项资产可能发生减值的，本公司通常以单项资产为基础估计其可收回金额。当难以对单项资产的可收回金</w:t>
      </w:r>
      <w:r>
        <w:rPr/>
        <w:t> 额进行估计的，以该资产所属的资产组为基础确定资产组的可收回金额。</w:t>
      </w:r>
    </w:p>
    <w:p>
      <w:pPr>
        <w:pStyle w:val="BodyText"/>
        <w:spacing w:line="319" w:lineRule="auto" w:before="55"/>
        <w:ind w:left="1133" w:right="0" w:firstLine="360"/>
        <w:jc w:val="left"/>
      </w:pPr>
      <w:r>
        <w:rPr>
          <w:spacing w:val="-2"/>
        </w:rPr>
        <w:t>资产组是本公司可以认定的最小资产组合，其产生的现金流入基本上独立于其他资产或者资产组。资产组由创造现金流</w:t>
      </w:r>
      <w:r>
        <w:rPr/>
        <w:t> 入相关的资产组成。资产组的认定，以资产组产生的主要现金流入是否独立于其他资产或者资产组的现金流入为依据。</w:t>
      </w:r>
    </w:p>
    <w:p>
      <w:pPr>
        <w:pStyle w:val="BodyText"/>
        <w:spacing w:line="240" w:lineRule="auto" w:before="56"/>
        <w:ind w:left="1493" w:right="0"/>
        <w:jc w:val="left"/>
      </w:pPr>
      <w:r>
        <w:rPr/>
        <w:t>本公司对因企业合并所形成的商誉和使用寿命不确定的无形资产，无论是否存在减值迹象，每年都进行减值测试。商誉</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4" w:right="6252" w:hanging="360"/>
        <w:jc w:val="left"/>
      </w:pPr>
      <w:r>
        <w:rPr/>
        <w:t>的减值测试结合与其相关的资产组或者资产组组合进行。 资产减值损失一经确认，在以后会计期间不予转回。</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0、长期待摊费用" w:id="202"/>
      <w:bookmarkEnd w:id="202"/>
      <w:r>
        <w:rPr>
          <w:b w:val="0"/>
          <w:bCs w:val="0"/>
        </w:rPr>
      </w:r>
      <w:r>
        <w:rPr>
          <w:rFonts w:ascii="宋体" w:hAnsi="宋体" w:cs="宋体" w:eastAsia="宋体" w:hint="default"/>
        </w:rPr>
        <w:t>20</w:t>
      </w:r>
      <w:r>
        <w:rPr/>
        <w:t>、长期待摊费用</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0" w:firstLine="360"/>
        <w:jc w:val="left"/>
      </w:pPr>
      <w:r>
        <w:rPr/>
        <w:t>本公司将已经发生的但应由本年和以后各期负担的摊销期限在一年以上的经营租赁方式租入的固定资产改良支出等各 项费用确认为长期待摊费用，并按项目受益期采用直线法平均摊销。</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1、职工薪酬" w:id="203"/>
      <w:bookmarkEnd w:id="203"/>
      <w:r>
        <w:rPr>
          <w:b w:val="0"/>
          <w:bCs w:val="0"/>
        </w:rPr>
      </w:r>
      <w:r>
        <w:rPr>
          <w:rFonts w:ascii="宋体" w:hAnsi="宋体" w:cs="宋体" w:eastAsia="宋体" w:hint="default"/>
        </w:rPr>
        <w:t>21</w:t>
      </w:r>
      <w:r>
        <w:rPr/>
        <w:t>、职工薪酬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短期薪酬的会计处理方法" w:id="204"/>
      <w:bookmarkEnd w:id="204"/>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spacing w:val="-4"/>
        </w:rPr>
        <w:t>职工薪酬，是指本公司为获得职工提供的服务或解除劳动关系而给予的各种形式的报酬或补偿。职工薪酬包括短期薪酬、</w:t>
      </w:r>
      <w:r>
        <w:rPr/>
        <w:t> </w:t>
      </w:r>
      <w:r>
        <w:rPr>
          <w:spacing w:val="-2"/>
        </w:rPr>
        <w:t>离职后福利、辞退福利和其他长期职工福利。本集团提供给职工配偶、子女、受赡养人、已故员工遗属及其他受益人等的福</w:t>
      </w:r>
      <w:r>
        <w:rPr>
          <w:spacing w:val="-66"/>
        </w:rPr>
        <w:t> </w:t>
      </w:r>
      <w:r>
        <w:rPr>
          <w:spacing w:val="-66"/>
        </w:rPr>
      </w:r>
      <w:r>
        <w:rPr>
          <w:spacing w:val="-2"/>
        </w:rPr>
        <w:t>利，也属于职工薪酬。本公司在职工为其提供服务的会计期间，将实际发生的短期薪酬确认为负债，并计入当期损益，其他</w:t>
      </w:r>
      <w:r>
        <w:rPr>
          <w:spacing w:val="-66"/>
        </w:rPr>
        <w:t> </w:t>
      </w:r>
      <w:r>
        <w:rPr>
          <w:spacing w:val="-66"/>
        </w:rPr>
      </w:r>
      <w:r>
        <w:rPr/>
        <w:t>会计准则要求或允许计入资产成本的除外。</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5"/>
      <w:bookmarkEnd w:id="205"/>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0" w:firstLine="360"/>
        <w:jc w:val="both"/>
      </w:pPr>
      <w:r>
        <w:rPr>
          <w:spacing w:val="-2"/>
        </w:rPr>
        <w:t>本公司将离职后福利计划分类为设定提存计划和设定受益计划。离职后福利计划，是指本公司与职工就离职后福利达成</w:t>
      </w:r>
      <w:r>
        <w:rPr/>
        <w:t> </w:t>
      </w:r>
      <w:r>
        <w:rPr>
          <w:spacing w:val="-2"/>
        </w:rPr>
        <w:t>的协议，或者本公司为向职工提供离职后福利制定的规章或办法等。其中，设定提存计划，是指向独立的基金缴存固定费用</w:t>
      </w:r>
      <w:r>
        <w:rPr>
          <w:spacing w:val="-66"/>
        </w:rPr>
        <w:t> </w:t>
      </w:r>
      <w:r>
        <w:rPr>
          <w:spacing w:val="-66"/>
        </w:rPr>
      </w:r>
      <w:r>
        <w:rPr/>
        <w:t>后，本公司不再承担进一步支付义务的离职后福利计划；设定受益计划，是指除设定提存计划以外的离职后福利计划。</w:t>
      </w:r>
    </w:p>
    <w:p>
      <w:pPr>
        <w:pStyle w:val="BodyText"/>
        <w:spacing w:line="357" w:lineRule="auto" w:before="57"/>
        <w:ind w:left="1494" w:right="0"/>
        <w:jc w:val="left"/>
      </w:pPr>
      <w:r>
        <w:rPr>
          <w:rFonts w:ascii="宋体" w:hAnsi="宋体" w:cs="宋体" w:eastAsia="宋体" w:hint="default"/>
        </w:rPr>
        <w:t>A</w:t>
      </w:r>
      <w:r>
        <w:rPr/>
        <w:t>、设定提存计划 </w:t>
      </w:r>
      <w:r>
        <w:rPr>
          <w:spacing w:val="-2"/>
        </w:rPr>
        <w:t>本公司在职工为其提供服务的会计期间，将根据设定提存计划计算的应缴存金额确认为负债，并计入当期损益或相关资</w:t>
      </w:r>
    </w:p>
    <w:p>
      <w:pPr>
        <w:pStyle w:val="BodyText"/>
        <w:spacing w:line="225" w:lineRule="exact"/>
        <w:ind w:right="0"/>
        <w:jc w:val="left"/>
      </w:pPr>
      <w:r>
        <w:rPr/>
        <w:t>产成本。</w:t>
      </w:r>
    </w:p>
    <w:p>
      <w:pPr>
        <w:pStyle w:val="BodyText"/>
        <w:spacing w:line="357" w:lineRule="auto" w:before="117"/>
        <w:ind w:left="1494" w:right="4272"/>
        <w:jc w:val="left"/>
      </w:pPr>
      <w:r>
        <w:rPr>
          <w:rFonts w:ascii="宋体" w:hAnsi="宋体" w:cs="宋体" w:eastAsia="宋体" w:hint="default"/>
        </w:rPr>
        <w:t>B</w:t>
      </w:r>
      <w:r>
        <w:rPr/>
        <w:t>、设定受益计划 本公司尚未运作设定受益计划或符合设定受益计划条件的其他长期职工福利。</w:t>
      </w:r>
    </w:p>
    <w:p>
      <w:pPr>
        <w:spacing w:line="240" w:lineRule="auto" w:before="13"/>
        <w:rPr>
          <w:rFonts w:ascii="宋体" w:hAnsi="宋体" w:cs="宋体" w:eastAsia="宋体" w:hint="default"/>
          <w:sz w:val="19"/>
          <w:szCs w:val="19"/>
        </w:rPr>
      </w:pPr>
    </w:p>
    <w:p>
      <w:pPr>
        <w:pStyle w:val="Heading3"/>
        <w:spacing w:line="240" w:lineRule="auto"/>
        <w:ind w:left="1133" w:right="0"/>
        <w:jc w:val="left"/>
        <w:rPr>
          <w:b w:val="0"/>
          <w:bCs w:val="0"/>
        </w:rPr>
      </w:pPr>
      <w:bookmarkStart w:name="（3）辞退福利的会计处理方法" w:id="206"/>
      <w:bookmarkEnd w:id="206"/>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133" w:right="0" w:firstLine="360"/>
        <w:jc w:val="left"/>
      </w:pPr>
      <w:r>
        <w:rPr/>
        <w:t>本公司向职工提供辞退福利的，在下列两者孰早日确认辞退福利产生的职工薪酬负债，并计入当期损益：本公司不能单 </w:t>
      </w:r>
      <w:r>
        <w:rPr>
          <w:spacing w:val="-2"/>
        </w:rPr>
        <w:t>方面撤回因解除劳动关系计划或裁减建议所提供的辞退福利时；本公司确认与涉及支付辞退福利的重组相关的成本或费用时。</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7"/>
      <w:bookmarkEnd w:id="207"/>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spacing w:val="-2"/>
        </w:rPr>
        <w:t>本公司向职工提供的其他长期职工福利，符合设定提存计划条件的，按照上述设定提存计划的会计政策进行处理；除此</w:t>
      </w:r>
      <w:r>
        <w:rPr/>
        <w:t> 以外的，按照上述设定受益计划的会计政策确认和计量其他长期职工福利净负债或净资产。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2、预计负债" w:id="208"/>
      <w:bookmarkEnd w:id="208"/>
      <w:r>
        <w:rPr>
          <w:b w:val="0"/>
          <w:bCs w:val="0"/>
        </w:rPr>
      </w:r>
      <w:r>
        <w:rPr>
          <w:rFonts w:ascii="宋体" w:hAnsi="宋体" w:cs="宋体" w:eastAsia="宋体" w:hint="default"/>
        </w:rPr>
        <w:t>22</w:t>
      </w:r>
      <w:r>
        <w:rPr/>
        <w:t>、预计负债</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left="1494" w:right="4452"/>
        <w:jc w:val="left"/>
      </w:pPr>
      <w:r>
        <w:rPr/>
        <w:t>（</w:t>
      </w:r>
      <w:r>
        <w:rPr>
          <w:rFonts w:ascii="宋体" w:hAnsi="宋体" w:cs="宋体" w:eastAsia="宋体" w:hint="default"/>
        </w:rPr>
        <w:t>1</w:t>
      </w:r>
      <w:r>
        <w:rPr/>
        <w:t>）预计负债的确认标准 本公司规定与或有事项相关的义务同时满足下列条件的，确认为预计负债：</w:t>
      </w:r>
    </w:p>
    <w:p>
      <w:pPr>
        <w:pStyle w:val="BodyText"/>
        <w:spacing w:line="240" w:lineRule="auto" w:before="26"/>
        <w:ind w:left="1493" w:right="0"/>
        <w:jc w:val="left"/>
      </w:pPr>
      <w:r>
        <w:rPr/>
        <w:t>①该义务是企业承担的现时义务；</w:t>
      </w:r>
    </w:p>
    <w:p>
      <w:pPr>
        <w:pStyle w:val="BodyText"/>
        <w:spacing w:line="240" w:lineRule="auto" w:before="116"/>
        <w:ind w:left="1493" w:right="0"/>
        <w:jc w:val="left"/>
      </w:pPr>
      <w:r>
        <w:rPr/>
        <w:t>②履行该义务很可能导致经济利益流出企业；</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1493" w:right="0"/>
        <w:jc w:val="left"/>
      </w:pPr>
      <w:r>
        <w:rPr/>
        <w:t>③该义务的金额能够可靠地计量。</w:t>
      </w:r>
    </w:p>
    <w:p>
      <w:pPr>
        <w:pStyle w:val="BodyText"/>
        <w:spacing w:line="357" w:lineRule="auto" w:before="116"/>
        <w:ind w:left="1494" w:right="0"/>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预计负债按照履行相关现时义务所需支出的最佳估计数进行初始计量。所需支出存在一个连续范围，且该范围内各种结</w:t>
      </w:r>
    </w:p>
    <w:p>
      <w:pPr>
        <w:pStyle w:val="BodyText"/>
        <w:spacing w:line="225" w:lineRule="exact"/>
        <w:ind w:right="0"/>
        <w:jc w:val="left"/>
      </w:pPr>
      <w:r>
        <w:rPr/>
        <w:t>果发生的可能性相同的，最佳估计数按照该范围内的中间值确定。在其他情况下，最佳估计数分别下列情况处理：</w:t>
      </w:r>
    </w:p>
    <w:p>
      <w:pPr>
        <w:pStyle w:val="BodyText"/>
        <w:spacing w:line="240" w:lineRule="auto" w:before="116"/>
        <w:ind w:left="1493" w:right="0"/>
        <w:jc w:val="left"/>
      </w:pPr>
      <w:r>
        <w:rPr/>
        <w:t>①或有事项涉及单个项目的，按照最可能发生金额确定。</w:t>
      </w:r>
    </w:p>
    <w:p>
      <w:pPr>
        <w:pStyle w:val="BodyText"/>
        <w:spacing w:line="357" w:lineRule="auto" w:before="116"/>
        <w:ind w:left="1493" w:right="1033"/>
        <w:jc w:val="left"/>
      </w:pPr>
      <w:r>
        <w:rPr/>
        <w:t>②或有事项涉及多个项目的，按照各种可能结果及相关概率计算确定。 在确定最佳估计数时，综合考虑与或有事项有关的风险、不确定性和货币时间价值等因素。货币时间价值影响重大的，</w:t>
      </w:r>
    </w:p>
    <w:p>
      <w:pPr>
        <w:pStyle w:val="BodyText"/>
        <w:spacing w:line="357" w:lineRule="auto"/>
        <w:ind w:left="1584" w:right="1122" w:hanging="450"/>
        <w:jc w:val="left"/>
      </w:pPr>
      <w:r>
        <w:rPr/>
        <w:t>通过对相关未来现金流出进行折现后确定最佳估计数。 本公司清偿预计负债所需支出全部或部分预期由第三方补偿的，补偿金额只有在基本确定能够收到时才能作为资产单</w:t>
      </w:r>
    </w:p>
    <w:p>
      <w:pPr>
        <w:pStyle w:val="BodyText"/>
        <w:spacing w:line="357" w:lineRule="auto"/>
        <w:ind w:left="1494" w:right="1032" w:hanging="360"/>
        <w:jc w:val="left"/>
      </w:pPr>
      <w:r>
        <w:rPr/>
        <w:t>独确认。确认的补偿金额不超过预计负债的账面价值。 本公司在资产负债表日对预计负债的账面价值进行复核。有确凿证据表明该账面价值不能真实反映当前最佳估计数的，</w:t>
      </w:r>
    </w:p>
    <w:p>
      <w:pPr>
        <w:pStyle w:val="BodyText"/>
        <w:spacing w:line="225" w:lineRule="exact"/>
        <w:ind w:right="0"/>
        <w:jc w:val="left"/>
      </w:pPr>
      <w:r>
        <w:rPr/>
        <w:t>按照当前最佳估计数对该账面价值进行调整。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收入" w:id="209"/>
      <w:bookmarkEnd w:id="209"/>
      <w:r>
        <w:rPr>
          <w:b w:val="0"/>
          <w:bCs w:val="0"/>
        </w:rPr>
      </w:r>
      <w:r>
        <w:rPr>
          <w:rFonts w:ascii="宋体" w:hAnsi="宋体" w:cs="宋体" w:eastAsia="宋体" w:hint="default"/>
        </w:rPr>
        <w:t>23</w:t>
      </w:r>
      <w:r>
        <w:rPr/>
        <w:t>、收入</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4" w:right="7692" w:hanging="360"/>
        <w:jc w:val="left"/>
      </w:pPr>
      <w:r>
        <w:rPr/>
        <w:t>公司是否需要遵守特殊行业的披露要求 否</w:t>
      </w:r>
    </w:p>
    <w:p>
      <w:pPr>
        <w:pStyle w:val="BodyText"/>
        <w:spacing w:line="240" w:lineRule="auto" w:before="105"/>
        <w:ind w:left="1494" w:right="0"/>
        <w:jc w:val="left"/>
      </w:pPr>
      <w:r>
        <w:rPr/>
        <w:t>本公司的收入包括商品收入、技术服务及开发收入、系统集成收入、让渡资产使用权收入。</w:t>
      </w:r>
    </w:p>
    <w:p>
      <w:pPr>
        <w:pStyle w:val="BodyText"/>
        <w:spacing w:line="357" w:lineRule="auto" w:before="117"/>
        <w:ind w:left="1494" w:right="0"/>
        <w:jc w:val="left"/>
      </w:pPr>
      <w:r>
        <w:rPr/>
        <w:t>（</w:t>
      </w:r>
      <w:r>
        <w:rPr>
          <w:rFonts w:ascii="宋体" w:hAnsi="宋体" w:cs="宋体" w:eastAsia="宋体" w:hint="default"/>
        </w:rPr>
        <w:t>1</w:t>
      </w:r>
      <w:r>
        <w:rPr/>
        <w:t>）销售商品收入 </w:t>
      </w:r>
      <w:r>
        <w:rPr>
          <w:spacing w:val="-2"/>
        </w:rPr>
        <w:t>本公司在已将商品所有权上的主要风险和报酬转移给购货方，既没有保留通常与所有权相联系的继续管理权，也没有对</w:t>
      </w:r>
    </w:p>
    <w:p>
      <w:pPr>
        <w:pStyle w:val="BodyText"/>
        <w:spacing w:line="224" w:lineRule="exact"/>
        <w:ind w:right="0"/>
        <w:jc w:val="left"/>
      </w:pPr>
      <w:r>
        <w:rPr/>
        <w:t>已售出的商品实施有效控制，收入的金额、相关的已发生或将发生的成本能够可靠地计量，相关的经济利益很可能流入企业</w:t>
      </w:r>
    </w:p>
    <w:p>
      <w:pPr>
        <w:pStyle w:val="BodyText"/>
        <w:spacing w:line="360" w:lineRule="auto" w:before="78"/>
        <w:ind w:left="1494" w:right="3372" w:hanging="360"/>
        <w:jc w:val="left"/>
      </w:pPr>
      <w:r>
        <w:rPr/>
        <w:t>时，确认销售商品收入。 公司销售的各类智能卡产品，在货物发给客户且收到客户签收回执后，即确认销售收入。</w:t>
      </w:r>
    </w:p>
    <w:p>
      <w:pPr>
        <w:pStyle w:val="BodyText"/>
        <w:spacing w:line="240" w:lineRule="auto" w:before="26"/>
        <w:ind w:left="1493" w:right="0"/>
        <w:jc w:val="left"/>
      </w:pPr>
      <w:r>
        <w:rPr/>
        <w:t>（</w:t>
      </w:r>
      <w:r>
        <w:rPr>
          <w:rFonts w:ascii="宋体" w:hAnsi="宋体" w:cs="宋体" w:eastAsia="宋体" w:hint="default"/>
        </w:rPr>
        <w:t>2</w:t>
      </w:r>
      <w:r>
        <w:rPr/>
        <w:t>）技术服务及开发收入</w:t>
      </w:r>
    </w:p>
    <w:p>
      <w:pPr>
        <w:pStyle w:val="BodyText"/>
        <w:spacing w:line="357" w:lineRule="auto" w:before="116"/>
        <w:ind w:left="1493" w:right="0"/>
        <w:jc w:val="left"/>
      </w:pPr>
      <w:r>
        <w:rPr/>
        <w:t>①技术服务收入 </w:t>
      </w:r>
      <w:r>
        <w:rPr>
          <w:spacing w:val="-2"/>
        </w:rPr>
        <w:t>技术服务收入指公司提供的与公司软件开发或者系统集成服务相关的系统维护、版本升级、技术支持、售后服务等有偿</w:t>
      </w:r>
    </w:p>
    <w:p>
      <w:pPr>
        <w:pStyle w:val="BodyText"/>
        <w:spacing w:line="224" w:lineRule="exact"/>
        <w:ind w:left="1133" w:right="0"/>
        <w:jc w:val="left"/>
      </w:pPr>
      <w:r>
        <w:rPr/>
        <w:t>服务。在本公司已经提供服务，收到价款或取得收款的依据，且与提供服务相关的成本能够可靠地计量，相关的经济利益能</w:t>
      </w:r>
    </w:p>
    <w:p>
      <w:pPr>
        <w:pStyle w:val="BodyText"/>
        <w:spacing w:line="357" w:lineRule="auto" w:before="77"/>
        <w:ind w:left="1493" w:right="1123" w:hanging="360"/>
        <w:jc w:val="left"/>
      </w:pPr>
      <w:r>
        <w:rPr/>
        <w:t>够流入时，确认技术服务收入。公司已经提供服务的判断依据为： </w:t>
      </w:r>
      <w:r>
        <w:rPr>
          <w:rFonts w:ascii="宋体" w:hAnsi="宋体" w:cs="宋体" w:eastAsia="宋体" w:hint="default"/>
        </w:rPr>
        <w:t>a</w:t>
      </w:r>
      <w:r>
        <w:rPr/>
        <w:t>、合同规定存在服务期的，按至资产负债表日期间占服务总期间的比例确认已提供的服务； </w:t>
      </w:r>
      <w:r>
        <w:rPr>
          <w:rFonts w:ascii="宋体" w:hAnsi="宋体" w:cs="宋体" w:eastAsia="宋体" w:hint="default"/>
        </w:rPr>
        <w:t>b</w:t>
      </w:r>
      <w:r>
        <w:rPr/>
        <w:t>、合同规定不存在服务期的，提供的服务在同一会计年度开始并完成的，服务视为一次提供；服务的开始和完成分属</w:t>
      </w:r>
    </w:p>
    <w:p>
      <w:pPr>
        <w:pStyle w:val="BodyText"/>
        <w:spacing w:line="224" w:lineRule="exact"/>
        <w:ind w:right="0"/>
        <w:jc w:val="left"/>
      </w:pPr>
      <w:r>
        <w:rPr/>
        <w:t>不同会计年度的，合同明确规定需要客户分阶段验收的，按验收进度确认收入；合同没有规定分阶段验收的，在项目完成并</w:t>
      </w:r>
    </w:p>
    <w:p>
      <w:pPr>
        <w:pStyle w:val="BodyText"/>
        <w:spacing w:line="240" w:lineRule="auto" w:before="77"/>
        <w:ind w:right="0"/>
        <w:jc w:val="left"/>
      </w:pPr>
      <w:r>
        <w:rPr/>
        <w:t>经验收后一次确认收入。</w:t>
      </w:r>
    </w:p>
    <w:p>
      <w:pPr>
        <w:pStyle w:val="BodyText"/>
        <w:spacing w:line="357" w:lineRule="auto" w:before="117"/>
        <w:ind w:left="1493" w:right="0"/>
        <w:jc w:val="left"/>
      </w:pPr>
      <w:r>
        <w:rPr/>
        <w:t>②技术开发收入 </w:t>
      </w:r>
      <w:r>
        <w:rPr>
          <w:spacing w:val="-2"/>
        </w:rPr>
        <w:t>技术开发是指根据与客户签订的技术开发合同，对用户的需求进行充分调查和理解，并根据用户的实际需求进行专门的</w:t>
      </w:r>
    </w:p>
    <w:p>
      <w:pPr>
        <w:pStyle w:val="BodyText"/>
        <w:spacing w:line="224" w:lineRule="exact"/>
        <w:ind w:left="1133" w:right="0"/>
        <w:jc w:val="left"/>
      </w:pPr>
      <w:r>
        <w:rPr/>
        <w:t>软件设计与开发。在同一会计年度提供的技术开发服务，在项目实施完成并经客户验收确认后确认收入；若技术开发的开始</w:t>
      </w:r>
    </w:p>
    <w:p>
      <w:pPr>
        <w:pStyle w:val="BodyText"/>
        <w:spacing w:line="319" w:lineRule="auto" w:before="76"/>
        <w:ind w:left="1133" w:right="0"/>
        <w:jc w:val="left"/>
      </w:pPr>
      <w:r>
        <w:rPr>
          <w:spacing w:val="-2"/>
        </w:rPr>
        <w:t>和完成分属不同会计年度，合同规定分阶段验收的，根据客户分阶段验收的情况确认收入。合同未规定分阶段验收的，在项</w:t>
      </w:r>
      <w:r>
        <w:rPr>
          <w:spacing w:val="-66"/>
        </w:rPr>
        <w:t> </w:t>
      </w:r>
      <w:r>
        <w:rPr>
          <w:spacing w:val="-66"/>
        </w:rPr>
      </w:r>
      <w:r>
        <w:rPr/>
        <w:t>目完成并经验收后一次确认收入。</w:t>
      </w:r>
    </w:p>
    <w:p>
      <w:pPr>
        <w:pStyle w:val="BodyText"/>
        <w:spacing w:line="357" w:lineRule="auto" w:before="57"/>
        <w:ind w:left="1493" w:right="0"/>
        <w:jc w:val="left"/>
      </w:pPr>
      <w:r>
        <w:rPr/>
        <w:t>③增值服务收入 </w:t>
      </w:r>
      <w:r>
        <w:rPr>
          <w:spacing w:val="-2"/>
        </w:rPr>
        <w:t>增值服务是指公司作为内容提供商，通过通信运营商提供的有偿通信通道，向用户提供特定信息的服务。在服务已经提</w:t>
      </w:r>
    </w:p>
    <w:p>
      <w:pPr>
        <w:pStyle w:val="BodyText"/>
        <w:spacing w:line="225" w:lineRule="exact"/>
        <w:ind w:left="1133" w:right="0"/>
        <w:jc w:val="left"/>
      </w:pPr>
      <w:r>
        <w:rPr/>
        <w:t>供，运营商计费系统的统计数据经双方确认后，按照合同规定的分成比例确认收入。</w:t>
      </w:r>
    </w:p>
    <w:p>
      <w:pPr>
        <w:pStyle w:val="BodyText"/>
        <w:spacing w:line="240" w:lineRule="auto" w:before="116"/>
        <w:ind w:left="1493" w:right="0"/>
        <w:jc w:val="left"/>
      </w:pPr>
      <w:r>
        <w:rPr/>
        <w:t>（</w:t>
      </w:r>
      <w:r>
        <w:rPr>
          <w:rFonts w:ascii="宋体" w:hAnsi="宋体" w:cs="宋体" w:eastAsia="宋体" w:hint="default"/>
        </w:rPr>
        <w:t>3</w:t>
      </w:r>
      <w:r>
        <w:rPr/>
        <w:t>）系统集成收入</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0" w:firstLine="360"/>
        <w:jc w:val="left"/>
      </w:pPr>
      <w:r>
        <w:rPr>
          <w:spacing w:val="-4"/>
        </w:rPr>
        <w:t>系统集成是指公司根据特定客户的需求，将各种软硬件协调组织成一个应用系统的服务。系统集成业务满足下列条件的，</w:t>
      </w:r>
      <w:r>
        <w:rPr/>
        <w:t> 予以确认收入：</w:t>
      </w:r>
    </w:p>
    <w:p>
      <w:pPr>
        <w:pStyle w:val="BodyText"/>
        <w:spacing w:line="319" w:lineRule="auto" w:before="55"/>
        <w:ind w:left="1133" w:right="1131" w:firstLine="360"/>
        <w:jc w:val="both"/>
      </w:pPr>
      <w:r>
        <w:rPr>
          <w:spacing w:val="-2"/>
        </w:rPr>
        <w:t>①项目所涉及软硬件产品所有权上的主要风险和报酬已转移给买方，其中软件产品已授权给购买方使用即视为软件产品</w:t>
      </w:r>
      <w:r>
        <w:rPr/>
        <w:t> 使用权上的主要风险和报酬已转移</w:t>
      </w:r>
      <w:r>
        <w:rPr>
          <w:rFonts w:ascii="宋体" w:hAnsi="宋体" w:cs="宋体" w:eastAsia="宋体" w:hint="default"/>
        </w:rPr>
        <w:t>.</w:t>
      </w:r>
      <w:r>
        <w:rPr/>
        <w:t>具体判断标准为软硬件产品已交付买方并经验收确认，需要安装调试的已安装调试并经</w:t>
      </w:r>
      <w:r>
        <w:rPr>
          <w:spacing w:val="-83"/>
        </w:rPr>
        <w:t> </w:t>
      </w:r>
      <w:r>
        <w:rPr>
          <w:spacing w:val="-83"/>
        </w:rPr>
      </w:r>
      <w:r>
        <w:rPr/>
        <w:t>客户验收。</w:t>
      </w:r>
    </w:p>
    <w:p>
      <w:pPr>
        <w:pStyle w:val="BodyText"/>
        <w:spacing w:line="240" w:lineRule="auto" w:before="58"/>
        <w:ind w:left="1494" w:right="0"/>
        <w:jc w:val="left"/>
      </w:pPr>
      <w:r>
        <w:rPr/>
        <w:t>②公司不再保留与售出软硬件产品相联系的继续管理权和控制权；</w:t>
      </w:r>
    </w:p>
    <w:p>
      <w:pPr>
        <w:pStyle w:val="BodyText"/>
        <w:spacing w:line="240" w:lineRule="auto" w:before="116"/>
        <w:ind w:left="1494" w:right="0"/>
        <w:jc w:val="left"/>
      </w:pPr>
      <w:r>
        <w:rPr/>
        <w:t>③收入的金额能够可靠的计量；</w:t>
      </w:r>
    </w:p>
    <w:p>
      <w:pPr>
        <w:pStyle w:val="BodyText"/>
        <w:spacing w:line="240" w:lineRule="auto" w:before="116"/>
        <w:ind w:left="1494" w:right="0"/>
        <w:jc w:val="left"/>
      </w:pPr>
      <w:r>
        <w:rPr/>
        <w:t>④相关的经济利益很可能流入企业；</w:t>
      </w:r>
    </w:p>
    <w:p>
      <w:pPr>
        <w:pStyle w:val="BodyText"/>
        <w:spacing w:line="240" w:lineRule="auto" w:before="117"/>
        <w:ind w:left="1494" w:right="0"/>
        <w:jc w:val="left"/>
      </w:pPr>
      <w:r>
        <w:rPr/>
        <w:t>⑤相关的已发生或将发生的成本能够可靠的计量；</w:t>
      </w:r>
    </w:p>
    <w:p>
      <w:pPr>
        <w:pStyle w:val="BodyText"/>
        <w:spacing w:line="357" w:lineRule="auto" w:before="116"/>
        <w:ind w:left="1494" w:right="6252"/>
        <w:jc w:val="left"/>
      </w:pPr>
      <w:r>
        <w:rPr/>
        <w:t>（</w:t>
      </w:r>
      <w:r>
        <w:rPr>
          <w:rFonts w:ascii="宋体" w:hAnsi="宋体" w:cs="宋体" w:eastAsia="宋体" w:hint="default"/>
        </w:rPr>
        <w:t>4</w:t>
      </w:r>
      <w:r>
        <w:rPr/>
        <w:t>）让渡资产使用权收入 让渡资产使用权收入包括利息收入、使用费收入等。</w:t>
      </w:r>
    </w:p>
    <w:p>
      <w:pPr>
        <w:pStyle w:val="BodyText"/>
        <w:spacing w:line="240" w:lineRule="auto" w:before="29"/>
        <w:ind w:left="1494" w:right="0"/>
        <w:jc w:val="left"/>
      </w:pPr>
      <w:r>
        <w:rPr/>
        <w:t>本公司在收入的金额能够可靠地计量，相关的经济利益很可能流入企业时，确认让渡资产使用权收入。</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4、政府补助" w:id="210"/>
      <w:bookmarkEnd w:id="210"/>
      <w:r>
        <w:rPr>
          <w:b w:val="0"/>
          <w:bCs w:val="0"/>
        </w:rPr>
      </w:r>
      <w:r>
        <w:rPr>
          <w:rFonts w:ascii="宋体" w:hAnsi="宋体" w:cs="宋体" w:eastAsia="宋体" w:hint="default"/>
        </w:rPr>
        <w:t>24</w:t>
      </w:r>
      <w:r>
        <w:rPr/>
        <w:t>、政府补助</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与资产相关的政府补助判断依据及会计处理方法" w:id="211"/>
      <w:bookmarkEnd w:id="211"/>
      <w:r>
        <w:rPr>
          <w:b w:val="0"/>
          <w:bCs w:val="0"/>
        </w:rPr>
      </w:r>
      <w:r>
        <w:rPr/>
        <w:t>（</w:t>
      </w:r>
      <w:r>
        <w:rPr>
          <w:rFonts w:ascii="宋体" w:hAnsi="宋体" w:cs="宋体" w:eastAsia="宋体" w:hint="default"/>
        </w:rPr>
        <w:t>1</w:t>
      </w:r>
      <w:r>
        <w:rPr/>
        <w:t>）与资产相关的政府补助判断依据及会计处理方法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1033"/>
        <w:jc w:val="left"/>
      </w:pPr>
      <w:r>
        <w:rPr/>
        <w:t>与资产相关的政府补助，是指本公司取得的、用于购建或以其他方式形成长期资产的政府补助。 与资产相关的政府补助，取得时确认为递延收益，自相关资产达到预定可使用状态时，在该资产使用寿命内按照合理、</w:t>
      </w:r>
    </w:p>
    <w:p>
      <w:pPr>
        <w:pStyle w:val="BodyText"/>
        <w:spacing w:line="224" w:lineRule="exact"/>
        <w:ind w:left="1133" w:right="0"/>
        <w:jc w:val="left"/>
      </w:pPr>
      <w:r>
        <w:rPr/>
        <w:t>系统的方法分期计入损益。按照名义金额计量的政府补助，直接计入当期损益。相关资产在使用寿命结束前被出售、转让、</w:t>
      </w:r>
    </w:p>
    <w:p>
      <w:pPr>
        <w:pStyle w:val="BodyText"/>
        <w:spacing w:line="240" w:lineRule="auto" w:before="77"/>
        <w:ind w:left="1133" w:right="0"/>
        <w:jc w:val="left"/>
      </w:pPr>
      <w:r>
        <w:rPr/>
        <w:t>报废或发生毁损的，将尚未分配的递延收益余额一次性转入资产处置当期的损益。</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与收益相关的政府补助判断依据及会计处理方法" w:id="212"/>
      <w:bookmarkEnd w:id="212"/>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133" w:right="1033" w:firstLine="360"/>
        <w:jc w:val="left"/>
      </w:pPr>
      <w:r>
        <w:rPr>
          <w:spacing w:val="-2"/>
        </w:rPr>
        <w:t>与收益相关的政府补助，是指除与资产相关的政府补助之外的政府补助。如果政府补助文件未明确确定补助对象，以取</w:t>
      </w:r>
      <w:r>
        <w:rPr/>
        <w:t> 得该补助必须具备的基本条件为基础进行判断，以购建或其他方式形成长期资产为基本条件的作为与资产相关的政府补助，</w:t>
      </w:r>
      <w:r>
        <w:rPr>
          <w:spacing w:val="-85"/>
        </w:rPr>
        <w:t> </w:t>
      </w:r>
      <w:r>
        <w:rPr>
          <w:spacing w:val="-85"/>
        </w:rPr>
      </w:r>
      <w:r>
        <w:rPr/>
        <w:t>除此之外的划分为与收益相关的政府补助。</w:t>
      </w:r>
    </w:p>
    <w:p>
      <w:pPr>
        <w:pStyle w:val="BodyText"/>
        <w:spacing w:line="319" w:lineRule="auto" w:before="56"/>
        <w:ind w:left="1133" w:right="0" w:firstLine="360"/>
        <w:jc w:val="left"/>
      </w:pPr>
      <w:r>
        <w:rPr>
          <w:spacing w:val="-2"/>
        </w:rPr>
        <w:t>与收益相关的政府补助，用于补偿以后期间的相关成本费用或损失的，取得时确认为递延收益，在确认相关成本费用或</w:t>
      </w:r>
      <w:r>
        <w:rPr/>
        <w:t> 损失的期间计入当期损益；用于补偿已发生的相关成本费用或损失的，取得时直接计入当期损益。</w:t>
      </w:r>
    </w:p>
    <w:p>
      <w:pPr>
        <w:pStyle w:val="BodyText"/>
        <w:spacing w:line="357" w:lineRule="auto" w:before="56"/>
        <w:ind w:left="1493" w:right="1123"/>
        <w:jc w:val="left"/>
      </w:pPr>
      <w:r>
        <w:rPr/>
        <w:t>与公司日常活动相关的政府补助，计入其他收益；与日常活动无关的政府补助，计入营业外收支。 取得政策性优惠贷款贴息，区分以下两种取得方式进行会计处理： </w:t>
      </w:r>
      <w:r>
        <w:rPr>
          <w:rFonts w:ascii="宋体" w:hAnsi="宋体" w:cs="宋体" w:eastAsia="宋体" w:hint="default"/>
        </w:rPr>
        <w:t>A</w:t>
      </w:r>
      <w:r>
        <w:rPr/>
        <w:t>、财政将贴息资金拨付给贷款银行，由贷款银行以政策性优惠利率向公司提供贷款的，以借款的公允价值作为借款的</w:t>
      </w:r>
    </w:p>
    <w:p>
      <w:pPr>
        <w:pStyle w:val="BodyText"/>
        <w:spacing w:line="224" w:lineRule="exact"/>
        <w:ind w:right="0"/>
        <w:jc w:val="left"/>
      </w:pPr>
      <w:r>
        <w:rPr/>
        <w:t>入账价值并按照实际利率法计算借款费用，实际收到的金额与借款公允价值之间的差额确认为递延收益。递延收益在借款存</w:t>
      </w:r>
    </w:p>
    <w:p>
      <w:pPr>
        <w:pStyle w:val="BodyText"/>
        <w:spacing w:line="357" w:lineRule="auto" w:before="77"/>
        <w:ind w:left="1494" w:right="4542" w:hanging="360"/>
        <w:jc w:val="left"/>
      </w:pPr>
      <w:r>
        <w:rPr/>
        <w:t>续期内采用实际利率法摊销，冲减相关借款费用。 </w:t>
      </w:r>
      <w:r>
        <w:rPr>
          <w:rFonts w:ascii="宋体" w:hAnsi="宋体" w:cs="宋体" w:eastAsia="宋体" w:hint="default"/>
        </w:rPr>
        <w:t>B</w:t>
      </w:r>
      <w:r>
        <w:rPr/>
        <w:t>、财政将贴息资金直接拨付给公司的，将对应的贴息冲减相关借款费用。</w:t>
      </w:r>
    </w:p>
    <w:p>
      <w:pPr>
        <w:spacing w:line="240" w:lineRule="auto" w:before="13"/>
        <w:rPr>
          <w:rFonts w:ascii="宋体" w:hAnsi="宋体" w:cs="宋体" w:eastAsia="宋体" w:hint="default"/>
          <w:sz w:val="19"/>
          <w:szCs w:val="19"/>
        </w:rPr>
      </w:pPr>
    </w:p>
    <w:p>
      <w:pPr>
        <w:pStyle w:val="Heading3"/>
        <w:spacing w:line="240" w:lineRule="auto"/>
        <w:ind w:left="1133" w:right="0"/>
        <w:jc w:val="left"/>
        <w:rPr>
          <w:b w:val="0"/>
          <w:bCs w:val="0"/>
        </w:rPr>
      </w:pPr>
      <w:bookmarkStart w:name="25、递延所得税资产/递延所得税负债" w:id="213"/>
      <w:bookmarkEnd w:id="213"/>
      <w:r>
        <w:rPr>
          <w:b w:val="0"/>
          <w:bCs w:val="0"/>
        </w:rPr>
      </w:r>
      <w:r>
        <w:rPr>
          <w:rFonts w:ascii="宋体" w:hAnsi="宋体" w:cs="宋体" w:eastAsia="宋体" w:hint="default"/>
        </w:rPr>
        <w:t>25</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本公司采用资产负债表债务法进行所得税会计处理。</w:t>
      </w:r>
    </w:p>
    <w:p>
      <w:pPr>
        <w:pStyle w:val="BodyText"/>
        <w:spacing w:line="240" w:lineRule="auto" w:before="116"/>
        <w:ind w:left="1493" w:right="0"/>
        <w:jc w:val="left"/>
      </w:pPr>
      <w:r>
        <w:rPr/>
        <w:t>（</w:t>
      </w:r>
      <w:r>
        <w:rPr>
          <w:rFonts w:ascii="宋体" w:hAnsi="宋体" w:cs="宋体" w:eastAsia="宋体" w:hint="default"/>
        </w:rPr>
        <w:t>1</w:t>
      </w:r>
      <w:r>
        <w:rPr/>
        <w:t>）递延所得税资产</w:t>
      </w:r>
    </w:p>
    <w:p>
      <w:pPr>
        <w:pStyle w:val="BodyText"/>
        <w:spacing w:line="319" w:lineRule="auto" w:before="116"/>
        <w:ind w:right="1132" w:firstLine="360"/>
        <w:jc w:val="both"/>
      </w:pPr>
      <w:r>
        <w:rPr>
          <w:spacing w:val="-2"/>
        </w:rPr>
        <w:t>①资产、负债的账面价值与其计税基础存在可抵扣暂时性差异的，以未来期间很可能取得的用以抵扣可抵扣暂时性差异</w:t>
      </w:r>
      <w:r>
        <w:rPr/>
        <w:t> </w:t>
      </w:r>
      <w:r>
        <w:rPr>
          <w:spacing w:val="-2"/>
        </w:rPr>
        <w:t>的应纳税所得额为限，按照预期收回该资产或清偿该负债期间的适用税率，计算确认由可抵扣暂时性差异产生的递延所得税</w:t>
      </w:r>
      <w:r>
        <w:rPr>
          <w:spacing w:val="-64"/>
        </w:rPr>
        <w:t> </w:t>
      </w:r>
      <w:r>
        <w:rPr>
          <w:spacing w:val="-64"/>
        </w:rPr>
      </w:r>
      <w:r>
        <w:rPr/>
        <w:t>资产。</w:t>
      </w:r>
    </w:p>
    <w:p>
      <w:pPr>
        <w:spacing w:after="0" w:line="319"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spacing w:val="-2"/>
        </w:rPr>
        <w:t>②资产负债表日，有确凿证据表明未来期间很可能获得足够的应纳税所得额用来抵扣可抵扣暂时性差异的，确认以前期</w:t>
      </w:r>
      <w:r>
        <w:rPr/>
        <w:t> 间未确认的递延所得税资产。</w:t>
      </w:r>
    </w:p>
    <w:p>
      <w:pPr>
        <w:pStyle w:val="BodyText"/>
        <w:spacing w:line="319" w:lineRule="auto" w:before="55"/>
        <w:ind w:right="0" w:firstLine="360"/>
        <w:jc w:val="left"/>
      </w:pPr>
      <w:r>
        <w:rPr>
          <w:spacing w:val="-2"/>
        </w:rPr>
        <w:t>③资产负债表日，对递延所得税资产的账面价值进行复核。如果未来期间很可能无法获得足够的应纳税所得额用以抵扣</w:t>
      </w:r>
      <w:r>
        <w:rPr/>
        <w:t> 递延所得税资产的利益，减记递延所得税资产的账面价值。在很可能获得足够的应纳税所得额时，转回减记的金额。</w:t>
      </w:r>
    </w:p>
    <w:p>
      <w:pPr>
        <w:pStyle w:val="BodyText"/>
        <w:spacing w:line="357" w:lineRule="auto" w:before="58"/>
        <w:ind w:left="1494" w:right="0"/>
        <w:jc w:val="left"/>
      </w:pPr>
      <w:r>
        <w:rPr/>
        <w:t>（</w:t>
      </w:r>
      <w:r>
        <w:rPr>
          <w:rFonts w:ascii="宋体" w:hAnsi="宋体" w:cs="宋体" w:eastAsia="宋体" w:hint="default"/>
        </w:rPr>
        <w:t>2</w:t>
      </w:r>
      <w:r>
        <w:rPr/>
        <w:t>）递延所得税负债 </w:t>
      </w:r>
      <w:r>
        <w:rPr>
          <w:spacing w:val="-2"/>
        </w:rPr>
        <w:t>资产、负债的账面价值与其计税基础存在应纳税暂时性差异的，按照预期收回该资产或清偿该负债期间的适用税率，确</w:t>
      </w:r>
    </w:p>
    <w:p>
      <w:pPr>
        <w:pStyle w:val="BodyText"/>
        <w:spacing w:line="225" w:lineRule="exact"/>
        <w:ind w:right="0"/>
        <w:jc w:val="both"/>
      </w:pPr>
      <w:r>
        <w:rPr/>
        <w:t>认由应纳税暂时性差异产生的递延所得税负债。</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6、租赁" w:id="214"/>
      <w:bookmarkEnd w:id="214"/>
      <w:r>
        <w:rPr>
          <w:b w:val="0"/>
          <w:bCs w:val="0"/>
        </w:rPr>
      </w:r>
      <w:r>
        <w:rPr>
          <w:rFonts w:ascii="宋体" w:hAnsi="宋体" w:cs="宋体" w:eastAsia="宋体" w:hint="default"/>
        </w:rPr>
        <w:t>26</w:t>
      </w:r>
      <w:r>
        <w:rPr/>
        <w:t>、租赁</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bookmarkStart w:name="（1）经营租赁的会计处理方法" w:id="215"/>
      <w:bookmarkEnd w:id="215"/>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0" w:firstLine="360"/>
        <w:jc w:val="left"/>
      </w:pPr>
      <w:r>
        <w:rPr>
          <w:spacing w:val="-2"/>
        </w:rPr>
        <w:t>本公司作为承租人，对于经营租赁的租金，在租赁期内各个期间按照直线法计入相关资产成本或当期损益；发生的初始</w:t>
      </w:r>
      <w:r>
        <w:rPr/>
        <w:t> 直接费用，计入当期损益；或有租金在实际发生时计入当期损益。</w:t>
      </w:r>
    </w:p>
    <w:p>
      <w:pPr>
        <w:pStyle w:val="BodyText"/>
        <w:spacing w:line="319" w:lineRule="auto" w:before="55"/>
        <w:ind w:right="1131" w:firstLine="360"/>
        <w:jc w:val="both"/>
      </w:pPr>
      <w:r>
        <w:rPr>
          <w:spacing w:val="-2"/>
        </w:rPr>
        <w:t>本公司作为出租人，按资产的性质将用作经营租赁的资产包括在资产负债表中的相关项目内；对于经营租赁的租金，在</w:t>
      </w:r>
      <w:r>
        <w:rPr/>
        <w:t> </w:t>
      </w:r>
      <w:r>
        <w:rPr>
          <w:spacing w:val="-2"/>
        </w:rPr>
        <w:t>租赁期内各个期间按照直线法确认为当期损益；发生的初始直接费用，计入当期损益；对于经营租赁资产中的固定资产，采</w:t>
      </w:r>
      <w:r>
        <w:rPr>
          <w:spacing w:val="-66"/>
        </w:rPr>
        <w:t> </w:t>
      </w:r>
      <w:r>
        <w:rPr>
          <w:spacing w:val="-66"/>
        </w:rPr>
      </w:r>
      <w:r>
        <w:rPr>
          <w:spacing w:val="-2"/>
        </w:rPr>
        <w:t>用类似资产的折旧政策计提折旧；对于其他经营租赁资产，采用系统合理的方法进行摊销；或有租金在实际发生时计入当期</w:t>
      </w:r>
      <w:r>
        <w:rPr>
          <w:spacing w:val="-66"/>
        </w:rPr>
        <w:t> </w:t>
      </w:r>
      <w:r>
        <w:rPr>
          <w:spacing w:val="-66"/>
        </w:rPr>
      </w:r>
      <w:r>
        <w:rPr/>
        <w:t>损益。</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16"/>
      <w:bookmarkEnd w:id="216"/>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130" w:firstLine="360"/>
        <w:jc w:val="both"/>
      </w:pPr>
      <w:r>
        <w:rPr>
          <w:spacing w:val="-2"/>
        </w:rPr>
        <w:t>本公司作为承租人，在租赁期开始日将租赁开始日租赁资产公允价值与最低租赁付款额现值两者中较低者作为租入资产</w:t>
      </w:r>
      <w:r>
        <w:rPr/>
        <w:t> </w:t>
      </w:r>
      <w:r>
        <w:rPr>
          <w:spacing w:val="-2"/>
        </w:rPr>
        <w:t>的入账价值，将最低租赁付款额作为长期应付款的入账价值，其差额作为未确认融资费用；在租赁谈判和签订租赁合同过程</w:t>
      </w:r>
      <w:r>
        <w:rPr>
          <w:spacing w:val="-66"/>
        </w:rPr>
        <w:t> </w:t>
      </w:r>
      <w:r>
        <w:rPr>
          <w:spacing w:val="-66"/>
        </w:rPr>
      </w:r>
      <w:r>
        <w:rPr>
          <w:spacing w:val="-2"/>
        </w:rPr>
        <w:t>中发生的，可归属于租赁项目的手续费、律师费、差旅费、印花税等初始直接费用，计入租入资产价值；未确认融资费用在</w:t>
      </w:r>
      <w:r>
        <w:rPr>
          <w:spacing w:val="-68"/>
        </w:rPr>
        <w:t> </w:t>
      </w:r>
      <w:r>
        <w:rPr>
          <w:spacing w:val="-68"/>
        </w:rPr>
      </w:r>
      <w:r>
        <w:rPr/>
        <w:t>租赁期内各个期间进行分摊，采用实际利率法计算确认当期的融资费用；或有租金在实际发生时计入当期损益。</w:t>
      </w:r>
    </w:p>
    <w:p>
      <w:pPr>
        <w:pStyle w:val="BodyText"/>
        <w:spacing w:line="319" w:lineRule="auto" w:before="55"/>
        <w:ind w:left="1133" w:right="0" w:firstLine="360"/>
        <w:jc w:val="left"/>
      </w:pPr>
      <w:r>
        <w:rPr>
          <w:spacing w:val="-2"/>
        </w:rPr>
        <w:t>在计算最低租赁付款额的现值时，能够取得出租人租赁内含利率的，采用租赁内含利率作为折现率；否则，采用租赁合</w:t>
      </w:r>
      <w:r>
        <w:rPr/>
        <w:t> </w:t>
      </w:r>
      <w:r>
        <w:rPr>
          <w:spacing w:val="-4"/>
        </w:rPr>
        <w:t>同规定的利率作为折现率。无法取得出租人的租赁内含利率且租赁合同没有规定利率的，采用同期银行贷款利率作为折现率。</w:t>
      </w:r>
    </w:p>
    <w:p>
      <w:pPr>
        <w:pStyle w:val="BodyText"/>
        <w:spacing w:line="319" w:lineRule="auto" w:before="55"/>
        <w:ind w:right="1032" w:firstLine="360"/>
        <w:jc w:val="left"/>
      </w:pPr>
      <w:r>
        <w:rPr/>
        <w:t>本公司采用与自有固定资产相一致的折旧政策计提租赁资产折旧。能够合理确定租赁期届满时取得租赁资产所有权的， </w:t>
      </w:r>
      <w:r>
        <w:rPr>
          <w:spacing w:val="-2"/>
        </w:rPr>
        <w:t>在租赁资产使用寿命内计提折旧。无法合理确定租赁期届满时能够取得租赁资产所有权的，在租赁期与租赁资产使用寿命两</w:t>
      </w:r>
      <w:r>
        <w:rPr>
          <w:spacing w:val="-64"/>
        </w:rPr>
        <w:t> </w:t>
      </w:r>
      <w:r>
        <w:rPr>
          <w:spacing w:val="-64"/>
        </w:rPr>
      </w:r>
      <w:r>
        <w:rPr/>
        <w:t>者中较短的期间内计提折旧。</w:t>
      </w:r>
    </w:p>
    <w:p>
      <w:pPr>
        <w:pStyle w:val="BodyText"/>
        <w:spacing w:line="319" w:lineRule="auto" w:before="56"/>
        <w:ind w:right="712" w:firstLine="360"/>
        <w:jc w:val="left"/>
      </w:pPr>
      <w:r>
        <w:rPr>
          <w:spacing w:val="-2"/>
        </w:rPr>
        <w:t>本公司作为出租人，在租赁期开始日将租赁开始日最低租赁收款额与初始直接费用之和作为应收融资租赁款的入账价值，</w:t>
      </w:r>
      <w:r>
        <w:rPr/>
        <w:t> 同时记录未担保余值；将最低租赁收款额、初始直接费用及未担保余值之和与其现值之和的差额确认为未实现融资收益；未 实现融资收益在租赁期内各个期间进行分配；采用实际利率法计算确认当期的融资收入；或有租金在实际发生时计入当期损 益。</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7、其他重要的会计政策和会计估计" w:id="217"/>
      <w:bookmarkEnd w:id="217"/>
      <w:r>
        <w:rPr>
          <w:b w:val="0"/>
          <w:bCs w:val="0"/>
        </w:rPr>
      </w:r>
      <w:r>
        <w:rPr>
          <w:rFonts w:ascii="宋体" w:hAnsi="宋体" w:cs="宋体" w:eastAsia="宋体" w:hint="default"/>
        </w:rPr>
        <w:t>27</w:t>
      </w:r>
      <w:r>
        <w:rPr/>
        <w:t>、其他重要的会计政策和会计估计</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）公允价值计量 </w:t>
      </w:r>
      <w:r>
        <w:rPr>
          <w:spacing w:val="-2"/>
        </w:rPr>
        <w:t>公允价值，是指市场参与者在计量日发生的有序交易中，出售一项资产所能收到或者转移一项负债所需支付的价格。本</w:t>
      </w:r>
    </w:p>
    <w:p>
      <w:pPr>
        <w:pStyle w:val="BodyText"/>
        <w:spacing w:line="224" w:lineRule="exact"/>
        <w:ind w:right="0"/>
        <w:jc w:val="both"/>
      </w:pPr>
      <w:r>
        <w:rPr/>
        <w:t>公司以公允价值计量相关资产或负债，考虑该资产或负债的特征；假定市场参与者在计量日出售资产或者转移负债的交易，</w:t>
      </w:r>
    </w:p>
    <w:p>
      <w:pPr>
        <w:pStyle w:val="BodyText"/>
        <w:spacing w:line="319" w:lineRule="auto" w:before="76"/>
        <w:ind w:right="1130"/>
        <w:jc w:val="both"/>
      </w:pPr>
      <w:r>
        <w:rPr>
          <w:spacing w:val="-2"/>
        </w:rPr>
        <w:t>是在当前市场条件下的有序交易；假定出售资产或者转移负债的有序交易在相关资产或负债的主要市场进行；不存在主要市</w:t>
      </w:r>
      <w:r>
        <w:rPr>
          <w:spacing w:val="-64"/>
        </w:rPr>
        <w:t> </w:t>
      </w:r>
      <w:r>
        <w:rPr>
          <w:spacing w:val="-64"/>
        </w:rPr>
      </w:r>
      <w:r>
        <w:rPr>
          <w:spacing w:val="-2"/>
        </w:rPr>
        <w:t>场的，假定该交易在相关资产或负债的最有利市场进行。本公司采用市场参与者在对该资产或负债定价时为实现其经济利益</w:t>
      </w:r>
      <w:r>
        <w:rPr>
          <w:spacing w:val="-63"/>
        </w:rPr>
        <w:t> </w:t>
      </w:r>
      <w:r>
        <w:rPr>
          <w:spacing w:val="-63"/>
        </w:rPr>
      </w:r>
      <w:r>
        <w:rPr/>
        <w:t>最大化所使用的假设。</w:t>
      </w:r>
    </w:p>
    <w:p>
      <w:pPr>
        <w:spacing w:after="0" w:line="319" w:lineRule="auto"/>
        <w:jc w:val="both"/>
        <w:sectPr>
          <w:footerReference w:type="default" r:id="rId38"/>
          <w:pgSz w:w="11910" w:h="16840"/>
          <w:pgMar w:footer="979" w:header="877"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2" w:firstLine="360"/>
        <w:jc w:val="both"/>
      </w:pPr>
      <w:r>
        <w:rPr>
          <w:spacing w:val="-2"/>
        </w:rPr>
        <w:t>本公司根据交易性质和相关资产或负债的特征等，判断初始确认时的公允价值是否与其交易价格相等；交易价格与公允</w:t>
      </w:r>
      <w:r>
        <w:rPr/>
        <w:t> 价值不相等的，将相关利得或损失计入当期损益，但相关会计准则另有规定的除外。</w:t>
      </w:r>
    </w:p>
    <w:p>
      <w:pPr>
        <w:pStyle w:val="BodyText"/>
        <w:spacing w:line="319" w:lineRule="auto" w:before="55"/>
        <w:ind w:left="1133" w:right="1132" w:firstLine="360"/>
        <w:jc w:val="both"/>
      </w:pPr>
      <w:r>
        <w:rPr>
          <w:spacing w:val="-2"/>
        </w:rPr>
        <w:t>本公司采用在当前情况下适用并且有足够可利用数据和其他信息支持的估值技术，使用的估值技术主要包括市场法、收</w:t>
      </w:r>
      <w:r>
        <w:rPr/>
        <w:t> </w:t>
      </w:r>
      <w:r>
        <w:rPr>
          <w:spacing w:val="-2"/>
        </w:rPr>
        <w:t>益法和成本法。在估值技术的应用中，优先使用相关可观察输入值，只有在相关可观察输入值无法取得或取得不切实可行的</w:t>
      </w:r>
      <w:r>
        <w:rPr>
          <w:spacing w:val="-66"/>
        </w:rPr>
        <w:t> </w:t>
      </w:r>
      <w:r>
        <w:rPr>
          <w:spacing w:val="-66"/>
        </w:rPr>
      </w:r>
      <w:r>
        <w:rPr/>
        <w:t>情况下，才可以使用不可观察输入值。</w:t>
      </w:r>
    </w:p>
    <w:p>
      <w:pPr>
        <w:pStyle w:val="BodyText"/>
        <w:spacing w:line="319" w:lineRule="auto" w:before="56"/>
        <w:ind w:left="1133" w:right="1043" w:firstLine="360"/>
        <w:jc w:val="both"/>
      </w:pPr>
      <w:r>
        <w:rPr>
          <w:spacing w:val="-2"/>
        </w:rPr>
        <w:t>本公司公允价值计量所使用的输入值划分为三个层次，并首先使用第一层次输入值，其次使用第二层次输入值，最后使</w:t>
      </w:r>
      <w:r>
        <w:rPr/>
        <w:t> </w:t>
      </w:r>
      <w:r>
        <w:rPr>
          <w:spacing w:val="-2"/>
        </w:rPr>
        <w:t>用第三层次输入值。第一层次输入值是在计量日能够取得的相同资产或负债在活跃市场上未经调整的报价；第二层次输入值</w:t>
      </w:r>
      <w:r>
        <w:rPr>
          <w:spacing w:val="-64"/>
        </w:rPr>
        <w:t> </w:t>
      </w:r>
      <w:r>
        <w:rPr>
          <w:spacing w:val="-64"/>
        </w:rPr>
      </w:r>
      <w:r>
        <w:rPr/>
        <w:t>是除第一层次输入值外相关资产或负债直接或间接可观察的输入值；第三层次输入值是相关资产或负债的不可观察输入值。</w:t>
      </w:r>
    </w:p>
    <w:p>
      <w:pPr>
        <w:pStyle w:val="BodyText"/>
        <w:spacing w:line="319" w:lineRule="auto" w:before="55"/>
        <w:ind w:right="1130" w:firstLine="360"/>
        <w:jc w:val="both"/>
      </w:pPr>
      <w:r>
        <w:rPr>
          <w:spacing w:val="-2"/>
        </w:rPr>
        <w:t>本公司以公允价值计量非金融资产，考虑市场参与者将该资产用于最佳用途产生经济利益的能力，或者将该资产出售给</w:t>
      </w:r>
      <w:r>
        <w:rPr/>
        <w:t> </w:t>
      </w:r>
      <w:r>
        <w:rPr>
          <w:spacing w:val="-2"/>
        </w:rPr>
        <w:t>能够用于最佳用途的其他市场参与者产生经济利益的能力。以公允价值计量负债，假定在计量日将该负债转移给其他市场参</w:t>
      </w:r>
      <w:r>
        <w:rPr>
          <w:spacing w:val="-63"/>
        </w:rPr>
        <w:t> </w:t>
      </w:r>
      <w:r>
        <w:rPr>
          <w:spacing w:val="-63"/>
        </w:rPr>
      </w:r>
      <w:r>
        <w:rPr>
          <w:spacing w:val="-2"/>
        </w:rPr>
        <w:t>与者，而且该负债在转移后继续存在，并由作为受让方的市场参与者履行义务。以公允价值计量自身权益工具，假定在计量</w:t>
      </w:r>
      <w:r>
        <w:rPr>
          <w:spacing w:val="-66"/>
        </w:rPr>
        <w:t> </w:t>
      </w:r>
      <w:r>
        <w:rPr>
          <w:spacing w:val="-66"/>
        </w:rPr>
      </w:r>
      <w:r>
        <w:rPr>
          <w:spacing w:val="-2"/>
        </w:rPr>
        <w:t>日将该自身权益工具转移给其他市场参与者，而且该自身权益工具在转移后继续存在，并由作为受让方的市场参与者取得与</w:t>
      </w:r>
      <w:r>
        <w:rPr>
          <w:spacing w:val="-64"/>
        </w:rPr>
        <w:t> </w:t>
      </w:r>
      <w:r>
        <w:rPr>
          <w:spacing w:val="-64"/>
        </w:rPr>
      </w:r>
      <w:r>
        <w:rPr/>
        <w:t>该工具相关的权利、承担相应的义务。</w:t>
      </w:r>
    </w:p>
    <w:p>
      <w:pPr>
        <w:pStyle w:val="BodyText"/>
        <w:spacing w:line="357" w:lineRule="auto" w:before="56"/>
        <w:ind w:left="1493" w:right="1393"/>
        <w:jc w:val="left"/>
      </w:pPr>
      <w:r>
        <w:rPr/>
        <w:t>（</w:t>
      </w:r>
      <w:r>
        <w:rPr>
          <w:rFonts w:ascii="宋体" w:hAnsi="宋体" w:cs="宋体" w:eastAsia="宋体" w:hint="default"/>
        </w:rPr>
        <w:t>2</w:t>
      </w:r>
      <w:r>
        <w:rPr/>
        <w:t>）终止经营 终止经营，是指满足下列条件之一的、能够单独区分的组成部分，且该组成部分已经处置或划分为持有待售类别：</w:t>
      </w:r>
    </w:p>
    <w:p>
      <w:pPr>
        <w:pStyle w:val="BodyText"/>
        <w:spacing w:line="224" w:lineRule="exact"/>
        <w:ind w:left="1493" w:right="0"/>
        <w:jc w:val="left"/>
      </w:pPr>
      <w:r>
        <w:rPr/>
        <w:t>（</w:t>
      </w:r>
      <w:r>
        <w:rPr>
          <w:rFonts w:ascii="宋体" w:hAnsi="宋体" w:cs="宋体" w:eastAsia="宋体" w:hint="default"/>
        </w:rPr>
        <w:t>1</w:t>
      </w:r>
      <w:r>
        <w:rPr/>
        <w:t>）该组成部分代表一项独立的主要业务或一个单独的主要经营地区；</w:t>
      </w:r>
    </w:p>
    <w:p>
      <w:pPr>
        <w:pStyle w:val="BodyText"/>
        <w:spacing w:line="240" w:lineRule="auto" w:before="76"/>
        <w:ind w:left="1493" w:right="0"/>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pStyle w:val="BodyText"/>
        <w:spacing w:line="316" w:lineRule="auto" w:before="76"/>
        <w:ind w:left="1494" w:right="0"/>
        <w:jc w:val="left"/>
      </w:pPr>
      <w:r>
        <w:rPr/>
        <w:t>（</w:t>
      </w:r>
      <w:r>
        <w:rPr>
          <w:rFonts w:ascii="宋体" w:hAnsi="宋体" w:cs="宋体" w:eastAsia="宋体" w:hint="default"/>
        </w:rPr>
        <w:t>3</w:t>
      </w:r>
      <w:r>
        <w:rPr/>
        <w:t>）该组成部分是专为转售而取得的子公司。 </w:t>
      </w:r>
      <w:r>
        <w:rPr>
          <w:spacing w:val="-2"/>
        </w:rPr>
        <w:t>本公司在利润表中分别列示持续经营损益和终止经营损益。不符合终止经营定义的持有待售的非流动资产或处置组，其</w:t>
      </w:r>
    </w:p>
    <w:p>
      <w:pPr>
        <w:pStyle w:val="BodyText"/>
        <w:spacing w:line="316" w:lineRule="auto" w:before="19"/>
        <w:ind w:right="1118"/>
        <w:jc w:val="left"/>
      </w:pP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pStyle w:val="BodyText"/>
        <w:spacing w:line="316" w:lineRule="auto" w:before="19"/>
        <w:ind w:right="1032" w:firstLine="360"/>
        <w:jc w:val="left"/>
      </w:pPr>
      <w:r>
        <w:rPr>
          <w:spacing w:val="-2"/>
        </w:rPr>
        <w:t>对于当期列报的终止经营，在当期财务报表中，将原来作为持续经营损益列报的信息重新作为可比会计期间的终止经营</w:t>
      </w:r>
      <w:r>
        <w:rPr/>
        <w:t> 损益列报。拟结束使用而非出售的处置组满足终止经营定义中有关组成部分的条件的，自停止使用日起作为终止经营列报。</w:t>
      </w:r>
      <w:r>
        <w:rPr>
          <w:spacing w:val="-84"/>
        </w:rPr>
        <w:t> </w:t>
      </w:r>
      <w:r>
        <w:rPr>
          <w:spacing w:val="-84"/>
        </w:rPr>
      </w:r>
      <w:r>
        <w:rPr>
          <w:spacing w:val="-2"/>
        </w:rPr>
        <w:t>因出售对子公司的投资等原因导致其丧失对子公司控制权，且该子公司符合终止经营定义的，在合并利润表中列报相关终止</w:t>
      </w:r>
      <w:r>
        <w:rPr>
          <w:spacing w:val="-64"/>
        </w:rPr>
        <w:t> </w:t>
      </w:r>
      <w:r>
        <w:rPr>
          <w:spacing w:val="-64"/>
        </w:rPr>
      </w:r>
      <w:r>
        <w:rPr/>
        <w:t>经营损益。</w:t>
      </w:r>
    </w:p>
    <w:p>
      <w:pPr>
        <w:pStyle w:val="BodyText"/>
        <w:spacing w:line="357" w:lineRule="auto" w:before="59"/>
        <w:ind w:left="1493" w:right="1118"/>
        <w:jc w:val="left"/>
      </w:pPr>
      <w:r>
        <w:rPr/>
        <w:t>（</w:t>
      </w:r>
      <w:r>
        <w:rPr>
          <w:rFonts w:ascii="宋体" w:hAnsi="宋体" w:cs="宋体" w:eastAsia="宋体" w:hint="default"/>
        </w:rPr>
        <w:t>3</w:t>
      </w:r>
      <w:r>
        <w:rPr/>
        <w:t>）分部报告 </w:t>
      </w:r>
      <w:r>
        <w:rPr>
          <w:spacing w:val="-2"/>
        </w:rPr>
        <w:t>本公司以内部组织结构、管理要求、内部报告制度为依据确定经营分部，以经营分部为基础确定报告分部并披露分部信</w:t>
      </w:r>
    </w:p>
    <w:p>
      <w:pPr>
        <w:pStyle w:val="BodyText"/>
        <w:spacing w:line="225" w:lineRule="exact"/>
        <w:ind w:left="1133" w:right="0"/>
        <w:jc w:val="left"/>
      </w:pPr>
      <w:r>
        <w:rPr/>
        <w:t>息。</w:t>
      </w:r>
    </w:p>
    <w:p>
      <w:pPr>
        <w:pStyle w:val="BodyText"/>
        <w:spacing w:line="319" w:lineRule="auto" w:before="116"/>
        <w:ind w:left="1133" w:right="1033" w:firstLine="360"/>
        <w:jc w:val="left"/>
      </w:pPr>
      <w:r>
        <w:rPr/>
        <w:t>经营分部是指本公司内同时满足下列条件的组成部分：（</w:t>
      </w:r>
      <w:r>
        <w:rPr>
          <w:rFonts w:ascii="宋体" w:hAnsi="宋体" w:cs="宋体" w:eastAsia="宋体" w:hint="default"/>
        </w:rPr>
        <w:t>1</w:t>
      </w:r>
      <w:r>
        <w:rPr/>
        <w:t>）该组成部分能够在日常活动中产生收入、发生费用；（</w:t>
      </w:r>
      <w:r>
        <w:rPr>
          <w:rFonts w:ascii="宋体" w:hAnsi="宋体" w:cs="宋体" w:eastAsia="宋体" w:hint="default"/>
        </w:rPr>
        <w:t>2</w:t>
      </w:r>
      <w:r>
        <w:rPr/>
        <w:t>） 本公司管理层能够定期评价该组成部分的经营成果，以决定向其配置资源、评价其业绩；（</w:t>
      </w:r>
      <w:r>
        <w:rPr>
          <w:rFonts w:ascii="宋体" w:hAnsi="宋体" w:cs="宋体" w:eastAsia="宋体" w:hint="default"/>
        </w:rPr>
        <w:t>3</w:t>
      </w:r>
      <w:r>
        <w:rPr/>
        <w:t>）本公司能够取得该组成部分</w:t>
      </w:r>
      <w:r>
        <w:rPr>
          <w:spacing w:val="-82"/>
        </w:rPr>
        <w:t> </w:t>
      </w:r>
      <w:r>
        <w:rPr>
          <w:spacing w:val="-82"/>
        </w:rPr>
      </w:r>
      <w:r>
        <w:rPr>
          <w:spacing w:val="-2"/>
        </w:rPr>
        <w:t>的财务状况、经营成果和现金流量等有关会计信息。两个或多个经营分部具有相似的经济特征，并且满足一定条件的，则可</w:t>
      </w:r>
      <w:r>
        <w:rPr>
          <w:spacing w:val="-66"/>
        </w:rPr>
        <w:t> </w:t>
      </w:r>
      <w:r>
        <w:rPr>
          <w:spacing w:val="-66"/>
        </w:rPr>
      </w:r>
      <w:r>
        <w:rPr/>
        <w:t>合并为一个经营分部。</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28、重要会计政策和会计估计变更" w:id="218"/>
      <w:bookmarkEnd w:id="218"/>
      <w:r>
        <w:rPr>
          <w:b w:val="0"/>
          <w:bCs w:val="0"/>
        </w:rPr>
      </w:r>
      <w:r>
        <w:rPr>
          <w:rFonts w:ascii="宋体" w:hAnsi="宋体" w:cs="宋体" w:eastAsia="宋体" w:hint="default"/>
        </w:rPr>
        <w:t>28</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重要会计政策变更" w:id="219"/>
      <w:bookmarkEnd w:id="219"/>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56" w:type="dxa"/>
        <w:tblLayout w:type="fixed"/>
        <w:tblCellMar>
          <w:top w:w="0" w:type="dxa"/>
          <w:left w:w="0" w:type="dxa"/>
          <w:bottom w:w="0" w:type="dxa"/>
          <w:right w:w="0" w:type="dxa"/>
        </w:tblCellMar>
        <w:tblLook w:val="01E0"/>
      </w:tblPr>
      <w:tblGrid>
        <w:gridCol w:w="4651"/>
        <w:gridCol w:w="2494"/>
        <w:gridCol w:w="2438"/>
      </w:tblGrid>
      <w:tr>
        <w:trPr>
          <w:trHeight w:val="402"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98"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公司根据</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财</w:t>
            </w:r>
            <w:r>
              <w:rPr>
                <w:rFonts w:ascii="宋体" w:hAnsi="宋体" w:cs="宋体" w:eastAsia="宋体" w:hint="default"/>
                <w:sz w:val="18"/>
                <w:szCs w:val="18"/>
              </w:rPr>
              <w:t>政部修订后</w:t>
            </w:r>
            <w:r>
              <w:rPr>
                <w:rFonts w:ascii="宋体" w:hAnsi="宋体" w:cs="宋体" w:eastAsia="宋体" w:hint="default"/>
                <w:spacing w:val="-87"/>
                <w:sz w:val="18"/>
                <w:szCs w:val="18"/>
              </w:rPr>
              <w:t>的</w:t>
            </w:r>
            <w:r>
              <w:rPr>
                <w:rFonts w:ascii="宋体" w:hAnsi="宋体" w:cs="宋体" w:eastAsia="宋体" w:hint="default"/>
                <w:spacing w:val="-2"/>
                <w:sz w:val="18"/>
                <w:szCs w:val="18"/>
              </w:rPr>
              <w:t>《</w:t>
            </w:r>
            <w:r>
              <w:rPr>
                <w:rFonts w:ascii="宋体" w:hAnsi="宋体" w:cs="宋体" w:eastAsia="宋体" w:hint="default"/>
                <w:sz w:val="18"/>
                <w:szCs w:val="18"/>
              </w:rPr>
              <w:t>企业会计准则</w:t>
            </w:r>
          </w:p>
          <w:p>
            <w:pPr>
              <w:pStyle w:val="TableParagraph"/>
              <w:spacing w:line="316" w:lineRule="auto" w:before="76"/>
              <w:ind w:left="24" w:right="2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0"/>
                <w:sz w:val="18"/>
                <w:szCs w:val="18"/>
              </w:rPr>
              <w:t> </w:t>
            </w:r>
            <w:r>
              <w:rPr>
                <w:rFonts w:ascii="宋体" w:hAnsi="宋体" w:cs="宋体" w:eastAsia="宋体" w:hint="default"/>
                <w:sz w:val="18"/>
                <w:szCs w:val="18"/>
              </w:rPr>
              <w:t>16</w:t>
            </w:r>
            <w:r>
              <w:rPr>
                <w:rFonts w:ascii="宋体" w:hAnsi="宋体" w:cs="宋体" w:eastAsia="宋体" w:hint="default"/>
                <w:spacing w:val="-40"/>
                <w:sz w:val="18"/>
                <w:szCs w:val="18"/>
              </w:rPr>
              <w:t> </w:t>
            </w:r>
            <w:r>
              <w:rPr>
                <w:rFonts w:ascii="宋体" w:hAnsi="宋体" w:cs="宋体" w:eastAsia="宋体" w:hint="default"/>
                <w:spacing w:val="-8"/>
                <w:sz w:val="18"/>
                <w:szCs w:val="18"/>
              </w:rPr>
              <w:t>号——政府补助》，相应会计政策变更如下：①与日常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活动相关的政府补助，由计入营业外收支改为按照经济业务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实质计入其他收益或冲减相关成本费用，计入其他收益的</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已经</w:t>
            </w:r>
            <w:r>
              <w:rPr>
                <w:rFonts w:ascii="宋体" w:hAnsi="宋体" w:cs="宋体" w:eastAsia="宋体" w:hint="default"/>
                <w:spacing w:val="-59"/>
                <w:sz w:val="18"/>
                <w:szCs w:val="18"/>
              </w:rPr>
              <w:t> </w:t>
            </w: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8</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22</w:t>
            </w:r>
            <w:r>
              <w:rPr>
                <w:rFonts w:ascii="宋体" w:hAnsi="宋体" w:cs="宋体" w:eastAsia="宋体" w:hint="default"/>
                <w:spacing w:val="-59"/>
                <w:sz w:val="18"/>
                <w:szCs w:val="18"/>
              </w:rPr>
              <w:t> </w:t>
            </w:r>
            <w:r>
              <w:rPr>
                <w:rFonts w:ascii="宋体" w:hAnsi="宋体" w:cs="宋体" w:eastAsia="宋体" w:hint="default"/>
                <w:sz w:val="18"/>
                <w:szCs w:val="18"/>
              </w:rPr>
              <w:t>日召开的公 司第七届董事会第二次会议审</w:t>
            </w:r>
          </w:p>
          <w:p>
            <w:pPr>
              <w:pStyle w:val="TableParagraph"/>
              <w:spacing w:line="205" w:lineRule="exact" w:before="20"/>
              <w:ind w:left="22" w:right="0"/>
              <w:jc w:val="left"/>
              <w:rPr>
                <w:rFonts w:ascii="宋体" w:hAnsi="宋体" w:cs="宋体" w:eastAsia="宋体" w:hint="default"/>
                <w:sz w:val="18"/>
                <w:szCs w:val="18"/>
              </w:rPr>
            </w:pPr>
            <w:r>
              <w:rPr>
                <w:rFonts w:ascii="宋体" w:hAnsi="宋体" w:cs="宋体" w:eastAsia="宋体" w:hint="default"/>
                <w:sz w:val="18"/>
                <w:szCs w:val="18"/>
              </w:rPr>
              <w:t>议批准。</w:t>
            </w:r>
          </w:p>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该修订后的准则自</w:t>
            </w:r>
            <w:r>
              <w:rPr>
                <w:rFonts w:ascii="宋体" w:hAnsi="宋体" w:cs="宋体" w:eastAsia="宋体" w:hint="default"/>
                <w:spacing w:val="-58"/>
                <w:sz w:val="18"/>
                <w:szCs w:val="18"/>
              </w:rPr>
              <w:t> </w:t>
            </w:r>
            <w:r>
              <w:rPr>
                <w:rFonts w:ascii="宋体" w:hAnsi="宋体" w:cs="宋体" w:eastAsia="宋体" w:hint="default"/>
                <w:sz w:val="18"/>
                <w:szCs w:val="18"/>
              </w:rPr>
              <w:t>2017</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月</w:t>
            </w:r>
          </w:p>
          <w:p>
            <w:pPr>
              <w:pStyle w:val="TableParagraph"/>
              <w:spacing w:line="316" w:lineRule="auto" w:before="76"/>
              <w:ind w:left="22" w:right="23"/>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pacing w:val="-9"/>
                <w:sz w:val="18"/>
                <w:szCs w:val="18"/>
              </w:rPr>
              <w:t>日起施行，对</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 </w:t>
            </w:r>
            <w:r>
              <w:rPr>
                <w:rFonts w:ascii="宋体" w:hAnsi="宋体" w:cs="宋体" w:eastAsia="宋体" w:hint="default"/>
                <w:sz w:val="18"/>
                <w:szCs w:val="18"/>
              </w:rPr>
              <w:t>日存在的政府补助采用未来适 </w:t>
            </w:r>
            <w:r>
              <w:rPr>
                <w:rFonts w:ascii="宋体" w:hAnsi="宋体" w:cs="宋体" w:eastAsia="宋体" w:hint="default"/>
                <w:spacing w:val="-9"/>
                <w:sz w:val="18"/>
                <w:szCs w:val="18"/>
              </w:rPr>
              <w:t>用法处理，对</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316" w:lineRule="auto"/>
        <w:jc w:val="both"/>
        <w:rPr>
          <w:rFonts w:ascii="宋体" w:hAnsi="宋体" w:cs="宋体" w:eastAsia="宋体" w:hint="default"/>
          <w:sz w:val="18"/>
          <w:szCs w:val="18"/>
        </w:rPr>
        <w:sectPr>
          <w:footerReference w:type="default" r:id="rId39"/>
          <w:pgSz w:w="11910" w:h="16840"/>
          <w:pgMar w:footer="979" w:header="877" w:top="1100" w:bottom="1160" w:left="0" w:right="0"/>
          <w:pgNumType w:start="101"/>
        </w:sectPr>
      </w:pPr>
    </w:p>
    <w:p>
      <w:pPr>
        <w:spacing w:line="240" w:lineRule="auto" w:before="6"/>
        <w:rPr>
          <w:rFonts w:ascii="宋体" w:hAnsi="宋体" w:cs="宋体" w:eastAsia="宋体" w:hint="default"/>
          <w:sz w:val="24"/>
          <w:szCs w:val="24"/>
        </w:rPr>
      </w:pPr>
    </w:p>
    <w:tbl>
      <w:tblPr>
        <w:tblW w:w="0" w:type="auto"/>
        <w:jc w:val="left"/>
        <w:tblInd w:w="1156" w:type="dxa"/>
        <w:tblLayout w:type="fixed"/>
        <w:tblCellMar>
          <w:top w:w="0" w:type="dxa"/>
          <w:left w:w="0" w:type="dxa"/>
          <w:bottom w:w="0" w:type="dxa"/>
          <w:right w:w="0" w:type="dxa"/>
        </w:tblCellMar>
        <w:tblLook w:val="01E0"/>
      </w:tblPr>
      <w:tblGrid>
        <w:gridCol w:w="4651"/>
        <w:gridCol w:w="2494"/>
        <w:gridCol w:w="2438"/>
      </w:tblGrid>
      <w:tr>
        <w:trPr>
          <w:trHeight w:val="2547"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left"/>
              <w:rPr>
                <w:rFonts w:ascii="宋体" w:hAnsi="宋体" w:cs="宋体" w:eastAsia="宋体" w:hint="default"/>
                <w:sz w:val="18"/>
                <w:szCs w:val="18"/>
              </w:rPr>
            </w:pPr>
            <w:r>
              <w:rPr>
                <w:rFonts w:ascii="宋体" w:hAnsi="宋体" w:cs="宋体" w:eastAsia="宋体" w:hint="default"/>
                <w:spacing w:val="-4"/>
                <w:sz w:val="18"/>
                <w:szCs w:val="18"/>
              </w:rPr>
              <w:t>在利润表中单独列报；②取得政策性优惠贷款贴息，改为以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下两种方式处理：</w:t>
            </w:r>
            <w:r>
              <w:rPr>
                <w:rFonts w:ascii="宋体" w:hAnsi="宋体" w:cs="宋体" w:eastAsia="宋体" w:hint="default"/>
                <w:sz w:val="18"/>
                <w:szCs w:val="18"/>
              </w:rPr>
              <w:t>A</w:t>
            </w:r>
            <w:r>
              <w:rPr>
                <w:rFonts w:ascii="宋体" w:hAnsi="宋体" w:cs="宋体" w:eastAsia="宋体" w:hint="default"/>
                <w:sz w:val="18"/>
                <w:szCs w:val="18"/>
              </w:rPr>
              <w:t>、财政将贴息资金拨付给贷款银行，由 </w:t>
            </w:r>
            <w:r>
              <w:rPr>
                <w:rFonts w:ascii="宋体" w:hAnsi="宋体" w:cs="宋体" w:eastAsia="宋体" w:hint="default"/>
                <w:spacing w:val="-4"/>
                <w:sz w:val="18"/>
                <w:szCs w:val="18"/>
              </w:rPr>
              <w:t>贷款银行以政策性优惠利率向公司提供贷款的，以借款的公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允价值作为借款的入账价值并按照实际利率法计算借款费 </w:t>
            </w:r>
            <w:r>
              <w:rPr>
                <w:rFonts w:ascii="宋体" w:hAnsi="宋体" w:cs="宋体" w:eastAsia="宋体" w:hint="default"/>
                <w:spacing w:val="-4"/>
                <w:sz w:val="18"/>
                <w:szCs w:val="18"/>
              </w:rPr>
              <w:t>用，实际收到的金额与借款公允价值之间的差额确认为递延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收益。递延收益在借款存续期内采用实际利率法摊销，冲减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相关借款费用；</w:t>
            </w:r>
            <w:r>
              <w:rPr>
                <w:rFonts w:ascii="宋体" w:hAnsi="宋体" w:cs="宋体" w:eastAsia="宋体" w:hint="default"/>
                <w:sz w:val="18"/>
                <w:szCs w:val="18"/>
              </w:rPr>
              <w:t>B</w:t>
            </w:r>
            <w:r>
              <w:rPr>
                <w:rFonts w:ascii="宋体" w:hAnsi="宋体" w:cs="宋体" w:eastAsia="宋体" w:hint="default"/>
                <w:sz w:val="18"/>
                <w:szCs w:val="18"/>
              </w:rPr>
              <w:t>、财政将贴息资金直接拨付给公司的，将 对应的贴息冲减相关借款费用。</w:t>
            </w:r>
          </w:p>
        </w:tc>
        <w:tc>
          <w:tcPr>
            <w:tcW w:w="2494"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至该准则施行日之间新增的政 府补助按该准则规定进行调 整。</w:t>
            </w:r>
          </w:p>
        </w:tc>
      </w:tr>
      <w:tr>
        <w:trPr>
          <w:trHeight w:val="1650"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公司根据</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财</w:t>
            </w:r>
            <w:r>
              <w:rPr>
                <w:rFonts w:ascii="宋体" w:hAnsi="宋体" w:cs="宋体" w:eastAsia="宋体" w:hint="default"/>
                <w:sz w:val="18"/>
                <w:szCs w:val="18"/>
              </w:rPr>
              <w:t>政部发布</w:t>
            </w:r>
            <w:r>
              <w:rPr>
                <w:rFonts w:ascii="宋体" w:hAnsi="宋体" w:cs="宋体" w:eastAsia="宋体" w:hint="default"/>
                <w:spacing w:val="-87"/>
                <w:sz w:val="18"/>
                <w:szCs w:val="18"/>
              </w:rPr>
              <w:t>的</w:t>
            </w:r>
            <w:r>
              <w:rPr>
                <w:rFonts w:ascii="宋体" w:hAnsi="宋体" w:cs="宋体" w:eastAsia="宋体" w:hint="default"/>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业会计准则第</w:t>
            </w:r>
          </w:p>
          <w:p>
            <w:pPr>
              <w:pStyle w:val="TableParagraph"/>
              <w:spacing w:line="319" w:lineRule="auto" w:before="75"/>
              <w:ind w:left="24" w:right="23"/>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30"/>
                <w:sz w:val="18"/>
                <w:szCs w:val="18"/>
              </w:rPr>
              <w:t> </w:t>
            </w:r>
            <w:r>
              <w:rPr>
                <w:rFonts w:ascii="宋体" w:hAnsi="宋体" w:cs="宋体" w:eastAsia="宋体" w:hint="default"/>
                <w:spacing w:val="-6"/>
                <w:sz w:val="18"/>
                <w:szCs w:val="18"/>
              </w:rPr>
              <w:t>号</w:t>
            </w:r>
            <w:r>
              <w:rPr>
                <w:rFonts w:ascii="宋体" w:hAnsi="宋体" w:cs="宋体" w:eastAsia="宋体" w:hint="default"/>
                <w:spacing w:val="-6"/>
                <w:sz w:val="18"/>
                <w:szCs w:val="18"/>
              </w:rPr>
              <w:t>--</w:t>
            </w:r>
            <w:r>
              <w:rPr>
                <w:rFonts w:ascii="宋体" w:hAnsi="宋体" w:cs="宋体" w:eastAsia="宋体" w:hint="default"/>
                <w:spacing w:val="-6"/>
                <w:sz w:val="18"/>
                <w:szCs w:val="18"/>
              </w:rPr>
              <w:t>持有待售的非流动资产、处置组和终止经营》，补充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了相关会计政策，并在利润表中增加了“持续经营净利润 和“终止经营净利润”的列报。</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310" w:lineRule="atLeast"/>
              <w:ind w:left="22" w:right="22"/>
              <w:jc w:val="left"/>
              <w:rPr>
                <w:rFonts w:ascii="宋体" w:hAnsi="宋体" w:cs="宋体" w:eastAsia="宋体" w:hint="default"/>
                <w:sz w:val="18"/>
                <w:szCs w:val="18"/>
              </w:rPr>
            </w:pPr>
            <w:r>
              <w:rPr>
                <w:rFonts w:ascii="宋体" w:hAnsi="宋体" w:cs="宋体" w:eastAsia="宋体" w:hint="default"/>
                <w:sz w:val="18"/>
                <w:szCs w:val="18"/>
              </w:rPr>
              <w:t>已经</w:t>
            </w:r>
            <w:r>
              <w:rPr>
                <w:rFonts w:ascii="宋体" w:hAnsi="宋体" w:cs="宋体" w:eastAsia="宋体" w:hint="default"/>
                <w:spacing w:val="-59"/>
                <w:sz w:val="18"/>
                <w:szCs w:val="18"/>
              </w:rPr>
              <w:t> </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3</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z w:val="18"/>
                <w:szCs w:val="18"/>
              </w:rPr>
              <w:t>日召开的公 司第七届董事会第七次会议审</w:t>
            </w:r>
          </w:p>
          <w:p>
            <w:pPr>
              <w:pStyle w:val="TableParagraph"/>
              <w:spacing w:line="117"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议批准。</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该准则自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日起 执行，对于该准则施行日存在 的持有待售的非流动资产、处 置组和终止经营，采用未来适 用法处理。</w:t>
            </w:r>
          </w:p>
        </w:tc>
      </w:tr>
      <w:tr>
        <w:trPr>
          <w:trHeight w:val="1338" w:hRule="exact"/>
        </w:trPr>
        <w:tc>
          <w:tcPr>
            <w:tcW w:w="4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公司根据</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日财政部修订后的《一般企业财 </w:t>
            </w:r>
            <w:r>
              <w:rPr>
                <w:rFonts w:ascii="宋体" w:hAnsi="宋体" w:cs="宋体" w:eastAsia="宋体" w:hint="default"/>
                <w:spacing w:val="-10"/>
                <w:sz w:val="18"/>
                <w:szCs w:val="18"/>
              </w:rPr>
              <w:t>务报表格式》，在利润表中的“营业利润”之上单独列报“资</w:t>
            </w:r>
            <w:r>
              <w:rPr>
                <w:rFonts w:ascii="宋体" w:hAnsi="宋体" w:cs="宋体" w:eastAsia="宋体" w:hint="default"/>
                <w:sz w:val="18"/>
                <w:szCs w:val="18"/>
              </w:rPr>
              <w:t> </w:t>
            </w:r>
            <w:r>
              <w:rPr>
                <w:rFonts w:ascii="宋体" w:hAnsi="宋体" w:cs="宋体" w:eastAsia="宋体" w:hint="default"/>
                <w:spacing w:val="-4"/>
                <w:sz w:val="18"/>
                <w:szCs w:val="18"/>
              </w:rPr>
              <w:t>产处置收益”，原在“营业外收入”和“营业外支出”列报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的“非流动资产处置损益”调整至“资产处置收益”列报</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已经</w:t>
            </w:r>
            <w:r>
              <w:rPr>
                <w:rFonts w:ascii="宋体" w:hAnsi="宋体" w:cs="宋体" w:eastAsia="宋体" w:hint="default"/>
                <w:spacing w:val="-59"/>
                <w:sz w:val="18"/>
                <w:szCs w:val="18"/>
              </w:rPr>
              <w:t> </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3</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z w:val="18"/>
                <w:szCs w:val="18"/>
              </w:rPr>
              <w:t>日召开的公 司第七届董事会第七次会议审</w:t>
            </w:r>
          </w:p>
          <w:p>
            <w:pPr>
              <w:pStyle w:val="TableParagraph"/>
              <w:spacing w:line="196" w:lineRule="exact" w:before="20"/>
              <w:ind w:left="22" w:right="0"/>
              <w:jc w:val="left"/>
              <w:rPr>
                <w:rFonts w:ascii="宋体" w:hAnsi="宋体" w:cs="宋体" w:eastAsia="宋体" w:hint="default"/>
                <w:sz w:val="18"/>
                <w:szCs w:val="18"/>
              </w:rPr>
            </w:pPr>
            <w:r>
              <w:rPr>
                <w:rFonts w:ascii="宋体" w:hAnsi="宋体" w:cs="宋体" w:eastAsia="宋体" w:hint="default"/>
                <w:sz w:val="18"/>
                <w:szCs w:val="18"/>
              </w:rPr>
              <w:t>议批准。</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年度及以后期间的财务报 表按照该修订后的财务报表格 式要求编制。</w:t>
            </w:r>
          </w:p>
        </w:tc>
      </w:tr>
    </w:tbl>
    <w:p>
      <w:pPr>
        <w:spacing w:line="240" w:lineRule="auto" w:before="11"/>
        <w:rPr>
          <w:rFonts w:ascii="宋体" w:hAnsi="宋体" w:cs="宋体" w:eastAsia="宋体" w:hint="default"/>
          <w:sz w:val="15"/>
          <w:szCs w:val="15"/>
        </w:rPr>
      </w:pPr>
    </w:p>
    <w:p>
      <w:pPr>
        <w:pStyle w:val="BodyText"/>
        <w:tabs>
          <w:tab w:pos="9505" w:val="left" w:leader="none"/>
        </w:tabs>
        <w:spacing w:line="240" w:lineRule="auto" w:before="44"/>
        <w:ind w:right="0"/>
        <w:jc w:val="left"/>
      </w:pPr>
      <w:r>
        <w:rPr/>
        <w:t>公司对资产处置收益项目进行了追溯调整，对合并利润表和母公司利润表的列报影响如下：</w:t>
        <w:tab/>
        <w:t>金额单位：元</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700"/>
        <w:gridCol w:w="1660"/>
        <w:gridCol w:w="1601"/>
        <w:gridCol w:w="1780"/>
        <w:gridCol w:w="1800"/>
      </w:tblGrid>
      <w:tr>
        <w:trPr>
          <w:trHeight w:val="347" w:hRule="exact"/>
        </w:trPr>
        <w:tc>
          <w:tcPr>
            <w:tcW w:w="270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1" w:right="0"/>
              <w:jc w:val="left"/>
              <w:rPr>
                <w:rFonts w:ascii="宋体" w:hAnsi="宋体" w:cs="宋体" w:eastAsia="宋体" w:hint="default"/>
                <w:sz w:val="18"/>
                <w:szCs w:val="18"/>
              </w:rPr>
            </w:pPr>
            <w:r>
              <w:rPr>
                <w:rFonts w:ascii="宋体" w:hAnsi="宋体" w:cs="宋体" w:eastAsia="宋体" w:hint="default"/>
                <w:sz w:val="18"/>
                <w:szCs w:val="18"/>
              </w:rPr>
              <w:t>利润表影响项目</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合并利润表</w:t>
            </w:r>
          </w:p>
        </w:tc>
        <w:tc>
          <w:tcPr>
            <w:tcW w:w="35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母公司利润表</w:t>
            </w:r>
          </w:p>
        </w:tc>
      </w:tr>
      <w:tr>
        <w:trPr>
          <w:trHeight w:val="348" w:hRule="exact"/>
        </w:trPr>
        <w:tc>
          <w:tcPr>
            <w:tcW w:w="2700" w:type="dxa"/>
            <w:vMerge/>
            <w:tcBorders>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1" w:right="0"/>
              <w:jc w:val="left"/>
              <w:rPr>
                <w:rFonts w:ascii="宋体" w:hAnsi="宋体" w:cs="宋体" w:eastAsia="宋体" w:hint="default"/>
                <w:sz w:val="18"/>
                <w:szCs w:val="18"/>
              </w:rPr>
            </w:pPr>
            <w:r>
              <w:rPr>
                <w:rFonts w:ascii="宋体" w:hAnsi="宋体" w:cs="宋体" w:eastAsia="宋体" w:hint="default"/>
                <w:sz w:val="18"/>
                <w:szCs w:val="18"/>
              </w:rPr>
              <w:t>本期影响金额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3" w:right="0"/>
              <w:jc w:val="left"/>
              <w:rPr>
                <w:rFonts w:ascii="宋体" w:hAnsi="宋体" w:cs="宋体" w:eastAsia="宋体" w:hint="default"/>
                <w:sz w:val="18"/>
                <w:szCs w:val="18"/>
              </w:rPr>
            </w:pPr>
            <w:r>
              <w:rPr>
                <w:rFonts w:ascii="宋体" w:hAnsi="宋体" w:cs="宋体" w:eastAsia="宋体" w:hint="default"/>
                <w:sz w:val="18"/>
                <w:szCs w:val="18"/>
              </w:rPr>
              <w:t>上期调整金额</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2" w:right="0"/>
              <w:jc w:val="left"/>
              <w:rPr>
                <w:rFonts w:ascii="宋体" w:hAnsi="宋体" w:cs="宋体" w:eastAsia="宋体" w:hint="default"/>
                <w:sz w:val="18"/>
                <w:szCs w:val="18"/>
              </w:rPr>
            </w:pPr>
            <w:r>
              <w:rPr>
                <w:rFonts w:ascii="宋体" w:hAnsi="宋体" w:cs="宋体" w:eastAsia="宋体" w:hint="default"/>
                <w:sz w:val="18"/>
                <w:szCs w:val="18"/>
              </w:rPr>
              <w:t>本期影响金额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上期调整金额</w:t>
            </w:r>
          </w:p>
        </w:tc>
      </w:tr>
      <w:tr>
        <w:trPr>
          <w:trHeight w:val="34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1,467,762.19</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852,083.15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1,471,396.71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1,665,656.55</w:t>
            </w:r>
          </w:p>
        </w:tc>
      </w:tr>
      <w:tr>
        <w:trPr>
          <w:trHeight w:val="34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-1,471,396.71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-852,083.15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-1,471,396.71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-1,665,656.55</w:t>
            </w:r>
          </w:p>
        </w:tc>
      </w:tr>
      <w:tr>
        <w:trPr>
          <w:trHeight w:val="34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-1,471,396.71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-852,083.15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-1,471,396.71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-1,665,656.55</w:t>
            </w:r>
          </w:p>
        </w:tc>
      </w:tr>
      <w:tr>
        <w:trPr>
          <w:trHeight w:val="34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-3,634.52</w:t>
            </w:r>
          </w:p>
        </w:tc>
        <w:tc>
          <w:tcPr>
            <w:tcW w:w="1601"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-3,634.52</w:t>
            </w:r>
          </w:p>
        </w:tc>
        <w:tc>
          <w:tcPr>
            <w:tcW w:w="1601"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494" w:right="0"/>
        <w:jc w:val="left"/>
      </w:pPr>
      <w:r>
        <w:rPr/>
        <w:t>上述会计政策的变更，对公司报告期的资产总额、负债总额、净利润以及所有者权益均未产生重大影响。</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重要会计估计变更" w:id="220"/>
      <w:bookmarkEnd w:id="220"/>
      <w:r>
        <w:rPr>
          <w:b w:val="0"/>
          <w:bCs w:val="0"/>
        </w:rPr>
      </w: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六、税项" w:id="221"/>
      <w:bookmarkEnd w:id="22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2"/>
      <w:bookmarkEnd w:id="222"/>
      <w:r>
        <w:rPr>
          <w:b w:val="0"/>
          <w:bCs w:val="0"/>
        </w:rPr>
      </w: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收入为基础计算的销项税额扣除允许抵 扣的进项税后的余额缴纳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bl>
    <w:p>
      <w:pPr>
        <w:spacing w:line="240" w:lineRule="auto" w:before="11"/>
        <w:rPr>
          <w:rFonts w:ascii="宋体" w:hAnsi="宋体" w:cs="宋体" w:eastAsia="宋体" w:hint="default"/>
          <w:b/>
          <w:bCs/>
          <w:sz w:val="15"/>
          <w:szCs w:val="15"/>
        </w:rPr>
      </w:pPr>
    </w:p>
    <w:p>
      <w:pPr>
        <w:pStyle w:val="BodyText"/>
        <w:spacing w:line="240" w:lineRule="auto" w:before="44"/>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3"/>
      <w:bookmarkEnd w:id="223"/>
      <w:r>
        <w:rPr>
          <w:b w:val="0"/>
          <w:bCs w:val="0"/>
        </w:rPr>
      </w:r>
      <w:r>
        <w:rPr>
          <w:rFonts w:ascii="宋体" w:hAnsi="宋体" w:cs="宋体" w:eastAsia="宋体" w:hint="default"/>
        </w:rPr>
        <w:t>2</w:t>
      </w:r>
      <w:r>
        <w:rPr/>
        <w:t>、税收优惠</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0"/>
        <w:jc w:val="left"/>
      </w:pPr>
      <w:r>
        <w:rPr/>
        <w:t>公司</w:t>
      </w:r>
      <w:r>
        <w:rPr>
          <w:rFonts w:ascii="宋体" w:hAnsi="宋体" w:cs="宋体" w:eastAsia="宋体" w:hint="default"/>
        </w:rPr>
        <w:t>2017</w:t>
      </w:r>
      <w:r>
        <w:rPr/>
        <w:t>年被认定为高新技术企业，证书号</w:t>
      </w:r>
      <w:r>
        <w:rPr>
          <w:rFonts w:ascii="宋体" w:hAnsi="宋体" w:cs="宋体" w:eastAsia="宋体" w:hint="default"/>
        </w:rPr>
        <w:t>GR201742000738</w:t>
      </w:r>
      <w:r>
        <w:rPr/>
        <w:t>，有效期</w:t>
      </w:r>
      <w:r>
        <w:rPr>
          <w:rFonts w:ascii="宋体" w:hAnsi="宋体" w:cs="宋体" w:eastAsia="宋体" w:hint="default"/>
        </w:rPr>
        <w:t>3</w:t>
      </w:r>
      <w:r>
        <w:rPr/>
        <w:t>年，企业所得税率按</w:t>
      </w:r>
      <w:r>
        <w:rPr>
          <w:rFonts w:ascii="宋体" w:hAnsi="宋体" w:cs="宋体" w:eastAsia="宋体" w:hint="default"/>
        </w:rPr>
        <w:t>15%</w:t>
      </w:r>
      <w:r>
        <w:rPr/>
        <w:t>的优惠税率征收。 </w:t>
      </w:r>
      <w:r>
        <w:rPr>
          <w:spacing w:val="-2"/>
        </w:rPr>
        <w:t>子公司天喻教育</w:t>
      </w:r>
      <w:r>
        <w:rPr>
          <w:rFonts w:ascii="宋体" w:hAnsi="宋体" w:cs="宋体" w:eastAsia="宋体" w:hint="default"/>
          <w:spacing w:val="-2"/>
        </w:rPr>
        <w:t>2015</w:t>
      </w:r>
      <w:r>
        <w:rPr>
          <w:spacing w:val="-2"/>
        </w:rPr>
        <w:t>年被认定为高新技术企业，证书号</w:t>
      </w:r>
      <w:r>
        <w:rPr>
          <w:rFonts w:ascii="宋体" w:hAnsi="宋体" w:cs="宋体" w:eastAsia="宋体" w:hint="default"/>
          <w:spacing w:val="-2"/>
        </w:rPr>
        <w:t>GF201542000053</w:t>
      </w:r>
      <w:r>
        <w:rPr>
          <w:spacing w:val="-2"/>
        </w:rPr>
        <w:t>，有效期</w:t>
      </w:r>
      <w:r>
        <w:rPr>
          <w:rFonts w:ascii="宋体" w:hAnsi="宋体" w:cs="宋体" w:eastAsia="宋体" w:hint="default"/>
          <w:spacing w:val="-2"/>
        </w:rPr>
        <w:t>3</w:t>
      </w:r>
      <w:r>
        <w:rPr>
          <w:spacing w:val="-2"/>
        </w:rPr>
        <w:t>年，企业所得税率按</w:t>
      </w:r>
      <w:r>
        <w:rPr>
          <w:rFonts w:ascii="宋体" w:hAnsi="宋体" w:cs="宋体" w:eastAsia="宋体" w:hint="default"/>
          <w:spacing w:val="-2"/>
        </w:rPr>
        <w:t>15%</w:t>
      </w:r>
      <w:r>
        <w:rPr>
          <w:spacing w:val="-2"/>
        </w:rPr>
        <w:t>的优惠税率征</w:t>
      </w:r>
    </w:p>
    <w:p>
      <w:pPr>
        <w:pStyle w:val="BodyText"/>
        <w:spacing w:line="225" w:lineRule="exact"/>
        <w:ind w:left="1133" w:right="0"/>
        <w:jc w:val="left"/>
      </w:pPr>
      <w:r>
        <w:rPr/>
        <w:t>收。</w:t>
      </w:r>
    </w:p>
    <w:p>
      <w:pPr>
        <w:pStyle w:val="BodyText"/>
        <w:spacing w:line="319" w:lineRule="auto" w:before="116"/>
        <w:ind w:left="1133" w:right="1118" w:firstLine="360"/>
        <w:jc w:val="left"/>
      </w:pPr>
      <w:r>
        <w:rPr>
          <w:spacing w:val="-2"/>
        </w:rPr>
        <w:t>子公司擎动网络</w:t>
      </w:r>
      <w:r>
        <w:rPr>
          <w:rFonts w:ascii="宋体" w:hAnsi="宋体" w:cs="宋体" w:eastAsia="宋体" w:hint="default"/>
          <w:spacing w:val="-2"/>
        </w:rPr>
        <w:t>2016</w:t>
      </w:r>
      <w:r>
        <w:rPr>
          <w:spacing w:val="-2"/>
        </w:rPr>
        <w:t>年被认定为高新技术企业，证书号</w:t>
      </w:r>
      <w:r>
        <w:rPr>
          <w:rFonts w:ascii="宋体" w:hAnsi="宋体" w:cs="宋体" w:eastAsia="宋体" w:hint="default"/>
          <w:spacing w:val="-2"/>
        </w:rPr>
        <w:t>GR201642000751</w:t>
      </w:r>
      <w:r>
        <w:rPr>
          <w:spacing w:val="-2"/>
        </w:rPr>
        <w:t>，有效期</w:t>
      </w:r>
      <w:r>
        <w:rPr>
          <w:rFonts w:ascii="宋体" w:hAnsi="宋体" w:cs="宋体" w:eastAsia="宋体" w:hint="default"/>
          <w:spacing w:val="-2"/>
        </w:rPr>
        <w:t>3</w:t>
      </w:r>
      <w:r>
        <w:rPr>
          <w:spacing w:val="-2"/>
        </w:rPr>
        <w:t>年，企业所得税率按</w:t>
      </w:r>
      <w:r>
        <w:rPr>
          <w:rFonts w:ascii="宋体" w:hAnsi="宋体" w:cs="宋体" w:eastAsia="宋体" w:hint="default"/>
          <w:spacing w:val="-2"/>
        </w:rPr>
        <w:t>15%</w:t>
      </w:r>
      <w:r>
        <w:rPr>
          <w:spacing w:val="-2"/>
        </w:rPr>
        <w:t>的优惠税率征</w:t>
      </w:r>
      <w:r>
        <w:rPr/>
        <w:t> 收。</w:t>
      </w:r>
    </w:p>
    <w:p>
      <w:pPr>
        <w:pStyle w:val="BodyText"/>
        <w:spacing w:line="319" w:lineRule="auto" w:before="56"/>
        <w:ind w:left="1133" w:right="1118" w:firstLine="360"/>
        <w:jc w:val="left"/>
      </w:pPr>
      <w:r>
        <w:rPr>
          <w:spacing w:val="-2"/>
        </w:rPr>
        <w:t>子公司湖北百旺</w:t>
      </w:r>
      <w:r>
        <w:rPr>
          <w:rFonts w:ascii="宋体" w:hAnsi="宋体" w:cs="宋体" w:eastAsia="宋体" w:hint="default"/>
          <w:spacing w:val="-2"/>
        </w:rPr>
        <w:t>2017</w:t>
      </w:r>
      <w:r>
        <w:rPr>
          <w:spacing w:val="-2"/>
        </w:rPr>
        <w:t>年被认定为高新技术企业，证书号</w:t>
      </w:r>
      <w:r>
        <w:rPr>
          <w:rFonts w:ascii="宋体" w:hAnsi="宋体" w:cs="宋体" w:eastAsia="宋体" w:hint="default"/>
          <w:spacing w:val="-2"/>
        </w:rPr>
        <w:t>GR201742000506</w:t>
      </w:r>
      <w:r>
        <w:rPr>
          <w:spacing w:val="-2"/>
        </w:rPr>
        <w:t>，有效期</w:t>
      </w:r>
      <w:r>
        <w:rPr>
          <w:rFonts w:ascii="宋体" w:hAnsi="宋体" w:cs="宋体" w:eastAsia="宋体" w:hint="default"/>
          <w:spacing w:val="-2"/>
        </w:rPr>
        <w:t>3</w:t>
      </w:r>
      <w:r>
        <w:rPr>
          <w:spacing w:val="-2"/>
        </w:rPr>
        <w:t>年，企业所得税率按</w:t>
      </w:r>
      <w:r>
        <w:rPr>
          <w:rFonts w:ascii="宋体" w:hAnsi="宋体" w:cs="宋体" w:eastAsia="宋体" w:hint="default"/>
          <w:spacing w:val="-2"/>
        </w:rPr>
        <w:t>15%</w:t>
      </w:r>
      <w:r>
        <w:rPr>
          <w:spacing w:val="-2"/>
        </w:rPr>
        <w:t>的优惠税率征</w:t>
      </w:r>
      <w:r>
        <w:rPr/>
        <w:t> 收。</w:t>
      </w:r>
    </w:p>
    <w:p>
      <w:pPr>
        <w:pStyle w:val="BodyText"/>
        <w:spacing w:line="319" w:lineRule="auto" w:before="55"/>
        <w:ind w:left="1133" w:right="1123" w:firstLine="360"/>
        <w:jc w:val="left"/>
      </w:pPr>
      <w:r>
        <w:rPr/>
        <w:t>根据《财政部、国家税务总局关于软件产品增值税政策的通知》（财税</w:t>
      </w:r>
      <w:r>
        <w:rPr>
          <w:rFonts w:ascii="宋体" w:hAnsi="宋体" w:cs="宋体" w:eastAsia="宋体" w:hint="default"/>
        </w:rPr>
        <w:t>[2011]100</w:t>
      </w:r>
      <w:r>
        <w:rPr/>
        <w:t>号）相关规定，增值税一般纳税人销 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25"/>
      <w:bookmarkEnd w:id="225"/>
      <w:r>
        <w:rPr>
          <w:b w:val="0"/>
          <w:bCs w:val="0"/>
        </w:rPr>
      </w:r>
      <w:r>
        <w:rPr>
          <w:rFonts w:ascii="宋体" w:hAnsi="宋体" w:cs="宋体" w:eastAsia="宋体" w:hint="default"/>
        </w:rPr>
        <w:t>1</w:t>
      </w:r>
      <w:r>
        <w:rPr/>
        <w:t>、货币资金</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262"/>
        <w:gridCol w:w="3190"/>
        <w:gridCol w:w="3124"/>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5"/>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1,350.42</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365,697,927.58</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383,703,598.12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19,170,493.51</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7,635,396.15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5"/>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384,869,771.51</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391,340,826.27</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535" w:lineRule="auto" w:before="35"/>
        <w:ind w:right="9065"/>
        <w:jc w:val="left"/>
        <w:rPr>
          <w:b w:val="0"/>
          <w:bCs w:val="0"/>
        </w:rPr>
      </w:pPr>
      <w:bookmarkStart w:name="2、应收票据" w:id="226"/>
      <w:bookmarkEnd w:id="226"/>
      <w:r>
        <w:rPr>
          <w:b w:val="0"/>
          <w:bCs w:val="0"/>
        </w:rPr>
      </w:r>
      <w:r>
        <w:rPr>
          <w:rFonts w:ascii="宋体" w:hAnsi="宋体" w:cs="宋体" w:eastAsia="宋体" w:hint="default"/>
        </w:rPr>
        <w:t>2</w:t>
      </w:r>
      <w:r>
        <w:rPr/>
        <w:t>、应收票据</w:t>
      </w:r>
      <w:r>
        <w:rPr>
          <w:w w:val="99"/>
        </w:rPr>
        <w:t> </w:t>
      </w:r>
      <w:bookmarkStart w:name="应收票据分类列示" w:id="227"/>
      <w:bookmarkEnd w:id="227"/>
      <w:r>
        <w:rPr/>
        <w:t>应</w:t>
      </w:r>
      <w:r>
        <w:rPr/>
        <w:t>收票据分类列示</w:t>
      </w:r>
      <w:r>
        <w:rPr>
          <w:b w:val="0"/>
          <w:bCs w:val="0"/>
        </w:rPr>
      </w:r>
    </w:p>
    <w:p>
      <w:pPr>
        <w:pStyle w:val="BodyText"/>
        <w:spacing w:line="240" w:lineRule="auto" w:before="106"/>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2,257,750.00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2,257,750.00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1494" w:right="0"/>
        <w:jc w:val="left"/>
      </w:pPr>
      <w:r>
        <w:rPr/>
        <w:t>报告期末应收票据较期初减少</w:t>
      </w:r>
      <w:r>
        <w:rPr>
          <w:rFonts w:ascii="宋体" w:hAnsi="宋体" w:cs="宋体" w:eastAsia="宋体" w:hint="default"/>
        </w:rPr>
        <w:t>82.28%</w:t>
      </w:r>
      <w:r>
        <w:rPr/>
        <w:t>，主要由于票据背书支付货款。</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应收账款" w:id="228"/>
      <w:bookmarkEnd w:id="228"/>
      <w:r>
        <w:rPr>
          <w:b w:val="0"/>
          <w:bCs w:val="0"/>
        </w:rPr>
      </w:r>
      <w:r>
        <w:rPr>
          <w:rFonts w:ascii="宋体" w:hAnsi="宋体" w:cs="宋体" w:eastAsia="宋体" w:hint="default"/>
        </w:rPr>
        <w:t>3</w:t>
      </w:r>
      <w:r>
        <w:rPr/>
        <w:t>、应收账款</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left="1133" w:right="0"/>
        <w:jc w:val="left"/>
        <w:rPr>
          <w:b w:val="0"/>
          <w:bCs w:val="0"/>
        </w:rPr>
      </w:pPr>
      <w:bookmarkStart w:name="（1）应收账款分类披露" w:id="229"/>
      <w:bookmarkEnd w:id="229"/>
      <w:r>
        <w:rPr>
          <w:b w:val="0"/>
          <w:bCs w:val="0"/>
        </w:rPr>
      </w:r>
      <w:r>
        <w:rPr/>
        <w:t>（</w:t>
      </w:r>
      <w:r>
        <w:rPr>
          <w:rFonts w:ascii="宋体" w:hAnsi="宋体" w:cs="宋体" w:eastAsia="宋体" w:hint="default"/>
        </w:rPr>
        <w:t>1</w:t>
      </w:r>
      <w:r>
        <w:rPr/>
        <w:t>）应收账款分类披露</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93" w:type="dxa"/>
        <w:tblLayout w:type="fixed"/>
        <w:tblCellMar>
          <w:top w:w="0" w:type="dxa"/>
          <w:left w:w="0" w:type="dxa"/>
          <w:bottom w:w="0" w:type="dxa"/>
          <w:right w:w="0" w:type="dxa"/>
        </w:tblCellMar>
        <w:tblLook w:val="01E0"/>
      </w:tblPr>
      <w:tblGrid>
        <w:gridCol w:w="1110"/>
        <w:gridCol w:w="1188"/>
        <w:gridCol w:w="709"/>
        <w:gridCol w:w="1134"/>
        <w:gridCol w:w="567"/>
        <w:gridCol w:w="1134"/>
        <w:gridCol w:w="1134"/>
        <w:gridCol w:w="710"/>
        <w:gridCol w:w="1134"/>
        <w:gridCol w:w="566"/>
        <w:gridCol w:w="1122"/>
      </w:tblGrid>
      <w:tr>
        <w:trPr>
          <w:trHeight w:val="402" w:hRule="exact"/>
        </w:trPr>
        <w:tc>
          <w:tcPr>
            <w:tcW w:w="11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7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110" w:type="dxa"/>
            <w:vMerge/>
            <w:tcBorders>
              <w:left w:val="single" w:sz="4" w:space="0" w:color="000000"/>
              <w:right w:val="single" w:sz="4" w:space="0" w:color="000000"/>
            </w:tcBorders>
          </w:tcPr>
          <w:p>
            <w:pPr/>
          </w:p>
        </w:tc>
        <w:tc>
          <w:tcPr>
            <w:tcW w:w="1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4" w:hRule="exact"/>
        </w:trPr>
        <w:tc>
          <w:tcPr>
            <w:tcW w:w="1110"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8" w:right="126"/>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8" w:right="126"/>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22" w:type="dxa"/>
            <w:vMerge/>
            <w:tcBorders>
              <w:left w:val="single" w:sz="4" w:space="0" w:color="000000"/>
              <w:bottom w:val="single" w:sz="4" w:space="0" w:color="000000"/>
              <w:right w:val="single" w:sz="4" w:space="0" w:color="000000"/>
            </w:tcBorders>
          </w:tcPr>
          <w:p>
            <w:pPr/>
          </w:p>
        </w:tc>
      </w:tr>
      <w:tr>
        <w:trPr>
          <w:trHeight w:val="1026"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4" w:right="24"/>
              <w:jc w:val="both"/>
              <w:rPr>
                <w:rFonts w:ascii="宋体" w:hAnsi="宋体" w:cs="宋体" w:eastAsia="宋体" w:hint="default"/>
                <w:sz w:val="15"/>
                <w:szCs w:val="15"/>
              </w:rPr>
            </w:pPr>
            <w:r>
              <w:rPr>
                <w:rFonts w:ascii="宋体" w:hAnsi="宋体" w:cs="宋体" w:eastAsia="宋体" w:hint="default"/>
                <w:sz w:val="15"/>
                <w:szCs w:val="15"/>
              </w:rPr>
              <w:t>按信用风险特征 组合计提坏账准 备的应收账款</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5"/>
                <w:szCs w:val="15"/>
              </w:rPr>
            </w:pPr>
            <w:r>
              <w:rPr>
                <w:rFonts w:ascii="宋体"/>
                <w:sz w:val="15"/>
              </w:rPr>
              <w:t>635,629,464.35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121,208,532.20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5"/>
                <w:szCs w:val="15"/>
              </w:rPr>
            </w:pPr>
            <w:r>
              <w:rPr>
                <w:rFonts w:ascii="宋体"/>
                <w:sz w:val="15"/>
              </w:rPr>
              <w:t>19.07%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5"/>
                <w:szCs w:val="15"/>
              </w:rPr>
            </w:pPr>
            <w:r>
              <w:rPr>
                <w:rFonts w:ascii="宋体"/>
                <w:sz w:val="15"/>
              </w:rPr>
              <w:t>514,420,932.15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563,960,976.10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5"/>
                <w:szCs w:val="15"/>
              </w:rPr>
            </w:pPr>
            <w:r>
              <w:rPr>
                <w:rFonts w:ascii="宋体"/>
                <w:sz w:val="15"/>
              </w:rPr>
              <w:t>110,936,648.22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19.67%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453,024,327.88</w:t>
            </w:r>
          </w:p>
        </w:tc>
      </w:tr>
      <w:tr>
        <w:trPr>
          <w:trHeight w:val="40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 w:right="0"/>
              <w:jc w:val="center"/>
              <w:rPr>
                <w:rFonts w:ascii="宋体" w:hAnsi="宋体" w:cs="宋体" w:eastAsia="宋体" w:hint="default"/>
                <w:sz w:val="15"/>
                <w:szCs w:val="15"/>
              </w:rPr>
            </w:pPr>
            <w:r>
              <w:rPr>
                <w:rFonts w:ascii="宋体"/>
                <w:sz w:val="15"/>
              </w:rPr>
              <w:t>635,629,464.35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121,208,532.20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1" w:right="0"/>
              <w:jc w:val="center"/>
              <w:rPr>
                <w:rFonts w:ascii="宋体" w:hAnsi="宋体" w:cs="宋体" w:eastAsia="宋体" w:hint="default"/>
                <w:sz w:val="15"/>
                <w:szCs w:val="15"/>
              </w:rPr>
            </w:pPr>
            <w:r>
              <w:rPr>
                <w:rFonts w:ascii="宋体"/>
                <w:sz w:val="15"/>
              </w:rPr>
              <w:t>19.07%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 w:right="0"/>
              <w:jc w:val="left"/>
              <w:rPr>
                <w:rFonts w:ascii="宋体" w:hAnsi="宋体" w:cs="宋体" w:eastAsia="宋体" w:hint="default"/>
                <w:sz w:val="15"/>
                <w:szCs w:val="15"/>
              </w:rPr>
            </w:pPr>
            <w:r>
              <w:rPr>
                <w:rFonts w:ascii="宋体"/>
                <w:sz w:val="15"/>
              </w:rPr>
              <w:t>514,420,932.15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563,960,976.10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1" w:right="0"/>
              <w:jc w:val="left"/>
              <w:rPr>
                <w:rFonts w:ascii="宋体" w:hAnsi="宋体" w:cs="宋体" w:eastAsia="宋体" w:hint="default"/>
                <w:sz w:val="15"/>
                <w:szCs w:val="15"/>
              </w:rPr>
            </w:pPr>
            <w:r>
              <w:rPr>
                <w:rFonts w:ascii="宋体"/>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110,936,648.22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19.67%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453,024,327.88</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pStyle w:val="BodyText"/>
        <w:spacing w:line="240" w:lineRule="auto" w:before="117"/>
        <w:ind w:right="0"/>
        <w:jc w:val="left"/>
      </w:pPr>
      <w:r>
        <w:rPr/>
        <w:t>□ 适用 √ 不适用</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979" w:top="1100" w:bottom="1160" w:left="0" w:right="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5095" w:space="3555"/>
            <w:col w:w="326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485,875,284.09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24,293,764.21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40,154,471.10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4,015,447.11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23,857,697.54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7,157,309.26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10,017,387.89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10,017,387.89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5,237,699.45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5,237,699.45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70,486,924.28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70,486,924.28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635,629,464.35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121,208,532.20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13"/>
        <w:rPr>
          <w:rFonts w:ascii="宋体" w:hAnsi="宋体" w:cs="宋体" w:eastAsia="宋体" w:hint="default"/>
          <w:sz w:val="21"/>
          <w:szCs w:val="21"/>
        </w:rPr>
      </w:pPr>
    </w:p>
    <w:p>
      <w:pPr>
        <w:pStyle w:val="BodyText"/>
        <w:spacing w:line="357" w:lineRule="auto" w:before="44"/>
        <w:ind w:right="6432"/>
        <w:jc w:val="left"/>
      </w:pPr>
      <w:r>
        <w:rPr/>
        <w:t>确定该组合依据的说明： 组合中，采用余额百分比法计提坏账准备的应收账款：</w:t>
      </w:r>
    </w:p>
    <w:p>
      <w:pPr>
        <w:pStyle w:val="BodyText"/>
        <w:spacing w:line="240" w:lineRule="auto" w:before="10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0"/>
      <w:bookmarkEnd w:id="23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本期计提坏账准备金额</w:t>
      </w:r>
      <w:r>
        <w:rPr>
          <w:spacing w:val="-46"/>
        </w:rPr>
        <w:t> </w:t>
      </w:r>
      <w:r>
        <w:rPr>
          <w:rFonts w:ascii="宋体" w:hAnsi="宋体" w:cs="宋体" w:eastAsia="宋体" w:hint="default"/>
        </w:rPr>
        <w:t>11,424,500.58</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本期实际核销的应收账款情况" w:id="231"/>
      <w:bookmarkEnd w:id="231"/>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1,152,616.60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其中重要的应收账款核销情况：</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1335"/>
        <w:gridCol w:w="1276"/>
        <w:gridCol w:w="1276"/>
        <w:gridCol w:w="1701"/>
        <w:gridCol w:w="1495"/>
      </w:tblGrid>
      <w:tr>
        <w:trPr>
          <w:trHeight w:val="75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02" w:right="200" w:firstLine="90"/>
              <w:jc w:val="left"/>
              <w:rPr>
                <w:rFonts w:ascii="宋体" w:hAnsi="宋体" w:cs="宋体" w:eastAsia="宋体" w:hint="default"/>
                <w:sz w:val="18"/>
                <w:szCs w:val="18"/>
              </w:rPr>
            </w:pPr>
            <w:r>
              <w:rPr>
                <w:rFonts w:ascii="宋体" w:hAnsi="宋体" w:cs="宋体" w:eastAsia="宋体" w:hint="default"/>
                <w:sz w:val="18"/>
                <w:szCs w:val="18"/>
              </w:rPr>
              <w:t>款项是否由 关联交易产生</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太原市众方思达科技有限公司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607,545.60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上海华园微电子技术有限公司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乌鲁木齐科尔金商贸有限公司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131,250.00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拓讯信息技术（青岛）有限公司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33,621.00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江苏紫金万成自动化控制设备 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332,200.00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1,152,616.60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应收账款核销说明：</w:t>
      </w:r>
    </w:p>
    <w:p>
      <w:pPr>
        <w:pStyle w:val="BodyText"/>
        <w:spacing w:line="319" w:lineRule="auto" w:before="116"/>
        <w:ind w:left="1133" w:right="1120" w:firstLine="360"/>
        <w:jc w:val="left"/>
      </w:pPr>
      <w:r>
        <w:rPr/>
        <w:t>本次核销的应收账款均为账龄 </w:t>
      </w:r>
      <w:r>
        <w:rPr>
          <w:rFonts w:ascii="宋体" w:hAnsi="宋体" w:cs="宋体" w:eastAsia="宋体" w:hint="default"/>
        </w:rPr>
        <w:t>3</w:t>
      </w:r>
      <w:r>
        <w:rPr>
          <w:rFonts w:ascii="宋体" w:hAnsi="宋体" w:cs="宋体" w:eastAsia="宋体" w:hint="default"/>
          <w:spacing w:val="-63"/>
        </w:rPr>
        <w:t> </w:t>
      </w:r>
      <w:r>
        <w:rPr>
          <w:spacing w:val="-3"/>
        </w:rPr>
        <w:t>年以上的货款，虽已采用多种方式催收，但由于欠款客户无可供执行财产被法院裁定终</w:t>
      </w:r>
      <w:r>
        <w:rPr/>
        <w:t> 结执行、欠款客户被吊销营业执照、欠款客户已办理公司注销登记等原因被最终确认无法收回。</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4）按欠款方归集的期末余额前五名的应收账款情况" w:id="232"/>
      <w:bookmarkEnd w:id="232"/>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7693" w:hanging="360"/>
        <w:jc w:val="left"/>
      </w:pPr>
      <w:r>
        <w:rPr/>
        <w:t>公司是否需要遵守特殊行业的披露要求 否</w:t>
      </w:r>
    </w:p>
    <w:p>
      <w:pPr>
        <w:pStyle w:val="BodyText"/>
        <w:spacing w:line="240" w:lineRule="auto" w:before="108"/>
        <w:ind w:left="1493" w:right="0"/>
        <w:jc w:val="left"/>
      </w:pPr>
      <w:r>
        <w:rPr/>
        <w:t>截至期末按欠款方归集的期末余额前五名应收账款合计为</w:t>
      </w:r>
      <w:r>
        <w:rPr>
          <w:spacing w:val="-46"/>
        </w:rPr>
        <w:t> </w:t>
      </w:r>
      <w:r>
        <w:rPr>
          <w:rFonts w:ascii="宋体" w:hAnsi="宋体" w:cs="宋体" w:eastAsia="宋体" w:hint="default"/>
        </w:rPr>
        <w:t>163,358,332.00</w:t>
      </w:r>
      <w:r>
        <w:rPr>
          <w:rFonts w:ascii="宋体" w:hAnsi="宋体" w:cs="宋体" w:eastAsia="宋体" w:hint="default"/>
          <w:spacing w:val="-46"/>
        </w:rPr>
        <w:t> </w:t>
      </w:r>
      <w:r>
        <w:rPr/>
        <w:t>元，占应收账款期末余额合计数的比例为</w:t>
      </w:r>
    </w:p>
    <w:p>
      <w:pPr>
        <w:pStyle w:val="BodyText"/>
        <w:spacing w:line="240" w:lineRule="auto" w:before="76"/>
        <w:ind w:right="0"/>
        <w:jc w:val="left"/>
      </w:pPr>
      <w:r>
        <w:rPr>
          <w:rFonts w:ascii="宋体" w:hAnsi="宋体" w:cs="宋体" w:eastAsia="宋体" w:hint="default"/>
        </w:rPr>
        <w:t>25.70%</w:t>
      </w:r>
      <w:r>
        <w:rPr/>
        <w:t>，相应计提的坏账准备期末余额合计为</w:t>
      </w:r>
      <w:r>
        <w:rPr>
          <w:spacing w:val="-46"/>
        </w:rPr>
        <w:t> </w:t>
      </w:r>
      <w:r>
        <w:rPr>
          <w:rFonts w:ascii="宋体" w:hAnsi="宋体" w:cs="宋体" w:eastAsia="宋体" w:hint="default"/>
        </w:rPr>
        <w:t>32,102,416.10</w:t>
      </w:r>
      <w:r>
        <w:rPr>
          <w:rFonts w:ascii="宋体" w:hAnsi="宋体" w:cs="宋体" w:eastAsia="宋体" w:hint="default"/>
          <w:spacing w:val="-46"/>
        </w:rPr>
        <w:t> </w:t>
      </w:r>
      <w:r>
        <w:rPr/>
        <w:t>元。</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预付款项" w:id="233"/>
      <w:bookmarkEnd w:id="233"/>
      <w:r>
        <w:rPr>
          <w:b w:val="0"/>
          <w:bCs w:val="0"/>
        </w:rPr>
      </w:r>
      <w:r>
        <w:rPr>
          <w:rFonts w:ascii="宋体" w:hAnsi="宋体" w:cs="宋体" w:eastAsia="宋体" w:hint="default"/>
        </w:rPr>
        <w:t>4</w:t>
      </w:r>
      <w:r>
        <w:rPr/>
        <w:t>、预付款项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预付款项按账龄列示" w:id="234"/>
      <w:bookmarkEnd w:id="234"/>
      <w:r>
        <w:rPr>
          <w:b w:val="0"/>
          <w:bCs w:val="0"/>
        </w:rPr>
      </w:r>
      <w:r>
        <w:rPr/>
        <w:t>（</w:t>
      </w:r>
      <w:r>
        <w:rPr>
          <w:rFonts w:ascii="宋体" w:hAnsi="宋体" w:cs="宋体" w:eastAsia="宋体" w:hint="default"/>
        </w:rPr>
        <w:t>1</w:t>
      </w:r>
      <w:r>
        <w:rPr/>
        <w:t>）预付款项按账龄列示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14,931,201.52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73,902,501.76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1,156,738.08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508,035.40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221,848.43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123,179.23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337,204.83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1,962,436.39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16,646,992.86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76,496,152.78</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35"/>
      <w:bookmarkEnd w:id="23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133" w:right="1483" w:firstLine="360"/>
        <w:jc w:val="left"/>
      </w:pPr>
      <w:r>
        <w:rPr/>
        <w:t>截至期末按供应商归集的期末余额前五名预付款项合计为</w:t>
      </w:r>
      <w:r>
        <w:rPr>
          <w:rFonts w:ascii="宋体" w:hAnsi="宋体" w:cs="宋体" w:eastAsia="宋体" w:hint="default"/>
        </w:rPr>
        <w:t>13,401,562.26</w:t>
      </w:r>
      <w:r>
        <w:rPr/>
        <w:t>元，占预付款项期末余额合计数的比例为 </w:t>
      </w:r>
      <w:r>
        <w:rPr>
          <w:rFonts w:ascii="宋体" w:hAnsi="宋体" w:cs="宋体" w:eastAsia="宋体" w:hint="default"/>
        </w:rPr>
        <w:t>80.50%</w:t>
      </w:r>
      <w:r>
        <w:rPr/>
        <w:t>。</w:t>
      </w:r>
    </w:p>
    <w:p>
      <w:pPr>
        <w:pStyle w:val="BodyText"/>
        <w:spacing w:line="240" w:lineRule="auto" w:before="140"/>
        <w:ind w:left="1133" w:right="0"/>
        <w:jc w:val="left"/>
      </w:pPr>
      <w:r>
        <w:rPr/>
        <w:t>其他说明：</w:t>
      </w:r>
    </w:p>
    <w:p>
      <w:pPr>
        <w:pStyle w:val="BodyText"/>
        <w:spacing w:line="240" w:lineRule="auto" w:before="116"/>
        <w:ind w:left="1494" w:right="0"/>
        <w:jc w:val="left"/>
      </w:pPr>
      <w:r>
        <w:rPr/>
        <w:t>报告期末预付款项较期初减少</w:t>
      </w:r>
      <w:r>
        <w:rPr>
          <w:rFonts w:ascii="宋体" w:hAnsi="宋体" w:cs="宋体" w:eastAsia="宋体" w:hint="default"/>
        </w:rPr>
        <w:t>78.24%</w:t>
      </w:r>
      <w:r>
        <w:rPr/>
        <w:t>，主要由于预付款业务已按合同履约执行。</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其他应收款" w:id="236"/>
      <w:bookmarkEnd w:id="236"/>
      <w:r>
        <w:rPr>
          <w:b w:val="0"/>
          <w:bCs w:val="0"/>
        </w:rPr>
      </w:r>
      <w:r>
        <w:rPr>
          <w:rFonts w:ascii="宋体" w:hAnsi="宋体" w:cs="宋体" w:eastAsia="宋体" w:hint="default"/>
        </w:rPr>
        <w:t>5</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其他应收款分类披露" w:id="237"/>
      <w:bookmarkEnd w:id="237"/>
      <w:r>
        <w:rPr>
          <w:b w:val="0"/>
          <w:bCs w:val="0"/>
        </w:rPr>
      </w:r>
      <w:r>
        <w:rPr/>
        <w:t>（</w:t>
      </w:r>
      <w:r>
        <w:rPr>
          <w:rFonts w:ascii="宋体" w:hAnsi="宋体" w:cs="宋体" w:eastAsia="宋体" w:hint="default"/>
        </w:rPr>
        <w:t>1</w:t>
      </w:r>
      <w:r>
        <w:rPr/>
        <w:t>）其他应收款分类披露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866" w:type="dxa"/>
        <w:tblLayout w:type="fixed"/>
        <w:tblCellMar>
          <w:top w:w="0" w:type="dxa"/>
          <w:left w:w="0" w:type="dxa"/>
          <w:bottom w:w="0" w:type="dxa"/>
          <w:right w:w="0" w:type="dxa"/>
        </w:tblCellMar>
        <w:tblLook w:val="01E0"/>
      </w:tblPr>
      <w:tblGrid>
        <w:gridCol w:w="1178"/>
        <w:gridCol w:w="1134"/>
        <w:gridCol w:w="709"/>
        <w:gridCol w:w="992"/>
        <w:gridCol w:w="568"/>
        <w:gridCol w:w="1134"/>
        <w:gridCol w:w="1134"/>
        <w:gridCol w:w="710"/>
        <w:gridCol w:w="991"/>
        <w:gridCol w:w="568"/>
        <w:gridCol w:w="1048"/>
      </w:tblGrid>
      <w:tr>
        <w:trPr>
          <w:trHeight w:val="402" w:hRule="exact"/>
        </w:trPr>
        <w:tc>
          <w:tcPr>
            <w:tcW w:w="1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178" w:type="dxa"/>
            <w:vMerge/>
            <w:tcBorders>
              <w:left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4" w:hRule="exact"/>
        </w:trPr>
        <w:tc>
          <w:tcPr>
            <w:tcW w:w="1178"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8" w:right="127"/>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8" w:right="127"/>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048" w:type="dxa"/>
            <w:vMerge/>
            <w:tcBorders>
              <w:left w:val="single" w:sz="4" w:space="0" w:color="000000"/>
              <w:bottom w:val="single" w:sz="4" w:space="0" w:color="000000"/>
              <w:right w:val="single" w:sz="4" w:space="0" w:color="000000"/>
            </w:tcBorders>
          </w:tcPr>
          <w:p>
            <w:pPr/>
          </w:p>
        </w:tc>
      </w:tr>
      <w:tr>
        <w:trPr>
          <w:trHeight w:val="1026"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93"/>
              <w:jc w:val="both"/>
              <w:rPr>
                <w:rFonts w:ascii="宋体" w:hAnsi="宋体" w:cs="宋体" w:eastAsia="宋体" w:hint="default"/>
                <w:sz w:val="15"/>
                <w:szCs w:val="15"/>
              </w:rPr>
            </w:pPr>
            <w:r>
              <w:rPr>
                <w:rFonts w:ascii="宋体" w:hAnsi="宋体" w:cs="宋体" w:eastAsia="宋体" w:hint="default"/>
                <w:sz w:val="15"/>
                <w:szCs w:val="15"/>
              </w:rPr>
              <w:t>按信用风险特征 组合计提坏账准 备的其他应收款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15"/>
                <w:szCs w:val="15"/>
              </w:rPr>
            </w:pPr>
            <w:r>
              <w:rPr>
                <w:rFonts w:ascii="宋体"/>
                <w:sz w:val="15"/>
              </w:rPr>
              <w:t>20,137,239.97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5"/>
                <w:szCs w:val="15"/>
              </w:rPr>
            </w:pPr>
            <w:r>
              <w:rPr>
                <w:rFonts w:ascii="宋体"/>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15"/>
                <w:szCs w:val="15"/>
              </w:rPr>
            </w:pPr>
            <w:r>
              <w:rPr>
                <w:rFonts w:ascii="宋体"/>
                <w:sz w:val="15"/>
              </w:rPr>
              <w:t>5,637,572.17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14,499,667.80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19,892,938.17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15"/>
                <w:szCs w:val="15"/>
              </w:rPr>
            </w:pPr>
            <w:r>
              <w:rPr>
                <w:rFonts w:ascii="宋体"/>
                <w:sz w:val="15"/>
              </w:rPr>
              <w:t>3,662,799.10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 w:right="0"/>
              <w:jc w:val="center"/>
              <w:rPr>
                <w:rFonts w:ascii="宋体" w:hAnsi="宋体" w:cs="宋体" w:eastAsia="宋体" w:hint="default"/>
                <w:sz w:val="15"/>
                <w:szCs w:val="15"/>
              </w:rPr>
            </w:pPr>
            <w:r>
              <w:rPr>
                <w:rFonts w:ascii="宋体"/>
                <w:sz w:val="15"/>
              </w:rPr>
              <w:t>18.41%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5"/>
                <w:szCs w:val="15"/>
              </w:rPr>
            </w:pPr>
            <w:r>
              <w:rPr>
                <w:rFonts w:ascii="宋体"/>
                <w:sz w:val="15"/>
              </w:rPr>
              <w:t>16,230,139.07</w:t>
            </w:r>
          </w:p>
        </w:tc>
      </w:tr>
      <w:tr>
        <w:trPr>
          <w:trHeight w:val="402"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center"/>
              <w:rPr>
                <w:rFonts w:ascii="宋体" w:hAnsi="宋体" w:cs="宋体" w:eastAsia="宋体" w:hint="default"/>
                <w:sz w:val="15"/>
                <w:szCs w:val="15"/>
              </w:rPr>
            </w:pPr>
            <w:r>
              <w:rPr>
                <w:rFonts w:ascii="宋体"/>
                <w:sz w:val="15"/>
              </w:rPr>
              <w:t>20,137,239.97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1" w:right="0"/>
              <w:jc w:val="left"/>
              <w:rPr>
                <w:rFonts w:ascii="宋体" w:hAnsi="宋体" w:cs="宋体" w:eastAsia="宋体" w:hint="default"/>
                <w:sz w:val="15"/>
                <w:szCs w:val="15"/>
              </w:rPr>
            </w:pPr>
            <w:r>
              <w:rPr>
                <w:rFonts w:ascii="宋体"/>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0"/>
              <w:jc w:val="center"/>
              <w:rPr>
                <w:rFonts w:ascii="宋体" w:hAnsi="宋体" w:cs="宋体" w:eastAsia="宋体" w:hint="default"/>
                <w:sz w:val="15"/>
                <w:szCs w:val="15"/>
              </w:rPr>
            </w:pPr>
            <w:r>
              <w:rPr>
                <w:rFonts w:ascii="宋体"/>
                <w:sz w:val="15"/>
              </w:rPr>
              <w:t>5,637,572.17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14,499,667.80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19,892,938.17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0"/>
              <w:jc w:val="center"/>
              <w:rPr>
                <w:rFonts w:ascii="宋体" w:hAnsi="宋体" w:cs="宋体" w:eastAsia="宋体" w:hint="default"/>
                <w:sz w:val="15"/>
                <w:szCs w:val="15"/>
              </w:rPr>
            </w:pPr>
            <w:r>
              <w:rPr>
                <w:rFonts w:ascii="宋体"/>
                <w:sz w:val="15"/>
              </w:rPr>
              <w:t>3,662,799.10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0" w:right="0"/>
              <w:jc w:val="center"/>
              <w:rPr>
                <w:rFonts w:ascii="宋体" w:hAnsi="宋体" w:cs="宋体" w:eastAsia="宋体" w:hint="default"/>
                <w:sz w:val="15"/>
                <w:szCs w:val="15"/>
              </w:rPr>
            </w:pPr>
            <w:r>
              <w:rPr>
                <w:rFonts w:ascii="宋体"/>
                <w:sz w:val="15"/>
              </w:rPr>
              <w:t>18.41%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 w:right="0"/>
              <w:jc w:val="center"/>
              <w:rPr>
                <w:rFonts w:ascii="宋体" w:hAnsi="宋体" w:cs="宋体" w:eastAsia="宋体" w:hint="default"/>
                <w:sz w:val="15"/>
                <w:szCs w:val="15"/>
              </w:rPr>
            </w:pPr>
            <w:r>
              <w:rPr>
                <w:rFonts w:ascii="宋体"/>
                <w:sz w:val="15"/>
              </w:rPr>
              <w:t>16,230,139.07</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pStyle w:val="BodyText"/>
        <w:spacing w:line="439" w:lineRule="auto" w:before="117"/>
        <w:ind w:right="6612"/>
        <w:jc w:val="left"/>
      </w:pPr>
      <w:r>
        <w:rPr/>
        <w:t>□ 适用 √ 不适用 组合中，按账龄分析法计提坏账准备的其他应收款：</w:t>
      </w:r>
    </w:p>
    <w:p>
      <w:pPr>
        <w:pStyle w:val="BodyText"/>
        <w:spacing w:line="203" w:lineRule="exact"/>
        <w:ind w:right="0"/>
        <w:jc w:val="left"/>
      </w:pPr>
      <w:r>
        <w:rPr/>
        <w:t>√ 适用 □ 不适用</w:t>
      </w:r>
    </w:p>
    <w:p>
      <w:pPr>
        <w:spacing w:after="0" w:line="203" w:lineRule="exact"/>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8,270,603.44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413,530.18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6,396,783.05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639,678.31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1,264,985.44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379,495.64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1,350,168.78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1,350,168.78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612,595.78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612,595.78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2,242,103.48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2,242,103.48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20,137,239.97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5,637,572.17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28.00%</w:t>
            </w:r>
          </w:p>
        </w:tc>
      </w:tr>
    </w:tbl>
    <w:p>
      <w:pPr>
        <w:spacing w:line="240" w:lineRule="auto" w:before="9"/>
        <w:rPr>
          <w:rFonts w:ascii="宋体" w:hAnsi="宋体" w:cs="宋体" w:eastAsia="宋体" w:hint="default"/>
          <w:sz w:val="6"/>
          <w:szCs w:val="6"/>
        </w:rPr>
      </w:pPr>
    </w:p>
    <w:p>
      <w:pPr>
        <w:pStyle w:val="BodyText"/>
        <w:spacing w:line="439" w:lineRule="auto" w:before="44"/>
        <w:ind w:right="6252"/>
        <w:jc w:val="left"/>
      </w:pPr>
      <w:r>
        <w:rPr/>
        <w:t>确定该组合依据的说明： 组合中，采用余额百分比法计提坏账准备的其他应收款：</w:t>
      </w:r>
    </w:p>
    <w:p>
      <w:pPr>
        <w:pStyle w:val="BodyText"/>
        <w:spacing w:line="203" w:lineRule="exact"/>
        <w:ind w:right="0"/>
        <w:jc w:val="left"/>
      </w:pPr>
      <w:r>
        <w:rPr/>
        <w:t>□ 适用 √ 不适用</w:t>
      </w:r>
    </w:p>
    <w:p>
      <w:pPr>
        <w:spacing w:line="240" w:lineRule="auto" w:before="12"/>
        <w:rPr>
          <w:rFonts w:ascii="宋体" w:hAnsi="宋体" w:cs="宋体" w:eastAsia="宋体" w:hint="default"/>
          <w:sz w:val="14"/>
          <w:szCs w:val="14"/>
        </w:rPr>
      </w:pPr>
    </w:p>
    <w:p>
      <w:pPr>
        <w:pStyle w:val="BodyText"/>
        <w:spacing w:line="240" w:lineRule="auto"/>
        <w:ind w:right="0"/>
        <w:jc w:val="left"/>
      </w:pPr>
      <w:r>
        <w:rPr/>
        <w:t>组合中，采用其他方法计提坏账准备的其他应收款：</w:t>
      </w:r>
    </w:p>
    <w:p>
      <w:pPr>
        <w:pStyle w:val="BodyText"/>
        <w:spacing w:line="240" w:lineRule="auto" w:before="117"/>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8"/>
      <w:bookmarkEnd w:id="238"/>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本期计提坏账准备金额</w:t>
      </w:r>
      <w:r>
        <w:rPr>
          <w:spacing w:val="-46"/>
        </w:rPr>
        <w:t> </w:t>
      </w:r>
      <w:r>
        <w:rPr>
          <w:rFonts w:ascii="宋体" w:hAnsi="宋体" w:cs="宋体" w:eastAsia="宋体" w:hint="default"/>
        </w:rPr>
        <w:t>1,974,773.07</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其他应收款按款项性质分类情况" w:id="239"/>
      <w:bookmarkEnd w:id="239"/>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9,550,871.88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10,811,925.31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2,136,085.84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2,086,895.41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526,754.00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748,418.14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7,790,803.05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6,170,864.65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132,725.20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74,834.66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20,137,239.97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19,892,938.17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40"/>
      <w:bookmarkEnd w:id="240"/>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73" w:type="dxa"/>
        <w:tblLayout w:type="fixed"/>
        <w:tblCellMar>
          <w:top w:w="0" w:type="dxa"/>
          <w:left w:w="0" w:type="dxa"/>
          <w:bottom w:w="0" w:type="dxa"/>
          <w:right w:w="0" w:type="dxa"/>
        </w:tblCellMar>
        <w:tblLook w:val="01E0"/>
      </w:tblPr>
      <w:tblGrid>
        <w:gridCol w:w="2042"/>
        <w:gridCol w:w="1594"/>
        <w:gridCol w:w="1332"/>
        <w:gridCol w:w="1819"/>
        <w:gridCol w:w="1589"/>
        <w:gridCol w:w="1174"/>
      </w:tblGrid>
      <w:tr>
        <w:trPr>
          <w:trHeight w:val="75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68"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1" w:right="22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71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中信银行宁波分行营业部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对非关联公司的应 收款项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1,573,201.00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1,573,201.00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7.81%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sz w:val="18"/>
              </w:rPr>
              <w:t>157,320.10</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73" w:type="dxa"/>
        <w:tblLayout w:type="fixed"/>
        <w:tblCellMar>
          <w:top w:w="0" w:type="dxa"/>
          <w:left w:w="0" w:type="dxa"/>
          <w:bottom w:w="0" w:type="dxa"/>
          <w:right w:w="0" w:type="dxa"/>
        </w:tblCellMar>
        <w:tblLook w:val="01E0"/>
      </w:tblPr>
      <w:tblGrid>
        <w:gridCol w:w="2042"/>
        <w:gridCol w:w="1594"/>
        <w:gridCol w:w="1332"/>
        <w:gridCol w:w="1819"/>
        <w:gridCol w:w="586"/>
        <w:gridCol w:w="1003"/>
        <w:gridCol w:w="1174"/>
      </w:tblGrid>
      <w:tr>
        <w:trPr>
          <w:trHeight w:val="40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上海市电化教育馆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1,069,200.00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1,069,200.00</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106,920.00</w:t>
            </w:r>
          </w:p>
        </w:tc>
      </w:tr>
      <w:tr>
        <w:trPr>
          <w:trHeight w:val="71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中国农业银行股份有限公 司吉林省分行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1,043,232.90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82"/>
                <w:sz w:val="18"/>
                <w:szCs w:val="18"/>
              </w:rPr>
              <w:t>：</w:t>
            </w:r>
            <w:r>
              <w:rPr>
                <w:rFonts w:ascii="宋体" w:hAnsi="宋体" w:cs="宋体" w:eastAsia="宋体" w:hint="default"/>
                <w:sz w:val="18"/>
                <w:szCs w:val="18"/>
              </w:rPr>
              <w:t>321,030.95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722,201.95</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5.18%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88,271.74</w:t>
            </w:r>
          </w:p>
        </w:tc>
      </w:tr>
      <w:tr>
        <w:trPr>
          <w:trHeight w:val="71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深圳市国乾科技有限公司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对非关联公司的应 收款项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964,444.46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964,444.46</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964,444.46</w:t>
            </w:r>
          </w:p>
        </w:tc>
      </w:tr>
      <w:tr>
        <w:trPr>
          <w:trHeight w:val="71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洪泽县广电有线信息网络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648,680.00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648,680.00</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64,868.00</w:t>
            </w:r>
          </w:p>
        </w:tc>
      </w:tr>
      <w:tr>
        <w:trPr>
          <w:trHeight w:val="40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5,298,758.36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5" w:right="0"/>
              <w:jc w:val="left"/>
              <w:rPr>
                <w:rFonts w:ascii="宋体" w:hAnsi="宋体" w:cs="宋体" w:eastAsia="宋体" w:hint="default"/>
                <w:sz w:val="18"/>
                <w:szCs w:val="18"/>
              </w:rPr>
            </w:pPr>
            <w:r>
              <w:rPr>
                <w:rFonts w:ascii="宋体"/>
                <w:sz w:val="18"/>
              </w:rPr>
              <w:t>26.31%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1,381,824.30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存货" w:id="241"/>
      <w:bookmarkEnd w:id="241"/>
      <w:r>
        <w:rPr>
          <w:b w:val="0"/>
          <w:bCs w:val="0"/>
        </w:rPr>
      </w:r>
      <w:r>
        <w:rPr>
          <w:rFonts w:ascii="宋体" w:hAnsi="宋体" w:cs="宋体" w:eastAsia="宋体" w:hint="default"/>
        </w:rPr>
        <w:t>6</w:t>
      </w:r>
      <w:r>
        <w:rPr/>
        <w:t>、存货</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4" w:right="7512" w:hanging="360"/>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42"/>
      <w:bookmarkEnd w:id="242"/>
      <w:r>
        <w:rPr>
          <w:b w:val="0"/>
          <w:bCs w:val="0"/>
        </w:rPr>
      </w:r>
      <w:r>
        <w:rPr/>
        <w:t>（</w:t>
      </w:r>
      <w:r>
        <w:rPr>
          <w:rFonts w:ascii="宋体" w:hAnsi="宋体" w:cs="宋体" w:eastAsia="宋体" w:hint="default"/>
        </w:rPr>
        <w:t>1</w:t>
      </w:r>
      <w:r>
        <w:rPr/>
        <w:t>）存货分类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107,393,981.13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17,378,091.11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90,015,890.02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69,726,084.58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10,434,489.48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59,291,595.10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8,742,613.87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8,742,613.87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11,011,563.88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11,011,563.88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44,160,355.04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7,602,101.04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36,558,254.00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43,702,959.87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3,807,219.33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39,895,740.54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4,915,381.18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4,915,381.18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12,953,371.06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12,953,371.06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242,388,464.07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49,325,030.79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193,063,433.28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280,501,249.60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36,577,892.73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243,923,356.87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2,962,141.10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2,962,141.10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4,563,118.95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4,563,118.95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22,055,244.61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22,055,244.61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15,112,602.93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15,112,602.93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432,618,181.00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74,305,222.94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358,312,958.06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437,570,950.87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50,819,601.54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386,751,349.33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3"/>
      <w:bookmarkEnd w:id="243"/>
      <w:r>
        <w:rPr>
          <w:b w:val="0"/>
          <w:bCs w:val="0"/>
        </w:rPr>
      </w:r>
      <w:r>
        <w:rPr/>
        <w:t>（</w:t>
      </w:r>
      <w:r>
        <w:rPr>
          <w:rFonts w:ascii="宋体" w:hAnsi="宋体" w:cs="宋体" w:eastAsia="宋体"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10,434,489.48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8,416,267.35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1,472,665.72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17,378,091.11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3,807,219.33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4,018,729.22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223,847.51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7,602,101.04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36,577,892.73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14,502,630.44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1,755,492.38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49,325,030.79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50,819,601.54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26,937,627.01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3,452,005.61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74,305,222.94</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持有待售的资产" w:id="244"/>
      <w:bookmarkEnd w:id="244"/>
      <w:r>
        <w:rPr>
          <w:b w:val="0"/>
          <w:bCs w:val="0"/>
        </w:rPr>
      </w:r>
      <w:r>
        <w:rPr>
          <w:rFonts w:ascii="宋体" w:hAnsi="宋体" w:cs="宋体" w:eastAsia="宋体" w:hint="default"/>
        </w:rPr>
        <w:t>7</w:t>
      </w:r>
      <w:r>
        <w:rPr/>
        <w:t>、持有待售的资产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w:t>
            </w: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77,841.74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3,139,000.00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77,841.74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3,139,000.00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6" w:lineRule="auto" w:before="115"/>
        <w:ind w:left="1133" w:right="1129" w:firstLine="360"/>
        <w:jc w:val="both"/>
      </w:pPr>
      <w:r>
        <w:rPr>
          <w:spacing w:val="-2"/>
        </w:rPr>
        <w:t>经公司第六届董事会第二十二次会议、第七届董事会第四次会议审议批准，公司拟出售紫菘花园房产。公司分别于</w:t>
      </w:r>
      <w:r>
        <w:rPr>
          <w:rFonts w:ascii="宋体" w:hAnsi="宋体" w:cs="宋体" w:eastAsia="宋体" w:hint="default"/>
          <w:spacing w:val="-2"/>
        </w:rPr>
        <w:t>2017</w:t>
      </w:r>
      <w:r>
        <w:rPr>
          <w:rFonts w:ascii="宋体" w:hAnsi="宋体" w:cs="宋体" w:eastAsia="宋体" w:hint="default"/>
        </w:rPr>
        <w:t> </w:t>
      </w:r>
      <w:r>
        <w:rPr/>
        <w:t>年</w:t>
      </w:r>
      <w:r>
        <w:rPr>
          <w:rFonts w:ascii="宋体" w:hAnsi="宋体" w:cs="宋体" w:eastAsia="宋体" w:hint="default"/>
        </w:rPr>
        <w:t>9</w:t>
      </w:r>
      <w:r>
        <w:rPr/>
        <w:t>月</w:t>
      </w:r>
      <w:r>
        <w:rPr>
          <w:rFonts w:ascii="宋体" w:hAnsi="宋体" w:cs="宋体" w:eastAsia="宋体" w:hint="default"/>
        </w:rPr>
        <w:t>19</w:t>
      </w:r>
      <w:r>
        <w:rPr/>
        <w:t>日和</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27</w:t>
      </w:r>
      <w:r>
        <w:rPr/>
        <w:t>日就其中的两套房产与买方及房产中介机构签署了存量房买卖居间合同，该合同包含交易价格、</w:t>
      </w:r>
      <w:r>
        <w:rPr>
          <w:spacing w:val="-85"/>
        </w:rPr>
        <w:t> </w:t>
      </w:r>
      <w:r>
        <w:rPr>
          <w:spacing w:val="-85"/>
        </w:rPr>
      </w:r>
      <w:r>
        <w:rPr/>
        <w:t>时间和违约责任等重要条款，上述两套房产已于</w:t>
      </w:r>
      <w:r>
        <w:rPr>
          <w:rFonts w:ascii="宋体" w:hAnsi="宋体" w:cs="宋体" w:eastAsia="宋体" w:hint="default"/>
        </w:rPr>
        <w:t>2018</w:t>
      </w:r>
      <w:r>
        <w:rPr/>
        <w:t>年</w:t>
      </w:r>
      <w:r>
        <w:rPr>
          <w:rFonts w:ascii="宋体" w:hAnsi="宋体" w:cs="宋体" w:eastAsia="宋体" w:hint="default"/>
        </w:rPr>
        <w:t>1</w:t>
      </w:r>
      <w:r>
        <w:rPr/>
        <w:t>月完成产权过户手续。报告期末，公司将上述两套紫菘花园房产划</w:t>
      </w:r>
      <w:r>
        <w:rPr>
          <w:spacing w:val="-85"/>
        </w:rPr>
        <w:t> </w:t>
      </w:r>
      <w:r>
        <w:rPr>
          <w:spacing w:val="-85"/>
        </w:rPr>
      </w:r>
      <w:r>
        <w:rPr/>
        <w:t>分为持有待售资产。</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8、其他流动资产" w:id="245"/>
      <w:bookmarkEnd w:id="245"/>
      <w:r>
        <w:rPr>
          <w:b w:val="0"/>
          <w:bCs w:val="0"/>
        </w:rPr>
      </w:r>
      <w:r>
        <w:rPr>
          <w:rFonts w:ascii="宋体" w:hAnsi="宋体" w:cs="宋体" w:eastAsia="宋体" w:hint="default"/>
        </w:rPr>
        <w:t>8</w:t>
      </w:r>
      <w:r>
        <w:rPr/>
        <w:t>、其他流动资产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1,231,540.63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656,105.19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288,613.75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266,067.68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公共设施维修费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277,893.66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484,096.42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59,829.69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646,301.84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物业费、网络使用费等其他费用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854,391.16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977,745.56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1,831,473.49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793,226.28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84,543,742.38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3,823,542.97</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5"/>
        <w:ind w:left="1494" w:right="0"/>
        <w:jc w:val="left"/>
      </w:pPr>
      <w:r>
        <w:rPr/>
        <w:t>报告期末其他流动资产较期初增加</w:t>
      </w:r>
      <w:r>
        <w:rPr>
          <w:rFonts w:ascii="宋体" w:hAnsi="宋体" w:cs="宋体" w:eastAsia="宋体" w:hint="default"/>
        </w:rPr>
        <w:t>2111.14%</w:t>
      </w:r>
      <w:r>
        <w:rPr/>
        <w:t>，主要是受报告期内购买理财产品影响。</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9、可供出售金融资产" w:id="246"/>
      <w:bookmarkEnd w:id="246"/>
      <w:r>
        <w:rPr>
          <w:b w:val="0"/>
          <w:bCs w:val="0"/>
        </w:rPr>
      </w:r>
      <w:r>
        <w:rPr>
          <w:rFonts w:ascii="宋体" w:hAnsi="宋体" w:cs="宋体" w:eastAsia="宋体" w:hint="default"/>
        </w:rPr>
        <w:t>9</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可供出售金融资产情况" w:id="247"/>
      <w:bookmarkEnd w:id="247"/>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28"/>
        <w:gridCol w:w="1402"/>
        <w:gridCol w:w="993"/>
        <w:gridCol w:w="1499"/>
        <w:gridCol w:w="1248"/>
        <w:gridCol w:w="954"/>
        <w:gridCol w:w="1367"/>
      </w:tblGrid>
      <w:tr>
        <w:trPr>
          <w:trHeight w:val="40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8"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c>
          <w:tcPr>
            <w:tcW w:w="993"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20,225,920.00</w:t>
            </w:r>
          </w:p>
        </w:tc>
        <w:tc>
          <w:tcPr>
            <w:tcW w:w="95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20,225,920.00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148,874,906.40</w:t>
            </w:r>
          </w:p>
        </w:tc>
        <w:tc>
          <w:tcPr>
            <w:tcW w:w="993"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148,874,906.40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4,993,920.00</w:t>
            </w:r>
          </w:p>
        </w:tc>
        <w:tc>
          <w:tcPr>
            <w:tcW w:w="95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4,993,920.00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15,232,000.00</w:t>
            </w:r>
          </w:p>
        </w:tc>
        <w:tc>
          <w:tcPr>
            <w:tcW w:w="95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15,232,000.00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c>
          <w:tcPr>
            <w:tcW w:w="993"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150,774,906.40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20,225,920.00</w:t>
            </w:r>
          </w:p>
        </w:tc>
        <w:tc>
          <w:tcPr>
            <w:tcW w:w="95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20,225,920.00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期末按公允价值计量的可供出售金融资产" w:id="248"/>
      <w:bookmarkEnd w:id="248"/>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026"/>
        <w:gridCol w:w="1914"/>
        <w:gridCol w:w="1914"/>
        <w:gridCol w:w="1736"/>
      </w:tblGrid>
      <w:tr>
        <w:trPr>
          <w:trHeight w:val="40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0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债务工具的摊余成本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13,532,000.00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13,532,000.00</w:t>
            </w:r>
          </w:p>
        </w:tc>
      </w:tr>
      <w:tr>
        <w:trPr>
          <w:trHeight w:val="40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148,874,906.40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148,874,906.40</w:t>
            </w:r>
          </w:p>
        </w:tc>
      </w:tr>
      <w:tr>
        <w:trPr>
          <w:trHeight w:val="40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135,342,906.40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135,342,906.40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49"/>
      <w:bookmarkEnd w:id="249"/>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4" w:type="dxa"/>
        <w:tblLayout w:type="fixed"/>
        <w:tblCellMar>
          <w:top w:w="0" w:type="dxa"/>
          <w:left w:w="0" w:type="dxa"/>
          <w:bottom w:w="0" w:type="dxa"/>
          <w:right w:w="0" w:type="dxa"/>
        </w:tblCellMar>
        <w:tblLook w:val="01E0"/>
      </w:tblPr>
      <w:tblGrid>
        <w:gridCol w:w="1397"/>
        <w:gridCol w:w="1260"/>
        <w:gridCol w:w="518"/>
        <w:gridCol w:w="1246"/>
        <w:gridCol w:w="1142"/>
        <w:gridCol w:w="490"/>
        <w:gridCol w:w="497"/>
        <w:gridCol w:w="497"/>
        <w:gridCol w:w="566"/>
        <w:gridCol w:w="851"/>
        <w:gridCol w:w="1225"/>
      </w:tblGrid>
      <w:tr>
        <w:trPr>
          <w:trHeight w:val="402"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97"/>
              <w:ind w:left="61"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2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714" w:hRule="exact"/>
        </w:trPr>
        <w:tc>
          <w:tcPr>
            <w:tcW w:w="1397"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4" w:right="7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 w:right="6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 w:right="63"/>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51" w:type="dxa"/>
            <w:vMerge/>
            <w:tcBorders>
              <w:left w:val="single" w:sz="4" w:space="0" w:color="000000"/>
              <w:bottom w:val="single" w:sz="4" w:space="0" w:color="000000"/>
              <w:right w:val="single" w:sz="4" w:space="0" w:color="000000"/>
            </w:tcBorders>
          </w:tcPr>
          <w:p>
            <w:pPr/>
          </w:p>
        </w:tc>
        <w:tc>
          <w:tcPr>
            <w:tcW w:w="1225" w:type="dxa"/>
            <w:vMerge/>
            <w:tcBorders>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武汉城市一卡通 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2.10%</w:t>
            </w: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上海韦尔半导体 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13,332,000.00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z w:val="18"/>
              </w:rPr>
              <w:t>13,332,000.00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贵州百旺金赋科 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黑龙江百旺金赋 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1,400,000.00</w:t>
            </w: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湖南百旺金赋科 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300,000.00</w:t>
            </w: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15,232,000.00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sz w:val="18"/>
              </w:rPr>
              <w:t>13,332,000.00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1,700,000.00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6"/>
        <w:ind w:right="1122" w:firstLine="360"/>
        <w:jc w:val="left"/>
      </w:pPr>
      <w:r>
        <w:rPr/>
        <w:t>报告期末可供出售金融资产较期初增加</w:t>
      </w:r>
      <w:r>
        <w:rPr>
          <w:rFonts w:ascii="宋体" w:hAnsi="宋体" w:cs="宋体" w:eastAsia="宋体" w:hint="default"/>
        </w:rPr>
        <w:t>645.45%</w:t>
      </w:r>
      <w:r>
        <w:rPr/>
        <w:t>，主要由于报告期内公司参股公司韦尔股份首次公开发行股票并上市， 公司对持有的韦尔股份股权由按成本计量改为按公允价值计量，股价变动导致股权公允价值变动。</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10、长期股权投资" w:id="250"/>
      <w:bookmarkEnd w:id="250"/>
      <w:r>
        <w:rPr>
          <w:b w:val="0"/>
          <w:bCs w:val="0"/>
        </w:rPr>
      </w:r>
      <w:r>
        <w:rPr>
          <w:rFonts w:ascii="宋体" w:hAnsi="宋体" w:cs="宋体" w:eastAsia="宋体" w:hint="default"/>
        </w:rPr>
        <w:t>10</w:t>
      </w:r>
      <w:r>
        <w:rPr/>
        <w:t>、长期股权投资</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078" w:type="dxa"/>
        <w:tblLayout w:type="fixed"/>
        <w:tblCellMar>
          <w:top w:w="0" w:type="dxa"/>
          <w:left w:w="0" w:type="dxa"/>
          <w:bottom w:w="0" w:type="dxa"/>
          <w:right w:w="0" w:type="dxa"/>
        </w:tblCellMar>
        <w:tblLook w:val="01E0"/>
      </w:tblPr>
      <w:tblGrid>
        <w:gridCol w:w="834"/>
        <w:gridCol w:w="1232"/>
        <w:gridCol w:w="994"/>
        <w:gridCol w:w="476"/>
        <w:gridCol w:w="1246"/>
        <w:gridCol w:w="770"/>
        <w:gridCol w:w="601"/>
        <w:gridCol w:w="812"/>
        <w:gridCol w:w="644"/>
        <w:gridCol w:w="305"/>
        <w:gridCol w:w="1199"/>
        <w:gridCol w:w="625"/>
      </w:tblGrid>
      <w:tr>
        <w:trPr>
          <w:trHeight w:val="402" w:hRule="exact"/>
        </w:trPr>
        <w:tc>
          <w:tcPr>
            <w:tcW w:w="8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53"/>
              <w:ind w:left="232" w:right="141"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 w:right="36"/>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834"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 w:right="5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8" w:right="76"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10" w:right="10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40" w:right="4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6" w:right="45"/>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 他</w:t>
            </w:r>
          </w:p>
        </w:tc>
        <w:tc>
          <w:tcPr>
            <w:tcW w:w="1199"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r>
      <w:tr>
        <w:trPr>
          <w:trHeight w:val="403" w:hRule="exact"/>
        </w:trPr>
        <w:tc>
          <w:tcPr>
            <w:tcW w:w="973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78" w:type="dxa"/>
        <w:tblLayout w:type="fixed"/>
        <w:tblCellMar>
          <w:top w:w="0" w:type="dxa"/>
          <w:left w:w="0" w:type="dxa"/>
          <w:bottom w:w="0" w:type="dxa"/>
          <w:right w:w="0" w:type="dxa"/>
        </w:tblCellMar>
        <w:tblLook w:val="01E0"/>
      </w:tblPr>
      <w:tblGrid>
        <w:gridCol w:w="834"/>
        <w:gridCol w:w="1232"/>
        <w:gridCol w:w="994"/>
        <w:gridCol w:w="476"/>
        <w:gridCol w:w="1246"/>
        <w:gridCol w:w="770"/>
        <w:gridCol w:w="601"/>
        <w:gridCol w:w="812"/>
        <w:gridCol w:w="644"/>
        <w:gridCol w:w="305"/>
        <w:gridCol w:w="1199"/>
        <w:gridCol w:w="625"/>
      </w:tblGrid>
      <w:tr>
        <w:trPr>
          <w:trHeight w:val="1338"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8"/>
              <w:jc w:val="both"/>
              <w:rPr>
                <w:rFonts w:ascii="宋体" w:hAnsi="宋体" w:cs="宋体" w:eastAsia="宋体" w:hint="default"/>
                <w:sz w:val="18"/>
                <w:szCs w:val="18"/>
              </w:rPr>
            </w:pPr>
            <w:r>
              <w:rPr>
                <w:rFonts w:ascii="宋体" w:hAnsi="宋体" w:cs="宋体" w:eastAsia="宋体" w:hint="default"/>
                <w:sz w:val="18"/>
                <w:szCs w:val="18"/>
              </w:rPr>
              <w:t>武汉中天 慧购电商 服务有限 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 w:right="0"/>
              <w:jc w:val="center"/>
              <w:rPr>
                <w:rFonts w:ascii="宋体" w:hAnsi="宋体" w:cs="宋体" w:eastAsia="宋体" w:hint="default"/>
                <w:sz w:val="18"/>
                <w:szCs w:val="18"/>
              </w:rPr>
            </w:pPr>
            <w:r>
              <w:rPr>
                <w:rFonts w:ascii="宋体"/>
                <w:sz w:val="18"/>
              </w:rPr>
              <w:t>1,453,829.86</w:t>
            </w:r>
          </w:p>
        </w:tc>
        <w:tc>
          <w:tcPr>
            <w:tcW w:w="9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-1,110,252.76</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343,577.10</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center"/>
              <w:rPr>
                <w:rFonts w:ascii="宋体" w:hAnsi="宋体" w:cs="宋体" w:eastAsia="宋体" w:hint="default"/>
                <w:sz w:val="18"/>
                <w:szCs w:val="18"/>
              </w:rPr>
            </w:pPr>
            <w:r>
              <w:rPr>
                <w:rFonts w:ascii="宋体"/>
                <w:sz w:val="18"/>
              </w:rPr>
              <w:t>1,453,829.86</w:t>
            </w:r>
          </w:p>
        </w:tc>
        <w:tc>
          <w:tcPr>
            <w:tcW w:w="9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-1,110,252.76</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343,577.10</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3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8"/>
              <w:jc w:val="both"/>
              <w:rPr>
                <w:rFonts w:ascii="宋体" w:hAnsi="宋体" w:cs="宋体" w:eastAsia="宋体" w:hint="default"/>
                <w:sz w:val="18"/>
                <w:szCs w:val="18"/>
              </w:rPr>
            </w:pPr>
            <w:r>
              <w:rPr>
                <w:rFonts w:ascii="宋体" w:hAnsi="宋体" w:cs="宋体" w:eastAsia="宋体" w:hint="default"/>
                <w:sz w:val="18"/>
                <w:szCs w:val="18"/>
              </w:rPr>
              <w:t>福建中教 网络教育 服务有限 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 w:right="0"/>
              <w:jc w:val="center"/>
              <w:rPr>
                <w:rFonts w:ascii="宋体" w:hAnsi="宋体" w:cs="宋体" w:eastAsia="宋体" w:hint="default"/>
                <w:sz w:val="18"/>
                <w:szCs w:val="18"/>
              </w:rPr>
            </w:pPr>
            <w:r>
              <w:rPr>
                <w:rFonts w:ascii="宋体"/>
                <w:sz w:val="18"/>
              </w:rPr>
              <w:t>2,283,332.45</w:t>
            </w:r>
          </w:p>
        </w:tc>
        <w:tc>
          <w:tcPr>
            <w:tcW w:w="9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-1,125,471.39</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1,157,861.06</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8"/>
              <w:jc w:val="both"/>
              <w:rPr>
                <w:rFonts w:ascii="宋体" w:hAnsi="宋体" w:cs="宋体" w:eastAsia="宋体" w:hint="default"/>
                <w:sz w:val="18"/>
                <w:szCs w:val="18"/>
              </w:rPr>
            </w:pPr>
            <w:r>
              <w:rPr>
                <w:rFonts w:ascii="宋体" w:hAnsi="宋体" w:cs="宋体" w:eastAsia="宋体" w:hint="default"/>
                <w:sz w:val="18"/>
                <w:szCs w:val="18"/>
              </w:rPr>
              <w:t>武汉星合 数媒科技 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7" w:right="0"/>
              <w:jc w:val="center"/>
              <w:rPr>
                <w:rFonts w:ascii="宋体" w:hAnsi="宋体" w:cs="宋体" w:eastAsia="宋体" w:hint="default"/>
                <w:sz w:val="18"/>
                <w:szCs w:val="18"/>
              </w:rPr>
            </w:pPr>
            <w:r>
              <w:rPr>
                <w:rFonts w:ascii="宋体"/>
                <w:sz w:val="18"/>
              </w:rPr>
              <w:t>4,600,567.28</w:t>
            </w:r>
          </w:p>
        </w:tc>
        <w:tc>
          <w:tcPr>
            <w:tcW w:w="9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98,458.29</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4,699,025.57</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8"/>
              <w:jc w:val="both"/>
              <w:rPr>
                <w:rFonts w:ascii="宋体" w:hAnsi="宋体" w:cs="宋体" w:eastAsia="宋体" w:hint="default"/>
                <w:sz w:val="18"/>
                <w:szCs w:val="18"/>
              </w:rPr>
            </w:pPr>
            <w:r>
              <w:rPr>
                <w:rFonts w:ascii="宋体" w:hAnsi="宋体" w:cs="宋体" w:eastAsia="宋体" w:hint="default"/>
                <w:sz w:val="18"/>
                <w:szCs w:val="18"/>
              </w:rPr>
              <w:t>武汉国广 天喻信息 技术有限 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 w:right="0"/>
              <w:jc w:val="center"/>
              <w:rPr>
                <w:rFonts w:ascii="宋体" w:hAnsi="宋体" w:cs="宋体" w:eastAsia="宋体" w:hint="default"/>
                <w:sz w:val="18"/>
                <w:szCs w:val="18"/>
              </w:rPr>
            </w:pPr>
            <w:r>
              <w:rPr>
                <w:rFonts w:ascii="宋体"/>
                <w:sz w:val="18"/>
              </w:rPr>
              <w:t>3,555,275.10</w:t>
            </w:r>
          </w:p>
        </w:tc>
        <w:tc>
          <w:tcPr>
            <w:tcW w:w="9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-1,130,465.78</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2,424,809.32</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8"/>
              <w:jc w:val="both"/>
              <w:rPr>
                <w:rFonts w:ascii="宋体" w:hAnsi="宋体" w:cs="宋体" w:eastAsia="宋体" w:hint="default"/>
                <w:sz w:val="18"/>
                <w:szCs w:val="18"/>
              </w:rPr>
            </w:pPr>
            <w:r>
              <w:rPr>
                <w:rFonts w:ascii="宋体" w:hAnsi="宋体" w:cs="宋体" w:eastAsia="宋体" w:hint="default"/>
                <w:sz w:val="18"/>
                <w:szCs w:val="18"/>
              </w:rPr>
              <w:t>张家口聚 思教育科 技有限公 司</w:t>
            </w:r>
          </w:p>
        </w:tc>
        <w:tc>
          <w:tcPr>
            <w:tcW w:w="123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 w:right="0"/>
              <w:jc w:val="center"/>
              <w:rPr>
                <w:rFonts w:ascii="宋体" w:hAnsi="宋体" w:cs="宋体" w:eastAsia="宋体" w:hint="default"/>
                <w:sz w:val="18"/>
                <w:szCs w:val="18"/>
              </w:rPr>
            </w:pPr>
            <w:r>
              <w:rPr>
                <w:rFonts w:ascii="宋体"/>
                <w:sz w:val="18"/>
              </w:rPr>
              <w:t>250,000.00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-8,412.29</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241,587.71</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10,439,174.83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250,000.00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-2,165,891.17</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8,523,283.66</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11,893,004.69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250,000.00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-3,276,143.93</w:t>
            </w:r>
          </w:p>
        </w:tc>
        <w:tc>
          <w:tcPr>
            <w:tcW w:w="770"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8,866,860.76</w:t>
            </w:r>
          </w:p>
        </w:tc>
        <w:tc>
          <w:tcPr>
            <w:tcW w:w="6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固定资产" w:id="251"/>
      <w:bookmarkEnd w:id="251"/>
      <w:r>
        <w:rPr>
          <w:b w:val="0"/>
          <w:bCs w:val="0"/>
        </w:rPr>
      </w:r>
      <w:r>
        <w:rPr>
          <w:rFonts w:ascii="宋体" w:hAnsi="宋体" w:cs="宋体" w:eastAsia="宋体" w:hint="default"/>
        </w:rPr>
        <w:t>11</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固定资产情况" w:id="252"/>
      <w:bookmarkEnd w:id="252"/>
      <w:r>
        <w:rPr>
          <w:b w:val="0"/>
          <w:bCs w:val="0"/>
        </w:rPr>
      </w:r>
      <w:r>
        <w:rPr/>
        <w:t>（</w:t>
      </w:r>
      <w:r>
        <w:rPr>
          <w:rFonts w:ascii="宋体" w:hAnsi="宋体" w:cs="宋体" w:eastAsia="宋体" w:hint="default"/>
        </w:rPr>
        <w:t>1</w:t>
      </w:r>
      <w:r>
        <w:rPr/>
        <w:t>）固定资产情况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78" w:type="dxa"/>
        <w:tblLayout w:type="fixed"/>
        <w:tblCellMar>
          <w:top w:w="0" w:type="dxa"/>
          <w:left w:w="0" w:type="dxa"/>
          <w:bottom w:w="0" w:type="dxa"/>
          <w:right w:w="0" w:type="dxa"/>
        </w:tblCellMar>
        <w:tblLook w:val="01E0"/>
      </w:tblPr>
      <w:tblGrid>
        <w:gridCol w:w="2170"/>
        <w:gridCol w:w="1420"/>
        <w:gridCol w:w="1595"/>
        <w:gridCol w:w="1594"/>
        <w:gridCol w:w="1594"/>
        <w:gridCol w:w="1367"/>
      </w:tblGrid>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114,653,857.76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142,569,671.17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84,528,730.16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10,529,887.75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352,282,146.84</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146,810.65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3,017,490.42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26,450,718.08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29,615,019.15</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3,017,490.42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26,450,718.08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29,468,208.50</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146,810.65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146,810.65</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469,867.52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8,192,935.33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1,215,563.88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767,620.22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10,645,986.95</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160,818.44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8,192,935.33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1,215,563.88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767,620.22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10,336,937.87</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）划分为持有待售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309,049.08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309,049.08</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78" w:type="dxa"/>
        <w:tblLayout w:type="fixed"/>
        <w:tblCellMar>
          <w:top w:w="0" w:type="dxa"/>
          <w:left w:w="0" w:type="dxa"/>
          <w:bottom w:w="0" w:type="dxa"/>
          <w:right w:w="0" w:type="dxa"/>
        </w:tblCellMar>
        <w:tblLook w:val="01E0"/>
      </w:tblPr>
      <w:tblGrid>
        <w:gridCol w:w="2170"/>
        <w:gridCol w:w="1420"/>
        <w:gridCol w:w="1595"/>
        <w:gridCol w:w="1594"/>
        <w:gridCol w:w="1594"/>
        <w:gridCol w:w="1367"/>
      </w:tblGrid>
      <w:tr>
        <w:trPr>
          <w:trHeight w:val="36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114,330,800.89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137,394,226.26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109,763,884.36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9,762,267.53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371,251,179.04</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14,468,290.98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99,313,864.81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37,574,655.19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5,443,885.64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156,800,696.62</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3,063,835.63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13,935,055.07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12,480,237.45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944,983.91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30,424,112.06</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3,063,835.63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13,935,055.07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12,480,237.45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944,983.91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30,424,112.06</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347,381.43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7,873,317.73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1,215,563.88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603,439.75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10,039,702.79</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116,174.09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7,873,317.73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1,215,563.88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603,439.75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9,808,495.45</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）划分为持有待售 资产</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231,207.34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231,207.34</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17,184,745.18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105,375,602.15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48,839,328.76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5,785,429.80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177,185,105.89</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97,146,055.71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32,018,624.11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60,924,555.60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3,976,837.73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194,066,073.15</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100,185,566.78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43,255,806.36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46,954,074.97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5,086,002.11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195,481,450.22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办妥产权证书的固定资产情况" w:id="253"/>
      <w:bookmarkEnd w:id="253"/>
      <w:r>
        <w:rPr>
          <w:b w:val="0"/>
          <w:bCs w:val="0"/>
        </w:rPr>
      </w:r>
      <w:r>
        <w:rPr/>
        <w:t>（</w:t>
      </w:r>
      <w:r>
        <w:rPr>
          <w:rFonts w:ascii="宋体" w:hAnsi="宋体" w:cs="宋体" w:eastAsia="宋体" w:hint="default"/>
        </w:rPr>
        <w:t>2</w:t>
      </w:r>
      <w:r>
        <w:rPr/>
        <w:t>）未办妥产权证书的固定资产情况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数据安全产业园一期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90" w:right="0"/>
              <w:jc w:val="left"/>
              <w:rPr>
                <w:rFonts w:ascii="宋体" w:hAnsi="宋体" w:cs="宋体" w:eastAsia="宋体" w:hint="default"/>
                <w:sz w:val="18"/>
                <w:szCs w:val="18"/>
              </w:rPr>
            </w:pPr>
            <w:r>
              <w:rPr>
                <w:rFonts w:ascii="宋体"/>
                <w:sz w:val="18"/>
              </w:rPr>
              <w:t>71,461,208.09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在建工程" w:id="254"/>
      <w:bookmarkEnd w:id="254"/>
      <w:r>
        <w:rPr>
          <w:b w:val="0"/>
          <w:bCs w:val="0"/>
        </w:rPr>
      </w:r>
      <w:r>
        <w:rPr>
          <w:rFonts w:ascii="宋体" w:hAnsi="宋体" w:cs="宋体" w:eastAsia="宋体" w:hint="default"/>
        </w:rPr>
        <w:t>12</w:t>
      </w:r>
      <w:r>
        <w:rPr/>
        <w:t>、在建工程</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在建工程情况" w:id="255"/>
      <w:bookmarkEnd w:id="255"/>
      <w:r>
        <w:rPr>
          <w:b w:val="0"/>
          <w:bCs w:val="0"/>
        </w:rPr>
      </w:r>
      <w:r>
        <w:rPr/>
        <w:t>（</w:t>
      </w:r>
      <w:r>
        <w:rPr>
          <w:rFonts w:ascii="宋体" w:hAnsi="宋体" w:cs="宋体" w:eastAsia="宋体" w:hint="default"/>
        </w:rPr>
        <w:t>1</w:t>
      </w:r>
      <w:r>
        <w:rPr/>
        <w:t>）在建工程情况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办公楼装修项目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740,547.46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740,547.46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740,547.46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740,547.46</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w:t>
      </w:r>
    </w:p>
    <w:p>
      <w:pPr>
        <w:pStyle w:val="BodyText"/>
        <w:spacing w:line="240" w:lineRule="auto" w:before="116"/>
        <w:ind w:left="1494" w:right="0"/>
        <w:jc w:val="left"/>
      </w:pPr>
      <w:r>
        <w:rPr/>
        <w:t>报告期末在建工程较期初减少</w:t>
      </w:r>
      <w:r>
        <w:rPr>
          <w:rFonts w:ascii="宋体" w:hAnsi="宋体" w:cs="宋体" w:eastAsia="宋体" w:hint="default"/>
        </w:rPr>
        <w:t>100.00%</w:t>
      </w:r>
      <w:r>
        <w:rPr/>
        <w:t>，主要由于在建工程项目已达到预定可使用状态，对项目进行了结转。</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3、无形资产" w:id="256"/>
      <w:bookmarkEnd w:id="256"/>
      <w:r>
        <w:rPr>
          <w:b w:val="0"/>
          <w:bCs w:val="0"/>
        </w:rPr>
      </w:r>
      <w:r>
        <w:rPr>
          <w:rFonts w:ascii="宋体" w:hAnsi="宋体" w:cs="宋体" w:eastAsia="宋体" w:hint="default"/>
        </w:rPr>
        <w:t>13</w:t>
      </w:r>
      <w:r>
        <w:rPr/>
        <w:t>、无形资产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3" w:right="0"/>
        <w:jc w:val="left"/>
      </w:pPr>
      <w:r>
        <w:rPr/>
        <w:t>公司是否需遵守《深圳证券交易所创业板行业信息披露指引第</w:t>
      </w:r>
      <w:r>
        <w:rPr>
          <w:spacing w:val="-45"/>
        </w:rPr>
        <w:t> </w:t>
      </w:r>
      <w:r>
        <w:rPr>
          <w:rFonts w:ascii="宋体" w:hAnsi="宋体" w:cs="宋体" w:eastAsia="宋体" w:hint="default"/>
        </w:rPr>
        <w:t>5</w:t>
      </w:r>
      <w:r>
        <w:rPr>
          <w:rFonts w:ascii="宋体" w:hAnsi="宋体" w:cs="宋体" w:eastAsia="宋体" w:hint="default"/>
          <w:spacing w:val="-46"/>
        </w:rPr>
        <w:t> </w:t>
      </w:r>
      <w:r>
        <w:rPr/>
        <w:t>号——上市公司从事互联网游戏业务》的披露要求</w:t>
      </w:r>
    </w:p>
    <w:p>
      <w:pPr>
        <w:pStyle w:val="BodyText"/>
        <w:spacing w:line="240" w:lineRule="auto" w:before="117"/>
        <w:ind w:left="1133" w:right="0"/>
        <w:jc w:val="left"/>
      </w:pPr>
      <w:r>
        <w:rPr/>
        <w:t>□ 是 √ 否</w:t>
      </w:r>
    </w:p>
    <w:p>
      <w:pPr>
        <w:pStyle w:val="BodyText"/>
        <w:spacing w:line="240" w:lineRule="auto" w:before="116"/>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14" w:type="dxa"/>
        <w:tblLayout w:type="fixed"/>
        <w:tblCellMar>
          <w:top w:w="0" w:type="dxa"/>
          <w:left w:w="0" w:type="dxa"/>
          <w:bottom w:w="0" w:type="dxa"/>
          <w:right w:w="0" w:type="dxa"/>
        </w:tblCellMar>
        <w:tblLook w:val="01E0"/>
      </w:tblPr>
      <w:tblGrid>
        <w:gridCol w:w="2129"/>
        <w:gridCol w:w="1231"/>
        <w:gridCol w:w="687"/>
        <w:gridCol w:w="980"/>
        <w:gridCol w:w="1297"/>
        <w:gridCol w:w="1196"/>
        <w:gridCol w:w="894"/>
        <w:gridCol w:w="125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38,642,727.53</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26,027,997.28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7,872,302.13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72,631,026.94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443,958.18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443,958.18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443,958.18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443,958.18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38,642,727.53</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26,471,955.46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7,872,302.13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73,074,985.12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4,816,360.32</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18,397,779.23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2,296,088.20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16,866.59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25,527,094.34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772,854.60</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1,420,050.00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787,230.24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8,799.96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2,988,934.80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772,854.60</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1,420,050.00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787,230.24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8,799.96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2,988,934.80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5,589,214.92</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19,817,829.23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3,083,318.44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25,666.55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28,516,029.14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3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33,053,512.61</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6,654,126.23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4,788,983.69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62,333.45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44,558,955.98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33,826,367.21</w:t>
            </w:r>
          </w:p>
        </w:tc>
        <w:tc>
          <w:tcPr>
            <w:tcW w:w="68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7,630,218.05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5,576,213.93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71,133.41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47,103,932.60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4、商誉" w:id="257"/>
      <w:bookmarkEnd w:id="257"/>
      <w:r>
        <w:rPr>
          <w:b w:val="0"/>
          <w:bCs w:val="0"/>
        </w:rPr>
      </w:r>
      <w:r>
        <w:rPr>
          <w:rFonts w:ascii="宋体" w:hAnsi="宋体" w:cs="宋体" w:eastAsia="宋体" w:hint="default"/>
        </w:rPr>
        <w:t>14</w:t>
      </w:r>
      <w:r>
        <w:rPr/>
        <w:t>、商誉</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商誉账面原值" w:id="258"/>
      <w:bookmarkEnd w:id="258"/>
      <w:r>
        <w:rPr>
          <w:b w:val="0"/>
          <w:bCs w:val="0"/>
        </w:rPr>
      </w:r>
      <w:r>
        <w:rPr/>
        <w:t>（</w:t>
      </w:r>
      <w:r>
        <w:rPr>
          <w:rFonts w:ascii="宋体" w:hAnsi="宋体" w:cs="宋体" w:eastAsia="宋体" w:hint="default"/>
        </w:rPr>
        <w:t>1</w:t>
      </w:r>
      <w:r>
        <w:rPr/>
        <w:t>）商誉账面原值</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32"/>
        <w:gridCol w:w="1367"/>
        <w:gridCol w:w="1367"/>
        <w:gridCol w:w="1367"/>
        <w:gridCol w:w="1368"/>
        <w:gridCol w:w="1367"/>
        <w:gridCol w:w="1273"/>
      </w:tblGrid>
      <w:tr>
        <w:trPr>
          <w:trHeight w:val="402" w:hRule="exact"/>
        </w:trPr>
        <w:tc>
          <w:tcPr>
            <w:tcW w:w="1532" w:type="dxa"/>
            <w:vMerge w:val="restart"/>
            <w:tcBorders>
              <w:top w:val="single" w:sz="4" w:space="0" w:color="000000"/>
              <w:left w:val="single" w:sz="4" w:space="0" w:color="000000"/>
              <w:right w:val="single" w:sz="4" w:space="0" w:color="000000"/>
            </w:tcBorders>
          </w:tcPr>
          <w:p>
            <w:pPr>
              <w:pStyle w:val="TableParagraph"/>
              <w:spacing w:line="319" w:lineRule="auto" w:before="97"/>
              <w:ind w:left="129" w:right="40"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3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3" w:type="dxa"/>
            <w:vMerge/>
            <w:tcBorders>
              <w:left w:val="single" w:sz="4" w:space="0" w:color="000000"/>
              <w:bottom w:val="single" w:sz="4" w:space="0" w:color="000000"/>
              <w:right w:val="single" w:sz="4" w:space="0" w:color="000000"/>
            </w:tcBorders>
          </w:tcPr>
          <w:p>
            <w:pPr/>
          </w:p>
        </w:tc>
      </w:tr>
      <w:tr>
        <w:trPr>
          <w:trHeight w:val="71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武汉天喻信通制卡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466,431.10</w:t>
            </w: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深圳市易考乐学测 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2,648,493.25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2,648,493.25</w:t>
            </w:r>
          </w:p>
        </w:tc>
      </w:tr>
      <w:tr>
        <w:trPr>
          <w:trHeight w:val="71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无锡尚蠡信息科技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3,575,642.19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3,575,642.19</w:t>
            </w:r>
          </w:p>
        </w:tc>
      </w:tr>
      <w:tr>
        <w:trPr>
          <w:trHeight w:val="40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6,690,566.54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sz w:val="18"/>
              </w:rPr>
              <w:t>466,431.10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6,224,135.44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59"/>
      <w:bookmarkEnd w:id="259"/>
      <w:r>
        <w:rPr>
          <w:b w:val="0"/>
          <w:bCs w:val="0"/>
        </w:rPr>
      </w:r>
      <w:r>
        <w:rPr/>
        <w:t>（</w:t>
      </w:r>
      <w:r>
        <w:rPr>
          <w:rFonts w:ascii="宋体" w:hAnsi="宋体" w:cs="宋体" w:eastAsia="宋体" w:hint="default"/>
        </w:rPr>
        <w:t>2</w:t>
      </w:r>
      <w:r>
        <w:rPr/>
        <w:t>）商誉减值准备</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32"/>
        <w:gridCol w:w="1367"/>
        <w:gridCol w:w="1367"/>
        <w:gridCol w:w="1367"/>
        <w:gridCol w:w="1368"/>
        <w:gridCol w:w="1367"/>
        <w:gridCol w:w="1273"/>
      </w:tblGrid>
      <w:tr>
        <w:trPr>
          <w:trHeight w:val="402" w:hRule="exact"/>
        </w:trPr>
        <w:tc>
          <w:tcPr>
            <w:tcW w:w="1532" w:type="dxa"/>
            <w:vMerge w:val="restart"/>
            <w:tcBorders>
              <w:top w:val="single" w:sz="4" w:space="0" w:color="000000"/>
              <w:left w:val="single" w:sz="4" w:space="0" w:color="000000"/>
              <w:right w:val="single" w:sz="4" w:space="0" w:color="000000"/>
            </w:tcBorders>
          </w:tcPr>
          <w:p>
            <w:pPr>
              <w:pStyle w:val="TableParagraph"/>
              <w:spacing w:line="316" w:lineRule="auto" w:before="97"/>
              <w:ind w:left="129" w:right="40"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3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3" w:type="dxa"/>
            <w:vMerge/>
            <w:tcBorders>
              <w:left w:val="single" w:sz="4" w:space="0" w:color="000000"/>
              <w:bottom w:val="single" w:sz="4" w:space="0" w:color="000000"/>
              <w:right w:val="single" w:sz="4" w:space="0" w:color="000000"/>
            </w:tcBorders>
          </w:tcPr>
          <w:p>
            <w:pPr/>
          </w:p>
        </w:tc>
      </w:tr>
      <w:tr>
        <w:trPr>
          <w:trHeight w:val="71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武汉天喻信通制卡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466,431.10</w:t>
            </w: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466,431.10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sz w:val="18"/>
              </w:rPr>
              <w:t>466,431.10</w:t>
            </w:r>
          </w:p>
        </w:tc>
        <w:tc>
          <w:tcPr>
            <w:tcW w:w="12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5"/>
        <w:ind w:left="1494" w:right="0"/>
        <w:jc w:val="left"/>
      </w:pPr>
      <w:r>
        <w:rPr/>
        <w:t>报告期内子公司天喻信通完成工商注销登记，将原合并天喻信通产生的商誉和计提的商誉减值予以转销。</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5、长期待摊费用" w:id="260"/>
      <w:bookmarkEnd w:id="260"/>
      <w:r>
        <w:rPr>
          <w:b w:val="0"/>
          <w:bCs w:val="0"/>
        </w:rPr>
      </w:r>
      <w:r>
        <w:rPr>
          <w:rFonts w:ascii="宋体" w:hAnsi="宋体" w:cs="宋体" w:eastAsia="宋体" w:hint="default"/>
        </w:rPr>
        <w:t>15</w:t>
      </w:r>
      <w:r>
        <w:rPr/>
        <w:t>、长期待摊费用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71"/>
        <w:gridCol w:w="1596"/>
        <w:gridCol w:w="1595"/>
        <w:gridCol w:w="1594"/>
        <w:gridCol w:w="1594"/>
        <w:gridCol w:w="1391"/>
      </w:tblGrid>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4,307.95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4,307.95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9,090,113.41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2,044,907.94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2,939,215.78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8,195,805.57</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技术许可及服务费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619,963.76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13,435,968.13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4,649,005.44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9,406,926.45</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教育云平台技术服务费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602,355.48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282,430.08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319,925.40</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3,226,372.30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268,867.92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2,165,290.35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1,329,949.87</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宋体" w:hAnsi="宋体" w:cs="宋体" w:eastAsia="宋体" w:hint="default"/>
                <w:sz w:val="18"/>
                <w:szCs w:val="18"/>
              </w:rPr>
              <w:t>e</w:t>
            </w:r>
            <w:r>
              <w:rPr>
                <w:rFonts w:ascii="宋体" w:hAnsi="宋体" w:cs="宋体" w:eastAsia="宋体" w:hint="default"/>
                <w:spacing w:val="-46"/>
                <w:sz w:val="18"/>
                <w:szCs w:val="18"/>
              </w:rPr>
              <w:t> </w:t>
            </w:r>
            <w:r>
              <w:rPr>
                <w:rFonts w:ascii="宋体" w:hAnsi="宋体" w:cs="宋体" w:eastAsia="宋体" w:hint="default"/>
                <w:sz w:val="18"/>
                <w:szCs w:val="18"/>
              </w:rPr>
              <w:t>付终端服务费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1,228,819.19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200,824.10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1,027,995.09</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151,928.67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455,446.02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228,917.07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378,457.62</w:t>
            </w:r>
          </w:p>
        </w:tc>
      </w:tr>
      <w:tr>
        <w:trPr>
          <w:trHeight w:val="403"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13,695,041.57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17,434,009.20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10,469,990.77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20,659,060.00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w:t>
      </w:r>
    </w:p>
    <w:p>
      <w:pPr>
        <w:pStyle w:val="BodyText"/>
        <w:spacing w:line="240" w:lineRule="auto" w:before="116"/>
        <w:ind w:left="1494" w:right="0"/>
        <w:jc w:val="left"/>
      </w:pPr>
      <w:r>
        <w:rPr/>
        <w:t>报告期末长期待摊费用较期初增加</w:t>
      </w:r>
      <w:r>
        <w:rPr>
          <w:rFonts w:ascii="宋体" w:hAnsi="宋体" w:cs="宋体" w:eastAsia="宋体" w:hint="default"/>
        </w:rPr>
        <w:t>50.85%</w:t>
      </w:r>
      <w:r>
        <w:rPr/>
        <w:t>，主要由于受益期在</w:t>
      </w:r>
      <w:r>
        <w:rPr>
          <w:rFonts w:ascii="宋体" w:hAnsi="宋体" w:cs="宋体" w:eastAsia="宋体" w:hint="default"/>
        </w:rPr>
        <w:t>1</w:t>
      </w:r>
      <w:r>
        <w:rPr/>
        <w:t>年以上的技术许可费增加。</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6、递延所得税资产/递延所得税负债" w:id="261"/>
      <w:bookmarkEnd w:id="261"/>
      <w:r>
        <w:rPr>
          <w:b w:val="0"/>
          <w:bCs w:val="0"/>
        </w:rPr>
      </w:r>
      <w:r>
        <w:rPr>
          <w:rFonts w:ascii="宋体" w:hAnsi="宋体" w:cs="宋体" w:eastAsia="宋体" w:hint="default"/>
        </w:rPr>
        <w:t>16</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未经抵销的递延所得税资产" w:id="262"/>
      <w:bookmarkEnd w:id="262"/>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176,526,522.37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26,478,978.35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142,095,493.40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21,352,032.26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62,693.56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9,404.03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2,212,723.72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331,908.55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1,352,775.64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202,916.34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15,688,931.57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2,353,339.74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13,593,342.42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2,041,680.46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42,309,605.59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6,346,440.84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39,908,255.30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5,986,238.30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236,800,476.81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35,520,071.51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196,949,866.76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29,582,867.36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63"/>
      <w:bookmarkEnd w:id="263"/>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135,342,906.40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20,301,435.96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4,793,920.00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719,088.00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135,342,906.40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20,301,435.96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4,793,920.00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719,088.00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64"/>
      <w:bookmarkEnd w:id="264"/>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35,520,071.51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29,582,867.36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20,301,435.96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719,088.00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65"/>
      <w:bookmarkEnd w:id="265"/>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0" w:right="0"/>
              <w:jc w:val="left"/>
              <w:rPr>
                <w:rFonts w:ascii="宋体" w:hAnsi="宋体" w:cs="宋体" w:eastAsia="宋体" w:hint="default"/>
                <w:sz w:val="18"/>
                <w:szCs w:val="18"/>
              </w:rPr>
            </w:pPr>
            <w:r>
              <w:rPr>
                <w:rFonts w:ascii="宋体"/>
                <w:sz w:val="18"/>
              </w:rPr>
              <w:t>211,254,687.16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154,781,221.37</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24,624,804.94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23,323,555.46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14,409,472.72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13,642,186.34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未实现内部交易损益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287,421.29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1,075,019.47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250,576,386.11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192,821,982.64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66"/>
      <w:bookmarkEnd w:id="266"/>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21,049,940.12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21,049,940.12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15,459,980.35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15,459,980.35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30,772,328.42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31,094,571.36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86,248,560.24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87,176,729.54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57,723,878.03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211,254,687.16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154,781,221.37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5"/>
        <w:ind w:right="1122" w:firstLine="360"/>
        <w:jc w:val="left"/>
      </w:pPr>
      <w:r>
        <w:rPr/>
        <w:t>报告期末递延所得税负债较期初增加</w:t>
      </w:r>
      <w:r>
        <w:rPr>
          <w:rFonts w:ascii="宋体" w:hAnsi="宋体" w:cs="宋体" w:eastAsia="宋体" w:hint="default"/>
        </w:rPr>
        <w:t>2,723.22%</w:t>
      </w:r>
      <w:r>
        <w:rPr/>
        <w:t>，主要由于公司持有的韦尔股份股权公允价值变动产生的应纳税暂时性 差异增加。</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7、其他非流动资产" w:id="267"/>
      <w:bookmarkEnd w:id="267"/>
      <w:r>
        <w:rPr>
          <w:b w:val="0"/>
          <w:bCs w:val="0"/>
        </w:rPr>
      </w:r>
      <w:r>
        <w:rPr>
          <w:rFonts w:ascii="宋体" w:hAnsi="宋体" w:cs="宋体" w:eastAsia="宋体" w:hint="default"/>
        </w:rPr>
        <w:t>17</w:t>
      </w:r>
      <w:r>
        <w:rPr/>
        <w:t>、其他非流动资产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预付设备及软件款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776,275.03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5,302,632.58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776,275.03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5,302,632.58</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1494" w:right="0"/>
        <w:jc w:val="left"/>
      </w:pPr>
      <w:r>
        <w:rPr/>
        <w:t>报告期末其他非流动资产较期初减少</w:t>
      </w:r>
      <w:r>
        <w:rPr>
          <w:rFonts w:ascii="宋体" w:hAnsi="宋体" w:cs="宋体" w:eastAsia="宋体" w:hint="default"/>
        </w:rPr>
        <w:t>85.36%</w:t>
      </w:r>
      <w:r>
        <w:rPr/>
        <w:t>，主要由于预付设备款按合同履约结算。</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短期借款" w:id="268"/>
      <w:bookmarkEnd w:id="268"/>
      <w:r>
        <w:rPr>
          <w:b w:val="0"/>
          <w:bCs w:val="0"/>
        </w:rPr>
      </w:r>
      <w:r>
        <w:rPr>
          <w:rFonts w:ascii="宋体" w:hAnsi="宋体" w:cs="宋体" w:eastAsia="宋体" w:hint="default"/>
        </w:rPr>
        <w:t>18</w:t>
      </w:r>
      <w:r>
        <w:rPr/>
        <w:t>、短期借款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6"/>
        <w:ind w:left="1133" w:right="1123" w:firstLine="360"/>
        <w:jc w:val="left"/>
      </w:pPr>
      <w:r>
        <w:rPr/>
        <w:t>报告期末短期借款较期初减少</w:t>
      </w:r>
      <w:r>
        <w:rPr>
          <w:rFonts w:ascii="宋体" w:hAnsi="宋体" w:cs="宋体" w:eastAsia="宋体" w:hint="default"/>
        </w:rPr>
        <w:t>80%</w:t>
      </w:r>
      <w:r>
        <w:rPr/>
        <w:t>，主要由于报告期公司持续加强客户信用管理和合同生命周期管理，销售回款同比增 加，经营活动产生的现金流量净额同比增加，融资需求减少。</w:t>
      </w:r>
    </w:p>
    <w:p>
      <w:pPr>
        <w:spacing w:after="0" w:line="319"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9、应付票据" w:id="269"/>
      <w:bookmarkEnd w:id="269"/>
      <w:r>
        <w:rPr>
          <w:b w:val="0"/>
          <w:bCs w:val="0"/>
        </w:rPr>
      </w:r>
      <w:r>
        <w:rPr>
          <w:rFonts w:ascii="宋体" w:hAnsi="宋体" w:cs="宋体" w:eastAsia="宋体" w:hint="default"/>
        </w:rPr>
        <w:t>19</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9"/>
                <w:szCs w:val="9"/>
              </w:rPr>
            </w:pPr>
            <w:r>
              <w:rPr>
                <w:rFonts w:ascii="宋体"/>
                <w:sz w:val="18"/>
              </w:rPr>
              <w:t>150,993,361.82</w:t>
            </w:r>
            <w:r>
              <w:rPr>
                <w:rFonts w:ascii="宋体"/>
                <w:color w:val="FF0000"/>
                <w:position w:val="9"/>
                <w:sz w:val="9"/>
              </w:rPr>
              <w:t>1</w:t>
            </w:r>
            <w:r>
              <w:rPr>
                <w:rFonts w:ascii="宋体"/>
                <w:sz w:val="9"/>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112,835,904.06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150,993,361.82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112,835,904.06</w:t>
            </w:r>
          </w:p>
        </w:tc>
      </w:tr>
    </w:tbl>
    <w:p>
      <w:pPr>
        <w:pStyle w:val="BodyText"/>
        <w:spacing w:line="240" w:lineRule="auto" w:before="51"/>
        <w:ind w:right="0"/>
        <w:jc w:val="left"/>
      </w:pPr>
      <w:r>
        <w:rPr/>
        <w:t>注</w:t>
      </w:r>
      <w:r>
        <w:rPr>
          <w:spacing w:val="-46"/>
        </w:rPr>
        <w:t> </w:t>
      </w:r>
      <w:r>
        <w:rPr>
          <w:rFonts w:ascii="宋体" w:hAnsi="宋体" w:cs="宋体" w:eastAsia="宋体" w:hint="default"/>
        </w:rPr>
        <w:t>1</w:t>
      </w:r>
      <w:r>
        <w:rPr/>
        <w:t>：</w:t>
      </w:r>
    </w:p>
    <w:p>
      <w:pPr>
        <w:pStyle w:val="BodyText"/>
        <w:spacing w:line="439" w:lineRule="auto" w:before="116"/>
        <w:ind w:left="1494" w:right="3868"/>
        <w:jc w:val="left"/>
      </w:pPr>
      <w:r>
        <w:rPr/>
        <w:t>报告期末应付票据较期初增加</w:t>
      </w:r>
      <w:r>
        <w:rPr>
          <w:spacing w:val="-46"/>
        </w:rPr>
        <w:t> </w:t>
      </w:r>
      <w:r>
        <w:rPr>
          <w:rFonts w:ascii="宋体" w:hAnsi="宋体" w:cs="宋体" w:eastAsia="宋体" w:hint="default"/>
        </w:rPr>
        <w:t>33.82%</w:t>
      </w:r>
      <w:r>
        <w:rPr/>
        <w:t>，主要由于采取票据结算方式的业务量增加。 本期末已到期未支付的应付票据总额为</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bookmarkStart w:name="20、应付账款" w:id="270"/>
      <w:bookmarkEnd w:id="270"/>
      <w:r>
        <w:rPr>
          <w:b w:val="0"/>
          <w:bCs w:val="0"/>
        </w:rPr>
      </w:r>
      <w:r>
        <w:rPr>
          <w:rFonts w:ascii="宋体" w:hAnsi="宋体" w:cs="宋体" w:eastAsia="宋体" w:hint="default"/>
        </w:rPr>
        <w:t>20</w:t>
      </w:r>
      <w:r>
        <w:rPr/>
        <w:t>、应付账款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付账款列示" w:id="271"/>
      <w:bookmarkEnd w:id="271"/>
      <w:r>
        <w:rPr>
          <w:b w:val="0"/>
          <w:bCs w:val="0"/>
        </w:rPr>
      </w:r>
      <w:r>
        <w:rPr/>
        <w:t>（</w:t>
      </w:r>
      <w:r>
        <w:rPr>
          <w:rFonts w:ascii="宋体" w:hAnsi="宋体" w:cs="宋体" w:eastAsia="宋体" w:hint="default"/>
        </w:rPr>
        <w:t>1</w:t>
      </w:r>
      <w:r>
        <w:rPr/>
        <w:t>）应付账款列示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238,608,619.60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139,570,829.03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5,402,783.06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11,798,478.67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7,677,173.85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2,059,180.34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5,225,640.27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3,448,169.50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256,914,216.78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156,876,657.54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72"/>
      <w:bookmarkEnd w:id="272"/>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02"/>
        <w:gridCol w:w="2979"/>
        <w:gridCol w:w="3189"/>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4"/>
                <w:sz w:val="18"/>
                <w:szCs w:val="18"/>
              </w:rPr>
              <w:t>中国建筑一局（集团）有限公司武汉分公司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4,410,672.36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4,410,672.36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0" w:right="1365"/>
        <w:jc w:val="right"/>
      </w:pPr>
      <w:r>
        <w:rPr/>
        <w:t>报告期末应付账款较期初增加</w:t>
      </w:r>
      <w:r>
        <w:rPr>
          <w:spacing w:val="-46"/>
        </w:rPr>
        <w:t> </w:t>
      </w:r>
      <w:r>
        <w:rPr>
          <w:rFonts w:ascii="宋体" w:hAnsi="宋体" w:cs="宋体" w:eastAsia="宋体" w:hint="default"/>
        </w:rPr>
        <w:t>63.77%</w:t>
      </w:r>
      <w:r>
        <w:rPr/>
        <w:t>，主要由于金融终端产品销量大幅增长，采购备货产生的应付账款相应增加。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预收款项" w:id="273"/>
      <w:bookmarkEnd w:id="273"/>
      <w:r>
        <w:rPr>
          <w:b w:val="0"/>
          <w:bCs w:val="0"/>
        </w:rPr>
      </w:r>
      <w:r>
        <w:rPr>
          <w:rFonts w:ascii="宋体" w:hAnsi="宋体" w:cs="宋体" w:eastAsia="宋体" w:hint="default"/>
        </w:rPr>
        <w:t>21</w:t>
      </w:r>
      <w:r>
        <w:rPr/>
        <w:t>、预收款项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预收款项列示" w:id="274"/>
      <w:bookmarkEnd w:id="274"/>
      <w:r>
        <w:rPr>
          <w:b w:val="0"/>
          <w:bCs w:val="0"/>
        </w:rPr>
      </w:r>
      <w:r>
        <w:rPr/>
        <w:t>（</w:t>
      </w:r>
      <w:r>
        <w:rPr>
          <w:rFonts w:ascii="宋体" w:hAnsi="宋体" w:cs="宋体" w:eastAsia="宋体" w:hint="default"/>
        </w:rPr>
        <w:t>1</w:t>
      </w:r>
      <w:r>
        <w:rPr/>
        <w:t>）预收款项列示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37,648,881.22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6" w:right="0"/>
              <w:jc w:val="left"/>
              <w:rPr>
                <w:rFonts w:ascii="宋体" w:hAnsi="宋体" w:cs="宋体" w:eastAsia="宋体" w:hint="default"/>
                <w:sz w:val="18"/>
                <w:szCs w:val="18"/>
              </w:rPr>
            </w:pPr>
            <w:r>
              <w:rPr>
                <w:rFonts w:ascii="宋体"/>
                <w:sz w:val="18"/>
              </w:rPr>
              <w:t>51,440,383.48</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2,331,352.34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3,902,293.14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1,457,372.21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558,321.30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3,338,577.95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2,997,685.38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44,776,183.72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58,898,683.30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75"/>
      <w:bookmarkEnd w:id="275"/>
      <w:r>
        <w:rPr>
          <w:b w:val="0"/>
          <w:bCs w:val="0"/>
        </w:rPr>
      </w:r>
      <w:r>
        <w:rPr>
          <w:rFonts w:ascii="宋体" w:hAnsi="宋体" w:cs="宋体" w:eastAsia="宋体" w:hint="default"/>
        </w:rPr>
        <w:t>22</w:t>
      </w:r>
      <w:r>
        <w:rPr/>
        <w:t>、应付职工薪酬</w:t>
      </w:r>
      <w:r>
        <w:rPr>
          <w:b w:val="0"/>
          <w:bCs w:val="0"/>
        </w:rPr>
      </w:r>
    </w:p>
    <w:p>
      <w:pPr>
        <w:spacing w:line="240" w:lineRule="auto" w:before="4"/>
        <w:rPr>
          <w:rFonts w:ascii="宋体" w:hAnsi="宋体" w:cs="宋体" w:eastAsia="宋体" w:hint="default"/>
          <w:b/>
          <w:bCs/>
          <w:sz w:val="21"/>
          <w:szCs w:val="21"/>
        </w:rPr>
      </w:pPr>
    </w:p>
    <w:p>
      <w:pPr>
        <w:pStyle w:val="Heading3"/>
        <w:spacing w:line="240" w:lineRule="auto"/>
        <w:ind w:right="0"/>
        <w:jc w:val="left"/>
        <w:rPr>
          <w:b w:val="0"/>
          <w:bCs w:val="0"/>
        </w:rPr>
      </w:pPr>
      <w:bookmarkStart w:name="（1）应付职工薪酬列示" w:id="276"/>
      <w:bookmarkEnd w:id="276"/>
      <w:r>
        <w:rPr>
          <w:b w:val="0"/>
          <w:bCs w:val="0"/>
        </w:rPr>
      </w:r>
      <w:r>
        <w:rPr/>
        <w:t>（</w:t>
      </w:r>
      <w:r>
        <w:rPr>
          <w:rFonts w:ascii="宋体" w:hAnsi="宋体" w:cs="宋体" w:eastAsia="宋体" w:hint="default"/>
        </w:rPr>
        <w:t>1</w:t>
      </w:r>
      <w:r>
        <w:rPr/>
        <w:t>）应付职工薪酬列示</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1815"/>
        <w:gridCol w:w="1914"/>
        <w:gridCol w:w="1914"/>
        <w:gridCol w:w="143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53,550,441.64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307,335,987.51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304,167,350.84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56,719,078.31</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8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26,586,144.89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26,586,144.89</w:t>
            </w:r>
          </w:p>
        </w:tc>
        <w:tc>
          <w:tcPr>
            <w:tcW w:w="14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1,576,403.29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1,576,403.29</w:t>
            </w:r>
          </w:p>
        </w:tc>
        <w:tc>
          <w:tcPr>
            <w:tcW w:w="14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53,550,441.64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335,498,535.69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332,329,899.02</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56,719,078.31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77"/>
      <w:bookmarkEnd w:id="277"/>
      <w:r>
        <w:rPr>
          <w:b w:val="0"/>
          <w:bCs w:val="0"/>
        </w:rPr>
      </w:r>
      <w:r>
        <w:rPr/>
        <w:t>（</w:t>
      </w:r>
      <w:r>
        <w:rPr>
          <w:rFonts w:ascii="宋体" w:hAnsi="宋体" w:cs="宋体" w:eastAsia="宋体" w:hint="default"/>
        </w:rPr>
        <w:t>2</w:t>
      </w:r>
      <w:r>
        <w:rPr/>
        <w:t>）短期薪酬列示</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25"/>
        <w:gridCol w:w="1757"/>
        <w:gridCol w:w="1914"/>
        <w:gridCol w:w="1914"/>
        <w:gridCol w:w="1666"/>
      </w:tblGrid>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51,004,282.46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267,539,553.51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264,602,418.01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53,941,417.96</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111,188.80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12,638,469.23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12,514,019.28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235,638.75</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12,265,385.78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12,265,385.78</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10,803,834.83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10,803,834.83</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655,572.99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655,572.99</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805,977.96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805,977.96</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1,074,965.50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8,877,794.68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8,812,897.72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1,139,862.46</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1,360,004.88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5,072,084.18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5,029,929.92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1,402,159.14</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942,700.13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942,700.13</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53,550,441.64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307,335,987.51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304,167,350.84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56,719,078.31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8"/>
      <w:bookmarkEnd w:id="278"/>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25,686,919.37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25,686,919.37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899,225.52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899,225.52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26,586,144.89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26,586,144.89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3、应交税费" w:id="279"/>
      <w:bookmarkEnd w:id="279"/>
      <w:r>
        <w:rPr>
          <w:b w:val="0"/>
          <w:bCs w:val="0"/>
        </w:rPr>
      </w:r>
      <w:r>
        <w:rPr>
          <w:rFonts w:ascii="宋体" w:hAnsi="宋体" w:cs="宋体" w:eastAsia="宋体" w:hint="default"/>
        </w:rPr>
        <w:t>23</w:t>
      </w:r>
      <w:r>
        <w:rPr/>
        <w:t>、应交税费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10,763,946.99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16,336,590.74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1,761,516.79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2,841,393.43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967,753.91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986,896.10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754,739.55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1,197,234.50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323,459.81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510,245.35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161,886.67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259,565.98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187,176.04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187,923.26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112,240.73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112,240.73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112,810.42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90,709.61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15,145,530.91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22,520,349.70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1494" w:right="0"/>
        <w:jc w:val="left"/>
      </w:pPr>
      <w:r>
        <w:rPr/>
        <w:t>报告期末应交税费较期初减少</w:t>
      </w:r>
      <w:r>
        <w:rPr>
          <w:rFonts w:ascii="宋体" w:hAnsi="宋体" w:cs="宋体" w:eastAsia="宋体" w:hint="default"/>
        </w:rPr>
        <w:t>32.75%</w:t>
      </w:r>
      <w:r>
        <w:rPr/>
        <w:t>，主要由于报告期末应交增值税额减少。</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4、应付利息" w:id="280"/>
      <w:bookmarkEnd w:id="280"/>
      <w:r>
        <w:rPr>
          <w:b w:val="0"/>
          <w:bCs w:val="0"/>
        </w:rPr>
      </w:r>
      <w:r>
        <w:rPr>
          <w:rFonts w:ascii="宋体" w:hAnsi="宋体" w:cs="宋体" w:eastAsia="宋体" w:hint="default"/>
        </w:rPr>
        <w:t>24</w:t>
      </w:r>
      <w:r>
        <w:rPr/>
        <w:t>、应付利息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111,166.67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111,166.67</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1494" w:right="0"/>
        <w:jc w:val="left"/>
      </w:pPr>
      <w:r>
        <w:rPr/>
        <w:t>报告期末应付利息较期初减少</w:t>
      </w:r>
      <w:r>
        <w:rPr>
          <w:rFonts w:ascii="宋体" w:hAnsi="宋体" w:cs="宋体" w:eastAsia="宋体" w:hint="default"/>
        </w:rPr>
        <w:t>100%</w:t>
      </w:r>
      <w:r>
        <w:rPr/>
        <w:t>，主要由于借款利息已全额支付。</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5、其他应付款" w:id="281"/>
      <w:bookmarkEnd w:id="281"/>
      <w:r>
        <w:rPr>
          <w:b w:val="0"/>
          <w:bCs w:val="0"/>
        </w:rPr>
      </w:r>
      <w:r>
        <w:rPr>
          <w:rFonts w:ascii="宋体" w:hAnsi="宋体" w:cs="宋体" w:eastAsia="宋体" w:hint="default"/>
        </w:rPr>
        <w:t>25</w:t>
      </w:r>
      <w:r>
        <w:rPr/>
        <w:t>、其他应付款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按款项性质列示其他应付款" w:id="282"/>
      <w:bookmarkEnd w:id="282"/>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2,806,096.11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3,462,650.42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保证金和押金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429,848.43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266,420.58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31,195,328.38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10,691,394.26</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16,324,304.57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15,198,922.42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1,412,205.88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1,608,088.81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52,368,883.37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31,432,076.49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83"/>
      <w:bookmarkEnd w:id="283"/>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4,465,064.69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4,465,064.69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5"/>
        <w:ind w:left="1133" w:right="0" w:firstLine="360"/>
        <w:jc w:val="left"/>
      </w:pPr>
      <w:r>
        <w:rPr>
          <w:spacing w:val="-2"/>
        </w:rPr>
        <w:t>报告期末其他应付款较期初增加</w:t>
      </w:r>
      <w:r>
        <w:rPr>
          <w:rFonts w:ascii="宋体" w:hAnsi="宋体" w:cs="宋体" w:eastAsia="宋体" w:hint="default"/>
          <w:spacing w:val="-2"/>
        </w:rPr>
        <w:t>66.61%</w:t>
      </w:r>
      <w:r>
        <w:rPr>
          <w:spacing w:val="-2"/>
        </w:rPr>
        <w:t>，主要由于子公司天喻教育为促进智慧教育业务快速发展，以增资方式引入外部</w:t>
      </w:r>
      <w:r>
        <w:rPr/>
        <w:t> 投资者，报告期内收到部分增资款，尚未完成工商变更等相关手续。</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bookmarkStart w:name="26、持有待售的负债" w:id="284"/>
      <w:bookmarkEnd w:id="284"/>
      <w:r>
        <w:rPr>
          <w:b w:val="0"/>
          <w:bCs w:val="0"/>
        </w:rPr>
      </w:r>
      <w:r>
        <w:rPr>
          <w:rFonts w:ascii="宋体" w:hAnsi="宋体" w:cs="宋体" w:eastAsia="宋体" w:hint="default"/>
        </w:rPr>
        <w:t>26</w:t>
      </w:r>
      <w:r>
        <w:rPr/>
        <w:t>、持有待售的负债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5"/>
        <w:ind w:left="1133" w:right="0" w:firstLine="360"/>
        <w:jc w:val="left"/>
      </w:pPr>
      <w:r>
        <w:rPr>
          <w:spacing w:val="-4"/>
        </w:rPr>
        <w:t>报告期内，公司根据出售紫菘花园两套房产的协议向买方收取定金，由于该款项与划分为持有待售资产的两套房产相关，</w:t>
      </w:r>
      <w:r>
        <w:rPr/>
        <w:t> 因此将其划分为持有待售负债。</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bookmarkStart w:name="27、递延收益" w:id="285"/>
      <w:bookmarkEnd w:id="285"/>
      <w:r>
        <w:rPr>
          <w:b w:val="0"/>
          <w:bCs w:val="0"/>
        </w:rPr>
      </w:r>
      <w:r>
        <w:rPr>
          <w:rFonts w:ascii="宋体" w:hAnsi="宋体" w:cs="宋体" w:eastAsia="宋体" w:hint="default"/>
        </w:rPr>
        <w:t>27</w:t>
      </w:r>
      <w:r>
        <w:rPr/>
        <w:t>、递延收益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sz w:val="18"/>
              </w:rPr>
              <w:t>19,870,000.00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13,720,000.00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6,600,000.00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sz w:val="18"/>
              </w:rPr>
              <w:t>19,870,000.00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13,720,000.00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6,600,000.00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涉及政府补助的项目：</w:t>
      </w:r>
    </w:p>
    <w:p>
      <w:pPr>
        <w:pStyle w:val="BodyText"/>
        <w:spacing w:line="240" w:lineRule="auto" w:before="117"/>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465" w:type="dxa"/>
        <w:tblLayout w:type="fixed"/>
        <w:tblCellMar>
          <w:top w:w="0" w:type="dxa"/>
          <w:left w:w="0" w:type="dxa"/>
          <w:bottom w:w="0" w:type="dxa"/>
          <w:right w:w="0" w:type="dxa"/>
        </w:tblCellMar>
        <w:tblLook w:val="01E0"/>
      </w:tblPr>
      <w:tblGrid>
        <w:gridCol w:w="2444"/>
        <w:gridCol w:w="1301"/>
        <w:gridCol w:w="1020"/>
        <w:gridCol w:w="1153"/>
        <w:gridCol w:w="1368"/>
        <w:gridCol w:w="990"/>
        <w:gridCol w:w="420"/>
        <w:gridCol w:w="1176"/>
        <w:gridCol w:w="1092"/>
      </w:tblGrid>
      <w:tr>
        <w:trPr>
          <w:trHeight w:val="71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3" w:right="5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1" w:right="30"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9" w:right="47"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 w:right="3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1" w:right="45"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40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
              <w:jc w:val="center"/>
              <w:rPr>
                <w:rFonts w:ascii="宋体" w:hAnsi="宋体" w:cs="宋体" w:eastAsia="宋体" w:hint="default"/>
                <w:sz w:val="18"/>
                <w:szCs w:val="18"/>
              </w:rPr>
            </w:pPr>
            <w:r>
              <w:rPr>
                <w:rFonts w:ascii="宋体" w:hAnsi="宋体" w:cs="宋体" w:eastAsia="宋体" w:hint="default"/>
                <w:sz w:val="18"/>
                <w:szCs w:val="18"/>
              </w:rPr>
              <w:t>教育云基础支撑平台研发项目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12,100,000.00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sz w:val="18"/>
              </w:rPr>
              <w:t>12,100,000.00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无线城市移动文化生活综合服 务系统与应用示范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5"/>
              <w:jc w:val="center"/>
              <w:rPr>
                <w:rFonts w:ascii="宋体" w:hAnsi="宋体" w:cs="宋体" w:eastAsia="宋体" w:hint="default"/>
                <w:sz w:val="18"/>
                <w:szCs w:val="18"/>
              </w:rPr>
            </w:pPr>
            <w:r>
              <w:rPr>
                <w:rFonts w:ascii="宋体" w:hAnsi="宋体" w:cs="宋体" w:eastAsia="宋体" w:hint="default"/>
                <w:sz w:val="18"/>
                <w:szCs w:val="18"/>
              </w:rPr>
              <w:t>面向移动互联网的个人金融终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465" w:type="dxa"/>
        <w:tblLayout w:type="fixed"/>
        <w:tblCellMar>
          <w:top w:w="0" w:type="dxa"/>
          <w:left w:w="0" w:type="dxa"/>
          <w:bottom w:w="0" w:type="dxa"/>
          <w:right w:w="0" w:type="dxa"/>
        </w:tblCellMar>
        <w:tblLook w:val="01E0"/>
      </w:tblPr>
      <w:tblGrid>
        <w:gridCol w:w="2444"/>
        <w:gridCol w:w="1301"/>
        <w:gridCol w:w="1020"/>
        <w:gridCol w:w="1153"/>
        <w:gridCol w:w="1368"/>
        <w:gridCol w:w="990"/>
        <w:gridCol w:w="420"/>
        <w:gridCol w:w="1176"/>
        <w:gridCol w:w="1092"/>
      </w:tblGrid>
      <w:tr>
        <w:trPr>
          <w:trHeight w:val="36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端产品研发与产业化项目</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基于教育云的电子书包及在线 教育平台项目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基于大数据的数字教育云平台 及数字内容库建设与示范项目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金融支付服务平台项目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3551</w:t>
            </w:r>
            <w:r>
              <w:rPr>
                <w:rFonts w:ascii="宋体" w:hAnsi="宋体" w:cs="宋体" w:eastAsia="宋体" w:hint="default"/>
                <w:spacing w:val="-46"/>
                <w:sz w:val="18"/>
                <w:szCs w:val="18"/>
              </w:rPr>
              <w:t> </w:t>
            </w:r>
            <w:r>
              <w:rPr>
                <w:rFonts w:ascii="宋体" w:hAnsi="宋体" w:cs="宋体" w:eastAsia="宋体" w:hint="default"/>
                <w:sz w:val="18"/>
                <w:szCs w:val="18"/>
              </w:rPr>
              <w:t>光谷人才计划”</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450,000.00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19,870,000.00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450,000.00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13,720,000.00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6,600,000.00</w:t>
            </w:r>
          </w:p>
        </w:tc>
        <w:tc>
          <w:tcPr>
            <w:tcW w:w="10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5"/>
        <w:ind w:left="1494" w:right="0"/>
        <w:jc w:val="left"/>
      </w:pPr>
      <w:r>
        <w:rPr/>
        <w:t>报告期末递延收益较期初减少</w:t>
      </w:r>
      <w:r>
        <w:rPr>
          <w:rFonts w:ascii="宋体" w:hAnsi="宋体" w:cs="宋体" w:eastAsia="宋体" w:hint="default"/>
        </w:rPr>
        <w:t>66.78%</w:t>
      </w:r>
      <w:r>
        <w:rPr/>
        <w:t>，主要由于政府补助项目已完成验收，进行了项目结转，计入其他收益。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8、股本" w:id="286"/>
      <w:bookmarkEnd w:id="286"/>
      <w:r>
        <w:rPr>
          <w:b w:val="0"/>
          <w:bCs w:val="0"/>
        </w:rPr>
      </w:r>
      <w:r>
        <w:rPr>
          <w:rFonts w:ascii="宋体" w:hAnsi="宋体" w:cs="宋体" w:eastAsia="宋体" w:hint="default"/>
        </w:rPr>
        <w:t>28</w:t>
      </w:r>
      <w:r>
        <w:rPr/>
        <w:t>、股本</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9"/>
        <w:gridCol w:w="1499"/>
        <w:gridCol w:w="993"/>
        <w:gridCol w:w="991"/>
        <w:gridCol w:w="1196"/>
        <w:gridCol w:w="930"/>
        <w:gridCol w:w="1196"/>
        <w:gridCol w:w="1391"/>
      </w:tblGrid>
      <w:tr>
        <w:trPr>
          <w:trHeight w:val="40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9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9" w:type="dxa"/>
            <w:vMerge/>
            <w:tcBorders>
              <w:left w:val="single" w:sz="4" w:space="0" w:color="000000"/>
              <w:bottom w:val="single" w:sz="4" w:space="0" w:color="000000"/>
              <w:right w:val="single" w:sz="4" w:space="0" w:color="000000"/>
            </w:tcBorders>
          </w:tcPr>
          <w:p>
            <w:pPr/>
          </w:p>
        </w:tc>
        <w:tc>
          <w:tcPr>
            <w:tcW w:w="1499" w:type="dxa"/>
            <w:vMerge/>
            <w:tcBorders>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91" w:type="dxa"/>
            <w:vMerge/>
            <w:tcBorders>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5" w:right="0"/>
              <w:jc w:val="left"/>
              <w:rPr>
                <w:rFonts w:ascii="宋体" w:hAnsi="宋体" w:cs="宋体" w:eastAsia="宋体" w:hint="default"/>
                <w:sz w:val="18"/>
                <w:szCs w:val="18"/>
              </w:rPr>
            </w:pPr>
            <w:r>
              <w:rPr>
                <w:rFonts w:ascii="宋体"/>
                <w:sz w:val="18"/>
              </w:rPr>
              <w:t>430,056,000.00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430,056,000.00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9、资本公积" w:id="287"/>
      <w:bookmarkEnd w:id="287"/>
      <w:r>
        <w:rPr>
          <w:b w:val="0"/>
          <w:bCs w:val="0"/>
        </w:rPr>
      </w:r>
      <w:r>
        <w:rPr>
          <w:rFonts w:ascii="宋体" w:hAnsi="宋体" w:cs="宋体" w:eastAsia="宋体" w:hint="default"/>
        </w:rPr>
        <w:t>29</w:t>
      </w:r>
      <w:r>
        <w:rPr/>
        <w:t>、资本公积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400,168,520.72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2,616,072.55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397,552,448.17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15,305,112.02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15,305,112.02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415,473,632.74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2,616,072.55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412,857,560.19</w:t>
            </w:r>
          </w:p>
        </w:tc>
      </w:tr>
    </w:tbl>
    <w:p>
      <w:pPr>
        <w:spacing w:line="240" w:lineRule="auto" w:before="9"/>
        <w:rPr>
          <w:rFonts w:ascii="宋体" w:hAnsi="宋体" w:cs="宋体" w:eastAsia="宋体" w:hint="default"/>
          <w:sz w:val="6"/>
          <w:szCs w:val="6"/>
        </w:rPr>
      </w:pPr>
    </w:p>
    <w:p>
      <w:pPr>
        <w:pStyle w:val="BodyText"/>
        <w:spacing w:line="357" w:lineRule="auto" w:before="44"/>
        <w:ind w:left="1494" w:right="0" w:hanging="360"/>
        <w:jc w:val="left"/>
      </w:pPr>
      <w:r>
        <w:rPr/>
        <w:t>其他说明，包括本期增减变动情况、变动原因说明： </w:t>
      </w:r>
      <w:r>
        <w:rPr>
          <w:spacing w:val="-2"/>
        </w:rPr>
        <w:t>报告期内，公司子公司聚联网络购买公司子公司果核科技的少数股东股权，减少资本公积</w:t>
      </w:r>
      <w:r>
        <w:rPr>
          <w:rFonts w:ascii="宋体" w:hAnsi="宋体" w:cs="宋体" w:eastAsia="宋体" w:hint="default"/>
          <w:spacing w:val="-2"/>
        </w:rPr>
        <w:t>1,636,072.55</w:t>
      </w:r>
      <w:r>
        <w:rPr>
          <w:spacing w:val="-2"/>
        </w:rPr>
        <w:t>元；子公司天喻</w:t>
      </w:r>
    </w:p>
    <w:p>
      <w:pPr>
        <w:pStyle w:val="BodyText"/>
        <w:spacing w:line="225" w:lineRule="exact"/>
        <w:ind w:left="1133" w:right="0"/>
        <w:jc w:val="left"/>
      </w:pPr>
      <w:r>
        <w:rPr/>
        <w:t>教育向深圳市易考乐学测评有限公司实缴第二期出资，减少资本公积</w:t>
      </w:r>
      <w:r>
        <w:rPr>
          <w:rFonts w:ascii="宋体" w:hAnsi="宋体" w:cs="宋体" w:eastAsia="宋体" w:hint="default"/>
        </w:rPr>
        <w:t>980,000.00</w:t>
      </w:r>
      <w:r>
        <w:rPr/>
        <w:t>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0、其他综合收益" w:id="288"/>
      <w:bookmarkEnd w:id="288"/>
      <w:r>
        <w:rPr>
          <w:b w:val="0"/>
          <w:bCs w:val="0"/>
        </w:rPr>
      </w:r>
      <w:r>
        <w:rPr>
          <w:rFonts w:ascii="宋体" w:hAnsi="宋体" w:cs="宋体" w:eastAsia="宋体" w:hint="default"/>
        </w:rPr>
        <w:t>30</w:t>
      </w:r>
      <w:r>
        <w:rPr/>
        <w:t>、其他综合收益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71" w:type="dxa"/>
        <w:tblLayout w:type="fixed"/>
        <w:tblCellMar>
          <w:top w:w="0" w:type="dxa"/>
          <w:left w:w="0" w:type="dxa"/>
          <w:bottom w:w="0" w:type="dxa"/>
          <w:right w:w="0" w:type="dxa"/>
        </w:tblCellMar>
        <w:tblLook w:val="01E0"/>
      </w:tblPr>
      <w:tblGrid>
        <w:gridCol w:w="1518"/>
        <w:gridCol w:w="1142"/>
        <w:gridCol w:w="1330"/>
        <w:gridCol w:w="1022"/>
        <w:gridCol w:w="1244"/>
        <w:gridCol w:w="1337"/>
        <w:gridCol w:w="595"/>
        <w:gridCol w:w="1366"/>
      </w:tblGrid>
      <w:tr>
        <w:trPr>
          <w:trHeight w:val="402" w:hRule="exact"/>
        </w:trPr>
        <w:tc>
          <w:tcPr>
            <w:tcW w:w="1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518"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210" w:right="208" w:firstLine="90"/>
              <w:jc w:val="left"/>
              <w:rPr>
                <w:rFonts w:ascii="宋体" w:hAnsi="宋体" w:cs="宋体" w:eastAsia="宋体" w:hint="default"/>
                <w:sz w:val="18"/>
                <w:szCs w:val="18"/>
              </w:rPr>
            </w:pPr>
            <w:r>
              <w:rPr>
                <w:rFonts w:ascii="宋体" w:hAnsi="宋体" w:cs="宋体" w:eastAsia="宋体" w:hint="default"/>
                <w:sz w:val="18"/>
                <w:szCs w:val="18"/>
              </w:rPr>
              <w:t>本期所得 税前发生额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5" w:right="55"/>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1"/>
                <w:sz w:val="18"/>
                <w:szCs w:val="18"/>
              </w:rPr>
              <w:t>减：所得税费用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392" w:right="213"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36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71" w:type="dxa"/>
        <w:tblLayout w:type="fixed"/>
        <w:tblCellMar>
          <w:top w:w="0" w:type="dxa"/>
          <w:left w:w="0" w:type="dxa"/>
          <w:bottom w:w="0" w:type="dxa"/>
          <w:right w:w="0" w:type="dxa"/>
        </w:tblCellMar>
        <w:tblLook w:val="01E0"/>
      </w:tblPr>
      <w:tblGrid>
        <w:gridCol w:w="1518"/>
        <w:gridCol w:w="1142"/>
        <w:gridCol w:w="1330"/>
        <w:gridCol w:w="1022"/>
        <w:gridCol w:w="1244"/>
        <w:gridCol w:w="1337"/>
        <w:gridCol w:w="595"/>
        <w:gridCol w:w="1366"/>
      </w:tblGrid>
      <w:tr>
        <w:trPr>
          <w:trHeight w:val="71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以后将重分类进损 益的其他综合收益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4,074,832.00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130,548,986.40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19,582,347.96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110,966,638.44</w:t>
            </w:r>
          </w:p>
        </w:tc>
        <w:tc>
          <w:tcPr>
            <w:tcW w:w="5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115,041,470.44</w:t>
            </w:r>
          </w:p>
        </w:tc>
      </w:tr>
      <w:tr>
        <w:trPr>
          <w:trHeight w:val="102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firstLine="360"/>
              <w:jc w:val="both"/>
              <w:rPr>
                <w:rFonts w:ascii="宋体" w:hAnsi="宋体" w:cs="宋体" w:eastAsia="宋体" w:hint="default"/>
                <w:sz w:val="18"/>
                <w:szCs w:val="18"/>
              </w:rPr>
            </w:pPr>
            <w:r>
              <w:rPr>
                <w:rFonts w:ascii="宋体" w:hAnsi="宋体" w:cs="宋体" w:eastAsia="宋体" w:hint="default"/>
                <w:sz w:val="18"/>
                <w:szCs w:val="18"/>
              </w:rPr>
              <w:t>可供出售金融 资产公允价值变动 损益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sz w:val="18"/>
              </w:rPr>
              <w:t>4,074,832.00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sz w:val="18"/>
              </w:rPr>
              <w:t>130,548,986.40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19,582,347.96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center"/>
              <w:rPr>
                <w:rFonts w:ascii="宋体" w:hAnsi="宋体" w:cs="宋体" w:eastAsia="宋体" w:hint="default"/>
                <w:sz w:val="18"/>
                <w:szCs w:val="18"/>
              </w:rPr>
            </w:pPr>
            <w:r>
              <w:rPr>
                <w:rFonts w:ascii="宋体"/>
                <w:sz w:val="18"/>
              </w:rPr>
              <w:t>110,966,638.44</w:t>
            </w:r>
          </w:p>
        </w:tc>
        <w:tc>
          <w:tcPr>
            <w:tcW w:w="5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115,041,470.44</w:t>
            </w:r>
          </w:p>
        </w:tc>
      </w:tr>
      <w:tr>
        <w:trPr>
          <w:trHeight w:val="402"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4,074,832.00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sz w:val="18"/>
              </w:rPr>
              <w:t>130,548,986.40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19,582,347.96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110,966,638.44</w:t>
            </w:r>
          </w:p>
        </w:tc>
        <w:tc>
          <w:tcPr>
            <w:tcW w:w="5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115,041,470.44</w:t>
            </w:r>
          </w:p>
        </w:tc>
      </w:tr>
    </w:tbl>
    <w:p>
      <w:pPr>
        <w:spacing w:line="240" w:lineRule="auto" w:before="9"/>
        <w:rPr>
          <w:rFonts w:ascii="宋体" w:hAnsi="宋体" w:cs="宋体" w:eastAsia="宋体" w:hint="default"/>
          <w:sz w:val="6"/>
          <w:szCs w:val="6"/>
        </w:rPr>
      </w:pPr>
    </w:p>
    <w:p>
      <w:pPr>
        <w:pStyle w:val="BodyText"/>
        <w:spacing w:line="360" w:lineRule="auto" w:before="44"/>
        <w:ind w:left="1493" w:right="2563" w:hanging="360"/>
        <w:jc w:val="left"/>
      </w:pPr>
      <w:r>
        <w:rPr/>
        <w:t>其他说明，包括对现金流量套期损益的有效部分转为被套期项目初始确认金额调整： 报告期末其他综合收益较期初增加</w:t>
      </w:r>
      <w:r>
        <w:rPr>
          <w:rFonts w:ascii="宋体" w:hAnsi="宋体" w:cs="宋体" w:eastAsia="宋体" w:hint="default"/>
        </w:rPr>
        <w:t>2,723.22%</w:t>
      </w:r>
      <w:r>
        <w:rPr/>
        <w:t>，主要受公司持有的韦尔股份股权公允价值变动影响。</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31、盈余公积" w:id="289"/>
      <w:bookmarkEnd w:id="289"/>
      <w:r>
        <w:rPr>
          <w:b w:val="0"/>
          <w:bCs w:val="0"/>
        </w:rPr>
      </w:r>
      <w:r>
        <w:rPr>
          <w:rFonts w:ascii="宋体" w:hAnsi="宋体" w:cs="宋体" w:eastAsia="宋体" w:hint="default"/>
        </w:rPr>
        <w:t>31</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55,974,262.79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62,426,948.52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55,974,262.79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62,426,948.52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未分配利润" w:id="290"/>
      <w:bookmarkEnd w:id="290"/>
      <w:r>
        <w:rPr>
          <w:b w:val="0"/>
          <w:bCs w:val="0"/>
        </w:rPr>
      </w:r>
      <w:r>
        <w:rPr>
          <w:rFonts w:ascii="宋体" w:hAnsi="宋体" w:cs="宋体" w:eastAsia="宋体" w:hint="default"/>
        </w:rPr>
        <w:t>32</w:t>
      </w:r>
      <w:r>
        <w:rPr/>
        <w:t>、未分配利润</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203,075,186.92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203,075,186.92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22,596,900.58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19,849,784.44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6,452,685.73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7,931,224.08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12,901,680.00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206,317,721.77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203,075,186.92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营业收入和营业成本" w:id="291"/>
      <w:bookmarkEnd w:id="291"/>
      <w:r>
        <w:rPr>
          <w:b w:val="0"/>
          <w:bCs w:val="0"/>
        </w:rPr>
      </w:r>
      <w:r>
        <w:rPr>
          <w:rFonts w:ascii="宋体" w:hAnsi="宋体" w:cs="宋体" w:eastAsia="宋体" w:hint="default"/>
        </w:rPr>
        <w:t>33</w:t>
      </w:r>
      <w:r>
        <w:rPr/>
        <w:t>、营业收入和营业成本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96"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1,931,962,306.16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1,459,247,763.02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1,622,918,894.36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1,161,537,327.00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4,108,084.43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1,140,107.65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4,407,999.90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4,672.30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1,936,070,390.59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1,460,387,870.67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1,627,326,894.26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1,161,541,999.30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4、税金及附加" w:id="292"/>
      <w:bookmarkEnd w:id="292"/>
      <w:r>
        <w:rPr>
          <w:b w:val="0"/>
          <w:bCs w:val="0"/>
        </w:rPr>
      </w:r>
      <w:r>
        <w:rPr>
          <w:rFonts w:ascii="宋体" w:hAnsi="宋体" w:cs="宋体" w:eastAsia="宋体" w:hint="default"/>
        </w:rPr>
        <w:t>34</w:t>
      </w:r>
      <w:r>
        <w:rPr/>
        <w:t>、税金及附加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6,343,862.36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6,043,277.33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2,715,517.10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2,589,972.24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750,901.41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562,775.66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448,962.92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336,722.19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21,844.36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834,488.07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415,433.18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104,352.19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1,361,104.59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1,444,438.27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12,476,680.81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11,512,371.06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销售费用" w:id="293"/>
      <w:bookmarkEnd w:id="293"/>
      <w:r>
        <w:rPr>
          <w:b w:val="0"/>
          <w:bCs w:val="0"/>
        </w:rPr>
      </w:r>
      <w:r>
        <w:rPr>
          <w:rFonts w:ascii="宋体" w:hAnsi="宋体" w:cs="宋体" w:eastAsia="宋体" w:hint="default"/>
        </w:rPr>
        <w:t>35</w:t>
      </w:r>
      <w:r>
        <w:rPr/>
        <w:t>、销售费用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89,558,640.36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85,480,017.56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48,123,455.16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33,532,174.48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11,321,784.51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13,046,435.43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28,319,961.52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15,107,595.96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搬运、货运及运保费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9,619,511.67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10,423,207.02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6,386,929.38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6,719,272.62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3,692,046.67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5,150,331.12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10,675,092.36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8,412,221.11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4,913,366.44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4,968,116.68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4,485,128.79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7,053,166.12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217,095,916.86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189,892,538.10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管理费用" w:id="294"/>
      <w:bookmarkEnd w:id="294"/>
      <w:r>
        <w:rPr>
          <w:b w:val="0"/>
          <w:bCs w:val="0"/>
        </w:rPr>
      </w:r>
      <w:r>
        <w:rPr>
          <w:rFonts w:ascii="宋体" w:hAnsi="宋体" w:cs="宋体" w:eastAsia="宋体" w:hint="default"/>
        </w:rPr>
        <w:t>36</w:t>
      </w:r>
      <w:r>
        <w:rPr/>
        <w:t>、管理费用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155,622,454.49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152,481,650.45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39,065,764.68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38,255,608.14</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9,028,251.48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11,203,289.97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10,559,341.96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10,290,079.82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6,366,564.47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6,855,099.31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4,539,014.07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6,117,533.00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2,416,851.90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2,422,016.65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1,224,849.42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1,166,344.91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228,823,092.47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228,791,622.25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财务费用" w:id="295"/>
      <w:bookmarkEnd w:id="295"/>
      <w:r>
        <w:rPr>
          <w:b w:val="0"/>
          <w:bCs w:val="0"/>
        </w:rPr>
      </w:r>
      <w:r>
        <w:rPr>
          <w:rFonts w:ascii="宋体" w:hAnsi="宋体" w:cs="宋体" w:eastAsia="宋体" w:hint="default"/>
        </w:rPr>
        <w:t>37</w:t>
      </w:r>
      <w:r>
        <w:rPr/>
        <w:t>、财务费用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8,440,748.74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7,260,326.07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2,077,087.94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1,376,437.34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446,987.70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2,553,640.56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855,784.48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918,912.20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1,863,209.00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5,803,223.98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9,356,441.49</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5"/>
        <w:ind w:left="1133" w:right="0" w:firstLine="360"/>
        <w:jc w:val="left"/>
        <w:rPr>
          <w:rFonts w:ascii="MS Gothic" w:hAnsi="MS Gothic" w:cs="MS Gothic" w:eastAsia="MS Gothic" w:hint="default"/>
        </w:rPr>
      </w:pPr>
      <w:r>
        <w:rPr>
          <w:spacing w:val="-2"/>
        </w:rPr>
        <w:t>财务费用较上年同期减少</w:t>
      </w:r>
      <w:r>
        <w:rPr>
          <w:rFonts w:ascii="宋体" w:hAnsi="宋体" w:cs="宋体" w:eastAsia="宋体" w:hint="default"/>
          <w:spacing w:val="-2"/>
        </w:rPr>
        <w:t>37.98%</w:t>
      </w:r>
      <w:r>
        <w:rPr>
          <w:spacing w:val="-2"/>
        </w:rPr>
        <w:t>，主要由于公司通过实施汇率风险管理措施，汇兑损益同比减少，以及对进口业务的结</w:t>
      </w:r>
      <w:r>
        <w:rPr/>
        <w:t> 算采取预付策略下获取的现金折扣同比增加</w:t>
      </w:r>
      <w:r>
        <w:rPr>
          <w:rFonts w:ascii="MS Gothic" w:hAnsi="MS Gothic" w:cs="MS Gothic" w:eastAsia="MS Gothic" w:hint="default"/>
        </w:rPr>
        <w:t>｡</w:t>
      </w:r>
    </w:p>
    <w:p>
      <w:pPr>
        <w:spacing w:line="240" w:lineRule="auto" w:before="4"/>
        <w:rPr>
          <w:rFonts w:ascii="MS Gothic" w:hAnsi="MS Gothic" w:cs="MS Gothic" w:eastAsia="MS Gothic" w:hint="default"/>
          <w:sz w:val="22"/>
          <w:szCs w:val="22"/>
        </w:rPr>
      </w:pPr>
    </w:p>
    <w:p>
      <w:pPr>
        <w:pStyle w:val="Heading3"/>
        <w:spacing w:line="240" w:lineRule="auto"/>
        <w:ind w:left="1133" w:right="0"/>
        <w:jc w:val="left"/>
        <w:rPr>
          <w:b w:val="0"/>
          <w:bCs w:val="0"/>
        </w:rPr>
      </w:pPr>
      <w:bookmarkStart w:name="38、资产减值损失" w:id="296"/>
      <w:bookmarkEnd w:id="296"/>
      <w:r>
        <w:rPr>
          <w:b w:val="0"/>
          <w:bCs w:val="0"/>
        </w:rPr>
      </w:r>
      <w:r>
        <w:rPr>
          <w:rFonts w:ascii="宋体" w:hAnsi="宋体" w:cs="宋体" w:eastAsia="宋体" w:hint="default"/>
        </w:rPr>
        <w:t>38</w:t>
      </w:r>
      <w:r>
        <w:rPr/>
        <w:t>、资产减值损失</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13,399,273.65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4,055,681.83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26,937,627.01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18,858,239.23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40,336,900.66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22,913,921.06</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319" w:lineRule="auto" w:before="115"/>
        <w:ind w:right="0" w:firstLine="360"/>
        <w:jc w:val="left"/>
      </w:pPr>
      <w:r>
        <w:rPr>
          <w:spacing w:val="-3"/>
        </w:rPr>
        <w:t>资产减值损失较上年同期增加</w:t>
      </w:r>
      <w:r>
        <w:rPr>
          <w:rFonts w:ascii="宋体" w:hAnsi="宋体" w:cs="宋体" w:eastAsia="宋体" w:hint="default"/>
          <w:spacing w:val="-3"/>
        </w:rPr>
        <w:t>76.04%</w:t>
      </w:r>
      <w:r>
        <w:rPr>
          <w:spacing w:val="-3"/>
        </w:rPr>
        <w:t>，主要由于销售收入增长产生的一年以内的应收账款计提的坏账准备同比增加，以</w:t>
      </w:r>
      <w:r>
        <w:rPr>
          <w:spacing w:val="-41"/>
        </w:rPr>
        <w:t> </w:t>
      </w:r>
      <w:r>
        <w:rPr/>
        <w:t>及卡产品市场售价不断下降，公司按照存货的预计可变现净值情况，计提的跌价准备同比增加。</w:t>
      </w:r>
    </w:p>
    <w:p>
      <w:pPr>
        <w:spacing w:after="0" w:line="319"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9、投资收益" w:id="297"/>
      <w:bookmarkEnd w:id="297"/>
      <w:r>
        <w:rPr>
          <w:b w:val="0"/>
          <w:bCs w:val="0"/>
        </w:rPr>
      </w:r>
      <w:r>
        <w:rPr>
          <w:rFonts w:ascii="宋体" w:hAnsi="宋体" w:cs="宋体" w:eastAsia="宋体" w:hint="default"/>
        </w:rPr>
        <w:t>39</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-3,272,957.49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-4,497,646.44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1,782,080.00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677,760.00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-1,490,877.49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-3,819,886.44</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1494" w:right="0"/>
        <w:jc w:val="left"/>
      </w:pPr>
      <w:r>
        <w:rPr/>
        <w:t>投资收益较上年同期增加</w:t>
      </w:r>
      <w:r>
        <w:rPr>
          <w:rFonts w:ascii="宋体" w:hAnsi="宋体" w:cs="宋体" w:eastAsia="宋体" w:hint="default"/>
        </w:rPr>
        <w:t>60.97%</w:t>
      </w:r>
      <w:r>
        <w:rPr/>
        <w:t>，主要由于联营企业亏损额同比减少，以及收到参股公司的现金分红同比增加。</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0、资产处置收益" w:id="298"/>
      <w:bookmarkEnd w:id="298"/>
      <w:r>
        <w:rPr>
          <w:b w:val="0"/>
          <w:bCs w:val="0"/>
        </w:rPr>
      </w:r>
      <w:r>
        <w:rPr>
          <w:rFonts w:ascii="宋体" w:hAnsi="宋体" w:cs="宋体" w:eastAsia="宋体" w:hint="default"/>
        </w:rPr>
        <w:t>40</w:t>
      </w:r>
      <w:r>
        <w:rPr/>
        <w:t>、资产处置收益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处置非流动资产的利得（损失</w:t>
            </w:r>
            <w:r>
              <w:rPr>
                <w:rFonts w:ascii="宋体" w:hAnsi="宋体" w:cs="宋体" w:eastAsia="宋体"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7" w:right="0"/>
              <w:jc w:val="left"/>
              <w:rPr>
                <w:rFonts w:ascii="宋体" w:hAnsi="宋体" w:cs="宋体" w:eastAsia="宋体" w:hint="default"/>
                <w:sz w:val="18"/>
                <w:szCs w:val="18"/>
              </w:rPr>
            </w:pPr>
            <w:r>
              <w:rPr>
                <w:rFonts w:ascii="宋体"/>
                <w:sz w:val="18"/>
              </w:rPr>
              <w:t>1,467,762.19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852,083.15</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6"/>
        <w:ind w:left="1494" w:right="0"/>
        <w:jc w:val="left"/>
      </w:pPr>
      <w:r>
        <w:rPr/>
        <w:t>资产处置收益较上年同期增加</w:t>
      </w:r>
      <w:r>
        <w:rPr>
          <w:rFonts w:ascii="宋体" w:hAnsi="宋体" w:cs="宋体" w:eastAsia="宋体" w:hint="default"/>
        </w:rPr>
        <w:t>72.26%</w:t>
      </w:r>
      <w:r>
        <w:rPr/>
        <w:t>，主要是报告期内处置一套紫菘花园房产产生收益影响。</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1、其他收益" w:id="299"/>
      <w:bookmarkEnd w:id="299"/>
      <w:r>
        <w:rPr>
          <w:b w:val="0"/>
          <w:bCs w:val="0"/>
        </w:rPr>
      </w:r>
      <w:r>
        <w:rPr>
          <w:rFonts w:ascii="宋体" w:hAnsi="宋体" w:cs="宋体" w:eastAsia="宋体" w:hint="default"/>
        </w:rPr>
        <w:t>41</w:t>
      </w:r>
      <w:r>
        <w:rPr/>
        <w:t>、其他收益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52,066,175.13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494" w:right="0"/>
        <w:jc w:val="left"/>
      </w:pPr>
      <w:r>
        <w:rPr/>
        <w:t>根据修订后的政府补助准则，公司将报告期内与日常活动相关的政府补助列报于其他收益，具体明细如下：</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4078"/>
        <w:gridCol w:w="1843"/>
        <w:gridCol w:w="1559"/>
        <w:gridCol w:w="2126"/>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政府补助项目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3551</w:t>
            </w:r>
            <w:r>
              <w:rPr>
                <w:rFonts w:ascii="宋体" w:hAnsi="宋体" w:cs="宋体" w:eastAsia="宋体" w:hint="default"/>
                <w:spacing w:val="-46"/>
                <w:sz w:val="18"/>
                <w:szCs w:val="18"/>
              </w:rPr>
              <w:t> </w:t>
            </w:r>
            <w:r>
              <w:rPr>
                <w:rFonts w:ascii="宋体" w:hAnsi="宋体" w:cs="宋体" w:eastAsia="宋体" w:hint="default"/>
                <w:sz w:val="18"/>
                <w:szCs w:val="18"/>
              </w:rPr>
              <w:t>光谷人才计划”奖励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服务业发展资金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示范应用项目奖励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544,300.00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7"/>
              <w:jc w:val="left"/>
              <w:rPr>
                <w:rFonts w:ascii="宋体" w:hAnsi="宋体" w:cs="宋体" w:eastAsia="宋体" w:hint="default"/>
                <w:sz w:val="18"/>
                <w:szCs w:val="18"/>
              </w:rPr>
            </w:pPr>
            <w:r>
              <w:rPr>
                <w:rFonts w:ascii="宋体" w:hAnsi="宋体" w:cs="宋体" w:eastAsia="宋体" w:hint="default"/>
                <w:spacing w:val="3"/>
                <w:sz w:val="18"/>
                <w:szCs w:val="18"/>
              </w:rPr>
              <w:t>基于大数据的数字教育云平台及数字内容库建设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与示范项目专项补贴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即征即退增值税返还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30,638,705.56</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教育云电子书包及在线教育平台补助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教育云基础支撑平台研发项目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12,100,000.00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就业见习补助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185,070.00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科技创新券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182,530.00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其他补助资金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231,842.00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078"/>
        <w:gridCol w:w="1843"/>
        <w:gridCol w:w="1559"/>
        <w:gridCol w:w="2126"/>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清洁生产补助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软件和信息服务业专项资金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2,384,300.00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外经贸发展资金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347,000.00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网络信息化专项补贴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稳定就业岗位补贴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864,927.57</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研发投入补贴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1,280,000.00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中央外经贸资金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227,500.00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52,066,175.13</w:t>
            </w:r>
          </w:p>
        </w:tc>
        <w:tc>
          <w:tcPr>
            <w:tcW w:w="15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营业外收入" w:id="300"/>
      <w:bookmarkEnd w:id="300"/>
      <w:r>
        <w:rPr>
          <w:b w:val="0"/>
          <w:bCs w:val="0"/>
        </w:rPr>
      </w:r>
      <w:r>
        <w:rPr>
          <w:rFonts w:ascii="宋体" w:hAnsi="宋体" w:cs="宋体" w:eastAsia="宋体" w:hint="default"/>
        </w:rPr>
        <w:t>42</w:t>
      </w:r>
      <w:r>
        <w:rPr/>
        <w:t>、营业外收入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28"/>
        <w:gridCol w:w="2394"/>
        <w:gridCol w:w="2393"/>
        <w:gridCol w:w="2606"/>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20,411,480.74</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1,383.91</w:t>
            </w:r>
          </w:p>
        </w:tc>
        <w:tc>
          <w:tcPr>
            <w:tcW w:w="2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103,939.43</w:t>
            </w:r>
          </w:p>
        </w:tc>
        <w:tc>
          <w:tcPr>
            <w:tcW w:w="2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282,461.49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168,482.08</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282,461.49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412,461.49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20,685,286.16</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412,461.49</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10" w:type="dxa"/>
        <w:tblLayout w:type="fixed"/>
        <w:tblCellMar>
          <w:top w:w="0" w:type="dxa"/>
          <w:left w:w="0" w:type="dxa"/>
          <w:bottom w:w="0" w:type="dxa"/>
          <w:right w:w="0" w:type="dxa"/>
        </w:tblCellMar>
        <w:tblLook w:val="01E0"/>
      </w:tblPr>
      <w:tblGrid>
        <w:gridCol w:w="1587"/>
        <w:gridCol w:w="1192"/>
        <w:gridCol w:w="566"/>
        <w:gridCol w:w="1815"/>
        <w:gridCol w:w="964"/>
        <w:gridCol w:w="794"/>
        <w:gridCol w:w="1192"/>
        <w:gridCol w:w="1303"/>
        <w:gridCol w:w="1063"/>
      </w:tblGrid>
      <w:tr>
        <w:trPr>
          <w:trHeight w:val="714"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2" w:right="30"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30"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0"/>
                <w:sz w:val="18"/>
                <w:szCs w:val="18"/>
              </w:rPr>
              <w:t>第三届“楚天杯”工</w:t>
            </w:r>
            <w:r>
              <w:rPr>
                <w:rFonts w:ascii="宋体" w:hAnsi="宋体" w:cs="宋体" w:eastAsia="宋体" w:hint="default"/>
                <w:sz w:val="18"/>
                <w:szCs w:val="18"/>
              </w:rPr>
              <w:t> 业设计大赛</w:t>
            </w:r>
            <w:r>
              <w:rPr>
                <w:rFonts w:ascii="宋体" w:hAnsi="宋体" w:cs="宋体" w:eastAsia="宋体" w:hint="default"/>
                <w:sz w:val="18"/>
                <w:szCs w:val="18"/>
              </w:rPr>
              <w:t>-</w:t>
            </w:r>
            <w:r>
              <w:rPr>
                <w:rFonts w:ascii="宋体" w:hAnsi="宋体" w:cs="宋体" w:eastAsia="宋体" w:hint="default"/>
                <w:sz w:val="18"/>
                <w:szCs w:val="18"/>
              </w:rPr>
              <w:t>软件与 交互产品设计分赛</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湖北省经济和 信息化委员会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湖北省服务外包产 业发展专项资金</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湖北省商务厅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软件和信息服务业 专项补贴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2,109,300.00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大学生就业见习补 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省人才服务局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172,050.00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710" w:type="dxa"/>
        <w:tblLayout w:type="fixed"/>
        <w:tblCellMar>
          <w:top w:w="0" w:type="dxa"/>
          <w:left w:w="0" w:type="dxa"/>
          <w:bottom w:w="0" w:type="dxa"/>
          <w:right w:w="0" w:type="dxa"/>
        </w:tblCellMar>
        <w:tblLook w:val="01E0"/>
      </w:tblPr>
      <w:tblGrid>
        <w:gridCol w:w="1587"/>
        <w:gridCol w:w="1192"/>
        <w:gridCol w:w="566"/>
        <w:gridCol w:w="1815"/>
        <w:gridCol w:w="964"/>
        <w:gridCol w:w="794"/>
        <w:gridCol w:w="1192"/>
        <w:gridCol w:w="1303"/>
        <w:gridCol w:w="1063"/>
      </w:tblGrid>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在孵企业房租补贴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7"/>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高新技术研发与产 业化补贴</w:t>
            </w:r>
            <w:r>
              <w:rPr>
                <w:rFonts w:ascii="宋体" w:hAnsi="宋体" w:cs="宋体" w:eastAsia="宋体" w:hint="default"/>
                <w:sz w:val="18"/>
                <w:szCs w:val="18"/>
              </w:rPr>
              <w:t>-</w:t>
            </w:r>
            <w:r>
              <w:rPr>
                <w:rFonts w:ascii="宋体" w:hAnsi="宋体" w:cs="宋体" w:eastAsia="宋体" w:hint="default"/>
                <w:sz w:val="18"/>
                <w:szCs w:val="18"/>
              </w:rPr>
              <w:t>研发投入 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及改造等获得的补助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1,681,000.00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武汉市服务外包产 业发展资金</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武汉市商务局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212,434.00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2"/>
              <w:jc w:val="left"/>
              <w:rPr>
                <w:rFonts w:ascii="宋体" w:hAnsi="宋体" w:cs="宋体" w:eastAsia="宋体" w:hint="default"/>
                <w:sz w:val="18"/>
                <w:szCs w:val="18"/>
              </w:rPr>
            </w:pPr>
            <w:r>
              <w:rPr>
                <w:rFonts w:ascii="宋体" w:hAnsi="宋体" w:cs="宋体" w:eastAsia="宋体" w:hint="default"/>
                <w:sz w:val="18"/>
                <w:szCs w:val="18"/>
              </w:rPr>
              <w:t>高新技术产品（技 术）出口贴息</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武汉市商务局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5"/>
                <w:sz w:val="18"/>
                <w:szCs w:val="18"/>
              </w:rPr>
              <w:t>持特定行业、产业而获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得的补助（按国家级政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策规定依法取得）</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227,959.00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武汉市稳定就业岗 位补贴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7"/>
              <w:jc w:val="left"/>
              <w:rPr>
                <w:rFonts w:ascii="宋体" w:hAnsi="宋体" w:cs="宋体" w:eastAsia="宋体" w:hint="default"/>
                <w:sz w:val="18"/>
                <w:szCs w:val="18"/>
              </w:rPr>
            </w:pPr>
            <w:r>
              <w:rPr>
                <w:rFonts w:ascii="宋体" w:hAnsi="宋体" w:cs="宋体" w:eastAsia="宋体" w:hint="default"/>
                <w:sz w:val="18"/>
                <w:szCs w:val="18"/>
              </w:rPr>
              <w:t>武汉市失业保 障管理办公室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1,167,200.00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软件著作权补贴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武汉市文化局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7"/>
              <w:jc w:val="both"/>
              <w:rPr>
                <w:rFonts w:ascii="宋体" w:hAnsi="宋体" w:cs="宋体" w:eastAsia="宋体" w:hint="default"/>
                <w:sz w:val="18"/>
                <w:szCs w:val="18"/>
              </w:rPr>
            </w:pPr>
            <w:r>
              <w:rPr>
                <w:rFonts w:ascii="宋体" w:hAnsi="宋体" w:cs="宋体" w:eastAsia="宋体" w:hint="default"/>
                <w:sz w:val="18"/>
                <w:szCs w:val="18"/>
              </w:rPr>
              <w:t>武汉东湖新技 术开发区国税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5"/>
                <w:sz w:val="18"/>
                <w:szCs w:val="18"/>
              </w:rPr>
              <w:t>持特定行业、产业而获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得的补助（按国家级政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策规定依法取得）</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5,905,484.43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77"/>
              <w:jc w:val="left"/>
              <w:rPr>
                <w:rFonts w:ascii="宋体" w:hAnsi="宋体" w:cs="宋体" w:eastAsia="宋体" w:hint="default"/>
                <w:sz w:val="18"/>
                <w:szCs w:val="18"/>
              </w:rPr>
            </w:pPr>
            <w:r>
              <w:rPr>
                <w:rFonts w:ascii="宋体" w:hAnsi="宋体" w:cs="宋体" w:eastAsia="宋体" w:hint="default"/>
                <w:sz w:val="18"/>
                <w:szCs w:val="18"/>
              </w:rPr>
              <w:t>无锡市国家税 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5"/>
                <w:sz w:val="18"/>
                <w:szCs w:val="18"/>
              </w:rPr>
              <w:t>持特定行业、产业而获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得的补助（按国家级政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策规定依法取得）</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73,128.31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“领军企业推进计 划”政府补助款</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武汉东湖新技 术开发区财政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发明专利授权资助</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武汉市文化局</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（版权局）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年中央外经贸 发展资金（服务贸 易）</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商务部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5"/>
                <w:sz w:val="18"/>
                <w:szCs w:val="18"/>
              </w:rPr>
              <w:t>持特定行业、产业而获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得的补助（按国家级政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策规定依法取得）</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417,000.00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年东湖高新区 互联网</w:t>
            </w:r>
            <w:r>
              <w:rPr>
                <w:rFonts w:ascii="宋体" w:hAnsi="宋体" w:cs="宋体" w:eastAsia="宋体" w:hint="default"/>
                <w:sz w:val="18"/>
                <w:szCs w:val="18"/>
              </w:rPr>
              <w:t>+</w:t>
            </w:r>
            <w:r>
              <w:rPr>
                <w:rFonts w:ascii="宋体" w:hAnsi="宋体" w:cs="宋体" w:eastAsia="宋体" w:hint="default"/>
                <w:sz w:val="18"/>
                <w:szCs w:val="18"/>
              </w:rPr>
              <w:t>示范应用项 目</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77"/>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710" w:type="dxa"/>
        <w:tblLayout w:type="fixed"/>
        <w:tblCellMar>
          <w:top w:w="0" w:type="dxa"/>
          <w:left w:w="0" w:type="dxa"/>
          <w:bottom w:w="0" w:type="dxa"/>
          <w:right w:w="0" w:type="dxa"/>
        </w:tblCellMar>
        <w:tblLook w:val="01E0"/>
      </w:tblPr>
      <w:tblGrid>
        <w:gridCol w:w="1587"/>
        <w:gridCol w:w="1192"/>
        <w:gridCol w:w="566"/>
        <w:gridCol w:w="1815"/>
        <w:gridCol w:w="964"/>
        <w:gridCol w:w="794"/>
        <w:gridCol w:w="1192"/>
        <w:gridCol w:w="1303"/>
        <w:gridCol w:w="1063"/>
      </w:tblGrid>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宋体" w:hAnsi="宋体" w:cs="宋体" w:eastAsia="宋体" w:hint="default"/>
                <w:sz w:val="18"/>
                <w:szCs w:val="18"/>
              </w:rPr>
              <w:t>武汉市科技创新券</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224,825.00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武汉东湖新技术开 发区科技创新券</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77"/>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136,000.00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市级科技创新 平台奖励资金</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及改造等获得的补助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金融支付服务平台</w:t>
            </w:r>
          </w:p>
          <w:p>
            <w:pPr>
              <w:pStyle w:val="TableParagraph"/>
              <w:spacing w:line="319" w:lineRule="auto" w:before="76"/>
              <w:ind w:left="22" w:right="112"/>
              <w:jc w:val="left"/>
              <w:rPr>
                <w:rFonts w:ascii="宋体" w:hAnsi="宋体" w:cs="宋体" w:eastAsia="宋体" w:hint="default"/>
                <w:sz w:val="18"/>
                <w:szCs w:val="18"/>
              </w:rPr>
            </w:pPr>
            <w:r>
              <w:rPr>
                <w:rFonts w:ascii="宋体" w:hAnsi="宋体" w:cs="宋体" w:eastAsia="宋体" w:hint="default"/>
                <w:sz w:val="18"/>
                <w:szCs w:val="18"/>
              </w:rPr>
              <w:t>（武汉市软件产业 专项）</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湖北软件评测中心 双软认定专项资金 补贴款</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省评测中心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质量提升补贴及奖 励</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武汉东湖新技 术开发区管理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100,000.00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东湖高新区高 企认定奖励</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武汉东湖新技 术开发区管理 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5"/>
              <w:jc w:val="righ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0"/>
              <w:jc w:val="right"/>
              <w:rPr>
                <w:rFonts w:ascii="宋体" w:hAnsi="宋体" w:cs="宋体" w:eastAsia="宋体" w:hint="default"/>
                <w:sz w:val="18"/>
                <w:szCs w:val="18"/>
              </w:rPr>
            </w:pPr>
            <w:r>
              <w:rPr>
                <w:rFonts w:ascii="宋体" w:hAnsi="宋体" w:cs="宋体" w:eastAsia="宋体" w:hint="default"/>
                <w:sz w:val="18"/>
                <w:szCs w:val="18"/>
              </w:rPr>
              <w:t>否</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30,000.00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20,411,480.74</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44"/>
        <w:ind w:right="0"/>
        <w:jc w:val="left"/>
      </w:pPr>
      <w:r>
        <w:rPr/>
        <w:t>其他说明：</w:t>
      </w:r>
    </w:p>
    <w:p>
      <w:pPr>
        <w:pStyle w:val="BodyText"/>
        <w:spacing w:line="319" w:lineRule="auto" w:before="116"/>
        <w:ind w:left="1133" w:right="0" w:firstLine="360"/>
        <w:jc w:val="left"/>
      </w:pPr>
      <w:r>
        <w:rPr>
          <w:spacing w:val="-2"/>
        </w:rPr>
        <w:t>营业外收入较上年同期减少</w:t>
      </w:r>
      <w:r>
        <w:rPr>
          <w:rFonts w:ascii="宋体" w:hAnsi="宋体" w:cs="宋体" w:eastAsia="宋体" w:hint="default"/>
          <w:spacing w:val="-2"/>
        </w:rPr>
        <w:t>98.01%</w:t>
      </w:r>
      <w:r>
        <w:rPr>
          <w:spacing w:val="-2"/>
        </w:rPr>
        <w:t>，主要由于根据修订后的政府补助准则，将报告期内与日常活动相关的政府补助列报</w:t>
      </w:r>
      <w:r>
        <w:rPr/>
        <w:t> 于其他收益项目。</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43、营业外支出" w:id="301"/>
      <w:bookmarkEnd w:id="301"/>
      <w:r>
        <w:rPr>
          <w:b w:val="0"/>
          <w:bCs w:val="0"/>
        </w:rPr>
      </w:r>
      <w:r>
        <w:rPr>
          <w:rFonts w:ascii="宋体" w:hAnsi="宋体" w:cs="宋体" w:eastAsia="宋体" w:hint="default"/>
        </w:rPr>
        <w:t>43</w:t>
      </w:r>
      <w:r>
        <w:rPr/>
        <w:t>、营业外支出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25"/>
        <w:gridCol w:w="2396"/>
        <w:gridCol w:w="2392"/>
        <w:gridCol w:w="2478"/>
      </w:tblGrid>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226,022.40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522,668.60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226,022.40</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30,024.56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1,815.31</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77,849.73</w:t>
            </w:r>
          </w:p>
        </w:tc>
      </w:tr>
      <w:tr>
        <w:trPr>
          <w:trHeight w:val="402" w:hRule="exact"/>
        </w:trPr>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305,687.44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552,702.96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305,687.44</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其他说明：</w:t>
      </w:r>
    </w:p>
    <w:p>
      <w:pPr>
        <w:pStyle w:val="BodyText"/>
        <w:spacing w:line="240" w:lineRule="auto" w:before="117"/>
        <w:ind w:left="1494" w:right="0"/>
        <w:jc w:val="left"/>
      </w:pPr>
      <w:r>
        <w:rPr/>
        <w:t>营业外支出较上年同期减少</w:t>
      </w:r>
      <w:r>
        <w:rPr>
          <w:rFonts w:ascii="宋体" w:hAnsi="宋体" w:cs="宋体" w:eastAsia="宋体" w:hint="default"/>
        </w:rPr>
        <w:t>44.69%</w:t>
      </w:r>
      <w:r>
        <w:rPr/>
        <w:t>，主要由于固定资产报废损失减少。</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4、所得税费用" w:id="302"/>
      <w:bookmarkEnd w:id="302"/>
      <w:r>
        <w:rPr>
          <w:b w:val="0"/>
          <w:bCs w:val="0"/>
        </w:rPr>
      </w:r>
      <w:r>
        <w:rPr>
          <w:rFonts w:ascii="宋体" w:hAnsi="宋体" w:cs="宋体" w:eastAsia="宋体" w:hint="default"/>
        </w:rPr>
        <w:t>44</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所得税费用表" w:id="303"/>
      <w:bookmarkEnd w:id="303"/>
      <w:r>
        <w:rPr>
          <w:b w:val="0"/>
          <w:bCs w:val="0"/>
        </w:rPr>
      </w:r>
      <w:r>
        <w:rPr/>
        <w:t>（</w:t>
      </w:r>
      <w:r>
        <w:rPr>
          <w:rFonts w:ascii="宋体" w:hAnsi="宋体" w:cs="宋体" w:eastAsia="宋体"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17,758,400.53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19,541,152.42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-5,937,204.15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-3,581,677.53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11,821,196.38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15,959,474.89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04"/>
      <w:bookmarkEnd w:id="304"/>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23,296,539.02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3,187,529.71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-669,437.15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-381,825.77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525,187.14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4,625,409.92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-286,842.18</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9,636,174.71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-4,815,000.00</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11,821,196.38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其他综合收益" w:id="305"/>
      <w:bookmarkEnd w:id="305"/>
      <w:r>
        <w:rPr>
          <w:b w:val="0"/>
          <w:bCs w:val="0"/>
        </w:rPr>
      </w:r>
      <w:r>
        <w:rPr>
          <w:rFonts w:ascii="宋体" w:hAnsi="宋体" w:cs="宋体" w:eastAsia="宋体" w:hint="default"/>
        </w:rPr>
        <w:t>45</w:t>
      </w:r>
      <w:r>
        <w:rPr/>
        <w:t>、其他综合收益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详见附注七、</w:t>
      </w:r>
      <w:r>
        <w:rPr>
          <w:rFonts w:ascii="宋体" w:hAnsi="宋体" w:cs="宋体" w:eastAsia="宋体" w:hint="default"/>
        </w:rPr>
        <w:t>30</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6、现金流量表项目" w:id="306"/>
      <w:bookmarkEnd w:id="306"/>
      <w:r>
        <w:rPr>
          <w:b w:val="0"/>
          <w:bCs w:val="0"/>
        </w:rPr>
      </w:r>
      <w:r>
        <w:rPr>
          <w:rFonts w:ascii="宋体" w:hAnsi="宋体" w:cs="宋体" w:eastAsia="宋体" w:hint="default"/>
        </w:rPr>
        <w:t>46</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收到的其他与经营活动有关的现金" w:id="307"/>
      <w:bookmarkEnd w:id="307"/>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2,019,059.91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1,345,937.43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8,562,769.57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14,737,458.10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43,499,298.62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12,863,765.21</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2,382,300.42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725,008.88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56,463,428.52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29,672,169.62</w:t>
            </w:r>
          </w:p>
        </w:tc>
      </w:tr>
    </w:tbl>
    <w:p>
      <w:pPr>
        <w:spacing w:line="240" w:lineRule="auto" w:before="9"/>
        <w:rPr>
          <w:rFonts w:ascii="宋体" w:hAnsi="宋体" w:cs="宋体" w:eastAsia="宋体" w:hint="default"/>
          <w:sz w:val="6"/>
          <w:szCs w:val="6"/>
        </w:rPr>
      </w:pPr>
    </w:p>
    <w:p>
      <w:pPr>
        <w:pStyle w:val="BodyText"/>
        <w:spacing w:line="357" w:lineRule="auto" w:before="44"/>
        <w:ind w:left="1494" w:right="0" w:hanging="360"/>
        <w:jc w:val="left"/>
      </w:pPr>
      <w:r>
        <w:rPr/>
        <w:t>收到的其他与经营活动有关的现金说明： </w:t>
      </w:r>
      <w:r>
        <w:rPr>
          <w:spacing w:val="-2"/>
        </w:rPr>
        <w:t>收到的其他与经营活动有关的现金较上年同期增加</w:t>
      </w:r>
      <w:r>
        <w:rPr>
          <w:rFonts w:ascii="宋体" w:hAnsi="宋体" w:cs="宋体" w:eastAsia="宋体" w:hint="default"/>
          <w:spacing w:val="-2"/>
        </w:rPr>
        <w:t>90.29%</w:t>
      </w:r>
      <w:r>
        <w:rPr>
          <w:spacing w:val="-2"/>
        </w:rPr>
        <w:t>，主要由于到期收回的履约保证金和银行承兑汇票保证金同比</w:t>
      </w:r>
    </w:p>
    <w:p>
      <w:pPr>
        <w:pStyle w:val="BodyText"/>
        <w:spacing w:line="225" w:lineRule="exact"/>
        <w:ind w:right="0"/>
        <w:jc w:val="left"/>
      </w:pPr>
      <w:r>
        <w:rPr/>
        <w:t>增加。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08"/>
      <w:bookmarkEnd w:id="308"/>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196,385,789.79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172,927,723.31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53,759,902.92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9,997,436.72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139,919.04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1,761,227.86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250,285,611.75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184,686,387.89</w:t>
            </w:r>
          </w:p>
        </w:tc>
      </w:tr>
    </w:tbl>
    <w:p>
      <w:pPr>
        <w:spacing w:line="240" w:lineRule="auto" w:before="9"/>
        <w:rPr>
          <w:rFonts w:ascii="宋体" w:hAnsi="宋体" w:cs="宋体" w:eastAsia="宋体" w:hint="default"/>
          <w:sz w:val="6"/>
          <w:szCs w:val="6"/>
        </w:rPr>
      </w:pPr>
    </w:p>
    <w:p>
      <w:pPr>
        <w:pStyle w:val="BodyText"/>
        <w:spacing w:line="360" w:lineRule="auto" w:before="44"/>
        <w:ind w:left="1494" w:right="0" w:hanging="360"/>
        <w:jc w:val="left"/>
      </w:pPr>
      <w:r>
        <w:rPr/>
        <w:t>支付的其他与经营活动有关的现金说明： </w:t>
      </w:r>
      <w:r>
        <w:rPr>
          <w:spacing w:val="-2"/>
        </w:rPr>
        <w:t>支付的其他与经营活动有关的现金较上年同期增加</w:t>
      </w:r>
      <w:r>
        <w:rPr>
          <w:rFonts w:ascii="宋体" w:hAnsi="宋体" w:cs="宋体" w:eastAsia="宋体" w:hint="default"/>
          <w:spacing w:val="-2"/>
        </w:rPr>
        <w:t>35.52%</w:t>
      </w:r>
      <w:r>
        <w:rPr>
          <w:spacing w:val="-2"/>
        </w:rPr>
        <w:t>，主要由于支付的履约保证金和银行承兑汇票保证金同比增加。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支付的其他与筹资活动有关的现金" w:id="309"/>
      <w:bookmarkEnd w:id="309"/>
      <w:r>
        <w:rPr>
          <w:b w:val="0"/>
          <w:bCs w:val="0"/>
        </w:rPr>
      </w:r>
      <w:r>
        <w:rPr/>
        <w:t>（</w:t>
      </w:r>
      <w:r>
        <w:rPr>
          <w:rFonts w:ascii="宋体" w:hAnsi="宋体" w:cs="宋体" w:eastAsia="宋体" w:hint="default"/>
        </w:rPr>
        <w:t>3</w:t>
      </w:r>
      <w:r>
        <w:rPr/>
        <w:t>）支付的其他与筹资活动有关的现金</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购买少数股东股权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360" w:lineRule="auto" w:before="44"/>
        <w:ind w:left="1494" w:right="0" w:hanging="360"/>
        <w:jc w:val="left"/>
      </w:pPr>
      <w:r>
        <w:rPr/>
        <w:t>支付的其他与筹资活动有关的现金说明： </w:t>
      </w:r>
      <w:r>
        <w:rPr>
          <w:spacing w:val="-2"/>
        </w:rPr>
        <w:t>支付的其他与筹资活动有关的现金</w:t>
      </w:r>
      <w:r>
        <w:rPr>
          <w:rFonts w:ascii="宋体" w:hAnsi="宋体" w:cs="宋体" w:eastAsia="宋体" w:hint="default"/>
          <w:spacing w:val="-2"/>
        </w:rPr>
        <w:t>159</w:t>
      </w:r>
      <w:r>
        <w:rPr>
          <w:spacing w:val="-2"/>
        </w:rPr>
        <w:t>万元，是公司子公司聚联网络购买公司子公司果核科技少数股东股权支付的对价。</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7、现金流量表补充资料" w:id="310"/>
      <w:bookmarkEnd w:id="310"/>
      <w:r>
        <w:rPr>
          <w:b w:val="0"/>
          <w:bCs w:val="0"/>
        </w:rPr>
      </w:r>
      <w:r>
        <w:rPr>
          <w:rFonts w:ascii="宋体" w:hAnsi="宋体" w:cs="宋体" w:eastAsia="宋体" w:hint="default"/>
        </w:rPr>
        <w:t>47</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现金流量表补充资料" w:id="311"/>
      <w:bookmarkEnd w:id="311"/>
      <w:r>
        <w:rPr>
          <w:b w:val="0"/>
          <w:bCs w:val="0"/>
        </w:rPr>
      </w:r>
      <w:r>
        <w:rPr/>
        <w:t>（</w:t>
      </w:r>
      <w:r>
        <w:rPr>
          <w:rFonts w:ascii="宋体" w:hAnsi="宋体" w:cs="宋体" w:eastAsia="宋体" w:hint="default"/>
        </w:rPr>
        <w:t>1</w:t>
      </w:r>
      <w:r>
        <w:rPr/>
        <w:t>）现金流量表补充资料</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366"/>
        <w:gridCol w:w="2664"/>
        <w:gridCol w:w="2545"/>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11,475,342.64</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4,523,306.02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36,884,895.05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15,200,965.86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30,424,112.06</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32,015,257.66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2,988,934.80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3,706,098.78</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10,469,990.77</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5,479,987.87</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366"/>
        <w:gridCol w:w="2664"/>
        <w:gridCol w:w="2545"/>
      </w:tblGrid>
      <w:tr>
        <w:trPr>
          <w:trHeight w:val="714"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-1,241,739.79</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-330,798.46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10,027,957.64</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9,209,219.74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1,490,877.49</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3,819,886.44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-5,937,204.15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-3,270,863.70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-310,813.83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4,952,769.87</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21,031,965.79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-26,662,224.40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-12,478,124.41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111,473,655.40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1,992,864.68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186,347,367.38</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80,588,952.44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664" w:type="dxa"/>
            <w:tcBorders>
              <w:top w:val="single" w:sz="4" w:space="0" w:color="000000"/>
              <w:left w:val="single" w:sz="4" w:space="0" w:color="000000"/>
              <w:bottom w:val="single" w:sz="4" w:space="0" w:color="000000"/>
              <w:right w:val="single" w:sz="4" w:space="0" w:color="000000"/>
            </w:tcBorders>
          </w:tcPr>
          <w:p>
            <w:pPr/>
          </w:p>
        </w:tc>
        <w:tc>
          <w:tcPr>
            <w:tcW w:w="25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365,907,692.65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383,859,935.15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383,859,935.15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391,757,349.95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-17,952,242.50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-7,897,414.80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312"/>
      <w:bookmarkEnd w:id="312"/>
      <w:r>
        <w:rPr>
          <w:b w:val="0"/>
          <w:bCs w:val="0"/>
        </w:rPr>
      </w:r>
      <w:r>
        <w:rPr/>
        <w:t>（</w:t>
      </w:r>
      <w:r>
        <w:rPr>
          <w:rFonts w:ascii="宋体" w:hAnsi="宋体" w:cs="宋体" w:eastAsia="宋体" w:hint="default"/>
        </w:rPr>
        <w:t>2</w:t>
      </w:r>
      <w:r>
        <w:rPr/>
        <w:t>）现金和现金等价物的构成</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365,907,692.65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383,859,935.15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365,697,927.58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383,703,598.12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208,414.65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154,505.03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365,907,692.65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383,859,935.15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所有权或使用权受到限制的资产" w:id="313"/>
      <w:bookmarkEnd w:id="313"/>
      <w:r>
        <w:rPr>
          <w:b w:val="0"/>
          <w:bCs w:val="0"/>
        </w:rPr>
      </w:r>
      <w:r>
        <w:rPr>
          <w:rFonts w:ascii="宋体" w:hAnsi="宋体" w:cs="宋体" w:eastAsia="宋体" w:hint="default"/>
        </w:rPr>
        <w:t>48</w:t>
      </w:r>
      <w:r>
        <w:rPr/>
        <w:t>、所有权或使用权受到限制的资产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18,962,078.86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使用权受到限制的其他货币资金主要是 银行承兑汇票保证金和保函保证金。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18,962,078.86</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9、外币货币性项目" w:id="314"/>
      <w:bookmarkEnd w:id="314"/>
      <w:r>
        <w:rPr>
          <w:b w:val="0"/>
          <w:bCs w:val="0"/>
        </w:rPr>
      </w:r>
      <w:r>
        <w:rPr>
          <w:rFonts w:ascii="宋体" w:hAnsi="宋体" w:cs="宋体" w:eastAsia="宋体" w:hint="default"/>
        </w:rPr>
        <w:t>49</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外币货币性项目" w:id="315"/>
      <w:bookmarkEnd w:id="315"/>
      <w:r>
        <w:rPr>
          <w:b w:val="0"/>
          <w:bCs w:val="0"/>
        </w:rPr>
      </w:r>
      <w:r>
        <w:rPr/>
        <w:t>（</w:t>
      </w:r>
      <w:r>
        <w:rPr>
          <w:rFonts w:ascii="宋体" w:hAnsi="宋体" w:cs="宋体" w:eastAsia="宋体" w:hint="default"/>
        </w:rPr>
        <w:t>1</w:t>
      </w:r>
      <w:r>
        <w:rPr/>
        <w:t>）外币货币性项目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2,156,674.54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330,032.19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2,156,496.34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20,579,023.72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1,770,012.93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11,565,618.49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1,155,224.13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9,013,405.23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3,314,869.64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492,918.55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3,220,828.39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72,093.25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21,948.00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其他原因的合并范围变动" w:id="317"/>
      <w:bookmarkEnd w:id="317"/>
      <w:r>
        <w:rPr>
          <w:b w:val="0"/>
          <w:bCs w:val="0"/>
        </w:rPr>
      </w:r>
      <w:r>
        <w:rPr/>
        <w:t>其他原因的合并范围变动</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0" w:hanging="360"/>
        <w:jc w:val="left"/>
      </w:pPr>
      <w:r>
        <w:rPr/>
        <w:t>说明其他原因导致的合并范围变动（如，新设子公司、清算子公司等）及其相关情况： </w:t>
      </w:r>
      <w:r>
        <w:rPr>
          <w:spacing w:val="-4"/>
        </w:rPr>
        <w:t>报告期内，公司子公司天喻教育与自然人沈慧强共同投资设立上海天喻云企业发展有限公司，注册资本</w:t>
      </w:r>
      <w:r>
        <w:rPr>
          <w:rFonts w:ascii="宋体" w:hAnsi="宋体" w:cs="宋体" w:eastAsia="宋体" w:hint="default"/>
          <w:spacing w:val="-4"/>
        </w:rPr>
        <w:t>100</w:t>
      </w:r>
      <w:r>
        <w:rPr>
          <w:spacing w:val="-4"/>
        </w:rPr>
        <w:t>万元，其中，</w:t>
      </w:r>
    </w:p>
    <w:p>
      <w:pPr>
        <w:pStyle w:val="BodyText"/>
        <w:spacing w:line="224" w:lineRule="exact"/>
        <w:ind w:left="1133" w:right="0"/>
        <w:jc w:val="left"/>
      </w:pPr>
      <w:r>
        <w:rPr/>
        <w:t>天喻教育出资比例为</w:t>
      </w:r>
      <w:r>
        <w:rPr>
          <w:rFonts w:ascii="宋体" w:hAnsi="宋体" w:cs="宋体" w:eastAsia="宋体" w:hint="default"/>
        </w:rPr>
        <w:t>51%</w:t>
      </w:r>
      <w:r>
        <w:rPr>
          <w:spacing w:val="-87"/>
        </w:rPr>
        <w:t>。</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日上海天喻云企业发展有限公司完成工商注册登记</w:t>
      </w:r>
      <w:r>
        <w:rPr>
          <w:spacing w:val="-87"/>
        </w:rPr>
        <w:t>，</w:t>
      </w:r>
      <w:r>
        <w:rPr/>
        <w:t>截至报告期末股东尚未实缴出资。</w:t>
      </w:r>
    </w:p>
    <w:p>
      <w:pPr>
        <w:pStyle w:val="BodyText"/>
        <w:spacing w:line="319" w:lineRule="auto" w:before="117"/>
        <w:ind w:left="1133" w:right="1130" w:firstLine="360"/>
        <w:jc w:val="both"/>
      </w:pPr>
      <w:r>
        <w:rPr>
          <w:spacing w:val="-4"/>
        </w:rPr>
        <w:t>报告期内，公司子公司天喻教育与武汉开喜科技有限公司共同投资设立贵州天喻通慧教育科技有限公司，注册资本</w:t>
      </w:r>
      <w:r>
        <w:rPr>
          <w:rFonts w:ascii="宋体" w:hAnsi="宋体" w:cs="宋体" w:eastAsia="宋体" w:hint="default"/>
          <w:spacing w:val="-4"/>
        </w:rPr>
        <w:t>1,000</w:t>
      </w:r>
      <w:r>
        <w:rPr>
          <w:rFonts w:ascii="宋体" w:hAnsi="宋体" w:cs="宋体" w:eastAsia="宋体" w:hint="default"/>
        </w:rPr>
        <w:t> </w:t>
      </w:r>
      <w:r>
        <w:rPr/>
        <w:t>万元，其中，天喻教育出资比例为</w:t>
      </w:r>
      <w:r>
        <w:rPr>
          <w:rFonts w:ascii="宋体" w:hAnsi="宋体" w:cs="宋体" w:eastAsia="宋体" w:hint="default"/>
        </w:rPr>
        <w:t>65%</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14</w:t>
      </w:r>
      <w:r>
        <w:rPr/>
        <w:t>日贵州天喻通慧教育科技有限公司完成工商注册登记，截至报告期末</w:t>
      </w:r>
      <w:r>
        <w:rPr>
          <w:spacing w:val="-83"/>
        </w:rPr>
        <w:t> </w:t>
      </w:r>
      <w:r>
        <w:rPr>
          <w:spacing w:val="-83"/>
        </w:rPr>
      </w:r>
      <w:r>
        <w:rPr/>
        <w:t>股东尚未实缴出资。</w:t>
      </w:r>
    </w:p>
    <w:p>
      <w:pPr>
        <w:pStyle w:val="BodyText"/>
        <w:spacing w:line="240" w:lineRule="auto" w:before="56"/>
        <w:ind w:left="1493" w:right="0"/>
        <w:jc w:val="left"/>
      </w:pPr>
      <w:r>
        <w:rPr/>
        <w:t>报告期内，公司子公司天喻信通已完成工商注销登记，不再纳入公司合并范围。</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18"/>
      <w:bookmarkEnd w:id="318"/>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319"/>
      <w:bookmarkEnd w:id="319"/>
      <w:r>
        <w:rPr>
          <w:b w:val="0"/>
          <w:bCs w:val="0"/>
        </w:rPr>
      </w:r>
      <w:r>
        <w:rPr>
          <w:rFonts w:ascii="宋体" w:hAnsi="宋体" w:cs="宋体" w:eastAsia="宋体" w:hint="default"/>
        </w:rPr>
        <w:t>1</w:t>
      </w:r>
      <w:r>
        <w:rPr/>
        <w:t>、在子公司中的权益</w:t>
      </w:r>
      <w:r>
        <w:rPr>
          <w:b w:val="0"/>
          <w:bCs w:val="0"/>
        </w:rPr>
      </w:r>
    </w:p>
    <w:p>
      <w:pPr>
        <w:spacing w:line="240" w:lineRule="auto" w:before="4"/>
        <w:rPr>
          <w:rFonts w:ascii="宋体" w:hAnsi="宋体" w:cs="宋体" w:eastAsia="宋体" w:hint="default"/>
          <w:b/>
          <w:bCs/>
          <w:sz w:val="21"/>
          <w:szCs w:val="21"/>
        </w:rPr>
      </w:pPr>
    </w:p>
    <w:p>
      <w:pPr>
        <w:pStyle w:val="Heading3"/>
        <w:spacing w:line="240" w:lineRule="auto"/>
        <w:ind w:left="1133" w:right="0"/>
        <w:jc w:val="left"/>
        <w:rPr>
          <w:b w:val="0"/>
          <w:bCs w:val="0"/>
        </w:rPr>
      </w:pPr>
      <w:bookmarkStart w:name="（1）企业集团的构成" w:id="320"/>
      <w:bookmarkEnd w:id="320"/>
      <w:r>
        <w:rPr>
          <w:b w:val="0"/>
          <w:bCs w:val="0"/>
        </w:rPr>
      </w:r>
      <w:r>
        <w:rPr/>
        <w:t>（</w:t>
      </w:r>
      <w:r>
        <w:rPr>
          <w:rFonts w:ascii="宋体" w:hAnsi="宋体" w:cs="宋体" w:eastAsia="宋体" w:hint="default"/>
        </w:rPr>
        <w:t>1</w:t>
      </w:r>
      <w:r>
        <w:rPr/>
        <w:t>）企业集团的构成</w:t>
      </w:r>
      <w:r>
        <w:rPr>
          <w:b w:val="0"/>
          <w:bCs w:val="0"/>
        </w:rPr>
      </w:r>
    </w:p>
    <w:p>
      <w:pPr>
        <w:spacing w:line="240" w:lineRule="auto" w:before="4"/>
        <w:rPr>
          <w:rFonts w:ascii="宋体" w:hAnsi="宋体" w:cs="宋体" w:eastAsia="宋体" w:hint="default"/>
          <w:b/>
          <w:bCs/>
          <w:sz w:val="22"/>
          <w:szCs w:val="22"/>
        </w:rPr>
      </w:pPr>
    </w:p>
    <w:tbl>
      <w:tblPr>
        <w:tblW w:w="0" w:type="auto"/>
        <w:jc w:val="left"/>
        <w:tblInd w:w="1104" w:type="dxa"/>
        <w:tblLayout w:type="fixed"/>
        <w:tblCellMar>
          <w:top w:w="0" w:type="dxa"/>
          <w:left w:w="0" w:type="dxa"/>
          <w:bottom w:w="0" w:type="dxa"/>
          <w:right w:w="0" w:type="dxa"/>
        </w:tblCellMar>
        <w:tblLook w:val="01E0"/>
      </w:tblPr>
      <w:tblGrid>
        <w:gridCol w:w="2602"/>
        <w:gridCol w:w="811"/>
        <w:gridCol w:w="813"/>
        <w:gridCol w:w="2267"/>
        <w:gridCol w:w="701"/>
        <w:gridCol w:w="630"/>
        <w:gridCol w:w="1866"/>
      </w:tblGrid>
      <w:tr>
        <w:trPr>
          <w:trHeight w:val="402" w:hRule="exact"/>
        </w:trPr>
        <w:tc>
          <w:tcPr>
            <w:tcW w:w="26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1" w:type="dxa"/>
            <w:vMerge w:val="restart"/>
            <w:tcBorders>
              <w:top w:val="single" w:sz="4" w:space="0" w:color="000000"/>
              <w:left w:val="single" w:sz="4" w:space="0" w:color="000000"/>
              <w:right w:val="single" w:sz="4" w:space="0" w:color="000000"/>
            </w:tcBorders>
          </w:tcPr>
          <w:p>
            <w:pPr>
              <w:pStyle w:val="TableParagraph"/>
              <w:spacing w:line="316" w:lineRule="auto" w:before="97"/>
              <w:ind w:left="310" w:right="38"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2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602"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2267" w:type="dxa"/>
            <w:vMerge/>
            <w:tcBorders>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66" w:type="dxa"/>
            <w:vMerge/>
            <w:tcBorders>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80.00%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100.00%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80.00%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04" w:type="dxa"/>
        <w:tblLayout w:type="fixed"/>
        <w:tblCellMar>
          <w:top w:w="0" w:type="dxa"/>
          <w:left w:w="0" w:type="dxa"/>
          <w:bottom w:w="0" w:type="dxa"/>
          <w:right w:w="0" w:type="dxa"/>
        </w:tblCellMar>
        <w:tblLook w:val="01E0"/>
      </w:tblPr>
      <w:tblGrid>
        <w:gridCol w:w="2602"/>
        <w:gridCol w:w="811"/>
        <w:gridCol w:w="813"/>
        <w:gridCol w:w="2267"/>
        <w:gridCol w:w="701"/>
        <w:gridCol w:w="630"/>
        <w:gridCol w:w="1866"/>
      </w:tblGrid>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51.43%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15.14%</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湖北天喻教育研究院</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深圳市易考乐学测评有限公司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51.00%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无锡尚蠡信息科技有限公司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无锡市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51.00%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上海天喻云企业发展有限公司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51.00%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贵州天喻通慧教育科技有限公司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贵安新区</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贵安新区</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65.00%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21"/>
      <w:bookmarkEnd w:id="321"/>
      <w:r>
        <w:rPr>
          <w:b w:val="0"/>
          <w:bCs w:val="0"/>
        </w:rPr>
      </w:r>
      <w:r>
        <w:rPr/>
        <w:t>（</w:t>
      </w:r>
      <w:r>
        <w:rPr>
          <w:rFonts w:ascii="宋体" w:hAnsi="宋体" w:cs="宋体" w:eastAsia="宋体" w:hint="default"/>
        </w:rPr>
        <w:t>2</w:t>
      </w:r>
      <w:r>
        <w:rPr/>
        <w:t>）重要的非全资子公司</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1588"/>
        <w:gridCol w:w="1928"/>
        <w:gridCol w:w="1690"/>
        <w:gridCol w:w="1918"/>
      </w:tblGrid>
      <w:tr>
        <w:trPr>
          <w:trHeight w:val="76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6"/>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778" w:right="59"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389" w:right="28"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-397,859.57</w:t>
            </w:r>
          </w:p>
        </w:tc>
        <w:tc>
          <w:tcPr>
            <w:tcW w:w="169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-321,559.52</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268,347.39</w:t>
            </w:r>
          </w:p>
        </w:tc>
        <w:tc>
          <w:tcPr>
            <w:tcW w:w="169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2,653,612.28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-9,406,175.95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-22,990,141.30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1,767,537.83</w:t>
            </w:r>
          </w:p>
        </w:tc>
        <w:tc>
          <w:tcPr>
            <w:tcW w:w="169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4,807,067.62</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深圳市易考乐学测评有限公司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49.00%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-2,429,981.74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110,167.07</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无锡尚蠡信息科技有限公司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49.00%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-923,425.90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350,706.83</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3"/>
          <w:szCs w:val="23"/>
        </w:rPr>
      </w:pPr>
    </w:p>
    <w:p>
      <w:pPr>
        <w:pStyle w:val="Heading3"/>
        <w:spacing w:line="240" w:lineRule="auto"/>
        <w:ind w:left="500" w:right="0"/>
        <w:jc w:val="left"/>
        <w:rPr>
          <w:b w:val="0"/>
          <w:bCs w:val="0"/>
        </w:rPr>
      </w:pPr>
      <w:bookmarkStart w:name="（3）重要非全资子公司的主要财务信息" w:id="322"/>
      <w:bookmarkEnd w:id="322"/>
      <w:r>
        <w:rPr>
          <w:b w:val="0"/>
          <w:bCs w:val="0"/>
        </w:rPr>
      </w:r>
      <w:r>
        <w:rPr>
          <w:w w:val="95"/>
        </w:rPr>
        <w:t>（</w:t>
      </w:r>
      <w:r>
        <w:rPr>
          <w:rFonts w:ascii="宋体" w:hAnsi="宋体" w:cs="宋体" w:eastAsia="宋体" w:hint="default"/>
          <w:w w:val="95"/>
        </w:rPr>
        <w:t>3</w:t>
      </w:r>
      <w:r>
        <w:rPr>
          <w:w w:val="95"/>
        </w:rPr>
        <w:t>）重要非全资子公司的主要财务信息</w:t>
      </w:r>
      <w:r>
        <w:rPr>
          <w:b w:val="0"/>
          <w:bCs w:val="0"/>
        </w:rPr>
      </w:r>
    </w:p>
    <w:p>
      <w:pPr>
        <w:pStyle w:val="BodyText"/>
        <w:spacing w:line="240" w:lineRule="auto" w:before="15"/>
        <w:ind w:left="500" w:right="0"/>
        <w:jc w:val="left"/>
      </w:pPr>
      <w:r>
        <w:rPr/>
        <w:br w:type="column"/>
      </w: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left="3380" w:right="0"/>
        <w:jc w:val="left"/>
      </w:pPr>
      <w:r>
        <w:rPr/>
        <w:pict>
          <v:group style="position:absolute;margin-left:70.5pt;margin-top:-19.328297pt;width:701pt;height:.1pt;mso-position-horizontal-relative:page;mso-position-vertical-relative:paragraph;z-index:1432" coordorigin="1410,-387" coordsize="14020,2">
            <v:shape style="position:absolute;left:1410;top:-387;width:14020;height:2" coordorigin="1410,-387" coordsize="14020,0" path="m1410,-387l15430,-387e" filled="false" stroked="true" strokeweight=".72pt" strokecolor="#000000">
              <v:path arrowok="t"/>
            </v:shape>
            <w10:wrap type="none"/>
          </v:group>
        </w:pict>
      </w:r>
      <w:r>
        <w:rPr/>
        <w:t>单位： 元</w:t>
      </w:r>
    </w:p>
    <w:p>
      <w:pPr>
        <w:spacing w:after="0" w:line="240" w:lineRule="auto"/>
        <w:jc w:val="left"/>
        <w:sectPr>
          <w:headerReference w:type="default" r:id="rId40"/>
          <w:footerReference w:type="default" r:id="rId41"/>
          <w:pgSz w:w="16840" w:h="11910" w:orient="landscape"/>
          <w:pgMar w:header="0" w:footer="0" w:top="800" w:bottom="0" w:left="940" w:right="0"/>
          <w:cols w:num="2" w:equalWidth="0">
            <w:col w:w="4188" w:space="6081"/>
            <w:col w:w="563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217"/>
        <w:gridCol w:w="1134"/>
        <w:gridCol w:w="1134"/>
        <w:gridCol w:w="1277"/>
        <w:gridCol w:w="1270"/>
        <w:gridCol w:w="992"/>
        <w:gridCol w:w="1140"/>
        <w:gridCol w:w="1134"/>
        <w:gridCol w:w="1134"/>
        <w:gridCol w:w="1134"/>
        <w:gridCol w:w="1134"/>
        <w:gridCol w:w="850"/>
        <w:gridCol w:w="1141"/>
      </w:tblGrid>
      <w:tr>
        <w:trPr>
          <w:trHeight w:val="402"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28"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9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5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21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6"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2"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0"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5"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3"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5"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1"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5"/>
              <w:jc w:val="right"/>
              <w:rPr>
                <w:rFonts w:ascii="宋体" w:hAnsi="宋体" w:cs="宋体" w:eastAsia="宋体" w:hint="default"/>
                <w:sz w:val="15"/>
                <w:szCs w:val="15"/>
              </w:rPr>
            </w:pPr>
            <w:r>
              <w:rPr>
                <w:rFonts w:ascii="宋体" w:hAnsi="宋体" w:cs="宋体" w:eastAsia="宋体" w:hint="default"/>
                <w:sz w:val="15"/>
                <w:szCs w:val="15"/>
              </w:rPr>
              <w:t>非流动负债</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5"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2"/>
              <w:jc w:val="left"/>
              <w:rPr>
                <w:rFonts w:ascii="宋体" w:hAnsi="宋体" w:cs="宋体" w:eastAsia="宋体" w:hint="default"/>
                <w:sz w:val="15"/>
                <w:szCs w:val="15"/>
              </w:rPr>
            </w:pPr>
            <w:r>
              <w:rPr>
                <w:rFonts w:ascii="宋体" w:hAnsi="宋体" w:cs="宋体" w:eastAsia="宋体" w:hint="default"/>
                <w:sz w:val="15"/>
                <w:szCs w:val="15"/>
              </w:rPr>
              <w:t>武汉果核科技有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272,322.06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168,953.76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441,275.82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724,475.73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15"/>
                <w:szCs w:val="15"/>
              </w:rPr>
            </w:pPr>
            <w:r>
              <w:rPr>
                <w:rFonts w:ascii="宋体"/>
                <w:sz w:val="15"/>
              </w:rPr>
              <w:t>600,000.00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1,324,475.73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1,209,756.18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432,492.99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1,642,249.17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1,280,016.08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300,000.00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1,580,016.08</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2"/>
              <w:jc w:val="left"/>
              <w:rPr>
                <w:rFonts w:ascii="宋体" w:hAnsi="宋体" w:cs="宋体" w:eastAsia="宋体" w:hint="default"/>
                <w:sz w:val="15"/>
                <w:szCs w:val="15"/>
              </w:rPr>
            </w:pPr>
            <w:r>
              <w:rPr>
                <w:rFonts w:ascii="宋体" w:hAnsi="宋体" w:cs="宋体" w:eastAsia="宋体" w:hint="default"/>
                <w:sz w:val="15"/>
                <w:szCs w:val="15"/>
              </w:rPr>
              <w:t>武汉天喻聚联网 络有限公司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9,476,809.94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1,657,167.25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11,133,977.19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2,288,602.94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2,288,602.94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9,538,579.61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86,374.93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9,624,954.54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1,674,071.58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1,674,071.58</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2"/>
              <w:jc w:val="left"/>
              <w:rPr>
                <w:rFonts w:ascii="宋体" w:hAnsi="宋体" w:cs="宋体" w:eastAsia="宋体" w:hint="default"/>
                <w:sz w:val="15"/>
                <w:szCs w:val="15"/>
              </w:rPr>
            </w:pPr>
            <w:r>
              <w:rPr>
                <w:rFonts w:ascii="宋体" w:hAnsi="宋体" w:cs="宋体" w:eastAsia="宋体" w:hint="default"/>
                <w:sz w:val="15"/>
                <w:szCs w:val="15"/>
              </w:rPr>
              <w:t>武汉天喻教育科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82,082,996.09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21,139,558.07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103,222,554.16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212,377,081.19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212,377,081.19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80,583,581.72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20,728,544.59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101,312,126.31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166,026,055.01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900,000.00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166,926,055.01</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2"/>
              <w:jc w:val="left"/>
              <w:rPr>
                <w:rFonts w:ascii="宋体" w:hAnsi="宋体" w:cs="宋体" w:eastAsia="宋体" w:hint="default"/>
                <w:sz w:val="15"/>
                <w:szCs w:val="15"/>
              </w:rPr>
            </w:pPr>
            <w:r>
              <w:rPr>
                <w:rFonts w:ascii="宋体" w:hAnsi="宋体" w:cs="宋体" w:eastAsia="宋体" w:hint="default"/>
                <w:sz w:val="15"/>
                <w:szCs w:val="15"/>
              </w:rPr>
              <w:t>湖北百旺金赋科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30,391,746.72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7,802,730.74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38,194,477.46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14,159,139.35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14,159,139.35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33,882,682.24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9,294,414.31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43,177,096.55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27,979,447.61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27,979,447.61</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2"/>
              <w:jc w:val="left"/>
              <w:rPr>
                <w:rFonts w:ascii="宋体" w:hAnsi="宋体" w:cs="宋体" w:eastAsia="宋体" w:hint="default"/>
                <w:sz w:val="15"/>
                <w:szCs w:val="15"/>
              </w:rPr>
            </w:pPr>
            <w:r>
              <w:rPr>
                <w:rFonts w:ascii="宋体" w:hAnsi="宋体" w:cs="宋体" w:eastAsia="宋体" w:hint="default"/>
                <w:sz w:val="15"/>
                <w:szCs w:val="15"/>
              </w:rPr>
              <w:t>深圳市易考乐学 测评有限公司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561,727.19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169,821.63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731,548.82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506,718.06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506,718.06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2,865,163.25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234,579.09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3,099,742.34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415,765.18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415,765.18</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2"/>
              <w:jc w:val="left"/>
              <w:rPr>
                <w:rFonts w:ascii="宋体" w:hAnsi="宋体" w:cs="宋体" w:eastAsia="宋体" w:hint="default"/>
                <w:sz w:val="15"/>
                <w:szCs w:val="15"/>
              </w:rPr>
            </w:pPr>
            <w:r>
              <w:rPr>
                <w:rFonts w:ascii="宋体" w:hAnsi="宋体" w:cs="宋体" w:eastAsia="宋体" w:hint="default"/>
                <w:sz w:val="15"/>
                <w:szCs w:val="15"/>
              </w:rPr>
              <w:t>无锡尚蠡信息科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2,089,496.22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95,094.79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2,184,591.01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1,468,862.79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1,468,862.79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3,786,575.34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131,479.37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3,918,054.71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1,227,783.83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90,000.00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1,317,783.83</w:t>
            </w:r>
          </w:p>
        </w:tc>
      </w:tr>
    </w:tbl>
    <w:p>
      <w:pPr>
        <w:spacing w:line="240" w:lineRule="auto" w:before="9"/>
        <w:rPr>
          <w:rFonts w:ascii="宋体" w:hAnsi="宋体" w:cs="宋体" w:eastAsia="宋体" w:hint="default"/>
          <w:sz w:val="6"/>
          <w:szCs w:val="6"/>
        </w:rPr>
      </w:pPr>
    </w:p>
    <w:p>
      <w:pPr>
        <w:pStyle w:val="BodyText"/>
        <w:spacing w:line="240" w:lineRule="auto" w:before="44"/>
        <w:ind w:left="0" w:right="1436"/>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553"/>
        <w:gridCol w:w="1349"/>
        <w:gridCol w:w="1628"/>
        <w:gridCol w:w="1559"/>
        <w:gridCol w:w="1629"/>
        <w:gridCol w:w="1490"/>
        <w:gridCol w:w="1417"/>
        <w:gridCol w:w="1559"/>
        <w:gridCol w:w="1560"/>
      </w:tblGrid>
      <w:tr>
        <w:trPr>
          <w:trHeight w:val="40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1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53"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2,274,454.22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-945,433.00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-945,433.00</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-435,629.60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2,208,709.25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-5,686,396.94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-5,686,396.94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-4,807,721.22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3,969,270.73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894,491.29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894,491.29</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537,778.24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1,624,702.00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-1,726,803.70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-1,726,803.70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-3,160,598.94</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89,394,737.87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-43,540,598.33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-43,540,598.33</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-13,680,502.42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60,336,486.74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-64,550,626.04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-64,550,626.04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11,808,746.07</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63,752,459.69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8,837,689.17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8,837,689.17</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1,109,539.21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65,361,486.26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11,082,789.79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11,082,789.79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20,121,248.30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深圳市易考乐学测评有限公司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733,932.04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-4,959,146.40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-4,959,146.40</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-4,595,569.33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-1,926,820.39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-1,926,820.39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-1,990,103.82</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无锡尚蠡信息科技有限公司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1,618,392.81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-1,884,542.66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-1,884,542.66</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-2,177,549.23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665,582.15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-192,587.57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-192,587.57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-58,047.20</w:t>
            </w:r>
          </w:p>
        </w:tc>
      </w:tr>
    </w:tbl>
    <w:p>
      <w:pPr>
        <w:pStyle w:val="BodyText"/>
        <w:spacing w:line="240" w:lineRule="auto" w:before="67"/>
        <w:ind w:left="7325" w:right="8263"/>
        <w:jc w:val="center"/>
        <w:rPr>
          <w:rFonts w:ascii="Times New Roman" w:hAnsi="Times New Roman" w:cs="Times New Roman" w:eastAsia="Times New Roman" w:hint="default"/>
        </w:rPr>
      </w:pPr>
      <w:r>
        <w:rPr/>
        <w:pict>
          <v:shape style="position:absolute;margin-left:201.919983pt;margin-top:21.472345pt;width:640pt;height:42pt;mso-position-horizontal-relative:page;mso-position-vertical-relative:paragraph;z-index:1456" type="#_x0000_t75" stroked="false">
            <v:imagedata r:id="rId25" o:title=""/>
          </v:shape>
        </w:pict>
      </w:r>
      <w:r>
        <w:rPr>
          <w:rFonts w:ascii="Times New Roman"/>
        </w:rPr>
        <w:t>134</w:t>
      </w:r>
    </w:p>
    <w:p>
      <w:pPr>
        <w:spacing w:after="0" w:line="240" w:lineRule="auto"/>
        <w:jc w:val="center"/>
        <w:rPr>
          <w:rFonts w:ascii="Times New Roman" w:hAnsi="Times New Roman" w:cs="Times New Roman" w:eastAsia="Times New Roman" w:hint="default"/>
        </w:rPr>
        <w:sectPr>
          <w:type w:val="continuous"/>
          <w:pgSz w:w="16840" w:h="11910" w:orient="landscape"/>
          <w:pgMar w:top="1580" w:bottom="84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240" w:lineRule="auto" w:before="35"/>
        <w:ind w:right="0"/>
        <w:jc w:val="left"/>
        <w:rPr>
          <w:b w:val="0"/>
          <w:bCs w:val="0"/>
        </w:rPr>
      </w:pPr>
      <w:bookmarkStart w:name="2、在子公司的所有者权益份额发生变化且仍控制子公司的交易" w:id="323"/>
      <w:bookmarkEnd w:id="323"/>
      <w:r>
        <w:rPr>
          <w:b w:val="0"/>
          <w:bCs w:val="0"/>
        </w:rPr>
      </w:r>
      <w:r>
        <w:rPr>
          <w:rFonts w:ascii="宋体" w:hAnsi="宋体" w:cs="宋体" w:eastAsia="宋体"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在子公司所有者权益份额发生变化的情况说明" w:id="324"/>
      <w:bookmarkEnd w:id="324"/>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left="1133" w:right="1123" w:firstLine="360"/>
        <w:jc w:val="left"/>
      </w:pPr>
      <w:r>
        <w:rPr/>
        <w:t>报告期内，公司子公司聚联网络以</w:t>
      </w:r>
      <w:r>
        <w:rPr>
          <w:rFonts w:ascii="宋体" w:hAnsi="宋体" w:cs="宋体" w:eastAsia="宋体" w:hint="default"/>
        </w:rPr>
        <w:t>159</w:t>
      </w:r>
      <w:r>
        <w:rPr/>
        <w:t>万元购买果核科技少数股东股权，收购完成后，公司对果核科技的间接持股比例 为</w:t>
      </w:r>
      <w:r>
        <w:rPr>
          <w:rFonts w:ascii="宋体" w:hAnsi="宋体" w:cs="宋体" w:eastAsia="宋体" w:hint="default"/>
        </w:rPr>
        <w:t>15.14%</w:t>
      </w:r>
      <w:r>
        <w:rPr/>
        <w:t>，直接持股比例为</w:t>
      </w:r>
      <w:r>
        <w:rPr>
          <w:rFonts w:ascii="宋体" w:hAnsi="宋体" w:cs="宋体" w:eastAsia="宋体" w:hint="default"/>
        </w:rPr>
        <w:t>51.43%</w:t>
      </w:r>
      <w:r>
        <w:rPr/>
        <w:t>，持股比例合计为</w:t>
      </w:r>
      <w:r>
        <w:rPr>
          <w:rFonts w:ascii="宋体" w:hAnsi="宋体" w:cs="宋体" w:eastAsia="宋体" w:hint="default"/>
        </w:rPr>
        <w:t>66.57%</w:t>
      </w:r>
      <w:r>
        <w:rPr/>
        <w:t>。</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交易对于少数股东权益及归属于母公司所有者权益的影响" w:id="325"/>
      <w:bookmarkEnd w:id="325"/>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6"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宋体" w:hAnsi="宋体" w:cs="宋体" w:eastAsia="宋体"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-46,072.55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1,636,072.55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-1,636,072.55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26"/>
      <w:bookmarkEnd w:id="326"/>
      <w:r>
        <w:rPr>
          <w:b w:val="0"/>
          <w:bCs w:val="0"/>
        </w:rPr>
      </w:r>
      <w:r>
        <w:rPr>
          <w:rFonts w:ascii="宋体" w:hAnsi="宋体" w:cs="宋体" w:eastAsia="宋体" w:hint="default"/>
        </w:rPr>
        <w:t>3</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重要的合营企业或联营企业" w:id="327"/>
      <w:bookmarkEnd w:id="327"/>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418"/>
        <w:gridCol w:w="1247"/>
        <w:gridCol w:w="1134"/>
        <w:gridCol w:w="2154"/>
        <w:gridCol w:w="1180"/>
        <w:gridCol w:w="1134"/>
        <w:gridCol w:w="1366"/>
      </w:tblGrid>
      <w:tr>
        <w:trPr>
          <w:trHeight w:val="40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163" w:right="162" w:firstLine="90"/>
              <w:jc w:val="left"/>
              <w:rPr>
                <w:rFonts w:ascii="宋体" w:hAnsi="宋体" w:cs="宋体" w:eastAsia="宋体" w:hint="default"/>
                <w:sz w:val="18"/>
                <w:szCs w:val="18"/>
              </w:rPr>
            </w:pPr>
            <w:r>
              <w:rPr>
                <w:rFonts w:ascii="宋体" w:hAnsi="宋体" w:cs="宋体" w:eastAsia="宋体" w:hint="default"/>
                <w:sz w:val="18"/>
                <w:szCs w:val="18"/>
              </w:rPr>
              <w:t>合营企业或 联营企业名称</w:t>
            </w:r>
          </w:p>
        </w:tc>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1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418"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154" w:type="dxa"/>
            <w:vMerge/>
            <w:tcBorders>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武汉中天慧购电 商服务有限公司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福建中教网络教 育服务有限公司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福州市</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网络教育及信息技术服务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武汉国广天喻信 息技术有限公司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合营企业的主要财务信息" w:id="328"/>
      <w:bookmarkEnd w:id="328"/>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90" w:type="dxa"/>
            <w:vMerge/>
            <w:tcBorders>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482,725.19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2,731,063.52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278,306.15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2,460,624.50</w:t>
            </w:r>
          </w:p>
        </w:tc>
      </w:tr>
    </w:tbl>
    <w:p>
      <w:pPr>
        <w:spacing w:after="0" w:line="240" w:lineRule="auto"/>
        <w:jc w:val="right"/>
        <w:rPr>
          <w:rFonts w:ascii="宋体" w:hAnsi="宋体" w:cs="宋体" w:eastAsia="宋体" w:hint="default"/>
          <w:sz w:val="18"/>
          <w:szCs w:val="18"/>
        </w:rPr>
        <w:sectPr>
          <w:footerReference w:type="default" r:id="rId42"/>
          <w:pgSz w:w="11910" w:h="16840"/>
          <w:pgMar w:footer="979" w:header="0" w:top="1100" w:bottom="1160" w:left="0" w:right="0"/>
          <w:pgNumType w:start="135"/>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854,829.44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1,224,845.12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1,337,554.63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3,955,908.64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510,154.08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834,830.55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510,154.08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834,830.55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827,400.55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3,121,078.09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413,700.28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1,560,539.05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-70,123.18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-106,709.19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-70,123.18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-106,709.19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343,577.10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1,453,829.86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497,967.76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40,786.86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-29,457.68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-2,293,677.54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-3,668,669.51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-2,293,677.54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-3,668,669.51</w:t>
            </w:r>
          </w:p>
        </w:tc>
      </w:tr>
    </w:tbl>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979" w:top="1100" w:bottom="1160" w:left="0" w:right="0"/>
        </w:sectPr>
      </w:pPr>
    </w:p>
    <w:p>
      <w:pPr>
        <w:pStyle w:val="Heading3"/>
        <w:spacing w:line="240" w:lineRule="auto" w:before="35"/>
        <w:ind w:right="0"/>
        <w:jc w:val="left"/>
        <w:rPr>
          <w:b w:val="0"/>
          <w:bCs w:val="0"/>
        </w:rPr>
      </w:pPr>
      <w:bookmarkStart w:name="（3）重要联营企业的主要财务信息" w:id="329"/>
      <w:bookmarkEnd w:id="329"/>
      <w:r>
        <w:rPr>
          <w:b w:val="0"/>
          <w:bCs w:val="0"/>
        </w:rPr>
      </w:r>
      <w:r>
        <w:rPr>
          <w:w w:val="95"/>
        </w:rPr>
        <w:t>（</w:t>
      </w:r>
      <w:r>
        <w:rPr>
          <w:rFonts w:ascii="宋体" w:hAnsi="宋体" w:cs="宋体" w:eastAsia="宋体" w:hint="default"/>
          <w:w w:val="95"/>
        </w:rPr>
        <w:t>3</w:t>
      </w:r>
      <w:r>
        <w:rPr>
          <w:w w:val="95"/>
        </w:rPr>
        <w:t>）重要联营企业的主要财务信息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4401" w:space="4249"/>
            <w:col w:w="3260"/>
          </w:cols>
        </w:sectPr>
      </w:pPr>
    </w:p>
    <w:p>
      <w:pPr>
        <w:spacing w:line="240" w:lineRule="auto" w:before="0"/>
        <w:rPr>
          <w:rFonts w:ascii="宋体" w:hAnsi="宋体" w:cs="宋体" w:eastAsia="宋体" w:hint="default"/>
          <w:sz w:val="5"/>
          <w:szCs w:val="5"/>
        </w:rPr>
      </w:pPr>
    </w:p>
    <w:tbl>
      <w:tblPr>
        <w:tblW w:w="0" w:type="auto"/>
        <w:jc w:val="left"/>
        <w:tblInd w:w="1181" w:type="dxa"/>
        <w:tblLayout w:type="fixed"/>
        <w:tblCellMar>
          <w:top w:w="0" w:type="dxa"/>
          <w:left w:w="0" w:type="dxa"/>
          <w:bottom w:w="0" w:type="dxa"/>
          <w:right w:w="0" w:type="dxa"/>
        </w:tblCellMar>
        <w:tblLook w:val="01E0"/>
      </w:tblPr>
      <w:tblGrid>
        <w:gridCol w:w="1995"/>
        <w:gridCol w:w="1914"/>
        <w:gridCol w:w="1914"/>
        <w:gridCol w:w="1914"/>
        <w:gridCol w:w="1796"/>
      </w:tblGrid>
      <w:tr>
        <w:trPr>
          <w:trHeight w:val="40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714" w:hRule="exact"/>
        </w:trPr>
        <w:tc>
          <w:tcPr>
            <w:tcW w:w="1995"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福建中教网络教育服务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武汉国广天喻信息技术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福建中教网络教育服务 有限公司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42" w:right="83" w:hanging="360"/>
              <w:jc w:val="left"/>
              <w:rPr>
                <w:rFonts w:ascii="宋体" w:hAnsi="宋体" w:cs="宋体" w:eastAsia="宋体" w:hint="default"/>
                <w:sz w:val="18"/>
                <w:szCs w:val="18"/>
              </w:rPr>
            </w:pPr>
            <w:r>
              <w:rPr>
                <w:rFonts w:ascii="宋体" w:hAnsi="宋体" w:cs="宋体" w:eastAsia="宋体" w:hint="default"/>
                <w:sz w:val="18"/>
                <w:szCs w:val="18"/>
              </w:rPr>
              <w:t>武汉国广天喻信息技 术有限公司</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4,036,353.61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2,828,700.14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5,853,145.14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2,913,392.68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285,692.72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2,174,907.65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2,114.94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2,361,014.21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4,322,046.33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5,003,607.79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5,855,260.08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5,274,406.89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1,812,339.34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2,265,285.73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1,027,882.38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584,172.12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1,812,339.34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2,265,285.73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1,027,882.38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584,172.12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2,509,706.99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2,738,322.06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4,827,377.70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4,690,234.77</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1,229,756.43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1,341,777.81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2,365,415.07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2,298,215.04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-71,895.37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-1,170,968.49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-82,082.62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-1,241,939.94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-71,895.37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-1,170,968.49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-82,082.62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-1,241,939.94</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1,157,861.06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2,424,809.32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2,283,332.45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3,555,275.10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3,234,574.89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720,009.62</w:t>
            </w: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-2,317,670.71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-2,451,912.71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-4,821,674.55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-209,765.23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-2,317,670.71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-2,451,912.71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-4,821,674.55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-209,765.23</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不重要的合营企业和联营企业的汇总财务信息" w:id="330"/>
      <w:bookmarkEnd w:id="330"/>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4,940,613.28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4,600,567.28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90,046.00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-240,406.48</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90,046.00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-240,406.48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与金融工具相关的风险" w:id="331"/>
      <w:bookmarkEnd w:id="33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133" w:right="0" w:firstLine="360"/>
        <w:jc w:val="left"/>
      </w:pPr>
      <w:r>
        <w:rPr>
          <w:spacing w:val="-2"/>
        </w:rPr>
        <w:t>本公司的主要金融工具，包括货币资金、可供出售金融资产、借款等，这些金融工具的主要目的在于为本公司的运营融</w:t>
      </w:r>
      <w:r>
        <w:rPr/>
        <w:t> 资。本公司还有多种因经营而直接产生的其他金融资产和负债，比如应收账款、应收票据、应付账款及应付票据等。</w:t>
      </w:r>
    </w:p>
    <w:p>
      <w:pPr>
        <w:pStyle w:val="BodyText"/>
        <w:spacing w:line="360" w:lineRule="auto" w:before="56"/>
        <w:ind w:left="1493" w:right="3913"/>
        <w:jc w:val="left"/>
      </w:pPr>
      <w:r>
        <w:rPr/>
        <w:t>本公司金融工具导致的主要风险是信用风险、流动性风险和市场风险。 </w:t>
      </w:r>
      <w:r>
        <w:rPr>
          <w:rFonts w:ascii="宋体" w:hAnsi="宋体" w:cs="宋体" w:eastAsia="宋体" w:hint="default"/>
        </w:rPr>
        <w:t>1</w:t>
      </w:r>
      <w:r>
        <w:rPr/>
        <w:t>、信用风险 信用风险，是指金融工具的一方不能履行义务，造成另一方发生财务损失的风险。</w:t>
      </w:r>
    </w:p>
    <w:p>
      <w:pPr>
        <w:pStyle w:val="BodyText"/>
        <w:spacing w:line="319" w:lineRule="auto" w:before="25"/>
        <w:ind w:left="1133" w:right="1131" w:firstLine="360"/>
        <w:jc w:val="both"/>
      </w:pPr>
      <w:r>
        <w:rPr>
          <w:spacing w:val="-2"/>
        </w:rPr>
        <w:t>本公司仅与经认可的、信誉良好的第三方进行交易。按照本公司的政策，需对所有要求采用信用方式进行交易的客户进</w:t>
      </w:r>
      <w:r>
        <w:rPr/>
        <w:t> </w:t>
      </w:r>
      <w:r>
        <w:rPr>
          <w:spacing w:val="-2"/>
        </w:rPr>
        <w:t>行信用审核。另外，本公司对应收账款余额进行持续监控，以确保本公司不致面临重大坏账风险。对于未采用相关经营单位</w:t>
      </w:r>
      <w:r>
        <w:rPr>
          <w:spacing w:val="-66"/>
        </w:rPr>
        <w:t> </w:t>
      </w:r>
      <w:r>
        <w:rPr>
          <w:spacing w:val="-66"/>
        </w:rPr>
      </w:r>
      <w:r>
        <w:rPr/>
        <w:t>的记账本位币结算的交易，除非本公司信用控制部门特别批准，否则本公司不提供信用交易条件。</w:t>
      </w:r>
    </w:p>
    <w:p>
      <w:pPr>
        <w:pStyle w:val="BodyText"/>
        <w:spacing w:line="319" w:lineRule="auto" w:before="55"/>
        <w:ind w:left="1133" w:right="0" w:firstLine="360"/>
        <w:jc w:val="left"/>
      </w:pPr>
      <w:r>
        <w:rPr>
          <w:spacing w:val="-2"/>
        </w:rPr>
        <w:t>本公司的主要金融资产包括货币资金、可供出售金融资产、应收账款、应收票据等，这些金融资产的信用风险源自交易</w:t>
      </w:r>
      <w:r>
        <w:rPr/>
        <w:t> 对手违约，最大风险敞口等于这些工具的账面金额。</w:t>
      </w:r>
    </w:p>
    <w:p>
      <w:pPr>
        <w:pStyle w:val="BodyText"/>
        <w:spacing w:line="319" w:lineRule="auto" w:before="56"/>
        <w:ind w:left="1133" w:right="0" w:firstLine="360"/>
        <w:jc w:val="left"/>
      </w:pPr>
      <w:r>
        <w:rPr>
          <w:spacing w:val="-4"/>
        </w:rPr>
        <w:t>本公司与客户间的贸易条款以信用交易为主，由于本公司仅与经认可的且信誉良好的第三方进行交易，所以无需担保物。</w:t>
      </w:r>
      <w:r>
        <w:rPr/>
        <w:t> 信用风险集中按照客户</w:t>
      </w:r>
      <w:r>
        <w:rPr>
          <w:rFonts w:ascii="宋体" w:hAnsi="宋体" w:cs="宋体" w:eastAsia="宋体" w:hint="default"/>
        </w:rPr>
        <w:t>/</w:t>
      </w:r>
      <w:r>
        <w:rPr/>
        <w:t>交易对手、地理区域和行业进行管理。本公司的应收账款客户群主要分布在金融、通信行业、各类</w:t>
      </w:r>
      <w:r>
        <w:rPr>
          <w:spacing w:val="-83"/>
        </w:rPr>
        <w:t> </w:t>
      </w:r>
      <w:r>
        <w:rPr>
          <w:spacing w:val="-83"/>
        </w:rPr>
      </w:r>
      <w:r>
        <w:rPr>
          <w:spacing w:val="-2"/>
        </w:rPr>
        <w:t>金融支付机构以及政府及公共事业单位等，由于前述客户资本实力较强，信誉度较高，资金回收较为可靠，因此在本公司内</w:t>
      </w:r>
      <w:r>
        <w:rPr>
          <w:spacing w:val="-66"/>
        </w:rPr>
        <w:t> </w:t>
      </w:r>
      <w:r>
        <w:rPr>
          <w:spacing w:val="-66"/>
        </w:rPr>
      </w:r>
      <w:r>
        <w:rPr>
          <w:spacing w:val="-3"/>
        </w:rPr>
        <w:t>部不存在重大信用风险集中。截至报告期末，本公司的应收账款中应收账款前五名客户的款项占</w:t>
      </w:r>
      <w:r>
        <w:rPr>
          <w:rFonts w:ascii="宋体" w:hAnsi="宋体" w:cs="宋体" w:eastAsia="宋体" w:hint="default"/>
          <w:spacing w:val="-3"/>
        </w:rPr>
        <w:t>25.70%</w:t>
      </w:r>
      <w:r>
        <w:rPr>
          <w:rFonts w:ascii="宋体" w:hAnsi="宋体" w:cs="宋体" w:eastAsia="宋体" w:hint="default"/>
          <w:spacing w:val="-43"/>
        </w:rPr>
        <w:t> </w:t>
      </w:r>
      <w:r>
        <w:rPr>
          <w:rFonts w:ascii="宋体" w:hAnsi="宋体" w:cs="宋体" w:eastAsia="宋体" w:hint="default"/>
          <w:spacing w:val="-12"/>
        </w:rPr>
        <w:t>(</w:t>
      </w:r>
      <w:r>
        <w:rPr>
          <w:spacing w:val="-12"/>
        </w:rPr>
        <w:t>上年末为</w:t>
      </w:r>
      <w:r>
        <w:rPr>
          <w:rFonts w:ascii="宋体" w:hAnsi="宋体" w:cs="宋体" w:eastAsia="宋体" w:hint="default"/>
          <w:spacing w:val="-12"/>
        </w:rPr>
        <w:t>16.45%</w:t>
      </w:r>
      <w:r>
        <w:rPr>
          <w:spacing w:val="-12"/>
        </w:rPr>
        <w:t>），</w:t>
      </w:r>
      <w:r>
        <w:rPr>
          <w:spacing w:val="-82"/>
        </w:rPr>
        <w:t> </w:t>
      </w:r>
      <w:r>
        <w:rPr/>
        <w:t>本公司并未面临重大信用集中风险。</w:t>
      </w:r>
    </w:p>
    <w:p>
      <w:pPr>
        <w:pStyle w:val="BodyText"/>
        <w:spacing w:line="357" w:lineRule="auto" w:before="56"/>
        <w:ind w:left="1493" w:right="2833"/>
        <w:jc w:val="left"/>
      </w:pPr>
      <w:r>
        <w:rPr/>
        <w:t>本公司因应收账款和其他应收款产生的信用风险敞口的量化数据，参见附注七、</w:t>
      </w:r>
      <w:r>
        <w:rPr>
          <w:rFonts w:ascii="宋体" w:hAnsi="宋体" w:cs="宋体" w:eastAsia="宋体" w:hint="default"/>
        </w:rPr>
        <w:t>3</w:t>
      </w:r>
      <w:r>
        <w:rPr/>
        <w:t>和附注七、</w:t>
      </w:r>
      <w:r>
        <w:rPr>
          <w:rFonts w:ascii="宋体" w:hAnsi="宋体" w:cs="宋体" w:eastAsia="宋体" w:hint="default"/>
        </w:rPr>
        <w:t>5</w:t>
      </w:r>
      <w:r>
        <w:rPr/>
        <w:t>。 </w:t>
      </w:r>
      <w:r>
        <w:rPr>
          <w:rFonts w:ascii="宋体" w:hAnsi="宋体" w:cs="宋体" w:eastAsia="宋体" w:hint="default"/>
        </w:rPr>
        <w:t>2</w:t>
      </w:r>
      <w:r>
        <w:rPr/>
        <w:t>、流动性风险</w:t>
      </w:r>
    </w:p>
    <w:p>
      <w:pPr>
        <w:pStyle w:val="BodyText"/>
        <w:spacing w:line="319" w:lineRule="auto" w:before="28"/>
        <w:ind w:left="1133" w:right="0" w:firstLine="360"/>
        <w:jc w:val="left"/>
      </w:pPr>
      <w:r>
        <w:rPr>
          <w:spacing w:val="-2"/>
        </w:rPr>
        <w:t>流动性风险，是指企业在履行以交付现金或其他金融资产的方式结算的义务时发生资金短缺的风险。本公司通过利用经</w:t>
      </w:r>
      <w:r>
        <w:rPr/>
        <w:t> 营业务产生的资金、银行贷款及债务维持资金延续性与灵活性之间的平衡，以管理其流动性风险。</w:t>
      </w:r>
    </w:p>
    <w:p>
      <w:pPr>
        <w:pStyle w:val="BodyText"/>
        <w:spacing w:line="240" w:lineRule="auto" w:before="136"/>
        <w:ind w:left="1493" w:right="0"/>
        <w:jc w:val="left"/>
      </w:pPr>
      <w:r>
        <w:rPr/>
        <w:t>金融负债按未折现的合同现金流量所作的到期期限分析如下：</w:t>
      </w:r>
    </w:p>
    <w:p>
      <w:pPr>
        <w:pStyle w:val="BodyText"/>
        <w:tabs>
          <w:tab w:pos="9865" w:val="left" w:leader="none"/>
        </w:tabs>
        <w:spacing w:line="240" w:lineRule="auto" w:before="117"/>
        <w:ind w:left="1494" w:right="0"/>
        <w:jc w:val="left"/>
      </w:pPr>
      <w:r>
        <w:rPr/>
        <w:t>期末余额：</w:t>
        <w:tab/>
        <w:t>单位：元</w:t>
      </w:r>
    </w:p>
    <w:p>
      <w:pPr>
        <w:spacing w:line="240" w:lineRule="auto" w:before="13"/>
        <w:rPr>
          <w:rFonts w:ascii="宋体" w:hAnsi="宋体" w:cs="宋体" w:eastAsia="宋体" w:hint="default"/>
          <w:sz w:val="7"/>
          <w:szCs w:val="7"/>
        </w:rPr>
      </w:pPr>
    </w:p>
    <w:tbl>
      <w:tblPr>
        <w:tblW w:w="0" w:type="auto"/>
        <w:jc w:val="left"/>
        <w:tblInd w:w="1168" w:type="dxa"/>
        <w:tblLayout w:type="fixed"/>
        <w:tblCellMar>
          <w:top w:w="0" w:type="dxa"/>
          <w:left w:w="0" w:type="dxa"/>
          <w:bottom w:w="0" w:type="dxa"/>
          <w:right w:w="0" w:type="dxa"/>
        </w:tblCellMar>
        <w:tblLook w:val="01E0"/>
      </w:tblPr>
      <w:tblGrid>
        <w:gridCol w:w="1341"/>
        <w:gridCol w:w="172"/>
        <w:gridCol w:w="1273"/>
        <w:gridCol w:w="1107"/>
        <w:gridCol w:w="1135"/>
        <w:gridCol w:w="1133"/>
        <w:gridCol w:w="1136"/>
        <w:gridCol w:w="908"/>
        <w:gridCol w:w="1350"/>
      </w:tblGrid>
      <w:tr>
        <w:trPr>
          <w:trHeight w:val="428" w:hRule="exact"/>
        </w:trPr>
        <w:tc>
          <w:tcPr>
            <w:tcW w:w="13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1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779" w:hRule="exact"/>
        </w:trPr>
        <w:tc>
          <w:tcPr>
            <w:tcW w:w="1341" w:type="dxa"/>
            <w:vMerge/>
            <w:tcBorders>
              <w:left w:val="single" w:sz="6" w:space="0" w:color="000000"/>
              <w:bottom w:val="single" w:sz="6" w:space="0" w:color="000000"/>
              <w:right w:val="single" w:sz="6" w:space="0" w:color="000000"/>
            </w:tcBorders>
          </w:tcPr>
          <w:p>
            <w:pP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p>
            <w:pPr>
              <w:pStyle w:val="TableParagraph"/>
              <w:spacing w:line="240" w:lineRule="auto" w:before="117"/>
              <w:ind w:left="309"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1</w:t>
            </w:r>
            <w:r>
              <w:rPr>
                <w:rFonts w:ascii="宋体" w:hAnsi="宋体" w:cs="宋体" w:eastAsia="宋体" w:hint="default"/>
                <w:sz w:val="18"/>
                <w:szCs w:val="18"/>
              </w:rPr>
              <w:t>年）</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2</w:t>
            </w:r>
            <w:r>
              <w:rPr>
                <w:rFonts w:ascii="宋体" w:hAnsi="宋体" w:cs="宋体" w:eastAsia="宋体" w:hint="default"/>
                <w:sz w:val="18"/>
                <w:szCs w:val="18"/>
              </w:rPr>
              <w:t>年）</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3</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4</w:t>
            </w:r>
            <w:r>
              <w:rPr>
                <w:rFonts w:ascii="宋体" w:hAnsi="宋体" w:cs="宋体" w:eastAsia="宋体" w:hint="default"/>
                <w:sz w:val="18"/>
                <w:szCs w:val="18"/>
              </w:rPr>
              <w:t>年）</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年）</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5"/>
                <w:sz w:val="18"/>
                <w:szCs w:val="18"/>
              </w:rPr>
              <w:t>短期借款（含息</w:t>
            </w:r>
          </w:p>
        </w:tc>
        <w:tc>
          <w:tcPr>
            <w:tcW w:w="1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2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93" w:right="0"/>
              <w:jc w:val="left"/>
              <w:rPr>
                <w:rFonts w:ascii="宋体" w:hAnsi="宋体" w:cs="宋体" w:eastAsia="宋体" w:hint="default"/>
                <w:sz w:val="18"/>
                <w:szCs w:val="18"/>
              </w:rPr>
            </w:pPr>
            <w:r>
              <w:rPr>
                <w:rFonts w:ascii="宋体"/>
                <w:sz w:val="18"/>
              </w:rPr>
              <w:t>20,000,000.00</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1" w:right="0"/>
              <w:jc w:val="left"/>
              <w:rPr>
                <w:rFonts w:ascii="宋体" w:hAnsi="宋体" w:cs="宋体" w:eastAsia="宋体" w:hint="default"/>
                <w:sz w:val="18"/>
                <w:szCs w:val="18"/>
              </w:rPr>
            </w:pPr>
            <w:r>
              <w:rPr>
                <w:rFonts w:ascii="宋体"/>
                <w:sz w:val="18"/>
              </w:rPr>
              <w:t>20,000,000.00</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68" w:type="dxa"/>
        <w:tblLayout w:type="fixed"/>
        <w:tblCellMar>
          <w:top w:w="0" w:type="dxa"/>
          <w:left w:w="0" w:type="dxa"/>
          <w:bottom w:w="0" w:type="dxa"/>
          <w:right w:w="0" w:type="dxa"/>
        </w:tblCellMar>
        <w:tblLook w:val="01E0"/>
      </w:tblPr>
      <w:tblGrid>
        <w:gridCol w:w="1341"/>
        <w:gridCol w:w="1445"/>
        <w:gridCol w:w="1107"/>
        <w:gridCol w:w="1135"/>
        <w:gridCol w:w="1133"/>
        <w:gridCol w:w="1136"/>
        <w:gridCol w:w="908"/>
        <w:gridCol w:w="1350"/>
      </w:tblGrid>
      <w:tr>
        <w:trPr>
          <w:trHeight w:val="427" w:hRule="exact"/>
        </w:trPr>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150,993,361.82</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150,993,361.82</w:t>
            </w:r>
          </w:p>
        </w:tc>
      </w:tr>
      <w:tr>
        <w:trPr>
          <w:trHeight w:val="427" w:hRule="exact"/>
        </w:trPr>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256,914,216.78</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256,914,216.78</w:t>
            </w:r>
          </w:p>
        </w:tc>
      </w:tr>
      <w:tr>
        <w:trPr>
          <w:trHeight w:val="426" w:hRule="exact"/>
        </w:trPr>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45" w:type="dxa"/>
            <w:tcBorders>
              <w:top w:val="single" w:sz="6" w:space="0" w:color="000000"/>
              <w:left w:val="single" w:sz="6" w:space="0" w:color="000000"/>
              <w:bottom w:val="single" w:sz="6" w:space="0" w:color="000000"/>
              <w:right w:val="single" w:sz="6" w:space="0" w:color="000000"/>
            </w:tcBorders>
          </w:tcPr>
          <w:p>
            <w:pP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52,368,883.37</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52,368,883.37</w:t>
            </w:r>
          </w:p>
        </w:tc>
      </w:tr>
      <w:tr>
        <w:trPr>
          <w:trHeight w:val="428" w:hRule="exact"/>
        </w:trPr>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480,276,461.97</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480,276,461.97</w:t>
            </w:r>
          </w:p>
        </w:tc>
      </w:tr>
    </w:tbl>
    <w:p>
      <w:pPr>
        <w:spacing w:line="240" w:lineRule="auto" w:before="11"/>
        <w:rPr>
          <w:rFonts w:ascii="宋体" w:hAnsi="宋体" w:cs="宋体" w:eastAsia="宋体" w:hint="default"/>
          <w:sz w:val="15"/>
          <w:szCs w:val="15"/>
        </w:rPr>
      </w:pPr>
    </w:p>
    <w:p>
      <w:pPr>
        <w:pStyle w:val="BodyText"/>
        <w:tabs>
          <w:tab w:pos="9865" w:val="left" w:leader="none"/>
        </w:tabs>
        <w:spacing w:line="240" w:lineRule="auto" w:before="44"/>
        <w:ind w:left="1494" w:right="0"/>
        <w:jc w:val="left"/>
      </w:pPr>
      <w:r>
        <w:rPr/>
        <w:t>期初余额：</w:t>
        <w:tab/>
        <w:t>单位：元</w:t>
      </w:r>
    </w:p>
    <w:p>
      <w:pPr>
        <w:spacing w:line="240" w:lineRule="auto" w:before="13"/>
        <w:rPr>
          <w:rFonts w:ascii="宋体" w:hAnsi="宋体" w:cs="宋体" w:eastAsia="宋体" w:hint="default"/>
          <w:sz w:val="7"/>
          <w:szCs w:val="7"/>
        </w:rPr>
      </w:pPr>
    </w:p>
    <w:tbl>
      <w:tblPr>
        <w:tblW w:w="0" w:type="auto"/>
        <w:jc w:val="left"/>
        <w:tblInd w:w="1173" w:type="dxa"/>
        <w:tblLayout w:type="fixed"/>
        <w:tblCellMar>
          <w:top w:w="0" w:type="dxa"/>
          <w:left w:w="0" w:type="dxa"/>
          <w:bottom w:w="0" w:type="dxa"/>
          <w:right w:w="0" w:type="dxa"/>
        </w:tblCellMar>
        <w:tblLook w:val="01E0"/>
      </w:tblPr>
      <w:tblGrid>
        <w:gridCol w:w="1294"/>
        <w:gridCol w:w="128"/>
        <w:gridCol w:w="1317"/>
        <w:gridCol w:w="1107"/>
        <w:gridCol w:w="1135"/>
        <w:gridCol w:w="1133"/>
        <w:gridCol w:w="1136"/>
        <w:gridCol w:w="994"/>
        <w:gridCol w:w="1302"/>
      </w:tblGrid>
      <w:tr>
        <w:trPr>
          <w:trHeight w:val="427"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5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1"/>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779" w:hRule="exact"/>
        </w:trPr>
        <w:tc>
          <w:tcPr>
            <w:tcW w:w="1294" w:type="dxa"/>
            <w:vMerge/>
            <w:tcBorders>
              <w:left w:val="single" w:sz="6" w:space="0" w:color="000000"/>
              <w:bottom w:val="single" w:sz="6" w:space="0" w:color="000000"/>
              <w:right w:val="single" w:sz="6" w:space="0" w:color="000000"/>
            </w:tcBorders>
          </w:tcPr>
          <w:p>
            <w:pP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p>
            <w:pPr>
              <w:pStyle w:val="TableParagraph"/>
              <w:spacing w:line="240" w:lineRule="auto" w:before="116"/>
              <w:ind w:left="309"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1</w:t>
            </w:r>
            <w:r>
              <w:rPr>
                <w:rFonts w:ascii="宋体" w:hAnsi="宋体" w:cs="宋体" w:eastAsia="宋体" w:hint="default"/>
                <w:sz w:val="18"/>
                <w:szCs w:val="18"/>
              </w:rPr>
              <w:t>年）</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2</w:t>
            </w:r>
            <w:r>
              <w:rPr>
                <w:rFonts w:ascii="宋体" w:hAnsi="宋体" w:cs="宋体" w:eastAsia="宋体" w:hint="default"/>
                <w:sz w:val="18"/>
                <w:szCs w:val="18"/>
              </w:rPr>
              <w:t>年）</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3</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4</w:t>
            </w:r>
            <w:r>
              <w:rPr>
                <w:rFonts w:ascii="宋体" w:hAnsi="宋体" w:cs="宋体" w:eastAsia="宋体" w:hint="default"/>
                <w:sz w:val="18"/>
                <w:szCs w:val="18"/>
              </w:rPr>
              <w:t>年）</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年）</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短期借</w:t>
            </w:r>
            <w:r>
              <w:rPr>
                <w:rFonts w:ascii="宋体" w:hAnsi="宋体" w:cs="宋体" w:eastAsia="宋体" w:hint="default"/>
                <w:spacing w:val="-77"/>
                <w:sz w:val="18"/>
                <w:szCs w:val="18"/>
              </w:rPr>
              <w:t>款</w:t>
            </w:r>
            <w:r>
              <w:rPr>
                <w:rFonts w:ascii="宋体" w:hAnsi="宋体" w:cs="宋体" w:eastAsia="宋体" w:hint="default"/>
                <w:sz w:val="18"/>
                <w:szCs w:val="18"/>
              </w:rPr>
              <w:t>（含息</w:t>
            </w:r>
          </w:p>
        </w:tc>
        <w:tc>
          <w:tcPr>
            <w:tcW w:w="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47" w:right="0"/>
              <w:jc w:val="left"/>
              <w:rPr>
                <w:rFonts w:ascii="宋体" w:hAnsi="宋体" w:cs="宋体" w:eastAsia="宋体" w:hint="default"/>
                <w:sz w:val="18"/>
                <w:szCs w:val="18"/>
              </w:rPr>
            </w:pPr>
            <w:r>
              <w:rPr>
                <w:rFonts w:ascii="宋体"/>
                <w:sz w:val="18"/>
              </w:rPr>
              <w:t>100,956,033.33</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100,956,033.33</w:t>
            </w:r>
          </w:p>
        </w:tc>
      </w:tr>
      <w:tr>
        <w:trPr>
          <w:trHeight w:val="42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8" w:right="0"/>
              <w:jc w:val="left"/>
              <w:rPr>
                <w:rFonts w:ascii="宋体" w:hAnsi="宋体" w:cs="宋体" w:eastAsia="宋体" w:hint="default"/>
                <w:sz w:val="18"/>
                <w:szCs w:val="18"/>
              </w:rPr>
            </w:pPr>
            <w:r>
              <w:rPr>
                <w:rFonts w:ascii="宋体"/>
                <w:sz w:val="18"/>
              </w:rPr>
              <w:t>112,835,904.06</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112,835,904.06</w:t>
            </w:r>
          </w:p>
        </w:tc>
      </w:tr>
      <w:tr>
        <w:trPr>
          <w:trHeight w:val="426"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8" w:right="0"/>
              <w:jc w:val="left"/>
              <w:rPr>
                <w:rFonts w:ascii="宋体" w:hAnsi="宋体" w:cs="宋体" w:eastAsia="宋体" w:hint="default"/>
                <w:sz w:val="18"/>
                <w:szCs w:val="18"/>
              </w:rPr>
            </w:pPr>
            <w:r>
              <w:rPr>
                <w:rFonts w:ascii="宋体"/>
                <w:sz w:val="18"/>
              </w:rPr>
              <w:t>156,876,657.54</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156,876,657.54</w:t>
            </w:r>
          </w:p>
        </w:tc>
      </w:tr>
      <w:tr>
        <w:trPr>
          <w:trHeight w:val="42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8" w:right="0"/>
              <w:jc w:val="left"/>
              <w:rPr>
                <w:rFonts w:ascii="宋体" w:hAnsi="宋体" w:cs="宋体" w:eastAsia="宋体" w:hint="default"/>
                <w:sz w:val="18"/>
                <w:szCs w:val="18"/>
              </w:rPr>
            </w:pPr>
            <w:r>
              <w:rPr>
                <w:rFonts w:ascii="宋体"/>
                <w:sz w:val="18"/>
              </w:rPr>
              <w:t>111,166.67</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111,166.67</w:t>
            </w:r>
          </w:p>
        </w:tc>
      </w:tr>
      <w:tr>
        <w:trPr>
          <w:trHeight w:val="42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8" w:right="0"/>
              <w:jc w:val="left"/>
              <w:rPr>
                <w:rFonts w:ascii="宋体" w:hAnsi="宋体" w:cs="宋体" w:eastAsia="宋体" w:hint="default"/>
                <w:sz w:val="18"/>
                <w:szCs w:val="18"/>
              </w:rPr>
            </w:pPr>
            <w:r>
              <w:rPr>
                <w:rFonts w:ascii="宋体"/>
                <w:sz w:val="18"/>
              </w:rPr>
              <w:t>31,432,076.49</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31,432,076.49</w:t>
            </w:r>
          </w:p>
        </w:tc>
      </w:tr>
      <w:tr>
        <w:trPr>
          <w:trHeight w:val="42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8" w:right="0"/>
              <w:jc w:val="left"/>
              <w:rPr>
                <w:rFonts w:ascii="宋体" w:hAnsi="宋体" w:cs="宋体" w:eastAsia="宋体" w:hint="default"/>
                <w:sz w:val="18"/>
                <w:szCs w:val="18"/>
              </w:rPr>
            </w:pPr>
            <w:r>
              <w:rPr>
                <w:rFonts w:ascii="宋体"/>
                <w:sz w:val="18"/>
              </w:rPr>
              <w:t>402,211,838.09</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402,211,838.09</w:t>
            </w:r>
          </w:p>
        </w:tc>
      </w:tr>
    </w:tbl>
    <w:p>
      <w:pPr>
        <w:spacing w:line="240" w:lineRule="auto" w:before="9"/>
        <w:rPr>
          <w:rFonts w:ascii="宋体" w:hAnsi="宋体" w:cs="宋体" w:eastAsia="宋体" w:hint="default"/>
          <w:sz w:val="6"/>
          <w:szCs w:val="6"/>
        </w:rPr>
      </w:pPr>
    </w:p>
    <w:p>
      <w:pPr>
        <w:pStyle w:val="BodyText"/>
        <w:spacing w:line="357" w:lineRule="auto" w:before="44"/>
        <w:ind w:left="1493" w:right="1118"/>
        <w:jc w:val="left"/>
      </w:pPr>
      <w:r>
        <w:rPr>
          <w:rFonts w:ascii="宋体" w:hAnsi="宋体" w:cs="宋体" w:eastAsia="宋体" w:hint="default"/>
        </w:rPr>
        <w:t>3</w:t>
      </w:r>
      <w:r>
        <w:rPr/>
        <w:t>、市场风险 </w:t>
      </w:r>
      <w:r>
        <w:rPr>
          <w:spacing w:val="-2"/>
        </w:rPr>
        <w:t>市场风险，是指金融工具的公允价值或未来现金流量因市场价格变动而发生波动的风险，包括汇率风险、利率风险和其</w:t>
      </w:r>
    </w:p>
    <w:p>
      <w:pPr>
        <w:pStyle w:val="BodyText"/>
        <w:spacing w:line="225" w:lineRule="exact"/>
        <w:ind w:left="1133" w:right="0"/>
        <w:jc w:val="left"/>
      </w:pPr>
      <w:r>
        <w:rPr/>
        <w:t>他价格风险。</w:t>
      </w:r>
    </w:p>
    <w:p>
      <w:pPr>
        <w:pStyle w:val="BodyText"/>
        <w:spacing w:line="357" w:lineRule="auto" w:before="116"/>
        <w:ind w:left="1493" w:right="3373"/>
        <w:jc w:val="left"/>
      </w:pPr>
      <w:r>
        <w:rPr>
          <w:rFonts w:ascii="宋体" w:hAnsi="宋体" w:cs="宋体" w:eastAsia="宋体" w:hint="default"/>
        </w:rPr>
        <w:t>A</w:t>
      </w:r>
      <w:r>
        <w:rPr/>
        <w:t>、汇率风险 汇率风险，是指金融工具的公允价值或未来现金流量因外汇汇率变动而发生波动的风险。</w:t>
      </w:r>
    </w:p>
    <w:p>
      <w:pPr>
        <w:pStyle w:val="BodyText"/>
        <w:spacing w:line="319" w:lineRule="auto" w:before="28"/>
        <w:ind w:left="1133" w:right="0" w:firstLine="360"/>
        <w:jc w:val="left"/>
      </w:pPr>
      <w:r>
        <w:rPr>
          <w:spacing w:val="-2"/>
        </w:rPr>
        <w:t>汇率风险的敏感性分析见下表，反映了在其他变量不变的假设下，以下所列外币汇率发生合理、可能的变动时，由于货</w:t>
      </w:r>
      <w:r>
        <w:rPr/>
        <w:t> 币性资产和货币性负债的公允价值变化将对净利润和股东权益产生的影响。</w:t>
      </w:r>
    </w:p>
    <w:p>
      <w:pPr>
        <w:pStyle w:val="BodyText"/>
        <w:spacing w:line="240" w:lineRule="auto" w:before="56"/>
        <w:ind w:left="0" w:right="1319"/>
        <w:jc w:val="right"/>
      </w:pPr>
      <w:r>
        <w:rPr/>
        <w:t>单位：元</w:t>
      </w:r>
    </w:p>
    <w:p>
      <w:pPr>
        <w:spacing w:line="240" w:lineRule="auto" w:before="13"/>
        <w:rPr>
          <w:rFonts w:ascii="宋体" w:hAnsi="宋体" w:cs="宋体" w:eastAsia="宋体" w:hint="default"/>
          <w:sz w:val="7"/>
          <w:szCs w:val="7"/>
        </w:rPr>
      </w:pPr>
    </w:p>
    <w:tbl>
      <w:tblPr>
        <w:tblW w:w="0" w:type="auto"/>
        <w:jc w:val="left"/>
        <w:tblInd w:w="1183" w:type="dxa"/>
        <w:tblLayout w:type="fixed"/>
        <w:tblCellMar>
          <w:top w:w="0" w:type="dxa"/>
          <w:left w:w="0" w:type="dxa"/>
          <w:bottom w:w="0" w:type="dxa"/>
          <w:right w:w="0" w:type="dxa"/>
        </w:tblCellMar>
        <w:tblLook w:val="01E0"/>
      </w:tblPr>
      <w:tblGrid>
        <w:gridCol w:w="2747"/>
        <w:gridCol w:w="1593"/>
        <w:gridCol w:w="1856"/>
        <w:gridCol w:w="1746"/>
        <w:gridCol w:w="1564"/>
      </w:tblGrid>
      <w:tr>
        <w:trPr>
          <w:trHeight w:val="427" w:hRule="exact"/>
        </w:trPr>
        <w:tc>
          <w:tcPr>
            <w:tcW w:w="274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3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7" w:hRule="exact"/>
        </w:trPr>
        <w:tc>
          <w:tcPr>
            <w:tcW w:w="2747" w:type="dxa"/>
            <w:vMerge/>
            <w:tcBorders>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8"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1"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5"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3"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7"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人民币对美元贬值</w:t>
            </w:r>
            <w:r>
              <w:rPr>
                <w:rFonts w:ascii="宋体" w:hAnsi="宋体" w:cs="宋体" w:eastAsia="宋体" w:hint="default"/>
                <w:sz w:val="18"/>
                <w:szCs w:val="18"/>
              </w:rPr>
              <w:t>1%</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89,186.56</w:t>
            </w:r>
          </w:p>
        </w:tc>
        <w:tc>
          <w:tcPr>
            <w:tcW w:w="185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47,199.63</w:t>
            </w:r>
          </w:p>
        </w:tc>
        <w:tc>
          <w:tcPr>
            <w:tcW w:w="15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人民币对美元升值</w:t>
            </w:r>
            <w:r>
              <w:rPr>
                <w:rFonts w:ascii="宋体" w:hAnsi="宋体" w:cs="宋体" w:eastAsia="宋体" w:hint="default"/>
                <w:sz w:val="18"/>
                <w:szCs w:val="18"/>
              </w:rPr>
              <w:t>1%</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-89,186.56</w:t>
            </w:r>
          </w:p>
        </w:tc>
        <w:tc>
          <w:tcPr>
            <w:tcW w:w="185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-47,199.63</w:t>
            </w:r>
          </w:p>
        </w:tc>
        <w:tc>
          <w:tcPr>
            <w:tcW w:w="15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人民币对欧元贬值</w:t>
            </w:r>
            <w:r>
              <w:rPr>
                <w:rFonts w:ascii="宋体" w:hAnsi="宋体" w:cs="宋体" w:eastAsia="宋体" w:hint="default"/>
                <w:sz w:val="18"/>
                <w:szCs w:val="18"/>
              </w:rPr>
              <w:t>1%</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76,002.67</w:t>
            </w:r>
          </w:p>
        </w:tc>
        <w:tc>
          <w:tcPr>
            <w:tcW w:w="185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71,335.65</w:t>
            </w:r>
          </w:p>
        </w:tc>
        <w:tc>
          <w:tcPr>
            <w:tcW w:w="1564"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人民币对欧元升值</w:t>
            </w:r>
            <w:r>
              <w:rPr>
                <w:rFonts w:ascii="宋体" w:hAnsi="宋体" w:cs="宋体" w:eastAsia="宋体" w:hint="default"/>
                <w:sz w:val="18"/>
                <w:szCs w:val="18"/>
              </w:rPr>
              <w:t>1%</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-76,002.67</w:t>
            </w:r>
          </w:p>
        </w:tc>
        <w:tc>
          <w:tcPr>
            <w:tcW w:w="185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-71,335.65</w:t>
            </w:r>
          </w:p>
        </w:tc>
        <w:tc>
          <w:tcPr>
            <w:tcW w:w="15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人民币对英镑贬值</w:t>
            </w:r>
            <w:r>
              <w:rPr>
                <w:rFonts w:ascii="宋体" w:hAnsi="宋体" w:cs="宋体" w:eastAsia="宋体" w:hint="default"/>
                <w:sz w:val="18"/>
                <w:szCs w:val="18"/>
              </w:rPr>
              <w:t>1%</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-186.56</w:t>
            </w:r>
          </w:p>
        </w:tc>
        <w:tc>
          <w:tcPr>
            <w:tcW w:w="185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-180.82</w:t>
            </w:r>
          </w:p>
        </w:tc>
        <w:tc>
          <w:tcPr>
            <w:tcW w:w="1564"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人民币对英镑升值</w:t>
            </w:r>
            <w:r>
              <w:rPr>
                <w:rFonts w:ascii="宋体" w:hAnsi="宋体" w:cs="宋体" w:eastAsia="宋体" w:hint="default"/>
                <w:sz w:val="18"/>
                <w:szCs w:val="18"/>
              </w:rPr>
              <w:t>1%</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186.56</w:t>
            </w:r>
          </w:p>
        </w:tc>
        <w:tc>
          <w:tcPr>
            <w:tcW w:w="185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180.82</w:t>
            </w:r>
          </w:p>
        </w:tc>
        <w:tc>
          <w:tcPr>
            <w:tcW w:w="15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6"/>
          <w:szCs w:val="6"/>
        </w:rPr>
      </w:pPr>
    </w:p>
    <w:p>
      <w:pPr>
        <w:pStyle w:val="BodyText"/>
        <w:spacing w:line="357" w:lineRule="auto" w:before="44"/>
        <w:ind w:left="1494" w:right="6702"/>
        <w:jc w:val="left"/>
      </w:pPr>
      <w:r>
        <w:rPr/>
        <w:t>注</w:t>
      </w:r>
      <w:r>
        <w:rPr>
          <w:rFonts w:ascii="宋体" w:hAnsi="宋体" w:cs="宋体" w:eastAsia="宋体" w:hint="default"/>
        </w:rPr>
        <w:t>1</w:t>
      </w:r>
      <w:r>
        <w:rPr/>
        <w:t>：上表以正数表示增加，以负数表示减少。 注</w:t>
      </w:r>
      <w:r>
        <w:rPr>
          <w:rFonts w:ascii="宋体" w:hAnsi="宋体" w:cs="宋体" w:eastAsia="宋体" w:hint="default"/>
        </w:rPr>
        <w:t>2</w:t>
      </w:r>
      <w:r>
        <w:rPr/>
        <w:t>：上表的股东权益变动不包括留存收益。 </w:t>
      </w:r>
      <w:r>
        <w:rPr>
          <w:rFonts w:ascii="宋体" w:hAnsi="宋体" w:cs="宋体" w:eastAsia="宋体" w:hint="default"/>
        </w:rPr>
        <w:t>B</w:t>
      </w:r>
      <w:r>
        <w:rPr/>
        <w:t>、利率风险</w:t>
      </w:r>
    </w:p>
    <w:p>
      <w:pPr>
        <w:spacing w:after="0" w:line="357" w:lineRule="auto"/>
        <w:jc w:val="left"/>
        <w:sectPr>
          <w:pgSz w:w="11910" w:h="16840"/>
          <w:pgMar w:header="0"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4" w:right="0"/>
        <w:jc w:val="left"/>
      </w:pPr>
      <w:r>
        <w:rPr/>
        <w:t>利率风险，是指金融工具的公允价值或未来现金流量因市场利率变动而发生波动的风险。 </w:t>
      </w:r>
      <w:r>
        <w:rPr>
          <w:spacing w:val="-2"/>
        </w:rPr>
        <w:t>本公司的利率风险产生于银行借款等带息债务。浮动利率的金融负债使本公司面临现金流量利率风险，固定利率的金融</w:t>
      </w:r>
    </w:p>
    <w:p>
      <w:pPr>
        <w:pStyle w:val="BodyText"/>
        <w:spacing w:line="224" w:lineRule="exact"/>
        <w:ind w:right="0"/>
        <w:jc w:val="left"/>
        <w:rPr>
          <w:rFonts w:ascii="宋体" w:hAnsi="宋体" w:cs="宋体" w:eastAsia="宋体" w:hint="default"/>
        </w:rPr>
      </w:pPr>
      <w:r>
        <w:rPr/>
        <w:t>负债使本公司面临公允价值利率风险。本公司根据当时的市场环境来决定固定利率及浮动利率合同的相对比例。于</w:t>
      </w:r>
      <w:r>
        <w:rPr>
          <w:rFonts w:ascii="宋体" w:hAnsi="宋体" w:cs="宋体" w:eastAsia="宋体" w:hint="default"/>
        </w:rPr>
        <w:t>2017</w:t>
      </w:r>
      <w:r>
        <w:rPr/>
        <w:t>年</w:t>
      </w:r>
      <w:r>
        <w:rPr>
          <w:rFonts w:ascii="宋体" w:hAnsi="宋体" w:cs="宋体" w:eastAsia="宋体" w:hint="default"/>
        </w:rPr>
        <w:t>12</w:t>
      </w:r>
    </w:p>
    <w:p>
      <w:pPr>
        <w:pStyle w:val="BodyText"/>
        <w:spacing w:line="360" w:lineRule="auto" w:before="77"/>
        <w:ind w:left="1494" w:right="2472" w:hanging="360"/>
        <w:jc w:val="left"/>
      </w:pPr>
      <w:r>
        <w:rPr/>
        <w:t>月</w:t>
      </w:r>
      <w:r>
        <w:rPr>
          <w:rFonts w:ascii="宋体" w:hAnsi="宋体" w:cs="宋体" w:eastAsia="宋体" w:hint="default"/>
        </w:rPr>
        <w:t>31</w:t>
      </w:r>
      <w:r>
        <w:rPr/>
        <w:t>日，本公司的带息债务均为以人民币计价的固定利率借款合同，期末和期初均无浮动利率借款合同。 </w:t>
      </w:r>
      <w:r>
        <w:rPr>
          <w:rFonts w:ascii="宋体" w:hAnsi="宋体" w:cs="宋体" w:eastAsia="宋体" w:hint="default"/>
        </w:rPr>
        <w:t>C</w:t>
      </w:r>
      <w:r>
        <w:rPr/>
        <w:t>、其他价格风险</w:t>
      </w:r>
    </w:p>
    <w:p>
      <w:pPr>
        <w:pStyle w:val="BodyText"/>
        <w:spacing w:line="319" w:lineRule="auto" w:before="25"/>
        <w:ind w:right="0" w:firstLine="360"/>
        <w:jc w:val="left"/>
      </w:pPr>
      <w:r>
        <w:rPr>
          <w:spacing w:val="-2"/>
        </w:rPr>
        <w:t>其他价格风险，是指汇率风险和利率风险以外的市场价格变动而发生波动的风险，无论这些变动是由于与单项金融工具</w:t>
      </w:r>
      <w:r>
        <w:rPr/>
        <w:t> 或其发行方有关的因素而引起的，还是由于与市场内交易的所有类似金融工具有关的因素而引起的。</w:t>
      </w:r>
    </w:p>
    <w:p>
      <w:pPr>
        <w:pStyle w:val="BodyText"/>
        <w:spacing w:line="319" w:lineRule="auto" w:before="55"/>
        <w:ind w:right="0" w:firstLine="360"/>
        <w:jc w:val="left"/>
      </w:pPr>
      <w:r>
        <w:rPr>
          <w:spacing w:val="-2"/>
        </w:rPr>
        <w:t>本公司持有的可供出售上市权益工具投资在上海证券交易所上市，并在资产负债表日以市场报价计量。该可供出售权益</w:t>
      </w:r>
      <w:r>
        <w:rPr/>
        <w:t> 工具投资产生了投资价格风险。</w:t>
      </w:r>
    </w:p>
    <w:p>
      <w:pPr>
        <w:pStyle w:val="BodyText"/>
        <w:spacing w:line="319" w:lineRule="auto" w:before="56"/>
        <w:ind w:right="0" w:firstLine="360"/>
        <w:jc w:val="left"/>
      </w:pPr>
      <w:r>
        <w:rPr>
          <w:spacing w:val="-4"/>
        </w:rPr>
        <w:t>权益工具投资的其他价格风险的敏感性分析见下表，反映了在其他变量不变的假设下，权益工具的公允价值发生变动时，</w:t>
      </w:r>
      <w:r>
        <w:rPr/>
        <w:t> 将对净利润和股东权益产生的影响。</w:t>
      </w:r>
    </w:p>
    <w:p>
      <w:pPr>
        <w:pStyle w:val="BodyText"/>
        <w:spacing w:line="240" w:lineRule="auto" w:before="56"/>
        <w:ind w:left="0" w:right="1319"/>
        <w:jc w:val="right"/>
      </w:pPr>
      <w:r>
        <w:rPr/>
        <w:t>单位：元</w:t>
      </w:r>
    </w:p>
    <w:p>
      <w:pPr>
        <w:spacing w:line="240" w:lineRule="auto" w:before="13"/>
        <w:rPr>
          <w:rFonts w:ascii="宋体" w:hAnsi="宋体" w:cs="宋体" w:eastAsia="宋体" w:hint="default"/>
          <w:sz w:val="7"/>
          <w:szCs w:val="7"/>
        </w:rPr>
      </w:pPr>
    </w:p>
    <w:tbl>
      <w:tblPr>
        <w:tblW w:w="0" w:type="auto"/>
        <w:jc w:val="left"/>
        <w:tblInd w:w="1168" w:type="dxa"/>
        <w:tblLayout w:type="fixed"/>
        <w:tblCellMar>
          <w:top w:w="0" w:type="dxa"/>
          <w:left w:w="0" w:type="dxa"/>
          <w:bottom w:w="0" w:type="dxa"/>
          <w:right w:w="0" w:type="dxa"/>
        </w:tblCellMar>
        <w:tblLook w:val="01E0"/>
      </w:tblPr>
      <w:tblGrid>
        <w:gridCol w:w="3328"/>
        <w:gridCol w:w="1559"/>
        <w:gridCol w:w="1843"/>
        <w:gridCol w:w="1295"/>
        <w:gridCol w:w="1508"/>
      </w:tblGrid>
      <w:tr>
        <w:trPr>
          <w:trHeight w:val="427" w:hRule="exact"/>
        </w:trPr>
        <w:tc>
          <w:tcPr>
            <w:tcW w:w="332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8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7" w:hRule="exact"/>
        </w:trPr>
        <w:tc>
          <w:tcPr>
            <w:tcW w:w="3328"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1"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3"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9"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6"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可供出售金融资产公允价值增加</w:t>
            </w:r>
            <w:r>
              <w:rPr>
                <w:rFonts w:ascii="宋体" w:hAnsi="宋体" w:cs="宋体" w:eastAsia="宋体" w:hint="default"/>
                <w:sz w:val="18"/>
                <w:szCs w:val="18"/>
              </w:rPr>
              <w:t>5%</w:t>
            </w:r>
          </w:p>
        </w:tc>
        <w:tc>
          <w:tcPr>
            <w:tcW w:w="155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6,327,183.52</w:t>
            </w:r>
          </w:p>
        </w:tc>
        <w:tc>
          <w:tcPr>
            <w:tcW w:w="1295"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212,241.60</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可供出售金融资产公允价值减少</w:t>
            </w:r>
            <w:r>
              <w:rPr>
                <w:rFonts w:ascii="宋体" w:hAnsi="宋体" w:cs="宋体" w:eastAsia="宋体" w:hint="default"/>
                <w:sz w:val="18"/>
                <w:szCs w:val="18"/>
              </w:rPr>
              <w:t>5%</w:t>
            </w:r>
          </w:p>
        </w:tc>
        <w:tc>
          <w:tcPr>
            <w:tcW w:w="155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-6,327,183.52</w:t>
            </w:r>
          </w:p>
        </w:tc>
        <w:tc>
          <w:tcPr>
            <w:tcW w:w="1295"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-212,241.60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一、公允价值的披露" w:id="332"/>
      <w:bookmarkEnd w:id="33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以公允价值计量的资产和负债的期末公允价值" w:id="333"/>
      <w:bookmarkEnd w:id="333"/>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68" w:type="dxa"/>
        <w:tblLayout w:type="fixed"/>
        <w:tblCellMar>
          <w:top w:w="0" w:type="dxa"/>
          <w:left w:w="0" w:type="dxa"/>
          <w:bottom w:w="0" w:type="dxa"/>
          <w:right w:w="0" w:type="dxa"/>
        </w:tblCellMar>
        <w:tblLook w:val="01E0"/>
      </w:tblPr>
      <w:tblGrid>
        <w:gridCol w:w="2326"/>
        <w:gridCol w:w="2013"/>
        <w:gridCol w:w="1914"/>
        <w:gridCol w:w="1913"/>
        <w:gridCol w:w="1393"/>
      </w:tblGrid>
      <w:tr>
        <w:trPr>
          <w:trHeight w:val="402" w:hRule="exact"/>
        </w:trPr>
        <w:tc>
          <w:tcPr>
            <w:tcW w:w="23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326" w:type="dxa"/>
            <w:vMerge/>
            <w:tcBorders>
              <w:left w:val="single" w:sz="4" w:space="0" w:color="000000"/>
              <w:bottom w:val="single" w:sz="4" w:space="0" w:color="000000"/>
              <w:right w:val="single" w:sz="4" w:space="0" w:color="000000"/>
            </w:tcBorders>
          </w:tcPr>
          <w:p>
            <w:pPr/>
          </w:p>
        </w:tc>
        <w:tc>
          <w:tcPr>
            <w:tcW w:w="2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0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148,874,906.40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148,874,906.40</w:t>
            </w:r>
          </w:p>
        </w:tc>
      </w:tr>
      <w:tr>
        <w:trPr>
          <w:trHeight w:val="40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2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148,874,906.40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148,874,906.40</w:t>
            </w:r>
          </w:p>
        </w:tc>
      </w:tr>
      <w:tr>
        <w:trPr>
          <w:trHeight w:val="714"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2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148,874,906.40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148,874,906.40</w:t>
            </w:r>
          </w:p>
        </w:tc>
      </w:tr>
      <w:tr>
        <w:trPr>
          <w:trHeight w:val="40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20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334"/>
      <w:bookmarkEnd w:id="334"/>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4" w:right="0"/>
        <w:jc w:val="left"/>
      </w:pPr>
      <w:r>
        <w:rPr/>
        <w:t>本公司持有的可供出售金融资产的第一层次公允价值计量的市价依据为股票收盘价。</w:t>
      </w:r>
    </w:p>
    <w:p>
      <w:pPr>
        <w:spacing w:after="0" w:line="240" w:lineRule="auto"/>
        <w:jc w:val="left"/>
        <w:sectPr>
          <w:pgSz w:w="11910" w:h="16840"/>
          <w:pgMar w:header="0"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left="1134" w:right="0"/>
        <w:jc w:val="left"/>
        <w:rPr>
          <w:b w:val="0"/>
          <w:bCs w:val="0"/>
        </w:rPr>
      </w:pPr>
      <w:bookmarkStart w:name="十二、关联方及关联交易" w:id="335"/>
      <w:bookmarkEnd w:id="335"/>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36"/>
      <w:bookmarkEnd w:id="336"/>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595"/>
        <w:gridCol w:w="815"/>
        <w:gridCol w:w="2694"/>
        <w:gridCol w:w="1276"/>
        <w:gridCol w:w="1559"/>
        <w:gridCol w:w="1637"/>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63" w:right="9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对高新技术产品和企业的投资；投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资咨询服务，企业管理咨询服务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13,660.00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85" w:right="0"/>
              <w:jc w:val="left"/>
              <w:rPr>
                <w:rFonts w:ascii="宋体" w:hAnsi="宋体" w:cs="宋体" w:eastAsia="宋体" w:hint="default"/>
                <w:sz w:val="18"/>
                <w:szCs w:val="18"/>
              </w:rPr>
            </w:pPr>
            <w:r>
              <w:rPr>
                <w:rFonts w:ascii="宋体"/>
                <w:sz w:val="18"/>
              </w:rPr>
              <w:t>26.14%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64" w:right="0"/>
              <w:jc w:val="left"/>
              <w:rPr>
                <w:rFonts w:ascii="宋体" w:hAnsi="宋体" w:cs="宋体" w:eastAsia="宋体" w:hint="default"/>
                <w:sz w:val="18"/>
                <w:szCs w:val="18"/>
              </w:rPr>
            </w:pPr>
            <w:r>
              <w:rPr>
                <w:rFonts w:ascii="宋体"/>
                <w:sz w:val="18"/>
              </w:rPr>
              <w:t>26.14%</w:t>
            </w:r>
          </w:p>
        </w:tc>
      </w:tr>
    </w:tbl>
    <w:p>
      <w:pPr>
        <w:spacing w:line="240" w:lineRule="auto" w:before="9"/>
        <w:rPr>
          <w:rFonts w:ascii="宋体" w:hAnsi="宋体" w:cs="宋体" w:eastAsia="宋体" w:hint="default"/>
          <w:b/>
          <w:bCs/>
          <w:sz w:val="6"/>
          <w:szCs w:val="6"/>
        </w:rPr>
      </w:pPr>
    </w:p>
    <w:p>
      <w:pPr>
        <w:pStyle w:val="BodyText"/>
        <w:spacing w:line="357" w:lineRule="auto" w:before="44"/>
        <w:ind w:left="1494" w:right="1122" w:hanging="360"/>
        <w:jc w:val="left"/>
      </w:pPr>
      <w:r>
        <w:rPr/>
        <w:t>本企业的母公司情况的说明 产业集团系华工创投的母公司，同时产业集团持有本公司</w:t>
      </w:r>
      <w:r>
        <w:rPr>
          <w:rFonts w:ascii="宋体" w:hAnsi="宋体" w:cs="宋体" w:eastAsia="宋体" w:hint="default"/>
        </w:rPr>
        <w:t>2,443.16</w:t>
      </w:r>
      <w:r>
        <w:rPr/>
        <w:t>万股，持股比例</w:t>
      </w:r>
      <w:r>
        <w:rPr>
          <w:rFonts w:ascii="宋体" w:hAnsi="宋体" w:cs="宋体" w:eastAsia="宋体" w:hint="default"/>
        </w:rPr>
        <w:t>5.68%</w:t>
      </w:r>
      <w:r>
        <w:rPr/>
        <w:t>。产业集团系华中科技大学全</w:t>
      </w:r>
    </w:p>
    <w:p>
      <w:pPr>
        <w:pStyle w:val="BodyText"/>
        <w:spacing w:line="439" w:lineRule="auto"/>
        <w:ind w:left="1494" w:right="6612" w:hanging="360"/>
        <w:jc w:val="left"/>
      </w:pPr>
      <w:r>
        <w:rPr/>
        <w:t>资子公司，因此华中科技大学为本公司实际控制人。 本企业最终控制方是华中科技大学。</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bookmarkStart w:name="2、本企业的子公司情况" w:id="337"/>
      <w:bookmarkEnd w:id="337"/>
      <w:r>
        <w:rPr>
          <w:b w:val="0"/>
          <w:bCs w:val="0"/>
        </w:rPr>
      </w:r>
      <w:r>
        <w:rPr>
          <w:rFonts w:ascii="宋体" w:hAnsi="宋体" w:cs="宋体" w:eastAsia="宋体" w:hint="default"/>
        </w:rPr>
        <w:t>2</w:t>
      </w:r>
      <w:r>
        <w:rPr/>
        <w:t>、本企业的子公司情况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本企业子公司的情况详见附注九、</w:t>
      </w:r>
      <w:r>
        <w:rPr>
          <w:rFonts w:ascii="宋体" w:hAnsi="宋体" w:cs="宋体" w:eastAsia="宋体" w:hint="default"/>
        </w:rPr>
        <w:t>1</w:t>
      </w:r>
      <w:r>
        <w:rPr/>
        <w:t>。</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本企业合营和联营企业情况" w:id="338"/>
      <w:bookmarkEnd w:id="338"/>
      <w:r>
        <w:rPr>
          <w:b w:val="0"/>
          <w:bCs w:val="0"/>
        </w:rPr>
      </w:r>
      <w:r>
        <w:rPr>
          <w:rFonts w:ascii="宋体" w:hAnsi="宋体" w:cs="宋体" w:eastAsia="宋体" w:hint="default"/>
        </w:rPr>
        <w:t>3</w:t>
      </w:r>
      <w:r>
        <w:rPr/>
        <w:t>、本企业合营和联营企业情况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本企业重要的合营或联营企业详见附注九、</w:t>
      </w:r>
      <w:r>
        <w:rPr>
          <w:rFonts w:ascii="宋体" w:hAnsi="宋体" w:cs="宋体" w:eastAsia="宋体" w:hint="default"/>
        </w:rPr>
        <w:t>3</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39"/>
      <w:bookmarkEnd w:id="339"/>
      <w:r>
        <w:rPr>
          <w:b w:val="0"/>
          <w:bCs w:val="0"/>
        </w:rPr>
      </w: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武汉华工图像技术开发有限公司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华中科技大学后勤集团修建安装工程总公司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武汉新威奇机械有限公司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r>
    </w:tbl>
    <w:p>
      <w:pPr>
        <w:spacing w:line="240" w:lineRule="auto" w:before="9"/>
        <w:rPr>
          <w:rFonts w:ascii="宋体" w:hAnsi="宋体" w:cs="宋体" w:eastAsia="宋体" w:hint="default"/>
          <w:b/>
          <w:bCs/>
          <w:sz w:val="6"/>
          <w:szCs w:val="6"/>
        </w:rPr>
      </w:pPr>
    </w:p>
    <w:p>
      <w:pPr>
        <w:pStyle w:val="BodyText"/>
        <w:spacing w:line="240" w:lineRule="auto" w:before="44"/>
        <w:ind w:right="0"/>
        <w:jc w:val="left"/>
      </w:pPr>
      <w:r>
        <w:rPr/>
        <w:t>其他说明：</w:t>
      </w:r>
    </w:p>
    <w:p>
      <w:pPr>
        <w:pStyle w:val="BodyText"/>
        <w:spacing w:line="316" w:lineRule="auto" w:before="116"/>
        <w:ind w:left="1133" w:right="0" w:firstLine="360"/>
        <w:jc w:val="left"/>
      </w:pPr>
      <w:r>
        <w:rPr>
          <w:spacing w:val="-2"/>
        </w:rPr>
        <w:t>报告期内，公司监事岳蓉任科华银赛创业投资有限公司董事、总经理，公司与该公司构成关联方；公司监事岳蓉任武汉</w:t>
      </w:r>
      <w:r>
        <w:rPr/>
        <w:t> 固德银赛创业投资管理有限公司董事、总经理，公司与该公司构成关联方。</w:t>
      </w:r>
    </w:p>
    <w:p>
      <w:pPr>
        <w:spacing w:after="0" w:line="316" w:lineRule="auto"/>
        <w:jc w:val="left"/>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关联交易情况" w:id="340"/>
      <w:bookmarkEnd w:id="340"/>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购销商品、提供和接受劳务的关联交易" w:id="341"/>
      <w:bookmarkEnd w:id="341"/>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t>采购商品</w:t>
      </w:r>
      <w:r>
        <w:rPr>
          <w:rFonts w:ascii="宋体" w:hAnsi="宋体" w:cs="宋体" w:eastAsia="宋体" w:hint="default"/>
        </w:rPr>
        <w:t>/</w:t>
      </w:r>
      <w:r>
        <w:rPr/>
        <w:t>接受劳务情况表</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6"/>
        <w:gridCol w:w="1479"/>
        <w:gridCol w:w="1260"/>
        <w:gridCol w:w="1372"/>
        <w:gridCol w:w="1589"/>
        <w:gridCol w:w="1211"/>
      </w:tblGrid>
      <w:tr>
        <w:trPr>
          <w:trHeight w:val="402"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1,896,495.13</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1,733,916.33</w:t>
            </w:r>
          </w:p>
        </w:tc>
      </w:tr>
      <w:tr>
        <w:trPr>
          <w:trHeight w:val="402"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采购饮用水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29,741.03</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26,448.92</w:t>
            </w:r>
          </w:p>
        </w:tc>
      </w:tr>
      <w:tr>
        <w:trPr>
          <w:trHeight w:val="402"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采购激光打标机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162,393.16</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170,940.17</w:t>
            </w:r>
          </w:p>
        </w:tc>
      </w:tr>
      <w:tr>
        <w:trPr>
          <w:trHeight w:val="402"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武汉华工图像技术开发有限公司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采购烫金膜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1,395,242.72</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华中科技大学后勤集团修建安装 工程总公司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监控工程光纤敷 设费</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120,000.00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出售商品</w:t>
      </w:r>
      <w:r>
        <w:rPr>
          <w:rFonts w:ascii="宋体" w:hAnsi="宋体" w:cs="宋体" w:eastAsia="宋体" w:hint="default"/>
        </w:rPr>
        <w:t>/</w:t>
      </w:r>
      <w:r>
        <w:rPr/>
        <w:t>提供劳务情况表</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62"/>
        <w:gridCol w:w="1871"/>
        <w:gridCol w:w="2260"/>
        <w:gridCol w:w="2398"/>
      </w:tblGrid>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308,322.74</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320,479.89</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芯片等原材料</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1,282.05</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2,222,222.23</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42,452.83</w:t>
            </w:r>
          </w:p>
        </w:tc>
        <w:tc>
          <w:tcPr>
            <w:tcW w:w="23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26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1,665,656.55</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智慧课堂及技术服务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1,346,022.34</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694,388.33</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税控盘及服务费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311.32</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730.12</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税控盘及服务费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264.15</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730.12</w:t>
            </w:r>
          </w:p>
        </w:tc>
      </w:tr>
      <w:tr>
        <w:trPr>
          <w:trHeight w:val="402" w:hRule="exact"/>
        </w:trPr>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武汉新威奇机械有限公司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311.32</w:t>
            </w:r>
          </w:p>
        </w:tc>
        <w:tc>
          <w:tcPr>
            <w:tcW w:w="23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42"/>
      <w:bookmarkEnd w:id="342"/>
      <w:r>
        <w:rPr>
          <w:b w:val="0"/>
          <w:bCs w:val="0"/>
        </w:rPr>
      </w:r>
      <w:r>
        <w:rPr/>
        <w:t>（</w:t>
      </w:r>
      <w:r>
        <w:rPr>
          <w:rFonts w:ascii="宋体" w:hAnsi="宋体" w:cs="宋体" w:eastAsia="宋体" w:hint="default"/>
        </w:rPr>
        <w:t>2</w:t>
      </w:r>
      <w:r>
        <w:rPr/>
        <w:t>）关联租赁情况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本公司作为出租方：</w:t>
      </w:r>
    </w:p>
    <w:p>
      <w:pPr>
        <w:pStyle w:val="BodyText"/>
        <w:spacing w:line="240" w:lineRule="auto" w:before="117"/>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08"/>
        <w:gridCol w:w="2394"/>
        <w:gridCol w:w="2394"/>
        <w:gridCol w:w="2208"/>
      </w:tblGrid>
      <w:tr>
        <w:trPr>
          <w:trHeight w:val="402"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办公室</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1" w:right="0"/>
              <w:jc w:val="left"/>
              <w:rPr>
                <w:rFonts w:ascii="宋体" w:hAnsi="宋体" w:cs="宋体" w:eastAsia="宋体" w:hint="default"/>
                <w:sz w:val="18"/>
                <w:szCs w:val="18"/>
              </w:rPr>
            </w:pPr>
            <w:r>
              <w:rPr>
                <w:rFonts w:ascii="宋体"/>
                <w:sz w:val="18"/>
              </w:rPr>
              <w:t>54,054.03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4" w:right="0"/>
              <w:jc w:val="left"/>
              <w:rPr>
                <w:rFonts w:ascii="宋体" w:hAnsi="宋体" w:cs="宋体" w:eastAsia="宋体" w:hint="default"/>
                <w:sz w:val="18"/>
                <w:szCs w:val="18"/>
              </w:rPr>
            </w:pPr>
            <w:r>
              <w:rPr>
                <w:rFonts w:ascii="宋体"/>
                <w:sz w:val="18"/>
              </w:rPr>
              <w:t>9,009.00</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本公司作为承租方：</w:t>
      </w:r>
    </w:p>
    <w:p>
      <w:pPr>
        <w:pStyle w:val="BodyText"/>
        <w:spacing w:line="240" w:lineRule="auto" w:before="117"/>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778"/>
        <w:gridCol w:w="2212"/>
        <w:gridCol w:w="2392"/>
        <w:gridCol w:w="2222"/>
      </w:tblGrid>
      <w:tr>
        <w:trPr>
          <w:trHeight w:val="40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2,025,681.25</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8" w:right="0"/>
              <w:jc w:val="left"/>
              <w:rPr>
                <w:rFonts w:ascii="宋体" w:hAnsi="宋体" w:cs="宋体" w:eastAsia="宋体" w:hint="default"/>
                <w:sz w:val="18"/>
                <w:szCs w:val="18"/>
              </w:rPr>
            </w:pPr>
            <w:r>
              <w:rPr>
                <w:rFonts w:ascii="宋体"/>
                <w:sz w:val="18"/>
              </w:rPr>
              <w:t>1,979,158.55</w:t>
            </w:r>
          </w:p>
        </w:tc>
      </w:tr>
    </w:tbl>
    <w:p>
      <w:pPr>
        <w:spacing w:line="240" w:lineRule="auto" w:before="9"/>
        <w:rPr>
          <w:rFonts w:ascii="宋体" w:hAnsi="宋体" w:cs="宋体" w:eastAsia="宋体" w:hint="default"/>
          <w:sz w:val="6"/>
          <w:szCs w:val="6"/>
        </w:rPr>
      </w:pPr>
    </w:p>
    <w:p>
      <w:pPr>
        <w:pStyle w:val="BodyText"/>
        <w:spacing w:line="357" w:lineRule="auto" w:before="44"/>
        <w:ind w:left="1493" w:right="1118" w:hanging="360"/>
        <w:jc w:val="left"/>
        <w:rPr>
          <w:rFonts w:ascii="宋体" w:hAnsi="宋体" w:cs="宋体" w:eastAsia="宋体" w:hint="default"/>
        </w:rPr>
      </w:pPr>
      <w:r>
        <w:rPr/>
        <w:t>关联租赁情况说明 </w:t>
      </w:r>
      <w:r>
        <w:rPr>
          <w:rFonts w:ascii="宋体" w:hAnsi="宋体" w:cs="宋体" w:eastAsia="宋体" w:hint="default"/>
          <w:spacing w:val="-2"/>
        </w:rPr>
        <w:t>1</w:t>
      </w:r>
      <w:r>
        <w:rPr>
          <w:spacing w:val="-2"/>
        </w:rPr>
        <w:t>、公司与武汉国广天喻信息技术有限公司签订《租房合同》，租赁建筑面积</w:t>
      </w:r>
      <w:r>
        <w:rPr>
          <w:rFonts w:ascii="宋体" w:hAnsi="宋体" w:cs="宋体" w:eastAsia="宋体" w:hint="default"/>
          <w:spacing w:val="-2"/>
        </w:rPr>
        <w:t>65</w:t>
      </w:r>
      <w:r>
        <w:rPr>
          <w:spacing w:val="-2"/>
        </w:rPr>
        <w:t>平方米，租赁期为</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p>
    <w:p>
      <w:pPr>
        <w:spacing w:after="0" w:line="357" w:lineRule="auto"/>
        <w:jc w:val="left"/>
        <w:rPr>
          <w:rFonts w:ascii="宋体" w:hAnsi="宋体" w:cs="宋体" w:eastAsia="宋体" w:hint="default"/>
        </w:rPr>
        <w:sectPr>
          <w:pgSz w:w="11910" w:h="16840"/>
          <w:pgMar w:header="0"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0"/>
        <w:jc w:val="left"/>
      </w:pP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31</w:t>
      </w:r>
      <w:r>
        <w:rPr>
          <w:spacing w:val="-5"/>
        </w:rPr>
        <w:t>日，房屋租金每月</w:t>
      </w:r>
      <w:r>
        <w:rPr>
          <w:rFonts w:ascii="宋体" w:hAnsi="宋体" w:cs="宋体" w:eastAsia="宋体" w:hint="default"/>
          <w:spacing w:val="-5"/>
        </w:rPr>
        <w:t>27</w:t>
      </w:r>
      <w:r>
        <w:rPr>
          <w:spacing w:val="-5"/>
        </w:rPr>
        <w:t>元</w:t>
      </w:r>
      <w:r>
        <w:rPr>
          <w:rFonts w:ascii="宋体" w:hAnsi="宋体" w:cs="宋体" w:eastAsia="宋体" w:hint="default"/>
          <w:spacing w:val="-5"/>
        </w:rPr>
        <w:t>/</w:t>
      </w:r>
      <w:r>
        <w:rPr>
          <w:spacing w:val="-5"/>
        </w:rPr>
        <w:t>平方米，每月租金总额</w:t>
      </w:r>
      <w:r>
        <w:rPr>
          <w:rFonts w:ascii="宋体" w:hAnsi="宋体" w:cs="宋体" w:eastAsia="宋体" w:hint="default"/>
          <w:spacing w:val="-5"/>
        </w:rPr>
        <w:t>5,000</w:t>
      </w:r>
      <w:r>
        <w:rPr>
          <w:spacing w:val="-5"/>
        </w:rPr>
        <w:t>元（包含房租、物业费、保洁费、网络费、座机费和水电费），</w:t>
      </w:r>
      <w:r>
        <w:rPr>
          <w:spacing w:val="-53"/>
        </w:rPr>
        <w:t> </w:t>
      </w:r>
      <w:r>
        <w:rPr>
          <w:spacing w:val="-53"/>
        </w:rPr>
      </w:r>
      <w:r>
        <w:rPr>
          <w:rFonts w:ascii="宋体" w:hAnsi="宋体" w:cs="宋体" w:eastAsia="宋体" w:hint="default"/>
        </w:rPr>
        <w:t>2017</w:t>
      </w:r>
      <w:r>
        <w:rPr/>
        <w:t>年度共发生租金</w:t>
      </w:r>
      <w:r>
        <w:rPr>
          <w:rFonts w:ascii="宋体" w:hAnsi="宋体" w:cs="宋体" w:eastAsia="宋体" w:hint="default"/>
        </w:rPr>
        <w:t>54,054.03</w:t>
      </w:r>
      <w:r>
        <w:rPr/>
        <w:t>元（不含税）。</w:t>
      </w:r>
    </w:p>
    <w:p>
      <w:pPr>
        <w:pStyle w:val="BodyText"/>
        <w:spacing w:line="319" w:lineRule="auto" w:before="55"/>
        <w:ind w:left="1133" w:right="1129" w:firstLine="360"/>
        <w:jc w:val="both"/>
      </w:pPr>
      <w:r>
        <w:rPr>
          <w:rFonts w:ascii="宋体" w:hAnsi="宋体" w:cs="宋体" w:eastAsia="宋体" w:hint="default"/>
        </w:rPr>
        <w:t>2</w:t>
      </w:r>
      <w:r>
        <w:rPr/>
        <w:t>、公司与武汉华工大学科技园发展有限公司签订《华工科技园创新基地研发楼租赁合同》，租赁建筑面积为</w:t>
      </w:r>
      <w:r>
        <w:rPr>
          <w:rFonts w:ascii="宋体" w:hAnsi="宋体" w:cs="宋体" w:eastAsia="宋体" w:hint="default"/>
        </w:rPr>
        <w:t>792.97</w:t>
      </w:r>
      <w:r>
        <w:rPr/>
        <w:t>平 </w:t>
      </w:r>
      <w:r>
        <w:rPr>
          <w:spacing w:val="-2"/>
        </w:rPr>
        <w:t>方米，租赁期为</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日，租金每月</w:t>
      </w:r>
      <w:r>
        <w:rPr>
          <w:rFonts w:ascii="宋体" w:hAnsi="宋体" w:cs="宋体" w:eastAsia="宋体" w:hint="default"/>
          <w:spacing w:val="-2"/>
        </w:rPr>
        <w:t>27</w:t>
      </w:r>
      <w:r>
        <w:rPr>
          <w:spacing w:val="-2"/>
        </w:rPr>
        <w:t>元</w:t>
      </w:r>
      <w:r>
        <w:rPr>
          <w:rFonts w:ascii="宋体" w:hAnsi="宋体" w:cs="宋体" w:eastAsia="宋体" w:hint="default"/>
          <w:spacing w:val="-2"/>
        </w:rPr>
        <w:t>/</w:t>
      </w:r>
      <w:r>
        <w:rPr>
          <w:spacing w:val="-2"/>
        </w:rPr>
        <w:t>平方米，每月租金总额为</w:t>
      </w:r>
      <w:r>
        <w:rPr>
          <w:rFonts w:ascii="宋体" w:hAnsi="宋体" w:cs="宋体" w:eastAsia="宋体" w:hint="default"/>
          <w:spacing w:val="-2"/>
        </w:rPr>
        <w:t>21,410.00</w:t>
      </w:r>
      <w:r>
        <w:rPr>
          <w:spacing w:val="-2"/>
        </w:rPr>
        <w:t>元，</w:t>
      </w:r>
      <w:r>
        <w:rPr>
          <w:rFonts w:ascii="宋体" w:hAnsi="宋体" w:cs="宋体" w:eastAsia="宋体" w:hint="default"/>
          <w:spacing w:val="-2"/>
        </w:rPr>
        <w:t>2017</w:t>
      </w:r>
      <w:r>
        <w:rPr>
          <w:spacing w:val="-2"/>
        </w:rPr>
        <w:t>年度共发生租</w:t>
      </w:r>
      <w:r>
        <w:rPr>
          <w:spacing w:val="-36"/>
        </w:rPr>
        <w:t> </w:t>
      </w:r>
      <w:r>
        <w:rPr/>
        <w:t>金</w:t>
      </w:r>
      <w:r>
        <w:rPr>
          <w:rFonts w:ascii="宋体" w:hAnsi="宋体" w:cs="宋体" w:eastAsia="宋体" w:hint="default"/>
        </w:rPr>
        <w:t>244,685.72</w:t>
      </w:r>
      <w:r>
        <w:rPr/>
        <w:t>元（不含税）。</w:t>
      </w:r>
    </w:p>
    <w:p>
      <w:pPr>
        <w:pStyle w:val="BodyText"/>
        <w:spacing w:line="240" w:lineRule="auto" w:before="56"/>
        <w:ind w:left="1494" w:right="0"/>
        <w:jc w:val="left"/>
      </w:pPr>
      <w:r>
        <w:rPr>
          <w:rFonts w:ascii="宋体" w:hAnsi="宋体" w:cs="宋体" w:eastAsia="宋体" w:hint="default"/>
        </w:rPr>
        <w:t>3</w:t>
      </w:r>
      <w:r>
        <w:rPr/>
        <w:t>、公司与武汉华工大学科技园发展有限公司签订《研发新址房屋租赁》，租赁建筑面积为</w:t>
      </w:r>
      <w:r>
        <w:rPr>
          <w:rFonts w:ascii="宋体" w:hAnsi="宋体" w:cs="宋体" w:eastAsia="宋体" w:hint="default"/>
        </w:rPr>
        <w:t>2,741.08</w:t>
      </w:r>
      <w:r>
        <w:rPr/>
        <w:t>平方米，租赁期为</w:t>
      </w:r>
    </w:p>
    <w:p>
      <w:pPr>
        <w:pStyle w:val="BodyText"/>
        <w:spacing w:line="319" w:lineRule="auto" w:before="76"/>
        <w:ind w:right="0"/>
        <w:jc w:val="left"/>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13</w:t>
      </w:r>
      <w:r>
        <w:rPr/>
        <w:t>日至</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12</w:t>
      </w:r>
      <w:r>
        <w:rPr/>
        <w:t>日，租赁每月</w:t>
      </w:r>
      <w:r>
        <w:rPr>
          <w:rFonts w:ascii="宋体" w:hAnsi="宋体" w:cs="宋体" w:eastAsia="宋体" w:hint="default"/>
        </w:rPr>
        <w:t>27</w:t>
      </w:r>
      <w:r>
        <w:rPr/>
        <w:t>元</w:t>
      </w:r>
      <w:r>
        <w:rPr>
          <w:rFonts w:ascii="宋体" w:hAnsi="宋体" w:cs="宋体" w:eastAsia="宋体" w:hint="default"/>
        </w:rPr>
        <w:t>/</w:t>
      </w:r>
      <w:r>
        <w:rPr/>
        <w:t>平方米，每月租金总额为</w:t>
      </w:r>
      <w:r>
        <w:rPr>
          <w:rFonts w:ascii="宋体" w:hAnsi="宋体" w:cs="宋体" w:eastAsia="宋体" w:hint="default"/>
        </w:rPr>
        <w:t>74,009.00</w:t>
      </w:r>
      <w:r>
        <w:rPr/>
        <w:t>元，</w:t>
      </w:r>
      <w:r>
        <w:rPr>
          <w:rFonts w:ascii="宋体" w:hAnsi="宋体" w:cs="宋体" w:eastAsia="宋体" w:hint="default"/>
        </w:rPr>
        <w:t>2017</w:t>
      </w:r>
      <w:r>
        <w:rPr/>
        <w:t>年度共发生租金</w:t>
      </w:r>
      <w:r>
        <w:rPr>
          <w:rFonts w:ascii="宋体" w:hAnsi="宋体" w:cs="宋体" w:eastAsia="宋体" w:hint="default"/>
        </w:rPr>
        <w:t>845,817.16</w:t>
      </w:r>
      <w:r>
        <w:rPr>
          <w:rFonts w:ascii="宋体" w:hAnsi="宋体" w:cs="宋体" w:eastAsia="宋体" w:hint="default"/>
          <w:spacing w:val="-8"/>
        </w:rPr>
        <w:t> </w:t>
      </w:r>
      <w:r>
        <w:rPr>
          <w:rFonts w:ascii="宋体" w:hAnsi="宋体" w:cs="宋体" w:eastAsia="宋体" w:hint="default"/>
          <w:spacing w:val="-8"/>
        </w:rPr>
      </w:r>
      <w:r>
        <w:rPr/>
        <w:t>元（不含税）。</w:t>
      </w:r>
    </w:p>
    <w:p>
      <w:pPr>
        <w:pStyle w:val="BodyText"/>
        <w:spacing w:line="240" w:lineRule="auto" w:before="55"/>
        <w:ind w:left="1494" w:right="0"/>
        <w:jc w:val="left"/>
      </w:pPr>
      <w:r>
        <w:rPr>
          <w:rFonts w:ascii="宋体" w:hAnsi="宋体" w:cs="宋体" w:eastAsia="宋体" w:hint="default"/>
          <w:spacing w:val="3"/>
        </w:rPr>
        <w:t>4</w:t>
      </w:r>
      <w:r>
        <w:rPr>
          <w:spacing w:val="3"/>
        </w:rPr>
        <w:t>、子公司擎动网络与武汉华工大学科技园发展有限公司签订《华工科技园创新基地研发楼租赁合同》，租赁面积为</w:t>
      </w:r>
    </w:p>
    <w:p>
      <w:pPr>
        <w:pStyle w:val="BodyText"/>
        <w:spacing w:line="319" w:lineRule="auto" w:before="76"/>
        <w:ind w:left="1133" w:right="1123"/>
        <w:jc w:val="left"/>
      </w:pPr>
      <w:r>
        <w:rPr>
          <w:rFonts w:ascii="宋体" w:hAnsi="宋体" w:cs="宋体" w:eastAsia="宋体" w:hint="default"/>
        </w:rPr>
        <w:t>1,457.93</w:t>
      </w:r>
      <w:r>
        <w:rPr/>
        <w:t>平方米，租赁期为</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10</w:t>
      </w:r>
      <w:r>
        <w:rPr/>
        <w:t>日至</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9</w:t>
      </w:r>
      <w:r>
        <w:rPr/>
        <w:t>日，租金每月</w:t>
      </w:r>
      <w:r>
        <w:rPr>
          <w:rFonts w:ascii="宋体" w:hAnsi="宋体" w:cs="宋体" w:eastAsia="宋体" w:hint="default"/>
        </w:rPr>
        <w:t>27</w:t>
      </w:r>
      <w:r>
        <w:rPr/>
        <w:t>元</w:t>
      </w:r>
      <w:r>
        <w:rPr>
          <w:rFonts w:ascii="宋体" w:hAnsi="宋体" w:cs="宋体" w:eastAsia="宋体" w:hint="default"/>
        </w:rPr>
        <w:t>/</w:t>
      </w:r>
      <w:r>
        <w:rPr/>
        <w:t>平方米，每月租金总额为</w:t>
      </w:r>
      <w:r>
        <w:rPr>
          <w:rFonts w:ascii="宋体" w:hAnsi="宋体" w:cs="宋体" w:eastAsia="宋体" w:hint="default"/>
        </w:rPr>
        <w:t>39,364.00</w:t>
      </w:r>
      <w:r>
        <w:rPr/>
        <w:t>元，</w:t>
      </w:r>
      <w:r>
        <w:rPr>
          <w:rFonts w:ascii="宋体" w:hAnsi="宋体" w:cs="宋体" w:eastAsia="宋体" w:hint="default"/>
        </w:rPr>
        <w:t>2017</w:t>
      </w:r>
      <w:r>
        <w:rPr/>
        <w:t>年</w:t>
      </w:r>
      <w:r>
        <w:rPr>
          <w:spacing w:val="-85"/>
        </w:rPr>
        <w:t> </w:t>
      </w:r>
      <w:r>
        <w:rPr/>
        <w:t>度共发生租金</w:t>
      </w:r>
      <w:r>
        <w:rPr>
          <w:rFonts w:ascii="宋体" w:hAnsi="宋体" w:cs="宋体" w:eastAsia="宋体" w:hint="default"/>
        </w:rPr>
        <w:t>458,522.31</w:t>
      </w:r>
      <w:r>
        <w:rPr/>
        <w:t>元（不含税）。</w:t>
      </w:r>
    </w:p>
    <w:p>
      <w:pPr>
        <w:pStyle w:val="BodyText"/>
        <w:spacing w:line="319" w:lineRule="auto" w:before="55"/>
        <w:ind w:left="1133" w:right="1130" w:firstLine="360"/>
        <w:jc w:val="both"/>
      </w:pPr>
      <w:r>
        <w:rPr>
          <w:rFonts w:ascii="宋体" w:hAnsi="宋体" w:cs="宋体" w:eastAsia="宋体" w:hint="default"/>
        </w:rPr>
        <w:t>5</w:t>
      </w:r>
      <w:r>
        <w:rPr/>
        <w:t>、子公司湖北百旺与武汉华工大学科技园发展有限公司签订《华工科技园创新基地研发楼租赁合同》，租赁建筑面积 </w:t>
      </w:r>
      <w:r>
        <w:rPr>
          <w:spacing w:val="-2"/>
        </w:rPr>
        <w:t>为</w:t>
      </w:r>
      <w:r>
        <w:rPr>
          <w:rFonts w:ascii="宋体" w:hAnsi="宋体" w:cs="宋体" w:eastAsia="宋体" w:hint="default"/>
          <w:spacing w:val="-2"/>
        </w:rPr>
        <w:t>652.25</w:t>
      </w:r>
      <w:r>
        <w:rPr>
          <w:spacing w:val="-2"/>
        </w:rPr>
        <w:t>平方米，租赁期为</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日，租金每月</w:t>
      </w:r>
      <w:r>
        <w:rPr>
          <w:rFonts w:ascii="宋体" w:hAnsi="宋体" w:cs="宋体" w:eastAsia="宋体" w:hint="default"/>
          <w:spacing w:val="-2"/>
        </w:rPr>
        <w:t>37</w:t>
      </w:r>
      <w:r>
        <w:rPr>
          <w:spacing w:val="-2"/>
        </w:rPr>
        <w:t>元</w:t>
      </w:r>
      <w:r>
        <w:rPr>
          <w:rFonts w:ascii="宋体" w:hAnsi="宋体" w:cs="宋体" w:eastAsia="宋体" w:hint="default"/>
          <w:spacing w:val="-2"/>
        </w:rPr>
        <w:t>/</w:t>
      </w:r>
      <w:r>
        <w:rPr>
          <w:spacing w:val="-2"/>
        </w:rPr>
        <w:t>平方米，每月租金总额为</w:t>
      </w:r>
      <w:r>
        <w:rPr>
          <w:rFonts w:ascii="宋体" w:hAnsi="宋体" w:cs="宋体" w:eastAsia="宋体" w:hint="default"/>
          <w:spacing w:val="-2"/>
        </w:rPr>
        <w:t>24,133.00</w:t>
      </w:r>
      <w:r>
        <w:rPr>
          <w:spacing w:val="-2"/>
        </w:rPr>
        <w:t>元；与武汉</w:t>
      </w:r>
      <w:r>
        <w:rPr>
          <w:spacing w:val="-36"/>
        </w:rPr>
        <w:t> </w:t>
      </w:r>
      <w:r>
        <w:rPr>
          <w:spacing w:val="-36"/>
        </w:rPr>
      </w:r>
      <w:r>
        <w:rPr>
          <w:spacing w:val="-2"/>
        </w:rPr>
        <w:t>华工大学科技园发展有限公司签订《华工科技园创新基地研发楼租赁合同》，租赁建筑面积为</w:t>
      </w:r>
      <w:r>
        <w:rPr>
          <w:rFonts w:ascii="宋体" w:hAnsi="宋体" w:cs="宋体" w:eastAsia="宋体" w:hint="default"/>
          <w:spacing w:val="-2"/>
        </w:rPr>
        <w:t>652.25</w:t>
      </w:r>
      <w:r>
        <w:rPr>
          <w:spacing w:val="-2"/>
        </w:rPr>
        <w:t>平方米，租赁期为</w:t>
      </w:r>
      <w:r>
        <w:rPr>
          <w:rFonts w:ascii="宋体" w:hAnsi="宋体" w:cs="宋体" w:eastAsia="宋体" w:hint="default"/>
          <w:spacing w:val="-2"/>
        </w:rPr>
        <w:t>2017</w:t>
      </w:r>
      <w:r>
        <w:rPr>
          <w:rFonts w:ascii="宋体" w:hAnsi="宋体" w:cs="宋体" w:eastAsia="宋体" w:hint="default"/>
          <w:spacing w:val="-56"/>
        </w:rPr>
        <w:t> </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日，租金每月</w:t>
      </w:r>
      <w:r>
        <w:rPr>
          <w:rFonts w:ascii="宋体" w:hAnsi="宋体" w:cs="宋体" w:eastAsia="宋体" w:hint="default"/>
          <w:spacing w:val="-2"/>
        </w:rPr>
        <w:t>39</w:t>
      </w:r>
      <w:r>
        <w:rPr>
          <w:spacing w:val="-2"/>
        </w:rPr>
        <w:t>元</w:t>
      </w:r>
      <w:r>
        <w:rPr>
          <w:rFonts w:ascii="宋体" w:hAnsi="宋体" w:cs="宋体" w:eastAsia="宋体" w:hint="default"/>
          <w:spacing w:val="-2"/>
        </w:rPr>
        <w:t>/</w:t>
      </w:r>
      <w:r>
        <w:rPr>
          <w:spacing w:val="-2"/>
        </w:rPr>
        <w:t>平方米，每月租金总额为</w:t>
      </w:r>
      <w:r>
        <w:rPr>
          <w:rFonts w:ascii="宋体" w:hAnsi="宋体" w:cs="宋体" w:eastAsia="宋体" w:hint="default"/>
          <w:spacing w:val="-2"/>
        </w:rPr>
        <w:t>25,438.00</w:t>
      </w:r>
      <w:r>
        <w:rPr>
          <w:spacing w:val="-2"/>
        </w:rPr>
        <w:t>元，</w:t>
      </w:r>
      <w:r>
        <w:rPr>
          <w:rFonts w:ascii="宋体" w:hAnsi="宋体" w:cs="宋体" w:eastAsia="宋体" w:hint="default"/>
          <w:spacing w:val="-2"/>
        </w:rPr>
        <w:t>2017</w:t>
      </w:r>
      <w:r>
        <w:rPr>
          <w:spacing w:val="-2"/>
        </w:rPr>
        <w:t>年度共发生租金</w:t>
      </w:r>
      <w:r>
        <w:rPr>
          <w:rFonts w:ascii="宋体" w:hAnsi="宋体" w:cs="宋体" w:eastAsia="宋体" w:hint="default"/>
          <w:spacing w:val="-2"/>
        </w:rPr>
        <w:t>294,522.06</w:t>
      </w:r>
      <w:r>
        <w:rPr>
          <w:spacing w:val="-2"/>
        </w:rPr>
        <w:t>元（不</w:t>
      </w:r>
      <w:r>
        <w:rPr>
          <w:spacing w:val="-31"/>
        </w:rPr>
        <w:t> </w:t>
      </w:r>
      <w:r>
        <w:rPr>
          <w:spacing w:val="-31"/>
        </w:rPr>
      </w:r>
      <w:r>
        <w:rPr/>
        <w:t>含税）。</w:t>
      </w:r>
    </w:p>
    <w:p>
      <w:pPr>
        <w:pStyle w:val="BodyText"/>
        <w:spacing w:line="319" w:lineRule="auto" w:before="56"/>
        <w:ind w:left="1133" w:right="1130" w:firstLine="360"/>
        <w:jc w:val="both"/>
      </w:pPr>
      <w:r>
        <w:rPr>
          <w:rFonts w:ascii="宋体" w:hAnsi="宋体" w:cs="宋体" w:eastAsia="宋体" w:hint="default"/>
        </w:rPr>
        <w:t>6</w:t>
      </w:r>
      <w:r>
        <w:rPr/>
        <w:t>、子公司果核科技与武汉华工大学科技园发展有限公司签订《华工科技园创新基地研发楼租赁合同》，租赁建筑面积 </w:t>
      </w:r>
      <w:r>
        <w:rPr>
          <w:spacing w:val="-2"/>
        </w:rPr>
        <w:t>为</w:t>
      </w:r>
      <w:r>
        <w:rPr>
          <w:rFonts w:ascii="宋体" w:hAnsi="宋体" w:cs="宋体" w:eastAsia="宋体" w:hint="default"/>
          <w:spacing w:val="-2"/>
        </w:rPr>
        <w:t>528.65</w:t>
      </w:r>
      <w:r>
        <w:rPr>
          <w:spacing w:val="-2"/>
        </w:rPr>
        <w:t>平方米，租赁期为</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日，租金每月</w:t>
      </w:r>
      <w:r>
        <w:rPr>
          <w:rFonts w:ascii="宋体" w:hAnsi="宋体" w:cs="宋体" w:eastAsia="宋体" w:hint="default"/>
          <w:spacing w:val="-2"/>
        </w:rPr>
        <w:t>27</w:t>
      </w:r>
      <w:r>
        <w:rPr>
          <w:spacing w:val="-2"/>
        </w:rPr>
        <w:t>元</w:t>
      </w:r>
      <w:r>
        <w:rPr>
          <w:rFonts w:ascii="宋体" w:hAnsi="宋体" w:cs="宋体" w:eastAsia="宋体" w:hint="default"/>
          <w:spacing w:val="-2"/>
        </w:rPr>
        <w:t>/</w:t>
      </w:r>
      <w:r>
        <w:rPr>
          <w:spacing w:val="-2"/>
        </w:rPr>
        <w:t>平方米，每月租金总额为</w:t>
      </w:r>
      <w:r>
        <w:rPr>
          <w:rFonts w:ascii="宋体" w:hAnsi="宋体" w:cs="宋体" w:eastAsia="宋体" w:hint="default"/>
          <w:spacing w:val="-2"/>
        </w:rPr>
        <w:t>14,274.00</w:t>
      </w:r>
      <w:r>
        <w:rPr>
          <w:spacing w:val="-2"/>
        </w:rPr>
        <w:t>元，</w:t>
      </w:r>
      <w:r>
        <w:rPr>
          <w:rFonts w:ascii="宋体" w:hAnsi="宋体" w:cs="宋体" w:eastAsia="宋体" w:hint="default"/>
          <w:spacing w:val="-2"/>
        </w:rPr>
        <w:t>2017</w:t>
      </w:r>
      <w:r>
        <w:rPr>
          <w:spacing w:val="-2"/>
        </w:rPr>
        <w:t>年度</w:t>
      </w:r>
      <w:r>
        <w:rPr>
          <w:spacing w:val="-34"/>
        </w:rPr>
        <w:t> </w:t>
      </w:r>
      <w:r>
        <w:rPr/>
        <w:t>共发生租金</w:t>
      </w:r>
      <w:r>
        <w:rPr>
          <w:rFonts w:ascii="宋体" w:hAnsi="宋体" w:cs="宋体" w:eastAsia="宋体" w:hint="default"/>
        </w:rPr>
        <w:t>182,134.00</w:t>
      </w:r>
      <w:r>
        <w:rPr/>
        <w:t>元（不含税）。</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3）关键管理人员报酬" w:id="343"/>
      <w:bookmarkEnd w:id="343"/>
      <w:r>
        <w:rPr>
          <w:b w:val="0"/>
          <w:bCs w:val="0"/>
        </w:rPr>
      </w:r>
      <w:r>
        <w:rPr/>
        <w:t>（</w:t>
      </w:r>
      <w:r>
        <w:rPr>
          <w:rFonts w:ascii="宋体" w:hAnsi="宋体" w:cs="宋体" w:eastAsia="宋体" w:hint="default"/>
        </w:rPr>
        <w:t>3</w:t>
      </w:r>
      <w:r>
        <w:rPr/>
        <w:t>）关键管理人员报酬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3,609,777.96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3,791,453.38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44"/>
      <w:bookmarkEnd w:id="344"/>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项目" w:id="345"/>
      <w:bookmarkEnd w:id="345"/>
      <w:r>
        <w:rPr>
          <w:b w:val="0"/>
          <w:bCs w:val="0"/>
        </w:rPr>
      </w:r>
      <w:r>
        <w:rPr/>
        <w:t>（</w:t>
      </w:r>
      <w:r>
        <w:rPr>
          <w:rFonts w:ascii="宋体" w:hAnsi="宋体" w:cs="宋体" w:eastAsia="宋体" w:hint="default"/>
        </w:rPr>
        <w:t>1</w:t>
      </w:r>
      <w:r>
        <w:rPr/>
        <w:t>）应收项目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60" w:type="dxa"/>
        <w:tblLayout w:type="fixed"/>
        <w:tblCellMar>
          <w:top w:w="0" w:type="dxa"/>
          <w:left w:w="0" w:type="dxa"/>
          <w:bottom w:w="0" w:type="dxa"/>
          <w:right w:w="0" w:type="dxa"/>
        </w:tblCellMar>
        <w:tblLook w:val="01E0"/>
      </w:tblPr>
      <w:tblGrid>
        <w:gridCol w:w="1197"/>
        <w:gridCol w:w="2778"/>
        <w:gridCol w:w="1595"/>
        <w:gridCol w:w="1409"/>
        <w:gridCol w:w="1447"/>
        <w:gridCol w:w="1150"/>
      </w:tblGrid>
      <w:tr>
        <w:trPr>
          <w:trHeight w:val="402" w:hRule="exact"/>
        </w:trPr>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7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97" w:type="dxa"/>
            <w:vMerge/>
            <w:tcBorders>
              <w:left w:val="single" w:sz="4" w:space="0" w:color="000000"/>
              <w:bottom w:val="single" w:sz="4" w:space="0" w:color="000000"/>
              <w:right w:val="single" w:sz="4" w:space="0" w:color="000000"/>
            </w:tcBorders>
          </w:tcPr>
          <w:p>
            <w:pPr/>
          </w:p>
        </w:tc>
        <w:tc>
          <w:tcPr>
            <w:tcW w:w="2778"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40,232.00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40,232.00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40,232.00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40,232.00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522,861.80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215,487.21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685,450.50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136,511.86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87,731.61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87,731.61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87,731.61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87,731.61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1,132,194.23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56,609.71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409,897.78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20,494.89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477,554.00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360,266.20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477,554.00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109,755.40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38,500.00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270,564.14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78,169.24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w:t>
            </w:r>
          </w:p>
        </w:tc>
      </w:tr>
    </w:tbl>
    <w:p>
      <w:pPr>
        <w:spacing w:after="0" w:line="240" w:lineRule="auto"/>
        <w:jc w:val="righ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应付项目" w:id="346"/>
      <w:bookmarkEnd w:id="346"/>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268"/>
        <w:gridCol w:w="2836"/>
        <w:gridCol w:w="2392"/>
        <w:gridCol w:w="210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武汉华工图像技术开发有限公司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445,665.13</w:t>
            </w:r>
          </w:p>
        </w:tc>
        <w:tc>
          <w:tcPr>
            <w:tcW w:w="2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55,258.00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29,820.00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191,085.92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53,096.08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174,000.00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174,000.00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武汉国广天喻信息技术有限公司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9,504.51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9,504.50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三、承诺及或有事项" w:id="347"/>
      <w:bookmarkEnd w:id="347"/>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348"/>
      <w:bookmarkEnd w:id="348"/>
      <w:r>
        <w:rPr>
          <w:b w:val="0"/>
          <w:bCs w:val="0"/>
        </w:rPr>
      </w:r>
      <w:r>
        <w:rPr>
          <w:rFonts w:ascii="宋体" w:hAnsi="宋体" w:cs="宋体" w:eastAsia="宋体" w:hint="default"/>
        </w:rPr>
        <w:t>1</w:t>
      </w:r>
      <w:r>
        <w:rPr/>
        <w:t>、重要承诺事项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日，本公司无需要披露的重要承诺事项。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或有事项" w:id="349"/>
      <w:bookmarkEnd w:id="349"/>
      <w:r>
        <w:rPr>
          <w:b w:val="0"/>
          <w:bCs w:val="0"/>
        </w:rPr>
      </w: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日，本公司无需要披露的重要或有事项。</w:t>
      </w:r>
    </w:p>
    <w:p>
      <w:pPr>
        <w:spacing w:after="0" w:line="240" w:lineRule="auto"/>
        <w:jc w:val="left"/>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left="1134" w:right="0"/>
        <w:jc w:val="left"/>
        <w:rPr>
          <w:b w:val="0"/>
          <w:bCs w:val="0"/>
        </w:rPr>
      </w:pPr>
      <w:bookmarkStart w:name="十四、资产负债表日后事项" w:id="350"/>
      <w:bookmarkEnd w:id="350"/>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351"/>
      <w:bookmarkEnd w:id="351"/>
      <w:r>
        <w:rPr>
          <w:b w:val="0"/>
          <w:bCs w:val="0"/>
        </w:rPr>
      </w:r>
      <w:r>
        <w:rPr>
          <w:rFonts w:ascii="宋体" w:hAnsi="宋体" w:cs="宋体" w:eastAsia="宋体" w:hint="default"/>
        </w:rPr>
        <w:t>1</w:t>
      </w:r>
      <w:r>
        <w:rPr/>
        <w:t>、重要的非调整事项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77" w:type="dxa"/>
        <w:tblLayout w:type="fixed"/>
        <w:tblCellMar>
          <w:top w:w="0" w:type="dxa"/>
          <w:left w:w="0" w:type="dxa"/>
          <w:bottom w:w="0" w:type="dxa"/>
          <w:right w:w="0" w:type="dxa"/>
        </w:tblCellMar>
        <w:tblLook w:val="01E0"/>
      </w:tblPr>
      <w:tblGrid>
        <w:gridCol w:w="803"/>
        <w:gridCol w:w="5670"/>
        <w:gridCol w:w="1559"/>
        <w:gridCol w:w="1511"/>
      </w:tblGrid>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对财务状况和经营 成果的影响数</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71" w:right="29" w:hanging="540"/>
              <w:jc w:val="left"/>
              <w:rPr>
                <w:rFonts w:ascii="宋体" w:hAnsi="宋体" w:cs="宋体" w:eastAsia="宋体" w:hint="default"/>
                <w:sz w:val="18"/>
                <w:szCs w:val="18"/>
              </w:rPr>
            </w:pPr>
            <w:r>
              <w:rPr>
                <w:rFonts w:ascii="宋体" w:hAnsi="宋体" w:cs="宋体" w:eastAsia="宋体" w:hint="default"/>
                <w:sz w:val="18"/>
                <w:szCs w:val="18"/>
              </w:rPr>
              <w:t>无法估计影响数的 原因</w:t>
            </w:r>
          </w:p>
        </w:tc>
      </w:tr>
      <w:tr>
        <w:trPr>
          <w:trHeight w:val="3522" w:hRule="exact"/>
        </w:trPr>
        <w:tc>
          <w:tcPr>
            <w:tcW w:w="8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60" w:lineRule="auto"/>
              <w:ind w:left="36" w:right="35" w:firstLine="90"/>
              <w:jc w:val="left"/>
              <w:rPr>
                <w:rFonts w:ascii="宋体" w:hAnsi="宋体" w:cs="宋体" w:eastAsia="宋体" w:hint="default"/>
                <w:sz w:val="18"/>
                <w:szCs w:val="18"/>
              </w:rPr>
            </w:pPr>
            <w:r>
              <w:rPr>
                <w:rFonts w:ascii="宋体" w:hAnsi="宋体" w:cs="宋体" w:eastAsia="宋体" w:hint="default"/>
                <w:sz w:val="18"/>
                <w:szCs w:val="18"/>
              </w:rPr>
              <w:t>重要的 对外投资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pacing w:val="-3"/>
                <w:sz w:val="18"/>
                <w:szCs w:val="18"/>
              </w:rPr>
              <w:t>日召开的第七届董事会第五次会议审议通过了《关</w:t>
            </w:r>
            <w:r>
              <w:rPr>
                <w:rFonts w:ascii="宋体" w:hAnsi="宋体" w:cs="宋体" w:eastAsia="宋体" w:hint="default"/>
                <w:sz w:val="18"/>
                <w:szCs w:val="18"/>
              </w:rPr>
              <w:t> 于控股子公司收购山东爱书人现代教育科技有限公司股权暨质押其中部 </w:t>
            </w:r>
            <w:r>
              <w:rPr>
                <w:rFonts w:ascii="宋体" w:hAnsi="宋体" w:cs="宋体" w:eastAsia="宋体" w:hint="default"/>
                <w:spacing w:val="-9"/>
                <w:sz w:val="18"/>
                <w:szCs w:val="18"/>
              </w:rPr>
              <w:t>分股权的议案》，天喻教育以自有资金</w:t>
            </w:r>
            <w:r>
              <w:rPr>
                <w:rFonts w:ascii="宋体" w:hAnsi="宋体" w:cs="宋体" w:eastAsia="宋体" w:hint="default"/>
                <w:spacing w:val="-44"/>
                <w:sz w:val="18"/>
                <w:szCs w:val="18"/>
              </w:rPr>
              <w:t> </w:t>
            </w:r>
            <w:r>
              <w:rPr>
                <w:rFonts w:ascii="宋体" w:hAnsi="宋体" w:cs="宋体" w:eastAsia="宋体" w:hint="default"/>
                <w:sz w:val="18"/>
                <w:szCs w:val="18"/>
              </w:rPr>
              <w:t>2,400</w:t>
            </w:r>
            <w:r>
              <w:rPr>
                <w:rFonts w:ascii="宋体" w:hAnsi="宋体" w:cs="宋体" w:eastAsia="宋体" w:hint="default"/>
                <w:spacing w:val="-43"/>
                <w:sz w:val="18"/>
                <w:szCs w:val="18"/>
              </w:rPr>
              <w:t> </w:t>
            </w:r>
            <w:r>
              <w:rPr>
                <w:rFonts w:ascii="宋体" w:hAnsi="宋体" w:cs="宋体" w:eastAsia="宋体" w:hint="default"/>
                <w:sz w:val="18"/>
                <w:szCs w:val="18"/>
              </w:rPr>
              <w:t>万元收购孙弋持有的现代教 育</w:t>
            </w:r>
            <w:r>
              <w:rPr>
                <w:rFonts w:ascii="宋体" w:hAnsi="宋体" w:cs="宋体" w:eastAsia="宋体" w:hint="default"/>
                <w:spacing w:val="-42"/>
                <w:sz w:val="18"/>
                <w:szCs w:val="18"/>
              </w:rPr>
              <w:t> </w:t>
            </w:r>
            <w:r>
              <w:rPr>
                <w:rFonts w:ascii="宋体" w:hAnsi="宋体" w:cs="宋体" w:eastAsia="宋体" w:hint="default"/>
                <w:spacing w:val="-1"/>
                <w:sz w:val="18"/>
                <w:szCs w:val="18"/>
              </w:rPr>
              <w:t>51%</w:t>
            </w:r>
            <w:r>
              <w:rPr>
                <w:rFonts w:ascii="宋体" w:hAnsi="宋体" w:cs="宋体" w:eastAsia="宋体" w:hint="default"/>
                <w:spacing w:val="-1"/>
                <w:sz w:val="18"/>
                <w:szCs w:val="18"/>
              </w:rPr>
              <w:t>股权（即</w:t>
            </w:r>
            <w:r>
              <w:rPr>
                <w:rFonts w:ascii="宋体" w:hAnsi="宋体" w:cs="宋体" w:eastAsia="宋体" w:hint="default"/>
                <w:spacing w:val="-42"/>
                <w:sz w:val="18"/>
                <w:szCs w:val="18"/>
              </w:rPr>
              <w:t> </w:t>
            </w:r>
            <w:r>
              <w:rPr>
                <w:rFonts w:ascii="宋体" w:hAnsi="宋体" w:cs="宋体" w:eastAsia="宋体" w:hint="default"/>
                <w:sz w:val="18"/>
                <w:szCs w:val="18"/>
              </w:rPr>
              <w:t>1,020</w:t>
            </w:r>
            <w:r>
              <w:rPr>
                <w:rFonts w:ascii="宋体" w:hAnsi="宋体" w:cs="宋体" w:eastAsia="宋体" w:hint="default"/>
                <w:spacing w:val="-42"/>
                <w:sz w:val="18"/>
                <w:szCs w:val="18"/>
              </w:rPr>
              <w:t> </w:t>
            </w:r>
            <w:r>
              <w:rPr>
                <w:rFonts w:ascii="宋体" w:hAnsi="宋体" w:cs="宋体" w:eastAsia="宋体" w:hint="default"/>
                <w:spacing w:val="-5"/>
                <w:sz w:val="18"/>
                <w:szCs w:val="18"/>
              </w:rPr>
              <w:t>万元出资额），本次股权收购完成后，现代教育将</w:t>
            </w:r>
            <w:r>
              <w:rPr>
                <w:rFonts w:ascii="宋体" w:hAnsi="宋体" w:cs="宋体" w:eastAsia="宋体" w:hint="default"/>
                <w:sz w:val="18"/>
                <w:szCs w:val="18"/>
              </w:rPr>
              <w:t> 成为天喻教育控股子公司。本次收购分三期支付股权转让款，第一期 </w:t>
            </w: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万元、第二期</w:t>
            </w:r>
            <w:r>
              <w:rPr>
                <w:rFonts w:ascii="宋体" w:hAnsi="宋体" w:cs="宋体" w:eastAsia="宋体" w:hint="default"/>
                <w:spacing w:val="-46"/>
                <w:sz w:val="18"/>
                <w:szCs w:val="18"/>
              </w:rPr>
              <w:t> </w:t>
            </w: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万元、第三期</w:t>
            </w:r>
            <w:r>
              <w:rPr>
                <w:rFonts w:ascii="宋体" w:hAnsi="宋体" w:cs="宋体" w:eastAsia="宋体" w:hint="default"/>
                <w:spacing w:val="-46"/>
                <w:sz w:val="18"/>
                <w:szCs w:val="18"/>
              </w:rPr>
              <w:t> </w:t>
            </w:r>
            <w:r>
              <w:rPr>
                <w:rFonts w:ascii="宋体" w:hAnsi="宋体" w:cs="宋体" w:eastAsia="宋体" w:hint="default"/>
                <w:sz w:val="18"/>
                <w:szCs w:val="18"/>
              </w:rPr>
              <w:t>400</w:t>
            </w:r>
            <w:r>
              <w:rPr>
                <w:rFonts w:ascii="宋体" w:hAnsi="宋体" w:cs="宋体" w:eastAsia="宋体" w:hint="default"/>
                <w:spacing w:val="-45"/>
                <w:sz w:val="18"/>
                <w:szCs w:val="18"/>
              </w:rPr>
              <w:t> </w:t>
            </w:r>
            <w:r>
              <w:rPr>
                <w:rFonts w:ascii="宋体" w:hAnsi="宋体" w:cs="宋体" w:eastAsia="宋体" w:hint="default"/>
                <w:sz w:val="18"/>
                <w:szCs w:val="18"/>
              </w:rPr>
              <w:t>万元。天喻教育将取得的现 代教育</w:t>
            </w:r>
            <w:r>
              <w:rPr>
                <w:rFonts w:ascii="宋体" w:hAnsi="宋体" w:cs="宋体" w:eastAsia="宋体" w:hint="default"/>
                <w:spacing w:val="-46"/>
                <w:sz w:val="18"/>
                <w:szCs w:val="18"/>
              </w:rPr>
              <w:t> </w:t>
            </w:r>
            <w:r>
              <w:rPr>
                <w:rFonts w:ascii="宋体" w:hAnsi="宋体" w:cs="宋体" w:eastAsia="宋体" w:hint="default"/>
                <w:sz w:val="18"/>
                <w:szCs w:val="18"/>
              </w:rPr>
              <w:t>25.5%</w:t>
            </w:r>
            <w:r>
              <w:rPr>
                <w:rFonts w:ascii="宋体" w:hAnsi="宋体" w:cs="宋体" w:eastAsia="宋体" w:hint="default"/>
                <w:sz w:val="18"/>
                <w:szCs w:val="18"/>
              </w:rPr>
              <w:t>股权（即</w:t>
            </w:r>
            <w:r>
              <w:rPr>
                <w:rFonts w:ascii="宋体" w:hAnsi="宋体" w:cs="宋体" w:eastAsia="宋体" w:hint="default"/>
                <w:spacing w:val="-46"/>
                <w:sz w:val="18"/>
                <w:szCs w:val="18"/>
              </w:rPr>
              <w:t> </w:t>
            </w: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pacing w:val="-3"/>
                <w:sz w:val="18"/>
                <w:szCs w:val="18"/>
              </w:rPr>
              <w:t>万元出资额）质押给孙弋，其中</w:t>
            </w:r>
            <w:r>
              <w:rPr>
                <w:rFonts w:ascii="宋体" w:hAnsi="宋体" w:cs="宋体" w:eastAsia="宋体" w:hint="default"/>
                <w:spacing w:val="-46"/>
                <w:sz w:val="18"/>
                <w:szCs w:val="18"/>
              </w:rPr>
              <w:t> </w:t>
            </w:r>
            <w:r>
              <w:rPr>
                <w:rFonts w:ascii="宋体" w:hAnsi="宋体" w:cs="宋体" w:eastAsia="宋体" w:hint="default"/>
                <w:spacing w:val="-3"/>
                <w:sz w:val="18"/>
                <w:szCs w:val="18"/>
              </w:rPr>
              <w:t>17%</w:t>
            </w:r>
            <w:r>
              <w:rPr>
                <w:rFonts w:ascii="宋体" w:hAnsi="宋体" w:cs="宋体" w:eastAsia="宋体" w:hint="default"/>
                <w:spacing w:val="-3"/>
                <w:sz w:val="18"/>
                <w:szCs w:val="18"/>
              </w:rPr>
              <w:t>股权（即</w:t>
            </w:r>
            <w:r>
              <w:rPr>
                <w:rFonts w:ascii="宋体" w:hAnsi="宋体" w:cs="宋体" w:eastAsia="宋体" w:hint="default"/>
                <w:sz w:val="18"/>
                <w:szCs w:val="18"/>
              </w:rPr>
              <w:t> </w:t>
            </w:r>
            <w:r>
              <w:rPr>
                <w:rFonts w:ascii="宋体" w:hAnsi="宋体" w:cs="宋体" w:eastAsia="宋体" w:hint="default"/>
                <w:sz w:val="18"/>
                <w:szCs w:val="18"/>
              </w:rPr>
              <w:t>340</w:t>
            </w:r>
            <w:r>
              <w:rPr>
                <w:rFonts w:ascii="宋体" w:hAnsi="宋体" w:cs="宋体" w:eastAsia="宋体" w:hint="default"/>
                <w:spacing w:val="-46"/>
                <w:sz w:val="18"/>
                <w:szCs w:val="18"/>
              </w:rPr>
              <w:t> </w:t>
            </w:r>
            <w:r>
              <w:rPr>
                <w:rFonts w:ascii="宋体" w:hAnsi="宋体" w:cs="宋体" w:eastAsia="宋体" w:hint="default"/>
                <w:sz w:val="18"/>
                <w:szCs w:val="18"/>
              </w:rPr>
              <w:t>万元出资额）质押为第二期股权转让款的支付提供担保，</w:t>
            </w:r>
            <w:r>
              <w:rPr>
                <w:rFonts w:ascii="宋体" w:hAnsi="宋体" w:cs="宋体" w:eastAsia="宋体" w:hint="default"/>
                <w:sz w:val="18"/>
                <w:szCs w:val="18"/>
              </w:rPr>
              <w:t>8.5%</w:t>
            </w:r>
            <w:r>
              <w:rPr>
                <w:rFonts w:ascii="宋体" w:hAnsi="宋体" w:cs="宋体" w:eastAsia="宋体" w:hint="default"/>
                <w:sz w:val="18"/>
                <w:szCs w:val="18"/>
              </w:rPr>
              <w:t>股权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宋体" w:hAnsi="宋体" w:cs="宋体" w:eastAsia="宋体" w:hint="default"/>
                <w:sz w:val="18"/>
                <w:szCs w:val="18"/>
              </w:rPr>
              <w:t>170</w:t>
            </w:r>
            <w:r>
              <w:rPr>
                <w:rFonts w:ascii="宋体" w:hAnsi="宋体" w:cs="宋体" w:eastAsia="宋体" w:hint="default"/>
                <w:spacing w:val="-46"/>
                <w:sz w:val="18"/>
                <w:szCs w:val="18"/>
              </w:rPr>
              <w:t> </w:t>
            </w:r>
            <w:r>
              <w:rPr>
                <w:rFonts w:ascii="宋体" w:hAnsi="宋体" w:cs="宋体" w:eastAsia="宋体" w:hint="default"/>
                <w:sz w:val="18"/>
                <w:szCs w:val="18"/>
              </w:rPr>
              <w:t>万元出资额）质押为第三期股权转让款的支付提供担保。天喻</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教育与现代教育股东于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月签订了股权转让协议。天喻教育于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月向孙弋支付了第一期</w:t>
            </w:r>
            <w:r>
              <w:rPr>
                <w:rFonts w:ascii="宋体" w:hAnsi="宋体" w:cs="宋体" w:eastAsia="宋体" w:hint="default"/>
                <w:spacing w:val="-46"/>
                <w:sz w:val="18"/>
                <w:szCs w:val="18"/>
              </w:rPr>
              <w:t> </w:t>
            </w: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万元股权转让款。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35"/>
              <w:jc w:val="left"/>
              <w:rPr>
                <w:rFonts w:ascii="宋体" w:hAnsi="宋体" w:cs="宋体" w:eastAsia="宋体" w:hint="default"/>
                <w:sz w:val="18"/>
                <w:szCs w:val="18"/>
              </w:rPr>
            </w:pPr>
            <w:r>
              <w:rPr>
                <w:rFonts w:ascii="宋体" w:hAnsi="宋体" w:cs="宋体" w:eastAsia="宋体" w:hint="default"/>
                <w:sz w:val="18"/>
                <w:szCs w:val="18"/>
              </w:rPr>
              <w:t>截至本报告披露 日，现代教育尚未 完成工商变更登记 等相关手续。</w:t>
            </w:r>
          </w:p>
        </w:tc>
      </w:tr>
      <w:tr>
        <w:trPr>
          <w:trHeight w:val="2274" w:hRule="exact"/>
        </w:trPr>
        <w:tc>
          <w:tcPr>
            <w:tcW w:w="803" w:type="dxa"/>
            <w:vMerge/>
            <w:tcBorders>
              <w:left w:val="single" w:sz="4" w:space="0" w:color="000000"/>
              <w:bottom w:val="single" w:sz="4" w:space="0" w:color="000000"/>
              <w:right w:val="single" w:sz="4" w:space="0" w:color="000000"/>
            </w:tcBorders>
          </w:tcPr>
          <w:p>
            <w:pP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pacing w:val="-3"/>
                <w:sz w:val="18"/>
                <w:szCs w:val="18"/>
              </w:rPr>
              <w:t>日召开的第七届董事会第五次会议审议通过了《关</w:t>
            </w:r>
            <w:r>
              <w:rPr>
                <w:rFonts w:ascii="宋体" w:hAnsi="宋体" w:cs="宋体" w:eastAsia="宋体" w:hint="default"/>
                <w:sz w:val="18"/>
                <w:szCs w:val="18"/>
              </w:rPr>
              <w:t> </w:t>
            </w:r>
            <w:r>
              <w:rPr>
                <w:rFonts w:ascii="宋体" w:hAnsi="宋体" w:cs="宋体" w:eastAsia="宋体" w:hint="default"/>
                <w:spacing w:val="-5"/>
                <w:sz w:val="18"/>
                <w:szCs w:val="18"/>
              </w:rPr>
              <w:t>于参与投资设立武汉武信天喻科技投资有限公司的议案》，公司与武汉信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用投资集团股份有限公司共同投资设立武信天喻（武汉信用投资集团股 份有限公司出资</w:t>
            </w:r>
            <w:r>
              <w:rPr>
                <w:rFonts w:ascii="宋体" w:hAnsi="宋体" w:cs="宋体" w:eastAsia="宋体" w:hint="default"/>
                <w:spacing w:val="-43"/>
                <w:sz w:val="18"/>
                <w:szCs w:val="18"/>
              </w:rPr>
              <w:t> </w:t>
            </w: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pacing w:val="-4"/>
                <w:sz w:val="18"/>
                <w:szCs w:val="18"/>
              </w:rPr>
              <w:t>亿元，公司出资</w:t>
            </w:r>
            <w:r>
              <w:rPr>
                <w:rFonts w:ascii="宋体" w:hAnsi="宋体" w:cs="宋体" w:eastAsia="宋体" w:hint="default"/>
                <w:spacing w:val="-43"/>
                <w:sz w:val="18"/>
                <w:szCs w:val="18"/>
              </w:rPr>
              <w:t> </w:t>
            </w: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pacing w:val="-10"/>
                <w:sz w:val="18"/>
                <w:szCs w:val="18"/>
              </w:rPr>
              <w:t>万元），围绕公司现有业务方</w:t>
            </w:r>
            <w:r>
              <w:rPr>
                <w:rFonts w:ascii="宋体" w:hAnsi="宋体" w:cs="宋体" w:eastAsia="宋体" w:hint="default"/>
                <w:sz w:val="18"/>
                <w:szCs w:val="18"/>
              </w:rPr>
              <w:t> 向及未来衍生业务方向进行投资，推动公司战略业务的外延式增长，促 进公司的可持续发展。武信天喻于</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pacing w:val="-3"/>
                <w:sz w:val="18"/>
                <w:szCs w:val="18"/>
              </w:rPr>
              <w:t>月完成工商注册登记。投资</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双方于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月完成武信天喻</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亿元注册资本的实缴出资。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35"/>
              <w:jc w:val="left"/>
              <w:rPr>
                <w:rFonts w:ascii="宋体" w:hAnsi="宋体" w:cs="宋体" w:eastAsia="宋体" w:hint="default"/>
                <w:sz w:val="18"/>
                <w:szCs w:val="18"/>
              </w:rPr>
            </w:pPr>
            <w:r>
              <w:rPr>
                <w:rFonts w:ascii="宋体" w:hAnsi="宋体" w:cs="宋体" w:eastAsia="宋体" w:hint="default"/>
                <w:sz w:val="18"/>
                <w:szCs w:val="18"/>
              </w:rPr>
              <w:t>截至本报告披露 日，武信天喻尚未 围绕公司业务方向 开展投资事项。</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52"/>
      <w:bookmarkEnd w:id="352"/>
      <w:r>
        <w:rPr>
          <w:b w:val="0"/>
          <w:bCs w:val="0"/>
        </w:rPr>
      </w:r>
      <w:r>
        <w:rPr>
          <w:rFonts w:ascii="宋体" w:hAnsi="宋体" w:cs="宋体" w:eastAsia="宋体"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12,901,680.00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五、其他重要事项" w:id="353"/>
      <w:bookmarkEnd w:id="353"/>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分部信息" w:id="354"/>
      <w:bookmarkEnd w:id="354"/>
      <w:r>
        <w:rPr>
          <w:b w:val="0"/>
          <w:bCs w:val="0"/>
        </w:rPr>
      </w:r>
      <w:r>
        <w:rPr>
          <w:rFonts w:ascii="宋体" w:hAnsi="宋体" w:cs="宋体" w:eastAsia="宋体" w:hint="default"/>
        </w:rPr>
        <w:t>1</w:t>
      </w:r>
      <w:r>
        <w:rPr/>
        <w:t>、分部信息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报告分部的确定依据与会计政策" w:id="355"/>
      <w:bookmarkEnd w:id="355"/>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3" w:right="1033" w:firstLine="360"/>
        <w:jc w:val="left"/>
      </w:pPr>
      <w:r>
        <w:rPr/>
        <w:t>本公司的经营业务根据业务的性质以及所提供的产品和服务分开组织和管理。本公司的每个经营分部是一个业务主体， 提供面临不同于其他经营分部的风险并取得不同于其他经营分部的报酬的产品和服务。</w:t>
      </w:r>
    </w:p>
    <w:p>
      <w:pPr>
        <w:pStyle w:val="BodyText"/>
        <w:spacing w:line="357" w:lineRule="auto" w:before="58"/>
        <w:ind w:left="1493" w:right="1123"/>
        <w:jc w:val="left"/>
      </w:pPr>
      <w:r>
        <w:rPr/>
        <w:t>本公司的经营分部的分类与内容如下： </w:t>
      </w:r>
      <w:r>
        <w:rPr>
          <w:rFonts w:ascii="宋体" w:hAnsi="宋体" w:cs="宋体" w:eastAsia="宋体" w:hint="default"/>
        </w:rPr>
        <w:t>A</w:t>
      </w:r>
      <w:r>
        <w:rPr/>
        <w:t>、数据安全业务：包括母公司及子公司擎动网络、湖北百旺、果核科技、聚联网络，业务涵盖智能卡、终端、以数据</w:t>
      </w:r>
    </w:p>
    <w:p>
      <w:pPr>
        <w:pStyle w:val="BodyText"/>
        <w:spacing w:line="225" w:lineRule="exact"/>
        <w:ind w:right="0"/>
        <w:jc w:val="left"/>
      </w:pPr>
      <w:r>
        <w:rPr/>
        <w:t>安全技术为核心的服务，产品应用于金融、通信、交通、税务、政府等领域。</w:t>
      </w:r>
    </w:p>
    <w:p>
      <w:pPr>
        <w:spacing w:after="0" w:line="225" w:lineRule="exact"/>
        <w:jc w:val="left"/>
        <w:sectPr>
          <w:pgSz w:w="11910" w:h="16840"/>
          <w:pgMar w:header="0"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3" w:right="1129" w:firstLine="360"/>
        <w:jc w:val="both"/>
      </w:pPr>
      <w:r>
        <w:rPr>
          <w:rFonts w:ascii="宋体" w:hAnsi="宋体" w:cs="宋体" w:eastAsia="宋体" w:hint="default"/>
        </w:rPr>
        <w:t>B</w:t>
      </w:r>
      <w:r>
        <w:rPr/>
        <w:t>、智慧教育业务：包括子公司天喻教育、深圳市易考乐学测评有限公司、无锡尚蠡信息科技有限公司、上海天喻云企 业发展有限公司、贵州天喻通慧教育科技有限公司、湖北天喻教育研究院，业务涵盖以国家教育信息化建设为背景的</w:t>
      </w:r>
      <w:r>
        <w:rPr>
          <w:rFonts w:ascii="宋体" w:hAnsi="宋体" w:cs="宋体" w:eastAsia="宋体" w:hint="default"/>
        </w:rPr>
        <w:t>K12</w:t>
      </w:r>
      <w:r>
        <w:rPr/>
        <w:t>阶</w:t>
      </w:r>
      <w:r>
        <w:rPr>
          <w:spacing w:val="-84"/>
        </w:rPr>
        <w:t> </w:t>
      </w:r>
      <w:r>
        <w:rPr/>
        <w:t>段教育云平台与应用的开发、销售、运营业务及</w:t>
      </w:r>
      <w:r>
        <w:rPr>
          <w:rFonts w:ascii="宋体" w:hAnsi="宋体" w:cs="宋体" w:eastAsia="宋体" w:hint="default"/>
        </w:rPr>
        <w:t>K12</w:t>
      </w:r>
      <w:r>
        <w:rPr/>
        <w:t>阶段学生在线学习服务平台运营服务。</w:t>
      </w:r>
    </w:p>
    <w:p>
      <w:pPr>
        <w:pStyle w:val="BodyText"/>
        <w:spacing w:line="319" w:lineRule="auto" w:before="55"/>
        <w:ind w:left="1133" w:right="1132" w:firstLine="360"/>
        <w:jc w:val="both"/>
      </w:pPr>
      <w:r>
        <w:rPr>
          <w:spacing w:val="-2"/>
        </w:rPr>
        <w:t>管理层出于配置资源和评价业绩的目的，对各业务方向的经营分开进行管理。各经营分部业绩以报告的分部利润为基础</w:t>
      </w:r>
      <w:r>
        <w:rPr/>
        <w:t> 进行评价。该指标与利润总额是一致的。</w:t>
      </w:r>
    </w:p>
    <w:p>
      <w:pPr>
        <w:pStyle w:val="BodyText"/>
        <w:spacing w:line="240" w:lineRule="auto" w:before="58"/>
        <w:ind w:left="1493" w:right="0"/>
        <w:jc w:val="left"/>
      </w:pPr>
      <w:r>
        <w:rPr/>
        <w:t>分部间的转移定价按照市场价值确认。</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报告分部的财务信息" w:id="356"/>
      <w:bookmarkEnd w:id="356"/>
      <w:r>
        <w:rPr>
          <w:b w:val="0"/>
          <w:bCs w:val="0"/>
        </w:rPr>
      </w:r>
      <w:r>
        <w:rPr/>
        <w:t>（</w:t>
      </w:r>
      <w:r>
        <w:rPr>
          <w:rFonts w:ascii="宋体" w:hAnsi="宋体" w:cs="宋体" w:eastAsia="宋体" w:hint="default"/>
        </w:rPr>
        <w:t>2</w:t>
      </w:r>
      <w:r>
        <w:rPr/>
        <w:t>）报告分部的财务信息</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71"/>
        <w:gridCol w:w="1595"/>
        <w:gridCol w:w="1594"/>
        <w:gridCol w:w="1594"/>
        <w:gridCol w:w="1427"/>
        <w:gridCol w:w="1510"/>
      </w:tblGrid>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数据安全业务单元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在线教育业务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1,898,689,312.72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37,381,077.87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1,936,070,390.59</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79,729.06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53,538,153.72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-53,617,882.78</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162,400,440.31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54,695,476.55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217,095,916.86</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7,560,245.72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24,415.53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-5,507,573.31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2,077,087.94</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8,440,748.74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5,507,573.31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-5,507,573.31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8,440,748.74</w:t>
            </w: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对联营企业和合营企业 的投资收益</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-3,276,143.93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3,186.44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-3,272,957.49</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39,308,866.14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1,028,034.52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40,336,900.66</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41,015,392.05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2,867,645.58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43,883,037.63</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利润总额（亏损）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76,939,610.13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-50,366,927.18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-3,276,143.93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23,296,539.02</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1,923,851,640.98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102,634,416.12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174,516,860.86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-365,784,673.19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1,835,218,244.77</w:t>
            </w: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609,688,202.02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214,355,162.04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-200,134,673.19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623,908,690.87</w:t>
            </w: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对联营企业和合营企业 的长期股权投资</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8,866,860.76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8,866,860.76</w:t>
            </w: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长期股权投资以外的其 他非流动资产增加额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46,272,817.16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1,220,169.37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47,492,986.53</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母公司财务报表主要项目注释" w:id="357"/>
      <w:bookmarkEnd w:id="357"/>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358"/>
      <w:bookmarkEnd w:id="358"/>
      <w:r>
        <w:rPr>
          <w:b w:val="0"/>
          <w:bCs w:val="0"/>
        </w:rPr>
      </w:r>
      <w:r>
        <w:rPr>
          <w:rFonts w:ascii="宋体" w:hAnsi="宋体" w:cs="宋体" w:eastAsia="宋体" w:hint="default"/>
        </w:rPr>
        <w:t>1</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应收账款分类披露" w:id="359"/>
      <w:bookmarkEnd w:id="359"/>
      <w:r>
        <w:rPr>
          <w:b w:val="0"/>
          <w:bCs w:val="0"/>
        </w:rPr>
      </w: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963" w:type="dxa"/>
        <w:tblLayout w:type="fixed"/>
        <w:tblCellMar>
          <w:top w:w="0" w:type="dxa"/>
          <w:left w:w="0" w:type="dxa"/>
          <w:bottom w:w="0" w:type="dxa"/>
          <w:right w:w="0" w:type="dxa"/>
        </w:tblCellMar>
        <w:tblLook w:val="01E0"/>
      </w:tblPr>
      <w:tblGrid>
        <w:gridCol w:w="1008"/>
        <w:gridCol w:w="1120"/>
        <w:gridCol w:w="644"/>
        <w:gridCol w:w="1036"/>
        <w:gridCol w:w="561"/>
        <w:gridCol w:w="1112"/>
        <w:gridCol w:w="1127"/>
        <w:gridCol w:w="630"/>
        <w:gridCol w:w="1036"/>
        <w:gridCol w:w="560"/>
        <w:gridCol w:w="1136"/>
      </w:tblGrid>
      <w:tr>
        <w:trPr>
          <w:trHeight w:val="402" w:hRule="exact"/>
        </w:trPr>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4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008" w:type="dxa"/>
            <w:vMerge/>
            <w:tcBorders>
              <w:left w:val="single" w:sz="4" w:space="0" w:color="000000"/>
              <w:right w:val="single" w:sz="4" w:space="0" w:color="000000"/>
            </w:tcBorders>
          </w:tcPr>
          <w:p>
            <w:pP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7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5" w:hRule="exact"/>
        </w:trPr>
        <w:tc>
          <w:tcPr>
            <w:tcW w:w="1008"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5" w:right="125"/>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12" w:type="dxa"/>
            <w:vMerge/>
            <w:tcBorders>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4" w:right="125"/>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3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963" w:type="dxa"/>
        <w:tblLayout w:type="fixed"/>
        <w:tblCellMar>
          <w:top w:w="0" w:type="dxa"/>
          <w:left w:w="0" w:type="dxa"/>
          <w:bottom w:w="0" w:type="dxa"/>
          <w:right w:w="0" w:type="dxa"/>
        </w:tblCellMar>
        <w:tblLook w:val="01E0"/>
      </w:tblPr>
      <w:tblGrid>
        <w:gridCol w:w="1008"/>
        <w:gridCol w:w="1120"/>
        <w:gridCol w:w="644"/>
        <w:gridCol w:w="1036"/>
        <w:gridCol w:w="561"/>
        <w:gridCol w:w="1112"/>
        <w:gridCol w:w="1127"/>
        <w:gridCol w:w="630"/>
        <w:gridCol w:w="1036"/>
        <w:gridCol w:w="560"/>
        <w:gridCol w:w="1136"/>
      </w:tblGrid>
      <w:tr>
        <w:trPr>
          <w:trHeight w:val="133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5"/>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账准备的应收 账款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7" w:right="0"/>
              <w:jc w:val="left"/>
              <w:rPr>
                <w:rFonts w:ascii="宋体" w:hAnsi="宋体" w:cs="宋体" w:eastAsia="宋体" w:hint="default"/>
                <w:sz w:val="15"/>
                <w:szCs w:val="15"/>
              </w:rPr>
            </w:pPr>
            <w:r>
              <w:rPr>
                <w:rFonts w:ascii="宋体"/>
                <w:sz w:val="15"/>
              </w:rPr>
              <w:t>590,868,820.41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 w:right="0"/>
              <w:jc w:val="center"/>
              <w:rPr>
                <w:rFonts w:ascii="宋体" w:hAnsi="宋体" w:cs="宋体" w:eastAsia="宋体" w:hint="default"/>
                <w:sz w:val="15"/>
                <w:szCs w:val="15"/>
              </w:rPr>
            </w:pPr>
            <w:r>
              <w:rPr>
                <w:rFonts w:ascii="宋体"/>
                <w:sz w:val="15"/>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5"/>
                <w:szCs w:val="15"/>
              </w:rPr>
            </w:pPr>
            <w:r>
              <w:rPr>
                <w:rFonts w:ascii="宋体"/>
                <w:sz w:val="15"/>
              </w:rPr>
              <w:t>97,319,663.55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 w:right="0"/>
              <w:jc w:val="center"/>
              <w:rPr>
                <w:rFonts w:ascii="宋体" w:hAnsi="宋体" w:cs="宋体" w:eastAsia="宋体" w:hint="default"/>
                <w:sz w:val="15"/>
                <w:szCs w:val="15"/>
              </w:rPr>
            </w:pPr>
            <w:r>
              <w:rPr>
                <w:rFonts w:ascii="宋体"/>
                <w:sz w:val="15"/>
              </w:rPr>
              <w:t>16.47%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5"/>
                <w:szCs w:val="15"/>
              </w:rPr>
            </w:pPr>
            <w:r>
              <w:rPr>
                <w:rFonts w:ascii="宋体"/>
                <w:sz w:val="15"/>
              </w:rPr>
              <w:t>493,549,156.86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5"/>
                <w:szCs w:val="15"/>
              </w:rPr>
            </w:pPr>
            <w:r>
              <w:rPr>
                <w:rFonts w:ascii="宋体"/>
                <w:sz w:val="15"/>
              </w:rPr>
              <w:t>533,887,610.07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7" w:right="0"/>
              <w:jc w:val="center"/>
              <w:rPr>
                <w:rFonts w:ascii="宋体" w:hAnsi="宋体" w:cs="宋体" w:eastAsia="宋体" w:hint="default"/>
                <w:sz w:val="15"/>
                <w:szCs w:val="15"/>
              </w:rPr>
            </w:pPr>
            <w:r>
              <w:rPr>
                <w:rFonts w:ascii="宋体"/>
                <w:sz w:val="15"/>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5"/>
                <w:szCs w:val="15"/>
              </w:rPr>
            </w:pPr>
            <w:r>
              <w:rPr>
                <w:rFonts w:ascii="宋体"/>
                <w:sz w:val="15"/>
              </w:rPr>
              <w:t>88,204,722.58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 w:right="0"/>
              <w:jc w:val="center"/>
              <w:rPr>
                <w:rFonts w:ascii="宋体" w:hAnsi="宋体" w:cs="宋体" w:eastAsia="宋体" w:hint="default"/>
                <w:sz w:val="15"/>
                <w:szCs w:val="15"/>
              </w:rPr>
            </w:pPr>
            <w:r>
              <w:rPr>
                <w:rFonts w:ascii="宋体"/>
                <w:sz w:val="15"/>
              </w:rPr>
              <w:t>16.52%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 w:right="0"/>
              <w:jc w:val="left"/>
              <w:rPr>
                <w:rFonts w:ascii="宋体" w:hAnsi="宋体" w:cs="宋体" w:eastAsia="宋体" w:hint="default"/>
                <w:sz w:val="15"/>
                <w:szCs w:val="15"/>
              </w:rPr>
            </w:pPr>
            <w:r>
              <w:rPr>
                <w:rFonts w:ascii="宋体"/>
                <w:sz w:val="15"/>
              </w:rPr>
              <w:t>445,682,887.49</w:t>
            </w:r>
          </w:p>
        </w:tc>
      </w:tr>
      <w:tr>
        <w:trPr>
          <w:trHeight w:val="40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left"/>
              <w:rPr>
                <w:rFonts w:ascii="宋体" w:hAnsi="宋体" w:cs="宋体" w:eastAsia="宋体" w:hint="default"/>
                <w:sz w:val="15"/>
                <w:szCs w:val="15"/>
              </w:rPr>
            </w:pPr>
            <w:r>
              <w:rPr>
                <w:rFonts w:ascii="宋体"/>
                <w:sz w:val="15"/>
              </w:rPr>
              <w:t>590,868,820.41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center"/>
              <w:rPr>
                <w:rFonts w:ascii="宋体" w:hAnsi="宋体" w:cs="宋体" w:eastAsia="宋体" w:hint="default"/>
                <w:sz w:val="15"/>
                <w:szCs w:val="15"/>
              </w:rPr>
            </w:pPr>
            <w:r>
              <w:rPr>
                <w:rFonts w:ascii="宋体"/>
                <w:sz w:val="15"/>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宋体" w:hAnsi="宋体" w:cs="宋体" w:eastAsia="宋体" w:hint="default"/>
                <w:sz w:val="15"/>
                <w:szCs w:val="15"/>
              </w:rPr>
            </w:pPr>
            <w:r>
              <w:rPr>
                <w:rFonts w:ascii="宋体"/>
                <w:sz w:val="15"/>
              </w:rPr>
              <w:t>97,319,663.55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center"/>
              <w:rPr>
                <w:rFonts w:ascii="宋体" w:hAnsi="宋体" w:cs="宋体" w:eastAsia="宋体" w:hint="default"/>
                <w:sz w:val="15"/>
                <w:szCs w:val="15"/>
              </w:rPr>
            </w:pPr>
            <w:r>
              <w:rPr>
                <w:rFonts w:ascii="宋体"/>
                <w:sz w:val="15"/>
              </w:rPr>
              <w:t>16.47%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宋体" w:hAnsi="宋体" w:cs="宋体" w:eastAsia="宋体" w:hint="default"/>
                <w:sz w:val="15"/>
                <w:szCs w:val="15"/>
              </w:rPr>
            </w:pPr>
            <w:r>
              <w:rPr>
                <w:rFonts w:ascii="宋体"/>
                <w:sz w:val="15"/>
              </w:rPr>
              <w:t>493,549,156.86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left"/>
              <w:rPr>
                <w:rFonts w:ascii="宋体" w:hAnsi="宋体" w:cs="宋体" w:eastAsia="宋体" w:hint="default"/>
                <w:sz w:val="15"/>
                <w:szCs w:val="15"/>
              </w:rPr>
            </w:pPr>
            <w:r>
              <w:rPr>
                <w:rFonts w:ascii="宋体"/>
                <w:sz w:val="15"/>
              </w:rPr>
              <w:t>533,887,610.07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宋体" w:hAnsi="宋体" w:cs="宋体" w:eastAsia="宋体" w:hint="default"/>
                <w:sz w:val="15"/>
                <w:szCs w:val="15"/>
              </w:rPr>
            </w:pPr>
            <w:r>
              <w:rPr>
                <w:rFonts w:ascii="宋体"/>
                <w:sz w:val="15"/>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宋体" w:hAnsi="宋体" w:cs="宋体" w:eastAsia="宋体" w:hint="default"/>
                <w:sz w:val="15"/>
                <w:szCs w:val="15"/>
              </w:rPr>
            </w:pPr>
            <w:r>
              <w:rPr>
                <w:rFonts w:ascii="宋体"/>
                <w:sz w:val="15"/>
              </w:rPr>
              <w:t>88,204,722.58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center"/>
              <w:rPr>
                <w:rFonts w:ascii="宋体" w:hAnsi="宋体" w:cs="宋体" w:eastAsia="宋体" w:hint="default"/>
                <w:sz w:val="15"/>
                <w:szCs w:val="15"/>
              </w:rPr>
            </w:pPr>
            <w:r>
              <w:rPr>
                <w:rFonts w:ascii="宋体"/>
                <w:sz w:val="15"/>
              </w:rPr>
              <w:t>16.52%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3" w:right="0"/>
              <w:jc w:val="left"/>
              <w:rPr>
                <w:rFonts w:ascii="宋体" w:hAnsi="宋体" w:cs="宋体" w:eastAsia="宋体" w:hint="default"/>
                <w:sz w:val="15"/>
                <w:szCs w:val="15"/>
              </w:rPr>
            </w:pPr>
            <w:r>
              <w:rPr>
                <w:rFonts w:ascii="宋体"/>
                <w:sz w:val="15"/>
              </w:rPr>
              <w:t>445,682,887.49</w:t>
            </w:r>
          </w:p>
        </w:tc>
      </w:tr>
    </w:tbl>
    <w:p>
      <w:pPr>
        <w:spacing w:line="240" w:lineRule="auto" w:before="0"/>
        <w:rPr>
          <w:rFonts w:ascii="宋体" w:hAnsi="宋体" w:cs="宋体" w:eastAsia="宋体" w:hint="default"/>
          <w:sz w:val="25"/>
          <w:szCs w:val="25"/>
        </w:rPr>
      </w:pPr>
    </w:p>
    <w:p>
      <w:pPr>
        <w:pStyle w:val="BodyText"/>
        <w:spacing w:line="240" w:lineRule="auto" w:before="44"/>
        <w:ind w:right="0"/>
        <w:jc w:val="left"/>
      </w:pPr>
      <w:r>
        <w:rPr/>
        <w:t>期末单项金额重大并单项计提坏账准备的应收账款：</w:t>
      </w:r>
    </w:p>
    <w:p>
      <w:pPr>
        <w:pStyle w:val="BodyText"/>
        <w:spacing w:line="240" w:lineRule="auto" w:before="117"/>
        <w:ind w:right="0"/>
        <w:jc w:val="left"/>
      </w:pPr>
      <w:r>
        <w:rPr/>
        <w:t>□ 适用 √ 不适用</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979" w:top="1100" w:bottom="1160" w:left="0" w:right="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5095" w:space="3555"/>
            <w:col w:w="326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471,993,169.72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23,599,658.49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29,043,246.92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2,904,324.69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22,852,937.24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6,855,881.17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7,361,153.53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7,361,153.53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3,131,359.45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3,131,359.45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53,467,286.22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53,467,286.22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587,849,153.08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97,319,663.55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16.56%</w:t>
            </w:r>
          </w:p>
        </w:tc>
      </w:tr>
    </w:tbl>
    <w:p>
      <w:pPr>
        <w:spacing w:line="240" w:lineRule="auto" w:before="9"/>
        <w:rPr>
          <w:rFonts w:ascii="宋体" w:hAnsi="宋体" w:cs="宋体" w:eastAsia="宋体" w:hint="default"/>
          <w:sz w:val="6"/>
          <w:szCs w:val="6"/>
        </w:rPr>
      </w:pPr>
    </w:p>
    <w:p>
      <w:pPr>
        <w:pStyle w:val="BodyText"/>
        <w:spacing w:line="439" w:lineRule="auto" w:before="44"/>
        <w:ind w:right="6432"/>
        <w:jc w:val="left"/>
      </w:pPr>
      <w:r>
        <w:rPr/>
        <w:t>确定该组合依据的说明： 组合中，采用余额百分比法计提坏账准备的应收账款：</w:t>
      </w:r>
    </w:p>
    <w:p>
      <w:pPr>
        <w:pStyle w:val="BodyText"/>
        <w:spacing w:line="203" w:lineRule="exact"/>
        <w:ind w:right="0"/>
        <w:jc w:val="left"/>
      </w:pPr>
      <w:r>
        <w:rPr/>
        <w:t>□ 适用 √ 不适用</w:t>
      </w:r>
    </w:p>
    <w:p>
      <w:pPr>
        <w:spacing w:line="240" w:lineRule="auto" w:before="0"/>
        <w:rPr>
          <w:rFonts w:ascii="宋体" w:hAnsi="宋体" w:cs="宋体" w:eastAsia="宋体" w:hint="default"/>
          <w:sz w:val="15"/>
          <w:szCs w:val="15"/>
        </w:rPr>
      </w:pPr>
    </w:p>
    <w:p>
      <w:pPr>
        <w:pStyle w:val="BodyText"/>
        <w:spacing w:line="360" w:lineRule="auto"/>
        <w:ind w:left="1494" w:right="3732" w:hanging="360"/>
        <w:jc w:val="left"/>
      </w:pPr>
      <w:r>
        <w:rPr/>
        <w:t>组合中，采用其他方法计提坏账准备的应收账款： 应收账款中，对合并范围内的子公司的应收款项</w:t>
      </w:r>
      <w:r>
        <w:rPr>
          <w:rFonts w:ascii="宋体" w:hAnsi="宋体" w:cs="宋体" w:eastAsia="宋体" w:hint="default"/>
        </w:rPr>
        <w:t>3,019,667.33</w:t>
      </w:r>
      <w:r>
        <w:rPr/>
        <w:t>元，不计提坏账准备。</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2）本期计提、收回或转回的坏账准备情况" w:id="360"/>
      <w:bookmarkEnd w:id="36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本期计提坏账准备金额</w:t>
      </w:r>
      <w:r>
        <w:rPr>
          <w:spacing w:val="-46"/>
        </w:rPr>
        <w:t> </w:t>
      </w:r>
      <w:r>
        <w:rPr>
          <w:rFonts w:ascii="宋体" w:hAnsi="宋体" w:cs="宋体" w:eastAsia="宋体" w:hint="default"/>
        </w:rPr>
        <w:t>10,267,557.57</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本期实际核销的应收账款情况" w:id="361"/>
      <w:bookmarkEnd w:id="361"/>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1,152,616.60</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其中重要的应收账款核销情况：</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52"/>
        <w:gridCol w:w="1191"/>
        <w:gridCol w:w="1417"/>
        <w:gridCol w:w="1361"/>
        <w:gridCol w:w="1616"/>
        <w:gridCol w:w="1475"/>
      </w:tblGrid>
      <w:tr>
        <w:trPr>
          <w:trHeight w:val="7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91" w:right="191" w:firstLine="90"/>
              <w:jc w:val="left"/>
              <w:rPr>
                <w:rFonts w:ascii="宋体" w:hAnsi="宋体" w:cs="宋体" w:eastAsia="宋体" w:hint="default"/>
                <w:sz w:val="18"/>
                <w:szCs w:val="18"/>
              </w:rPr>
            </w:pPr>
            <w:r>
              <w:rPr>
                <w:rFonts w:ascii="宋体" w:hAnsi="宋体" w:cs="宋体" w:eastAsia="宋体" w:hint="default"/>
                <w:sz w:val="18"/>
                <w:szCs w:val="18"/>
              </w:rPr>
              <w:t>款项是否由 关联交易产生</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太原市众方思达科技有限公司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607,545.60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上海华园微电子技术有限公司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乌鲁木齐科尔金商贸有限公司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131,250.00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拓讯信息技术（青岛）有限公司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33,621.00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江苏紫金万成自动化控制设备 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332,200.00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1,152,616.60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360" w:lineRule="auto" w:before="44"/>
        <w:ind w:left="1493" w:right="8413" w:hanging="360"/>
        <w:jc w:val="left"/>
      </w:pPr>
      <w:r>
        <w:rPr/>
        <w:t>应收账款核销说明： 详见附注七、</w:t>
      </w:r>
      <w:r>
        <w:rPr>
          <w:rFonts w:ascii="宋体" w:hAnsi="宋体" w:cs="宋体" w:eastAsia="宋体" w:hint="default"/>
        </w:rPr>
        <w:t>3</w:t>
      </w:r>
      <w:r>
        <w:rPr/>
        <w:t>、（</w:t>
      </w:r>
      <w:r>
        <w:rPr>
          <w:rFonts w:ascii="宋体" w:hAnsi="宋体" w:cs="宋体" w:eastAsia="宋体" w:hint="default"/>
        </w:rPr>
        <w:t>3</w:t>
      </w:r>
      <w:r>
        <w:rPr/>
        <w:t>）。</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按欠款方归集的期末余额前五名的应收账款情况" w:id="362"/>
      <w:bookmarkEnd w:id="362"/>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133" w:right="1303" w:firstLine="360"/>
        <w:jc w:val="left"/>
      </w:pPr>
      <w:r>
        <w:rPr/>
        <w:t>截至期末按欠款方归集的期末余额前五名应收账款合计为</w:t>
      </w:r>
      <w:r>
        <w:rPr>
          <w:rFonts w:ascii="宋体" w:hAnsi="宋体" w:cs="宋体" w:eastAsia="宋体" w:hint="default"/>
        </w:rPr>
        <w:t>163,358,332.00 </w:t>
      </w:r>
      <w:r>
        <w:rPr/>
        <w:t>元，占应收账款期末余额合计数的比例为 </w:t>
      </w:r>
      <w:r>
        <w:rPr>
          <w:rFonts w:ascii="宋体" w:hAnsi="宋体" w:cs="宋体" w:eastAsia="宋体" w:hint="default"/>
        </w:rPr>
        <w:t>27.65%</w:t>
      </w:r>
      <w:r>
        <w:rPr/>
        <w:t>，相应计提的坏账准备期末余额合计为</w:t>
      </w:r>
      <w:r>
        <w:rPr>
          <w:rFonts w:ascii="宋体" w:hAnsi="宋体" w:cs="宋体" w:eastAsia="宋体" w:hint="default"/>
        </w:rPr>
        <w:t>32,102,416.10</w:t>
      </w:r>
      <w:r>
        <w:rPr/>
        <w:t>元。</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2、其他应收款" w:id="363"/>
      <w:bookmarkEnd w:id="363"/>
      <w:r>
        <w:rPr>
          <w:b w:val="0"/>
          <w:bCs w:val="0"/>
        </w:rPr>
      </w: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其他应收款分类披露" w:id="364"/>
      <w:bookmarkEnd w:id="364"/>
      <w:r>
        <w:rPr>
          <w:b w:val="0"/>
          <w:bCs w:val="0"/>
        </w:rPr>
      </w:r>
      <w:r>
        <w:rPr/>
        <w:t>（</w:t>
      </w:r>
      <w:r>
        <w:rPr>
          <w:rFonts w:ascii="宋体" w:hAnsi="宋体" w:cs="宋体" w:eastAsia="宋体" w:hint="default"/>
        </w:rPr>
        <w:t>1</w:t>
      </w:r>
      <w:r>
        <w:rPr/>
        <w:t>）其他应收款分类披露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8" w:type="dxa"/>
        <w:tblLayout w:type="fixed"/>
        <w:tblCellMar>
          <w:top w:w="0" w:type="dxa"/>
          <w:left w:w="0" w:type="dxa"/>
          <w:bottom w:w="0" w:type="dxa"/>
          <w:right w:w="0" w:type="dxa"/>
        </w:tblCellMar>
        <w:tblLook w:val="01E0"/>
      </w:tblPr>
      <w:tblGrid>
        <w:gridCol w:w="970"/>
        <w:gridCol w:w="1241"/>
        <w:gridCol w:w="601"/>
        <w:gridCol w:w="1037"/>
        <w:gridCol w:w="462"/>
        <w:gridCol w:w="1118"/>
        <w:gridCol w:w="1148"/>
        <w:gridCol w:w="602"/>
        <w:gridCol w:w="966"/>
        <w:gridCol w:w="493"/>
        <w:gridCol w:w="1201"/>
      </w:tblGrid>
      <w:tr>
        <w:trPr>
          <w:trHeight w:val="402" w:hRule="exact"/>
        </w:trPr>
        <w:tc>
          <w:tcPr>
            <w:tcW w:w="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4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970" w:type="dxa"/>
            <w:vMerge/>
            <w:tcBorders>
              <w:left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14" w:hRule="exact"/>
        </w:trPr>
        <w:tc>
          <w:tcPr>
            <w:tcW w:w="970"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75" w:right="74"/>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1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92" w:right="89"/>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201" w:type="dxa"/>
            <w:vMerge/>
            <w:tcBorders>
              <w:left w:val="single" w:sz="4" w:space="0" w:color="000000"/>
              <w:bottom w:val="single" w:sz="4" w:space="0" w:color="000000"/>
              <w:right w:val="single" w:sz="4" w:space="0" w:color="000000"/>
            </w:tcBorders>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35"/>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账准备的其他 应收款</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179,709,961.25</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sz w:val="15"/>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8" w:right="0"/>
              <w:jc w:val="center"/>
              <w:rPr>
                <w:rFonts w:ascii="宋体" w:hAnsi="宋体" w:cs="宋体" w:eastAsia="宋体" w:hint="default"/>
                <w:sz w:val="15"/>
                <w:szCs w:val="15"/>
              </w:rPr>
            </w:pPr>
            <w:r>
              <w:rPr>
                <w:rFonts w:ascii="宋体"/>
                <w:sz w:val="15"/>
              </w:rPr>
              <w:t>4,718,771.15</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 w:right="0"/>
              <w:jc w:val="center"/>
              <w:rPr>
                <w:rFonts w:ascii="宋体" w:hAnsi="宋体" w:cs="宋体" w:eastAsia="宋体" w:hint="default"/>
                <w:sz w:val="15"/>
                <w:szCs w:val="15"/>
              </w:rPr>
            </w:pPr>
            <w:r>
              <w:rPr>
                <w:rFonts w:ascii="宋体"/>
                <w:sz w:val="15"/>
              </w:rPr>
              <w:t>2.63%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sz w:val="15"/>
              </w:rPr>
              <w:t>174,991,190.10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 w:right="0"/>
              <w:jc w:val="center"/>
              <w:rPr>
                <w:rFonts w:ascii="宋体" w:hAnsi="宋体" w:cs="宋体" w:eastAsia="宋体" w:hint="default"/>
                <w:sz w:val="15"/>
                <w:szCs w:val="15"/>
              </w:rPr>
            </w:pPr>
            <w:r>
              <w:rPr>
                <w:rFonts w:ascii="宋体"/>
                <w:sz w:val="15"/>
              </w:rPr>
              <w:t>158,971,693.94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5"/>
                <w:szCs w:val="15"/>
              </w:rPr>
            </w:pPr>
            <w:r>
              <w:rPr>
                <w:rFonts w:ascii="宋体"/>
                <w:sz w:val="15"/>
              </w:rPr>
              <w:t>2,976,017.99</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155,995,675.95</w:t>
            </w: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179,709,961.25</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center"/>
              <w:rPr>
                <w:rFonts w:ascii="宋体" w:hAnsi="宋体" w:cs="宋体" w:eastAsia="宋体" w:hint="default"/>
                <w:sz w:val="15"/>
                <w:szCs w:val="15"/>
              </w:rPr>
            </w:pPr>
            <w:r>
              <w:rPr>
                <w:rFonts w:ascii="宋体"/>
                <w:sz w:val="15"/>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 w:right="0"/>
              <w:jc w:val="center"/>
              <w:rPr>
                <w:rFonts w:ascii="宋体" w:hAnsi="宋体" w:cs="宋体" w:eastAsia="宋体" w:hint="default"/>
                <w:sz w:val="15"/>
                <w:szCs w:val="15"/>
              </w:rPr>
            </w:pPr>
            <w:r>
              <w:rPr>
                <w:rFonts w:ascii="宋体"/>
                <w:sz w:val="15"/>
              </w:rPr>
              <w:t>4,718,771.15</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center"/>
              <w:rPr>
                <w:rFonts w:ascii="宋体" w:hAnsi="宋体" w:cs="宋体" w:eastAsia="宋体" w:hint="default"/>
                <w:sz w:val="15"/>
                <w:szCs w:val="15"/>
              </w:rPr>
            </w:pPr>
            <w:r>
              <w:rPr>
                <w:rFonts w:ascii="宋体"/>
                <w:sz w:val="15"/>
              </w:rPr>
              <w:t>2.63%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宋体" w:hAnsi="宋体" w:cs="宋体" w:eastAsia="宋体" w:hint="default"/>
                <w:sz w:val="15"/>
                <w:szCs w:val="15"/>
              </w:rPr>
            </w:pPr>
            <w:r>
              <w:rPr>
                <w:rFonts w:ascii="宋体"/>
                <w:sz w:val="15"/>
              </w:rPr>
              <w:t>174,991,190.10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宋体" w:hAnsi="宋体" w:cs="宋体" w:eastAsia="宋体" w:hint="default"/>
                <w:sz w:val="15"/>
                <w:szCs w:val="15"/>
              </w:rPr>
            </w:pPr>
            <w:r>
              <w:rPr>
                <w:rFonts w:ascii="宋体"/>
                <w:sz w:val="15"/>
              </w:rPr>
              <w:t>158,971,693.94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center"/>
              <w:rPr>
                <w:rFonts w:ascii="宋体" w:hAnsi="宋体" w:cs="宋体" w:eastAsia="宋体" w:hint="default"/>
                <w:sz w:val="15"/>
                <w:szCs w:val="15"/>
              </w:rPr>
            </w:pPr>
            <w:r>
              <w:rPr>
                <w:rFonts w:ascii="宋体"/>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 w:right="0"/>
              <w:jc w:val="center"/>
              <w:rPr>
                <w:rFonts w:ascii="宋体" w:hAnsi="宋体" w:cs="宋体" w:eastAsia="宋体" w:hint="default"/>
                <w:sz w:val="15"/>
                <w:szCs w:val="15"/>
              </w:rPr>
            </w:pPr>
            <w:r>
              <w:rPr>
                <w:rFonts w:ascii="宋体"/>
                <w:sz w:val="15"/>
              </w:rPr>
              <w:t>2,976,017.99</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155,995,675.95</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pStyle w:val="BodyText"/>
        <w:spacing w:line="439" w:lineRule="auto" w:before="116"/>
        <w:ind w:right="6612"/>
        <w:jc w:val="left"/>
      </w:pPr>
      <w:r>
        <w:rPr/>
        <w:t>□ 适用 √ 不适用 组合中，按账龄分析法计提坏账准备的其他应收款：</w:t>
      </w:r>
    </w:p>
    <w:p>
      <w:pPr>
        <w:pStyle w:val="BodyText"/>
        <w:spacing w:line="203" w:lineRule="exact"/>
        <w:ind w:right="0"/>
        <w:jc w:val="left"/>
      </w:pPr>
      <w:r>
        <w:rPr/>
        <w:t>√ 适用 □ 不适用</w:t>
      </w:r>
    </w:p>
    <w:p>
      <w:pPr>
        <w:spacing w:after="0" w:line="203" w:lineRule="exact"/>
        <w:jc w:val="left"/>
        <w:sectPr>
          <w:pgSz w:w="11910" w:h="16840"/>
          <w:pgMar w:header="0"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5,798,791.15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289,939.56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3,943,859.95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394,386.00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397,926.82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119,378.05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1,177,833.58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1,177,833.58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506,655.23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506,655.23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2,230,578.73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2,230,578.73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14,055,645.46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4,718,771.15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33.57%</w:t>
            </w:r>
          </w:p>
        </w:tc>
      </w:tr>
    </w:tbl>
    <w:p>
      <w:pPr>
        <w:spacing w:line="240" w:lineRule="auto" w:before="9"/>
        <w:rPr>
          <w:rFonts w:ascii="宋体" w:hAnsi="宋体" w:cs="宋体" w:eastAsia="宋体" w:hint="default"/>
          <w:sz w:val="6"/>
          <w:szCs w:val="6"/>
        </w:rPr>
      </w:pPr>
    </w:p>
    <w:p>
      <w:pPr>
        <w:pStyle w:val="BodyText"/>
        <w:spacing w:line="439" w:lineRule="auto" w:before="44"/>
        <w:ind w:right="6252"/>
        <w:jc w:val="left"/>
      </w:pPr>
      <w:r>
        <w:rPr/>
        <w:t>确定该组合依据的说明： 组合中，采用余额百分比法计提坏账准备的其他应收款：</w:t>
      </w:r>
    </w:p>
    <w:p>
      <w:pPr>
        <w:pStyle w:val="BodyText"/>
        <w:spacing w:line="203" w:lineRule="exact"/>
        <w:ind w:right="0"/>
        <w:jc w:val="left"/>
      </w:pPr>
      <w:r>
        <w:rPr/>
        <w:t>□ 适用 √ 不适用</w:t>
      </w:r>
    </w:p>
    <w:p>
      <w:pPr>
        <w:spacing w:line="240" w:lineRule="auto" w:before="12"/>
        <w:rPr>
          <w:rFonts w:ascii="宋体" w:hAnsi="宋体" w:cs="宋体" w:eastAsia="宋体" w:hint="default"/>
          <w:sz w:val="14"/>
          <w:szCs w:val="14"/>
        </w:rPr>
      </w:pPr>
    </w:p>
    <w:p>
      <w:pPr>
        <w:pStyle w:val="BodyText"/>
        <w:spacing w:line="240" w:lineRule="auto"/>
        <w:ind w:right="0"/>
        <w:jc w:val="left"/>
      </w:pPr>
      <w:r>
        <w:rPr/>
        <w:t>组合中，采用其他方法计提坏账准备的其他应收款：</w:t>
      </w:r>
    </w:p>
    <w:p>
      <w:pPr>
        <w:pStyle w:val="BodyText"/>
        <w:spacing w:line="360" w:lineRule="auto" w:before="117"/>
        <w:ind w:left="1493" w:right="3733" w:hanging="360"/>
        <w:jc w:val="left"/>
      </w:pPr>
      <w:r>
        <w:rPr/>
        <w:t>√ 适用 □ 不适用 其他应收款中，对合并范围内的子公司的款项</w:t>
      </w:r>
      <w:r>
        <w:rPr>
          <w:rFonts w:ascii="宋体" w:hAnsi="宋体" w:cs="宋体" w:eastAsia="宋体" w:hint="default"/>
        </w:rPr>
        <w:t>165,654,315.79</w:t>
      </w:r>
      <w:r>
        <w:rPr/>
        <w:t>元，不计提坏账准备。</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2）本期计提、收回或转回的坏账准备情况" w:id="365"/>
      <w:bookmarkEnd w:id="36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本期计提坏账准备金额</w:t>
      </w:r>
      <w:r>
        <w:rPr>
          <w:spacing w:val="-46"/>
        </w:rPr>
        <w:t> </w:t>
      </w:r>
      <w:r>
        <w:rPr>
          <w:rFonts w:ascii="宋体" w:hAnsi="宋体" w:cs="宋体" w:eastAsia="宋体" w:hint="default"/>
        </w:rPr>
        <w:t>1,742,753.16</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其他应收款按款项性质分类情况" w:id="366"/>
      <w:bookmarkEnd w:id="366"/>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8,995,195.12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9,704,667.10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896,700.67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1,000,037.02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对子公司的借款和其他应收款项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165,654,315.79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145,442,136.42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294,293.00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515,957.14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3,869,456.67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2,308,896.26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179,709,961.25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158,971,693.94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67"/>
      <w:bookmarkEnd w:id="367"/>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65" w:type="dxa"/>
        <w:tblLayout w:type="fixed"/>
        <w:tblCellMar>
          <w:top w:w="0" w:type="dxa"/>
          <w:left w:w="0" w:type="dxa"/>
          <w:bottom w:w="0" w:type="dxa"/>
          <w:right w:w="0" w:type="dxa"/>
        </w:tblCellMar>
        <w:tblLook w:val="01E0"/>
      </w:tblPr>
      <w:tblGrid>
        <w:gridCol w:w="2232"/>
        <w:gridCol w:w="1204"/>
        <w:gridCol w:w="1342"/>
        <w:gridCol w:w="2158"/>
        <w:gridCol w:w="1443"/>
        <w:gridCol w:w="1189"/>
      </w:tblGrid>
      <w:tr>
        <w:trPr>
          <w:trHeight w:val="1026"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9" w:right="48"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bl>
    <w:p>
      <w:pPr>
        <w:spacing w:after="0" w:line="319"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65" w:type="dxa"/>
        <w:tblLayout w:type="fixed"/>
        <w:tblCellMar>
          <w:top w:w="0" w:type="dxa"/>
          <w:left w:w="0" w:type="dxa"/>
          <w:bottom w:w="0" w:type="dxa"/>
          <w:right w:w="0" w:type="dxa"/>
        </w:tblCellMar>
        <w:tblLook w:val="01E0"/>
      </w:tblPr>
      <w:tblGrid>
        <w:gridCol w:w="2232"/>
        <w:gridCol w:w="1204"/>
        <w:gridCol w:w="1342"/>
        <w:gridCol w:w="2158"/>
        <w:gridCol w:w="468"/>
        <w:gridCol w:w="975"/>
        <w:gridCol w:w="1189"/>
      </w:tblGrid>
      <w:tr>
        <w:trPr>
          <w:trHeight w:val="133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9"/>
              <w:jc w:val="left"/>
              <w:rPr>
                <w:rFonts w:ascii="宋体" w:hAnsi="宋体" w:cs="宋体" w:eastAsia="宋体" w:hint="default"/>
                <w:sz w:val="18"/>
                <w:szCs w:val="18"/>
              </w:rPr>
            </w:pPr>
            <w:r>
              <w:rPr>
                <w:rFonts w:ascii="宋体" w:hAnsi="宋体" w:cs="宋体" w:eastAsia="宋体" w:hint="default"/>
                <w:sz w:val="18"/>
                <w:szCs w:val="18"/>
              </w:rPr>
              <w:t>对子公司的借 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165,603,982.00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9"/>
                <w:sz w:val="18"/>
                <w:szCs w:val="18"/>
              </w:rPr>
              <w:t> </w:t>
            </w:r>
            <w:r>
              <w:rPr>
                <w:rFonts w:ascii="宋体" w:hAnsi="宋体" w:cs="宋体" w:eastAsia="宋体" w:hint="default"/>
                <w:sz w:val="18"/>
                <w:szCs w:val="18"/>
              </w:rPr>
              <w:t>年以内：</w:t>
            </w:r>
            <w:r>
              <w:rPr>
                <w:rFonts w:ascii="宋体" w:hAnsi="宋体" w:cs="宋体" w:eastAsia="宋体" w:hint="default"/>
                <w:sz w:val="18"/>
                <w:szCs w:val="18"/>
              </w:rPr>
              <w:t>47,507,573.31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59,235,677.02</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11,103,497.43</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47,757,234.24</w:t>
            </w:r>
          </w:p>
        </w:tc>
        <w:tc>
          <w:tcPr>
            <w:tcW w:w="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5" w:right="0"/>
              <w:jc w:val="left"/>
              <w:rPr>
                <w:rFonts w:ascii="宋体" w:hAnsi="宋体" w:cs="宋体" w:eastAsia="宋体" w:hint="default"/>
                <w:sz w:val="18"/>
                <w:szCs w:val="18"/>
              </w:rPr>
            </w:pPr>
            <w:r>
              <w:rPr>
                <w:rFonts w:ascii="宋体"/>
                <w:sz w:val="18"/>
              </w:rPr>
              <w:t>92.15%</w:t>
            </w: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上海市电化教育馆</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1,069,200.00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1,069,200.00</w:t>
            </w: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106,920.00</w:t>
            </w:r>
          </w:p>
        </w:tc>
      </w:tr>
      <w:tr>
        <w:trPr>
          <w:trHeight w:val="71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中国农业银行股份有限公司 吉林省分行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1,043,232.90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321,030.95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722,201.95</w:t>
            </w: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88,271.74</w:t>
            </w:r>
          </w:p>
        </w:tc>
      </w:tr>
      <w:tr>
        <w:trPr>
          <w:trHeight w:val="71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深圳市国乾科技有限公司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对非关联公司 的应收款项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964,444.46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964,444.46</w:t>
            </w: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964,444.46</w:t>
            </w:r>
          </w:p>
        </w:tc>
      </w:tr>
      <w:tr>
        <w:trPr>
          <w:trHeight w:val="71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洪泽县广电有线信息网络有 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648,680.00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648,680.00</w:t>
            </w: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0.36%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64,868.00</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169,329,539.36</w:t>
            </w:r>
          </w:p>
        </w:tc>
        <w:tc>
          <w:tcPr>
            <w:tcW w:w="2158" w:type="dxa"/>
            <w:tcBorders>
              <w:top w:val="single" w:sz="4" w:space="0" w:color="000000"/>
              <w:left w:val="single" w:sz="4" w:space="0" w:color="000000"/>
              <w:bottom w:val="single" w:sz="4" w:space="0" w:color="000000"/>
              <w:right w:val="single" w:sz="4" w:space="0" w:color="000000"/>
            </w:tcBorders>
          </w:tcPr>
          <w:p>
            <w:pP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9" w:right="0"/>
              <w:jc w:val="left"/>
              <w:rPr>
                <w:rFonts w:ascii="宋体" w:hAnsi="宋体" w:cs="宋体" w:eastAsia="宋体" w:hint="default"/>
                <w:sz w:val="18"/>
                <w:szCs w:val="18"/>
              </w:rPr>
            </w:pPr>
            <w:r>
              <w:rPr>
                <w:rFonts w:ascii="宋体"/>
                <w:sz w:val="18"/>
              </w:rPr>
              <w:t>94.22%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1,224,504.20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68"/>
      <w:bookmarkEnd w:id="368"/>
      <w:r>
        <w:rPr>
          <w:b w:val="0"/>
          <w:bCs w:val="0"/>
        </w:rPr>
      </w: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164,060,000.00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164,060,000.00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166,834,328.12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166,834,328.12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8,625,273.05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8,625,273.05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11,893,004.69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11,893,004.69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172,685,273.05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172,685,273.05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178,727,332.81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178,727,332.81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69"/>
      <w:bookmarkEnd w:id="369"/>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2"/>
        <w:gridCol w:w="1322"/>
        <w:gridCol w:w="798"/>
        <w:gridCol w:w="1260"/>
        <w:gridCol w:w="1385"/>
        <w:gridCol w:w="1583"/>
        <w:gridCol w:w="1525"/>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武汉天喻教育科技有 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武汉擎动网络科技有 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湖北百旺金赋科技有 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8,660,000.00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8,660,000.00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武汉天喻信通制卡有 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2,774,328.12</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2,774,328.12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7"/>
              <w:jc w:val="left"/>
              <w:rPr>
                <w:rFonts w:ascii="宋体" w:hAnsi="宋体" w:cs="宋体" w:eastAsia="宋体" w:hint="default"/>
                <w:sz w:val="18"/>
                <w:szCs w:val="18"/>
              </w:rPr>
            </w:pPr>
            <w:r>
              <w:rPr>
                <w:rFonts w:ascii="宋体" w:hAnsi="宋体" w:cs="宋体" w:eastAsia="宋体" w:hint="default"/>
                <w:sz w:val="18"/>
                <w:szCs w:val="18"/>
              </w:rPr>
              <w:t>武汉果核科技有限公 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武汉天喻聚联网络有 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702"/>
        <w:gridCol w:w="1322"/>
        <w:gridCol w:w="798"/>
        <w:gridCol w:w="1260"/>
        <w:gridCol w:w="1385"/>
        <w:gridCol w:w="1583"/>
        <w:gridCol w:w="1525"/>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湖北天喻教育研究院</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166,834,328.12</w:t>
            </w:r>
          </w:p>
        </w:tc>
        <w:tc>
          <w:tcPr>
            <w:tcW w:w="79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宋体" w:hAnsi="宋体" w:cs="宋体" w:eastAsia="宋体" w:hint="default"/>
                <w:sz w:val="18"/>
                <w:szCs w:val="18"/>
              </w:rPr>
            </w:pPr>
            <w:r>
              <w:rPr>
                <w:rFonts w:ascii="宋体"/>
                <w:sz w:val="18"/>
              </w:rPr>
              <w:t>2,774,328.12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164,060,000.00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70"/>
      <w:bookmarkEnd w:id="370"/>
      <w:r>
        <w:rPr>
          <w:b w:val="0"/>
          <w:bCs w:val="0"/>
        </w:rPr>
      </w:r>
      <w:r>
        <w:rPr/>
        <w:t>（</w:t>
      </w:r>
      <w:r>
        <w:rPr>
          <w:rFonts w:ascii="宋体" w:hAnsi="宋体" w:cs="宋体" w:eastAsia="宋体" w:hint="default"/>
        </w:rPr>
        <w:t>2</w:t>
      </w:r>
      <w:r>
        <w:rPr/>
        <w:t>）对联营、合营企业投资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92" w:type="dxa"/>
        <w:tblLayout w:type="fixed"/>
        <w:tblCellMar>
          <w:top w:w="0" w:type="dxa"/>
          <w:left w:w="0" w:type="dxa"/>
          <w:bottom w:w="0" w:type="dxa"/>
          <w:right w:w="0" w:type="dxa"/>
        </w:tblCellMar>
        <w:tblLook w:val="01E0"/>
      </w:tblPr>
      <w:tblGrid>
        <w:gridCol w:w="1212"/>
        <w:gridCol w:w="1134"/>
        <w:gridCol w:w="698"/>
        <w:gridCol w:w="677"/>
        <w:gridCol w:w="1036"/>
        <w:gridCol w:w="709"/>
        <w:gridCol w:w="574"/>
        <w:gridCol w:w="986"/>
        <w:gridCol w:w="566"/>
        <w:gridCol w:w="366"/>
        <w:gridCol w:w="1008"/>
        <w:gridCol w:w="546"/>
      </w:tblGrid>
      <w:tr>
        <w:trPr>
          <w:trHeight w:val="402" w:hRule="exact"/>
        </w:trPr>
        <w:tc>
          <w:tcPr>
            <w:tcW w:w="12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1"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6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546" w:type="dxa"/>
            <w:vMerge w:val="restart"/>
            <w:tcBorders>
              <w:top w:val="single" w:sz="4" w:space="0" w:color="000000"/>
              <w:left w:val="single" w:sz="4" w:space="0" w:color="000000"/>
              <w:right w:val="single" w:sz="4" w:space="0" w:color="000000"/>
            </w:tcBorders>
          </w:tcPr>
          <w:p>
            <w:pPr>
              <w:pStyle w:val="TableParagraph"/>
              <w:spacing w:line="381" w:lineRule="auto" w:before="120"/>
              <w:ind w:left="42" w:right="42"/>
              <w:jc w:val="both"/>
              <w:rPr>
                <w:rFonts w:ascii="宋体" w:hAnsi="宋体" w:cs="宋体" w:eastAsia="宋体" w:hint="default"/>
                <w:sz w:val="15"/>
                <w:szCs w:val="15"/>
              </w:rPr>
            </w:pPr>
            <w:r>
              <w:rPr>
                <w:rFonts w:ascii="宋体" w:hAnsi="宋体" w:cs="宋体" w:eastAsia="宋体" w:hint="default"/>
                <w:sz w:val="15"/>
                <w:szCs w:val="15"/>
              </w:rPr>
              <w:t>减值准 备期末 余额</w:t>
            </w:r>
          </w:p>
        </w:tc>
      </w:tr>
      <w:tr>
        <w:trPr>
          <w:trHeight w:val="714" w:hRule="exact"/>
        </w:trPr>
        <w:tc>
          <w:tcPr>
            <w:tcW w:w="121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36" w:right="61" w:hanging="75"/>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49" w:right="48"/>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56" w:right="55"/>
              <w:jc w:val="left"/>
              <w:rPr>
                <w:rFonts w:ascii="宋体" w:hAnsi="宋体" w:cs="宋体" w:eastAsia="宋体" w:hint="default"/>
                <w:sz w:val="15"/>
                <w:szCs w:val="15"/>
              </w:rPr>
            </w:pPr>
            <w:r>
              <w:rPr>
                <w:rFonts w:ascii="宋体" w:hAnsi="宋体" w:cs="宋体" w:eastAsia="宋体" w:hint="default"/>
                <w:sz w:val="15"/>
                <w:szCs w:val="15"/>
              </w:rPr>
              <w:t>其他权 益变动</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11" w:right="36" w:hanging="75"/>
              <w:jc w:val="left"/>
              <w:rPr>
                <w:rFonts w:ascii="宋体" w:hAnsi="宋体" w:cs="宋体" w:eastAsia="宋体" w:hint="default"/>
                <w:sz w:val="15"/>
                <w:szCs w:val="15"/>
              </w:rPr>
            </w:pPr>
            <w:r>
              <w:rPr>
                <w:rFonts w:ascii="宋体" w:hAnsi="宋体" w:cs="宋体" w:eastAsia="宋体" w:hint="default"/>
                <w:sz w:val="15"/>
                <w:szCs w:val="15"/>
              </w:rPr>
              <w:t>宣告发放现金 股利或利润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52" w:right="53"/>
              <w:jc w:val="left"/>
              <w:rPr>
                <w:rFonts w:ascii="宋体" w:hAnsi="宋体" w:cs="宋体" w:eastAsia="宋体" w:hint="default"/>
                <w:sz w:val="15"/>
                <w:szCs w:val="15"/>
              </w:rPr>
            </w:pPr>
            <w:r>
              <w:rPr>
                <w:rFonts w:ascii="宋体" w:hAnsi="宋体" w:cs="宋体" w:eastAsia="宋体" w:hint="default"/>
                <w:sz w:val="15"/>
                <w:szCs w:val="15"/>
              </w:rPr>
              <w:t>计提减 值准备</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08"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r>
      <w:tr>
        <w:trPr>
          <w:trHeight w:val="402" w:hRule="exact"/>
        </w:trPr>
        <w:tc>
          <w:tcPr>
            <w:tcW w:w="95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武汉中天慧购电 商服务有限公司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1,453,829.86</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-1,110,252.76</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343,577.10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1,453,829.86</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-1,110,252.76</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343,577.10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福建中教网络教 育服务有限公司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2,283,332.45</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-1,125,471.39</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1,157,861.06</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武汉星合数媒科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4,600,567.28</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98,458.29</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4,699,025.57</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武汉国广天喻信 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3,555,275.10</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-1,130,465.78</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2,424,809.32</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10,439,174.83</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-2,157,478.88</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8,281,695.95</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11,893,004.69</w:t>
            </w:r>
          </w:p>
        </w:tc>
        <w:tc>
          <w:tcPr>
            <w:tcW w:w="69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-3,267,731.64</w:t>
            </w:r>
          </w:p>
        </w:tc>
        <w:tc>
          <w:tcPr>
            <w:tcW w:w="70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8,625,273.05</w:t>
            </w:r>
          </w:p>
        </w:tc>
        <w:tc>
          <w:tcPr>
            <w:tcW w:w="5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535" w:lineRule="auto" w:before="35"/>
        <w:ind w:right="8538"/>
        <w:jc w:val="left"/>
        <w:rPr>
          <w:b w:val="0"/>
          <w:bCs w:val="0"/>
        </w:rPr>
      </w:pPr>
      <w:bookmarkStart w:name="（3）其他说明" w:id="371"/>
      <w:bookmarkEnd w:id="371"/>
      <w:r>
        <w:rPr>
          <w:b w:val="0"/>
          <w:bCs w:val="0"/>
        </w:rPr>
      </w:r>
      <w:r>
        <w:rPr/>
        <w:t>（</w:t>
      </w:r>
      <w:r>
        <w:rPr>
          <w:rFonts w:ascii="宋体" w:hAnsi="宋体" w:cs="宋体" w:eastAsia="宋体" w:hint="default"/>
        </w:rPr>
        <w:t>3</w:t>
      </w:r>
      <w:r>
        <w:rPr/>
        <w:t>）其他说明</w:t>
      </w:r>
      <w:r>
        <w:rPr>
          <w:w w:val="99"/>
        </w:rPr>
        <w:t> </w:t>
      </w:r>
      <w:bookmarkStart w:name="4、营业收入和营业成本" w:id="372"/>
      <w:bookmarkEnd w:id="372"/>
      <w:r>
        <w:rPr>
          <w:w w:val="99"/>
        </w:rPr>
      </w:r>
      <w:r>
        <w:rPr>
          <w:rFonts w:ascii="宋体" w:hAnsi="宋体" w:cs="宋体" w:eastAsia="宋体" w:hint="default"/>
        </w:rPr>
        <w:t>4</w:t>
      </w:r>
      <w:r>
        <w:rPr/>
        <w:t>、营业收入和营业成本</w:t>
      </w:r>
      <w:r>
        <w:rPr>
          <w:b w:val="0"/>
          <w:bCs w:val="0"/>
        </w:rPr>
      </w:r>
    </w:p>
    <w:p>
      <w:pPr>
        <w:pStyle w:val="BodyText"/>
        <w:spacing w:line="240" w:lineRule="auto" w:before="105"/>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1,831,172,532.71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1,461,264,080.47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1,545,453,145.22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1,158,572,378.84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3,792,807.24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30,756.95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4,407,999.90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4,672.30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1,834,965,339.95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1,461,294,837.42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1,549,861,145.12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1,158,577,051.14</w:t>
            </w:r>
          </w:p>
        </w:tc>
      </w:tr>
    </w:tbl>
    <w:p>
      <w:pPr>
        <w:spacing w:after="0" w:line="240" w:lineRule="auto"/>
        <w:jc w:val="righ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投资收益" w:id="373"/>
      <w:bookmarkEnd w:id="373"/>
      <w:r>
        <w:rPr>
          <w:b w:val="0"/>
          <w:bCs w:val="0"/>
        </w:rPr>
      </w:r>
      <w:r>
        <w:rPr>
          <w:rFonts w:ascii="宋体" w:hAnsi="宋体" w:cs="宋体" w:eastAsia="宋体" w:hint="default"/>
        </w:rPr>
        <w:t>5</w:t>
      </w:r>
      <w:r>
        <w:rPr/>
        <w:t>、投资收益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-3,267,731.64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-5,827,583.28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-1,328,542.16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82,080.00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77,760.00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-4,514,193.80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-5,749,823.28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补充资料" w:id="374"/>
      <w:bookmarkEnd w:id="374"/>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375"/>
      <w:bookmarkEnd w:id="375"/>
      <w:r>
        <w:rPr>
          <w:b w:val="0"/>
          <w:bCs w:val="0"/>
        </w:rPr>
      </w: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3" w:right="0"/>
        <w:jc w:val="left"/>
      </w:pPr>
      <w:r>
        <w:rPr/>
        <w:t>√ 适用 □ 不适用</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1,241,739.79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22,302,769.57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202,796.45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3,231,106.59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816,202.48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19,699,996.74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376"/>
      <w:bookmarkEnd w:id="376"/>
      <w:r>
        <w:rPr>
          <w:b w:val="0"/>
          <w:bCs w:val="0"/>
        </w:rPr>
      </w: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tcPr>
          <w:p>
            <w:pPr/>
          </w:p>
        </w:tc>
        <w:tc>
          <w:tcPr>
            <w:tcW w:w="3081"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0.0525</w:t>
            </w:r>
          </w:p>
        </w:tc>
      </w:tr>
      <w:tr>
        <w:trPr>
          <w:trHeight w:val="71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0.0067</w:t>
            </w:r>
          </w:p>
        </w:tc>
      </w:tr>
    </w:tbl>
    <w:p>
      <w:pPr>
        <w:spacing w:after="0" w:line="240" w:lineRule="auto"/>
        <w:jc w:val="righ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境内外会计准则下会计数据差异" w:id="377"/>
      <w:bookmarkEnd w:id="377"/>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中国会计准则披露的财务报告中净利润和净资产差异情况" w:id="378"/>
      <w:bookmarkEnd w:id="378"/>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379"/>
      <w:bookmarkEnd w:id="379"/>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129" w:right="1130"/>
        <w:jc w:val="center"/>
        <w:rPr>
          <w:b w:val="0"/>
          <w:bCs w:val="0"/>
        </w:rPr>
      </w:pPr>
      <w:bookmarkStart w:name="第十二节 备查文件目录" w:id="380"/>
      <w:bookmarkEnd w:id="380"/>
      <w:r>
        <w:rPr>
          <w:b w:val="0"/>
          <w:bCs w:val="0"/>
        </w:rPr>
      </w:r>
      <w:bookmarkStart w:name="_bookmark11" w:id="381"/>
      <w:bookmarkEnd w:id="381"/>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3552"/>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57" w:lineRule="auto"/>
        <w:ind w:left="8253" w:right="1130"/>
        <w:jc w:val="center"/>
      </w:pPr>
      <w:r>
        <w:rPr/>
        <w:t>武汉天喻信息产业股份有限公司 董事长：张新访</w:t>
      </w:r>
    </w:p>
    <w:p>
      <w:pPr>
        <w:pStyle w:val="BodyText"/>
        <w:spacing w:line="240" w:lineRule="auto" w:before="29"/>
        <w:ind w:left="0" w:right="1319"/>
        <w:jc w:val="right"/>
      </w:pPr>
      <w:r>
        <w:rPr/>
        <w:t>二〇一八年三月二十八日</w:t>
      </w:r>
    </w:p>
    <w:sectPr>
      <w:pgSz w:w="11910" w:h="16840"/>
      <w:pgMar w:header="0"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568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5064" type="#_x0000_t75" stroked="false">
          <v:imagedata r:id="rId1" o:title=""/>
        </v:shape>
      </w:pict>
    </w:r>
    <w:r>
      <w:rPr/>
      <w:pict>
        <v:shape style="position:absolute;margin-left:291.200012pt;margin-top:781.957947pt;width:13pt;height:11pt;mso-position-horizontal-relative:page;mso-position-vertical-relative:page;z-index:-795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94992" type="#_x0000_t75" stroked="false">
          <v:imagedata r:id="rId1" o:title=""/>
        </v:shape>
      </w:pict>
    </w:r>
    <w:r>
      <w:rPr/>
      <w:pict>
        <v:shape style="position:absolute;margin-left:414.480011pt;margin-top:535.357971pt;width:13pt;height:11pt;mso-position-horizontal-relative:page;mso-position-vertical-relative:page;z-index:-794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4896" type="#_x0000_t75" stroked="false">
          <v:imagedata r:id="rId1" o:title=""/>
        </v:shape>
      </w:pict>
    </w:r>
    <w:r>
      <w:rPr/>
      <w:pict>
        <v:shape style="position:absolute;margin-left:291.200012pt;margin-top:781.957947pt;width:13pt;height:11pt;mso-position-horizontal-relative:page;mso-position-vertical-relative:page;z-index:-794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4848" type="#_x0000_t75" stroked="false">
          <v:imagedata r:id="rId1" o:title=""/>
        </v:shape>
      </w:pict>
    </w:r>
    <w:r>
      <w:rPr/>
      <w:pict>
        <v:shape style="position:absolute;margin-left:291.200012pt;margin-top:781.957947pt;width:13pt;height:11pt;mso-position-horizontal-relative:page;mso-position-vertical-relative:page;z-index:-794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4800" type="#_x0000_t75" stroked="false">
          <v:imagedata r:id="rId1" o:title=""/>
        </v:shape>
      </w:pict>
    </w:r>
    <w:r>
      <w:rPr/>
      <w:pict>
        <v:shape style="position:absolute;margin-left:291.200012pt;margin-top:781.957947pt;width:13pt;height:11pt;mso-position-horizontal-relative:page;mso-position-vertical-relative:page;z-index:-794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4752" type="#_x0000_t75" stroked="false">
          <v:imagedata r:id="rId1" o:title=""/>
        </v:shape>
      </w:pict>
    </w:r>
    <w:r>
      <w:rPr/>
      <w:pict>
        <v:shape style="position:absolute;margin-left:289.920013pt;margin-top:781.957947pt;width:15.5pt;height:11pt;mso-position-horizontal-relative:page;mso-position-vertical-relative:page;z-index:-7947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4704" type="#_x0000_t75" stroked="false">
          <v:imagedata r:id="rId1" o:title=""/>
        </v:shape>
      </w:pict>
    </w:r>
    <w:r>
      <w:rPr/>
      <w:pict>
        <v:shape style="position:absolute;margin-left:288.920013pt;margin-top:781.957947pt;width:17.5pt;height:11pt;mso-position-horizontal-relative:page;mso-position-vertical-relative:page;z-index:-794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4656" type="#_x0000_t75" stroked="false">
          <v:imagedata r:id="rId1" o:title=""/>
        </v:shape>
      </w:pict>
    </w:r>
    <w:r>
      <w:rPr/>
      <w:pict>
        <v:shape style="position:absolute;margin-left:288.920013pt;margin-top:781.957947pt;width:17.5pt;height:11pt;mso-position-horizontal-relative:page;mso-position-vertical-relative:page;z-index:-794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5616" type="#_x0000_t75" stroked="false">
          <v:imagedata r:id="rId1" o:title=""/>
        </v:shape>
      </w:pict>
    </w:r>
    <w:r>
      <w:rPr/>
      <w:pict>
        <v:shape style="position:absolute;margin-left:291.200012pt;margin-top:781.957947pt;width:13pt;height:11pt;mso-position-horizontal-relative:page;mso-position-vertical-relative:page;z-index:-795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95544" type="#_x0000_t75" stroked="false">
          <v:imagedata r:id="rId1" o:title=""/>
        </v:shape>
      </w:pict>
    </w:r>
    <w:r>
      <w:rPr/>
      <w:pict>
        <v:shape style="position:absolute;margin-left:414.480011pt;margin-top:535.357971pt;width:13pt;height:11pt;mso-position-horizontal-relative:page;mso-position-vertical-relative:page;z-index:-795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5448" type="#_x0000_t75" stroked="false">
          <v:imagedata r:id="rId1" o:title=""/>
        </v:shape>
      </w:pict>
    </w:r>
    <w:r>
      <w:rPr/>
      <w:pict>
        <v:shape style="position:absolute;margin-left:291.200012pt;margin-top:781.957947pt;width:13pt;height:11pt;mso-position-horizontal-relative:page;mso-position-vertical-relative:page;z-index:-795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95376" type="#_x0000_t75" stroked="false">
          <v:imagedata r:id="rId1" o:title=""/>
        </v:shape>
      </w:pict>
    </w:r>
    <w:r>
      <w:rPr/>
      <w:pict>
        <v:shape style="position:absolute;margin-left:414.480011pt;margin-top:535.357971pt;width:13pt;height:11pt;mso-position-horizontal-relative:page;mso-position-vertical-relative:page;z-index:-795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5280" type="#_x0000_t75" stroked="false">
          <v:imagedata r:id="rId1" o:title=""/>
        </v:shape>
      </w:pict>
    </w:r>
    <w:r>
      <w:rPr/>
      <w:pict>
        <v:shape style="position:absolute;margin-left:291.200012pt;margin-top:781.957947pt;width:13pt;height:11pt;mso-position-horizontal-relative:page;mso-position-vertical-relative:page;z-index:-795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95232" type="#_x0000_t75" stroked="false">
          <v:imagedata r:id="rId1" o:title=""/>
        </v:shape>
      </w:pict>
    </w:r>
    <w:r>
      <w:rPr/>
      <w:pict>
        <v:shape style="position:absolute;margin-left:291.200012pt;margin-top:781.957947pt;width:13pt;height:11pt;mso-position-horizontal-relative:page;mso-position-vertical-relative:page;z-index:-795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95160" type="#_x0000_t75" stroked="false">
          <v:imagedata r:id="rId1" o:title=""/>
        </v:shape>
      </w:pict>
    </w:r>
    <w:r>
      <w:rPr/>
      <w:pict>
        <v:shape style="position:absolute;margin-left:414.480011pt;margin-top:535.357971pt;width:13pt;height:11pt;mso-position-horizontal-relative:page;mso-position-vertical-relative:page;z-index:-795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956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160004pt;margin-top:42.865608pt;width:186.55pt;height:11.5pt;mso-position-horizontal-relative:page;mso-position-vertical-relative:page;z-index:-79564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949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9492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95568"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954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95472"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95400"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953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95304"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95184"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7951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795088"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795016" type="#_x0000_t202" filled="false" stroked="false">
          <v:textbox inset="0,0,0,0">
            <w:txbxContent>
              <w:p>
                <w:pPr>
                  <w:pStyle w:val="BodyText"/>
                  <w:spacing w:line="214" w:lineRule="exact"/>
                  <w:ind w:left="20" w:right="0"/>
                  <w:jc w:val="left"/>
                </w:pPr>
                <w:r>
                  <w:rPr/>
                  <w:t>武汉天喻信息产业股份有限公司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113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whty.com.cn/" TargetMode="External"/><Relationship Id="rId10" Type="http://schemas.openxmlformats.org/officeDocument/2006/relationships/hyperlink" Target="mailto:tyobd@whty.com.cn" TargetMode="External"/><Relationship Id="rId11" Type="http://schemas.openxmlformats.org/officeDocument/2006/relationships/hyperlink" Target="mailto:daih@whty.com.cn" TargetMode="External"/><Relationship Id="rId12" Type="http://schemas.openxmlformats.org/officeDocument/2006/relationships/hyperlink" Target="mailto:hej@whty.com.cn"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yperlink" Target="http://irm.cninfo.com.cn/ssessgs/S300205/index.html" TargetMode="Externa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image" Target="media/image3.png"/><Relationship Id="rId26" Type="http://schemas.openxmlformats.org/officeDocument/2006/relationships/footer" Target="footer8.xml"/><Relationship Id="rId27" Type="http://schemas.openxmlformats.org/officeDocument/2006/relationships/image" Target="media/image4.png"/><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header" Target="header9.xml"/><Relationship Id="rId33" Type="http://schemas.openxmlformats.org/officeDocument/2006/relationships/footer" Target="footer11.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1.xml"/><Relationship Id="rId41" Type="http://schemas.openxmlformats.org/officeDocument/2006/relationships/footer" Target="footer17.xml"/><Relationship Id="rId42"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武汉天喻信息产业股份有限公司</dc:creator>
  <dc:title>武汉天喻信息产业股份有限公司2017年年度报告全文</dc:title>
  <dcterms:created xsi:type="dcterms:W3CDTF">2020-05-03T00:13:20Z</dcterms:created>
  <dcterms:modified xsi:type="dcterms:W3CDTF">2020-05-03T00:13:20Z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Office Word 2007</vt:lpwstr>
  </property>
  <property fmtid="{D5CDD505-2E9C-101B-9397-08002B2CF9AE}" pid="4" name="LastSaved">
    <vt:filetime>2020-05-02T00:00:00Z</vt:filetime>
  </property>
</Properties>
</file>