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1724" w:right="3401" w:firstLine="0"/>
        <w:jc w:val="center"/>
        <w:rPr>
          <w:rFonts w:ascii="宋体" w:hAnsi="宋体" w:cs="宋体" w:eastAsia="宋体" w:hint="default"/>
          <w:sz w:val="36"/>
          <w:szCs w:val="36"/>
        </w:rPr>
      </w:pPr>
      <w:r>
        <w:rPr>
          <w:rFonts w:ascii="宋体" w:hAnsi="宋体" w:cs="宋体" w:eastAsia="宋体" w:hint="default"/>
          <w:b/>
          <w:bCs/>
          <w:sz w:val="36"/>
          <w:szCs w:val="36"/>
        </w:rPr>
        <w:t>武汉天喻信息产业股份有限公司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723" w:right="3401"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6"/>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line="696" w:lineRule="exact"/>
        <w:ind w:left="2188"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670975" cy="44196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70975" cy="441960"/>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40"/>
          <w:szCs w:val="40"/>
        </w:rPr>
      </w:pPr>
    </w:p>
    <w:p>
      <w:pPr>
        <w:spacing w:before="0"/>
        <w:ind w:left="1724" w:right="3400"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公司负责人张新访、主管会计工作负责人孙静及会计机构负责人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张艳菊声明：保证年度报告中财务报告的真实、准确、完整。</w:t>
      </w:r>
      <w:r>
        <w:rPr>
          <w:rFonts w:ascii="宋体" w:hAnsi="宋体" w:cs="宋体" w:eastAsia="宋体" w:hint="default"/>
          <w:sz w:val="28"/>
          <w:szCs w:val="28"/>
        </w:rPr>
      </w:r>
    </w:p>
    <w:p>
      <w:pPr>
        <w:spacing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218" w:type="dxa"/>
        <w:tblLayout w:type="fixed"/>
        <w:tblCellMar>
          <w:top w:w="0" w:type="dxa"/>
          <w:left w:w="0" w:type="dxa"/>
          <w:bottom w:w="0" w:type="dxa"/>
          <w:right w:w="0" w:type="dxa"/>
        </w:tblCellMar>
        <w:tblLook w:val="01E0"/>
      </w:tblPr>
      <w:tblGrid>
        <w:gridCol w:w="2866"/>
        <w:gridCol w:w="2211"/>
        <w:gridCol w:w="2212"/>
        <w:gridCol w:w="2210"/>
      </w:tblGrid>
      <w:tr>
        <w:trPr>
          <w:trHeight w:val="40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吴俊军</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张新访</w:t>
            </w:r>
          </w:p>
        </w:tc>
      </w:tr>
    </w:tbl>
    <w:p>
      <w:pPr>
        <w:spacing w:line="240" w:lineRule="auto" w:before="2"/>
        <w:rPr>
          <w:rFonts w:ascii="宋体" w:hAnsi="宋体" w:cs="宋体" w:eastAsia="宋体" w:hint="default"/>
          <w:b/>
          <w:bCs/>
          <w:sz w:val="13"/>
          <w:szCs w:val="13"/>
        </w:rPr>
      </w:pPr>
    </w:p>
    <w:p>
      <w:pPr>
        <w:spacing w:line="408" w:lineRule="auto" w:before="13"/>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本报告所涉及的公司发展战略、经营计划等前瞻性陈述，不构成公司对投</w:t>
      </w:r>
      <w:r>
        <w:rPr>
          <w:rFonts w:ascii="宋体" w:hAnsi="宋体" w:cs="宋体" w:eastAsia="宋体" w:hint="default"/>
          <w:b/>
          <w:bCs/>
          <w:w w:val="99"/>
          <w:sz w:val="28"/>
          <w:szCs w:val="28"/>
        </w:rPr>
        <w:t> </w:t>
      </w:r>
      <w:r>
        <w:rPr>
          <w:rFonts w:ascii="宋体" w:hAnsi="宋体" w:cs="宋体" w:eastAsia="宋体" w:hint="default"/>
          <w:b/>
          <w:bCs/>
          <w:sz w:val="28"/>
          <w:szCs w:val="28"/>
        </w:rPr>
        <w:t>资者及相关人士的实质承诺，敬请投资者注意投资风险。</w:t>
      </w:r>
      <w:r>
        <w:rPr>
          <w:rFonts w:ascii="宋体" w:hAnsi="宋体" w:cs="宋体" w:eastAsia="宋体" w:hint="default"/>
          <w:sz w:val="28"/>
          <w:szCs w:val="28"/>
        </w:rPr>
      </w:r>
    </w:p>
    <w:p>
      <w:pPr>
        <w:spacing w:line="408" w:lineRule="auto" w:before="160"/>
        <w:ind w:left="154" w:right="1136" w:firstLine="562"/>
        <w:jc w:val="both"/>
        <w:rPr>
          <w:rFonts w:ascii="宋体" w:hAnsi="宋体" w:cs="宋体" w:eastAsia="宋体" w:hint="default"/>
          <w:sz w:val="28"/>
          <w:szCs w:val="28"/>
        </w:rPr>
      </w:pPr>
      <w:r>
        <w:rPr>
          <w:rFonts w:ascii="宋体" w:hAnsi="宋体" w:cs="宋体" w:eastAsia="宋体" w:hint="default"/>
          <w:b/>
          <w:bCs/>
          <w:sz w:val="28"/>
          <w:szCs w:val="28"/>
        </w:rPr>
        <w:t>2019</w:t>
      </w:r>
      <w:r>
        <w:rPr>
          <w:rFonts w:ascii="宋体" w:hAnsi="宋体" w:cs="宋体" w:eastAsia="宋体" w:hint="default"/>
          <w:b/>
          <w:bCs/>
          <w:spacing w:val="-85"/>
          <w:sz w:val="28"/>
          <w:szCs w:val="28"/>
        </w:rPr>
        <w:t> </w:t>
      </w:r>
      <w:r>
        <w:rPr>
          <w:rFonts w:ascii="宋体" w:hAnsi="宋体" w:cs="宋体" w:eastAsia="宋体" w:hint="default"/>
          <w:b/>
          <w:bCs/>
          <w:sz w:val="28"/>
          <w:szCs w:val="28"/>
        </w:rPr>
        <w:t>年公司主要存在对公司收入、利润贡献较大的金融终端业务以及公司</w:t>
      </w:r>
      <w:r>
        <w:rPr>
          <w:rFonts w:ascii="宋体" w:hAnsi="宋体" w:cs="宋体" w:eastAsia="宋体" w:hint="default"/>
          <w:b/>
          <w:bCs/>
          <w:w w:val="99"/>
          <w:sz w:val="28"/>
          <w:szCs w:val="28"/>
        </w:rPr>
        <w:t> </w:t>
      </w:r>
      <w:r>
        <w:rPr>
          <w:rFonts w:ascii="宋体" w:hAnsi="宋体" w:cs="宋体" w:eastAsia="宋体" w:hint="default"/>
          <w:b/>
          <w:bCs/>
          <w:spacing w:val="-3"/>
          <w:sz w:val="28"/>
          <w:szCs w:val="28"/>
        </w:rPr>
        <w:t>核心战略业务方向智慧教育业务业绩不达预期，金融</w:t>
      </w:r>
      <w:r>
        <w:rPr>
          <w:rFonts w:ascii="宋体" w:hAnsi="宋体" w:cs="宋体" w:eastAsia="宋体" w:hint="default"/>
          <w:b/>
          <w:bCs/>
          <w:spacing w:val="-75"/>
          <w:sz w:val="28"/>
          <w:szCs w:val="28"/>
        </w:rPr>
        <w:t> </w:t>
      </w:r>
      <w:r>
        <w:rPr>
          <w:rFonts w:ascii="宋体" w:hAnsi="宋体" w:cs="宋体" w:eastAsia="宋体" w:hint="default"/>
          <w:b/>
          <w:bCs/>
          <w:sz w:val="28"/>
          <w:szCs w:val="28"/>
        </w:rPr>
        <w:t>IC</w:t>
      </w:r>
      <w:r>
        <w:rPr>
          <w:rFonts w:ascii="宋体" w:hAnsi="宋体" w:cs="宋体" w:eastAsia="宋体" w:hint="default"/>
          <w:b/>
          <w:bCs/>
          <w:spacing w:val="-82"/>
          <w:sz w:val="28"/>
          <w:szCs w:val="28"/>
        </w:rPr>
        <w:t> </w:t>
      </w:r>
      <w:r>
        <w:rPr>
          <w:rFonts w:ascii="宋体" w:hAnsi="宋体" w:cs="宋体" w:eastAsia="宋体" w:hint="default"/>
          <w:b/>
          <w:bCs/>
          <w:sz w:val="28"/>
          <w:szCs w:val="28"/>
        </w:rPr>
        <w:t>卡产品售价和销量继续</w:t>
      </w:r>
      <w:r>
        <w:rPr>
          <w:rFonts w:ascii="宋体" w:hAnsi="宋体" w:cs="宋体" w:eastAsia="宋体" w:hint="default"/>
          <w:b/>
          <w:bCs/>
          <w:w w:val="99"/>
          <w:sz w:val="28"/>
          <w:szCs w:val="28"/>
        </w:rPr>
        <w:t> </w:t>
      </w:r>
      <w:r>
        <w:rPr>
          <w:rFonts w:ascii="宋体" w:hAnsi="宋体" w:cs="宋体" w:eastAsia="宋体" w:hint="default"/>
          <w:b/>
          <w:bCs/>
          <w:sz w:val="28"/>
          <w:szCs w:val="28"/>
        </w:rPr>
        <w:t>下滑，从而影响公司整体经营业绩的风险。</w:t>
      </w:r>
      <w:r>
        <w:rPr>
          <w:rFonts w:ascii="宋体" w:hAnsi="宋体" w:cs="宋体" w:eastAsia="宋体" w:hint="default"/>
          <w:sz w:val="28"/>
          <w:szCs w:val="28"/>
        </w:rPr>
      </w:r>
    </w:p>
    <w:p>
      <w:pPr>
        <w:spacing w:before="161"/>
        <w:ind w:left="716"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96"/>
          <w:sz w:val="28"/>
          <w:szCs w:val="28"/>
        </w:rPr>
        <w:t> </w:t>
      </w:r>
      <w:r>
        <w:rPr>
          <w:rFonts w:ascii="宋体" w:hAnsi="宋体" w:cs="宋体" w:eastAsia="宋体" w:hint="default"/>
          <w:b/>
          <w:bCs/>
          <w:spacing w:val="1"/>
          <w:w w:val="99"/>
          <w:sz w:val="28"/>
          <w:szCs w:val="28"/>
        </w:rPr>
        <w:t>430</w:t>
      </w:r>
      <w:r>
        <w:rPr>
          <w:rFonts w:ascii="宋体" w:hAnsi="宋体" w:cs="宋体" w:eastAsia="宋体" w:hint="default"/>
          <w:b/>
          <w:bCs/>
          <w:w w:val="99"/>
          <w:sz w:val="28"/>
          <w:szCs w:val="28"/>
        </w:rPr>
        <w:t>,0</w:t>
      </w:r>
      <w:r>
        <w:rPr>
          <w:rFonts w:ascii="宋体" w:hAnsi="宋体" w:cs="宋体" w:eastAsia="宋体" w:hint="default"/>
          <w:b/>
          <w:bCs/>
          <w:spacing w:val="1"/>
          <w:w w:val="99"/>
          <w:sz w:val="28"/>
          <w:szCs w:val="28"/>
        </w:rPr>
        <w:t>56</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0</w:t>
      </w:r>
      <w:r>
        <w:rPr>
          <w:rFonts w:ascii="宋体" w:hAnsi="宋体" w:cs="宋体" w:eastAsia="宋体" w:hint="default"/>
          <w:b/>
          <w:bCs/>
          <w:spacing w:val="1"/>
          <w:w w:val="99"/>
          <w:sz w:val="28"/>
          <w:szCs w:val="28"/>
        </w:rPr>
        <w:t>0</w:t>
      </w:r>
      <w:r>
        <w:rPr>
          <w:rFonts w:ascii="宋体" w:hAnsi="宋体" w:cs="宋体" w:eastAsia="宋体" w:hint="default"/>
          <w:b/>
          <w:bCs/>
          <w:w w:val="99"/>
          <w:sz w:val="28"/>
          <w:szCs w:val="28"/>
        </w:rPr>
        <w:t>0</w:t>
      </w:r>
      <w:r>
        <w:rPr>
          <w:rFonts w:ascii="宋体" w:hAnsi="宋体" w:cs="宋体" w:eastAsia="宋体" w:hint="default"/>
          <w:b/>
          <w:bCs/>
          <w:spacing w:val="-99"/>
          <w:sz w:val="28"/>
          <w:szCs w:val="28"/>
        </w:rPr>
        <w:t> </w:t>
      </w:r>
      <w:r>
        <w:rPr>
          <w:rFonts w:ascii="宋体" w:hAnsi="宋体" w:cs="宋体" w:eastAsia="宋体" w:hint="default"/>
          <w:b/>
          <w:bCs/>
          <w:w w:val="99"/>
          <w:sz w:val="28"/>
          <w:szCs w:val="28"/>
        </w:rPr>
        <w:t>股为基数，</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70"/>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宋体" w:hAnsi="宋体" w:cs="宋体" w:eastAsia="宋体" w:hint="default"/>
          <w:b/>
          <w:bCs/>
          <w:w w:val="99"/>
          <w:sz w:val="28"/>
          <w:szCs w:val="28"/>
        </w:rPr>
        <w:t>1</w:t>
      </w:r>
      <w:r>
        <w:rPr>
          <w:rFonts w:ascii="宋体" w:hAnsi="宋体" w:cs="宋体" w:eastAsia="宋体" w:hint="default"/>
          <w:b/>
          <w:bCs/>
          <w:spacing w:val="-70"/>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77" w:footer="1187" w:top="1100" w:bottom="138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495" w:right="14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45</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46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53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59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153</w:t>
            </w:r>
            <w:r>
              <w:rPr>
                <w:rFonts w:ascii="宋体" w:hAnsi="宋体" w:cs="宋体" w:eastAsia="宋体" w:hint="default"/>
                <w:b w:val="0"/>
                <w:bCs w:val="0"/>
              </w:rPr>
            </w:r>
          </w:hyperlink>
        </w:p>
        <w:p>
          <w:pPr/>
          <w:r>
            <w:fldChar w:fldCharType="end"/>
          </w:r>
        </w:p>
      </w:sdtContent>
    </w:sdt>
    <w:p>
      <w:pPr>
        <w:spacing w:after="0"/>
        <w:sectPr>
          <w:pgSz w:w="11910" w:h="16840"/>
          <w:pgMar w:header="877" w:footer="1187" w:top="1100" w:bottom="1380" w:left="980" w:right="0"/>
        </w:sectPr>
      </w:pPr>
    </w:p>
    <w:p>
      <w:pPr>
        <w:spacing w:before="893"/>
        <w:ind w:left="495" w:right="147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709"/>
        <w:gridCol w:w="6308"/>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公司、本公司、天喻信息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天喻教育</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百望信息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擎动网络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聚联网络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果核科技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现代教育</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山东天喻爱书人现代教育科技有限公司（原山东爱书人现代教育科技有限公司）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鱼渔课堂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武汉鱼渔课堂教育科技有限公司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易考乐学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深圳市易考乐学测评有限公司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无锡尚蠡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无锡尚蠡信息科技有限公司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河南喻周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河南喻周教育科技有限公司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聚联智慧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河南聚联智慧大数据科技有限公司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上海天喻云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上海天喻云企业发展有限公司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韦尔股份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上海韦尔半导体股份有限公司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武信天喻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武汉武信天喻科技投资有限公司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兴华教投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湖北兴华教投信息技术有限公司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产业集团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光谷基金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武汉光谷创业投资基金有限公司（原武汉光谷风险投资基金有限公司）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和瑞投资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武汉和瑞投资有限公司（原湖北和瑞投资有限公司）</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三通两平台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国家教育信息化目标。三通：宽带网络校校通、优质资源班班通、网络学习空间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人人通，两平台：教育资源公共服务平台、教育管理公共服务平台</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教育云平台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国家教育信息化规划内的、以云技术为支撑的国家及地方教育资源公共服务平台</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天喻信息</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300205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天喻信息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Wuhan Tianyu Information Industry Co., 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Tianyu Information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430223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430223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9">
              <w:r>
                <w:rPr>
                  <w:rFonts w:ascii="宋体"/>
                  <w:sz w:val="18"/>
                </w:rPr>
                <w:t>www.whty.com.cn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10">
              <w:r>
                <w:rPr>
                  <w:rFonts w:ascii="宋体"/>
                  <w:sz w:val="18"/>
                </w:rPr>
                <w:t>tyobd@whty.com.cn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60"/>
        <w:gridCol w:w="3970"/>
        <w:gridCol w:w="4040"/>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代恒</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何娟</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daih@whty.com.cn</w:t>
              </w:r>
            </w:hyperlink>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hyperlink r:id="rId12">
              <w:r>
                <w:rPr>
                  <w:rFonts w:ascii="宋体"/>
                  <w:sz w:val="18"/>
                </w:rPr>
                <w:t>hej@whty.com.cn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3">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湖北省武汉市武昌区东湖路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吴杰、聂慧蓉</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公司聘请的报告期内履行持续督导职责的保荐机构</w:t>
      </w:r>
    </w:p>
    <w:p>
      <w:pPr>
        <w:pStyle w:val="BodyText"/>
        <w:spacing w:line="439" w:lineRule="auto" w:before="117"/>
        <w:ind w:right="6792"/>
        <w:jc w:val="left"/>
      </w:pPr>
      <w:r>
        <w:rPr/>
        <w:t>□ 适用 √ 不适用 公司聘请的报告期内履行持续督导职责的财务顾问</w:t>
      </w:r>
    </w:p>
    <w:p>
      <w:pPr>
        <w:pStyle w:val="BodyText"/>
        <w:spacing w:line="203" w:lineRule="exact"/>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t>□ 是 √ 否</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015"/>
        <w:gridCol w:w="1616"/>
        <w:gridCol w:w="1609"/>
        <w:gridCol w:w="1737"/>
        <w:gridCol w:w="1736"/>
      </w:tblGrid>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2,396,986,879.64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1,936,070,390.59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1,627,326,894.26</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101,022,715.51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22,596,900.58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19,849,784.44</w:t>
            </w:r>
          </w:p>
        </w:tc>
      </w:tr>
      <w:tr>
        <w:trPr>
          <w:trHeight w:val="71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73,178,457.68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2,896,903.84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2426.09%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2,172,884.77</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-11,194,290.75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186,347,367.38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80,588,952.44</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0.2349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0.0525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0.0462</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0.2349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0.0525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0.0462</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6.14</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2,096,399,122.52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1,835,218,244.77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1,660,173,620.22</w:t>
            </w:r>
          </w:p>
        </w:tc>
      </w:tr>
      <w:tr>
        <w:trPr>
          <w:trHeight w:val="40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1,271,684,483.94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1,226,699,700.92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1,108,653,914.45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8"/>
        <w:gridCol w:w="1701"/>
        <w:gridCol w:w="1702"/>
        <w:gridCol w:w="1559"/>
        <w:gridCol w:w="1735"/>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451,388,641.52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725,888,583.82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447,133,261.26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772,576,393.04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10,449,860.32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50,592,789.84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15,047,027.88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24,933,037.47</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8,436,017.18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50,554,259.75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8,587,733.61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5,600,447.14</w:t>
            </w:r>
          </w:p>
        </w:tc>
      </w:tr>
      <w:tr>
        <w:trPr>
          <w:trHeight w:val="40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-123,355,404.90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-104,619,151.05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-8,018,290.17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224,798,555.37</w:t>
            </w:r>
          </w:p>
        </w:tc>
      </w:tr>
    </w:tbl>
    <w:p>
      <w:pPr>
        <w:spacing w:line="240" w:lineRule="auto" w:before="8"/>
        <w:rPr>
          <w:rFonts w:ascii="宋体" w:hAnsi="宋体" w:cs="宋体" w:eastAsia="宋体" w:hint="default"/>
          <w:sz w:val="6"/>
          <w:szCs w:val="6"/>
        </w:rPr>
      </w:pPr>
    </w:p>
    <w:p>
      <w:pPr>
        <w:pStyle w:val="BodyText"/>
        <w:spacing w:line="319" w:lineRule="auto" w:before="44"/>
        <w:ind w:right="1123" w:firstLine="360"/>
        <w:jc w:val="left"/>
      </w:pPr>
      <w:r>
        <w:rPr>
          <w:spacing w:val="-3"/>
        </w:rPr>
        <w:t>报告期内，公司第二季度营业收入、归属于上市公司股东的净利润较高，主要由于受市场需求变化影响，第二季度</w:t>
      </w:r>
      <w:r>
        <w:rPr>
          <w:spacing w:val="-31"/>
        </w:rPr>
        <w:t> </w:t>
      </w:r>
      <w:r>
        <w:rPr>
          <w:rFonts w:ascii="宋体" w:hAnsi="宋体" w:cs="宋体" w:eastAsia="宋体" w:hint="default"/>
        </w:rPr>
        <w:t>mPOS </w:t>
      </w:r>
      <w:r>
        <w:rPr/>
        <w:t>产品销量大幅增加。</w:t>
      </w:r>
    </w:p>
    <w:p>
      <w:pPr>
        <w:pStyle w:val="BodyText"/>
        <w:spacing w:line="240" w:lineRule="auto" w:before="55"/>
        <w:ind w:left="514" w:right="0"/>
        <w:jc w:val="left"/>
      </w:pPr>
      <w:r>
        <w:rPr>
          <w:spacing w:val="-3"/>
        </w:rPr>
        <w:t>报告期内，公司第四季度营业收入较高，主要由于传统</w:t>
      </w:r>
      <w:r>
        <w:rPr>
          <w:spacing w:val="-51"/>
        </w:rPr>
        <w:t> </w:t>
      </w:r>
      <w:r>
        <w:rPr>
          <w:rFonts w:ascii="宋体" w:hAnsi="宋体" w:cs="宋体" w:eastAsia="宋体" w:hint="default"/>
        </w:rPr>
        <w:t>POS</w:t>
      </w:r>
      <w:r>
        <w:rPr>
          <w:rFonts w:ascii="宋体" w:hAnsi="宋体" w:cs="宋体" w:eastAsia="宋体" w:hint="default"/>
          <w:spacing w:val="-52"/>
        </w:rPr>
        <w:t> </w:t>
      </w:r>
      <w:r>
        <w:rPr/>
        <w:t>产品销量大幅增加，而归属于上市公司股东的净利润相对偏</w:t>
      </w:r>
    </w:p>
    <w:p>
      <w:pPr>
        <w:spacing w:after="0" w:line="240" w:lineRule="auto"/>
        <w:jc w:val="left"/>
        <w:sectPr>
          <w:footerReference w:type="default" r:id="rId14"/>
          <w:pgSz w:w="11910" w:h="16840"/>
          <w:pgMar w:footer="1187" w:header="877" w:top="1100" w:bottom="1380" w:left="980" w:right="0"/>
          <w:pgNumType w:start="6"/>
        </w:sectPr>
      </w:pPr>
    </w:p>
    <w:p>
      <w:pPr>
        <w:spacing w:line="240" w:lineRule="auto" w:before="13"/>
        <w:rPr>
          <w:rFonts w:ascii="宋体" w:hAnsi="宋体" w:cs="宋体" w:eastAsia="宋体" w:hint="default"/>
          <w:sz w:val="21"/>
          <w:szCs w:val="21"/>
        </w:rPr>
      </w:pPr>
    </w:p>
    <w:p>
      <w:pPr>
        <w:pStyle w:val="BodyText"/>
        <w:spacing w:line="357" w:lineRule="auto" w:before="44"/>
        <w:ind w:left="514" w:right="0" w:hanging="360"/>
        <w:jc w:val="left"/>
      </w:pPr>
      <w:r>
        <w:rPr/>
        <w:t>低，主要是受公司计提员工年终绩效考核奖金的影响。 </w:t>
      </w:r>
      <w:r>
        <w:rPr>
          <w:spacing w:val="-2"/>
        </w:rPr>
        <w:t>报告期内，公司第四季度经营活动产生的现金流量净额大幅增长，主要由于银行等主要客户相对集中在年末对公司进行</w:t>
      </w:r>
    </w:p>
    <w:p>
      <w:pPr>
        <w:pStyle w:val="BodyText"/>
        <w:spacing w:line="439" w:lineRule="auto"/>
        <w:ind w:right="3372"/>
        <w:jc w:val="left"/>
      </w:pPr>
      <w:r>
        <w:rPr/>
        <w:t>货款结算，历年第四季度都是公司销售回款的高峰期。 上述财务指标或其加总数是否与公司已披露季度报告、半年度报告相关财务指标存在重大差异</w:t>
      </w:r>
    </w:p>
    <w:p>
      <w:pPr>
        <w:pStyle w:val="BodyText"/>
        <w:spacing w:line="204" w:lineRule="exact"/>
        <w:ind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2292" w:hanging="360"/>
        <w:jc w:val="left"/>
      </w:pPr>
      <w:r>
        <w:rPr/>
        <w:t>□ 适用 √ 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left="514" w:right="2292" w:hanging="360"/>
        <w:jc w:val="left"/>
      </w:pPr>
      <w:r>
        <w:rPr/>
        <w:t>□ 适用 √ 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pict>
          <v:group style="position:absolute;margin-left:298pt;margin-top:42.861713pt;width:83.4pt;height:20.7pt;mso-position-horizontal-relative:page;mso-position-vertical-relative:paragraph;z-index:-788608" coordorigin="5960,857" coordsize="1668,414">
            <v:group style="position:absolute;left:5971;top:869;width:2;height:392" coordorigin="5971,869" coordsize="2,392">
              <v:shape style="position:absolute;left:5971;top:869;width:2;height:392" coordorigin="5971,869" coordsize="0,392" path="m5971,869l5971,1260e" filled="false" stroked="true" strokeweight="1.140pt" strokecolor="#ffffff">
                <v:path arrowok="t"/>
              </v:shape>
            </v:group>
            <v:group style="position:absolute;left:5983;top:869;width:1646;height:392" coordorigin="5983,869" coordsize="1646,392">
              <v:shape style="position:absolute;left:5983;top:869;width:1646;height:392" coordorigin="5983,869" coordsize="1646,392" path="m5983,1260l7628,1260,7628,869,5983,869,5983,1260xe" filled="true" fillcolor="#ffffff" stroked="false">
                <v:path arrowok="t"/>
                <v:fill type="solid"/>
              </v:shape>
            </v:group>
            <w10:wrap type="none"/>
          </v:group>
        </w:pict>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21"/>
        <w:gridCol w:w="327"/>
        <w:gridCol w:w="1374"/>
        <w:gridCol w:w="1559"/>
        <w:gridCol w:w="1560"/>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18"/>
                <w:szCs w:val="18"/>
              </w:rPr>
            </w:pPr>
            <w:r>
              <w:rPr>
                <w:rFonts w:ascii="宋体"/>
                <w:sz w:val="18"/>
              </w:rPr>
              <w:t>5,837,611.42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1,241,739.79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330,798.46</w:t>
            </w:r>
          </w:p>
        </w:tc>
      </w:tr>
      <w:tr>
        <w:trPr>
          <w:trHeight w:val="71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sz w:val="18"/>
              </w:rPr>
              <w:t>25,002,402.41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22,302,769.57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20,411,480.74</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sz w:val="18"/>
              </w:rPr>
              <w:t>2,770,738.70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7" w:right="0"/>
              <w:jc w:val="left"/>
              <w:rPr>
                <w:rFonts w:ascii="宋体" w:hAnsi="宋体" w:cs="宋体" w:eastAsia="宋体" w:hint="default"/>
                <w:sz w:val="18"/>
                <w:szCs w:val="18"/>
              </w:rPr>
            </w:pPr>
            <w:r>
              <w:rPr>
                <w:rFonts w:ascii="宋体"/>
                <w:sz w:val="18"/>
              </w:rPr>
              <w:t>-1,418,643.16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202,796.45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242,387.15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sz w:val="18"/>
              </w:rPr>
              <w:t>1,104,726.40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sz w:val="18"/>
              </w:rPr>
              <w:t>4,496,331.83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3,231,106.59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2,885,383.32</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7" w:right="0"/>
              <w:jc w:val="left"/>
              <w:rPr>
                <w:rFonts w:ascii="宋体" w:hAnsi="宋体" w:cs="宋体" w:eastAsia="宋体" w:hint="default"/>
                <w:sz w:val="18"/>
                <w:szCs w:val="18"/>
              </w:rPr>
            </w:pPr>
            <w:r>
              <w:rPr>
                <w:rFonts w:ascii="宋体"/>
                <w:sz w:val="18"/>
              </w:rPr>
              <w:t>956,246.11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816,202.48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422,383.36</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7" w:right="0"/>
              <w:jc w:val="left"/>
              <w:rPr>
                <w:rFonts w:ascii="宋体" w:hAnsi="宋体" w:cs="宋体" w:eastAsia="宋体" w:hint="default"/>
                <w:sz w:val="18"/>
                <w:szCs w:val="18"/>
              </w:rPr>
            </w:pPr>
            <w:r>
              <w:rPr>
                <w:rFonts w:ascii="宋体"/>
                <w:sz w:val="18"/>
              </w:rPr>
              <w:t>27,844,257.83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19,699,996.74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17,676,899.67</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right="0"/>
        <w:jc w:val="left"/>
      </w:pPr>
      <w:r>
        <w:rPr/>
        <w:t>□ 适用 √ 不适用</w:t>
      </w:r>
    </w:p>
    <w:p>
      <w:pPr>
        <w:pStyle w:val="BodyText"/>
        <w:spacing w:line="319" w:lineRule="auto" w:before="115"/>
        <w:ind w:right="1115" w:firstLine="360"/>
        <w:jc w:val="left"/>
      </w:pPr>
      <w:r>
        <w:rPr/>
        <w:t>公司报告期不存在将根据《公开发行证券的公司信息披露解释性公告第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w:t>
      </w:r>
      <w:r>
        <w:rPr/>
        <w:t> 损益项目界定为经常性损益的项目的情形。</w:t>
      </w:r>
    </w:p>
    <w:p>
      <w:pPr>
        <w:spacing w:after="0" w:line="319"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47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7692" w:hanging="360"/>
        <w:jc w:val="left"/>
      </w:pPr>
      <w:r>
        <w:rPr/>
        <w:t>公司是否需要遵守特殊行业的披露要求 否</w:t>
      </w:r>
    </w:p>
    <w:p>
      <w:pPr>
        <w:pStyle w:val="BodyText"/>
        <w:spacing w:line="319" w:lineRule="auto" w:before="25"/>
        <w:ind w:right="1133" w:firstLine="360"/>
        <w:jc w:val="both"/>
      </w:pPr>
      <w:r>
        <w:rPr/>
        <w:t>公司从事的主要业务包括数据安全智能卡（金融</w:t>
      </w:r>
      <w:r>
        <w:rPr>
          <w:rFonts w:ascii="宋体" w:hAnsi="宋体" w:cs="宋体" w:eastAsia="宋体" w:hint="default"/>
        </w:rPr>
        <w:t>IC</w:t>
      </w:r>
      <w:r>
        <w:rPr/>
        <w:t>卡、通信智能卡、城市通卡等）、智能终端（</w:t>
      </w:r>
      <w:r>
        <w:rPr>
          <w:rFonts w:ascii="宋体" w:hAnsi="宋体" w:cs="宋体" w:eastAsia="宋体" w:hint="default"/>
        </w:rPr>
        <w:t>mPOS</w:t>
      </w:r>
      <w:r>
        <w:rPr/>
        <w:t>、传统</w:t>
      </w:r>
      <w:r>
        <w:rPr>
          <w:rFonts w:ascii="宋体" w:hAnsi="宋体" w:cs="宋体" w:eastAsia="宋体" w:hint="default"/>
        </w:rPr>
        <w:t>POS</w:t>
      </w:r>
      <w:r>
        <w:rPr/>
        <w:t>、二维 </w:t>
      </w:r>
      <w:r>
        <w:rPr>
          <w:spacing w:val="-2"/>
        </w:rPr>
        <w:t>码</w:t>
      </w:r>
      <w:r>
        <w:rPr>
          <w:rFonts w:ascii="宋体" w:hAnsi="宋体" w:cs="宋体" w:eastAsia="宋体" w:hint="default"/>
          <w:spacing w:val="-2"/>
        </w:rPr>
        <w:t>POS</w:t>
      </w:r>
      <w:r>
        <w:rPr>
          <w:spacing w:val="-2"/>
        </w:rPr>
        <w:t>、智能</w:t>
      </w:r>
      <w:r>
        <w:rPr>
          <w:rFonts w:ascii="宋体" w:hAnsi="宋体" w:cs="宋体" w:eastAsia="宋体" w:hint="default"/>
          <w:spacing w:val="-2"/>
        </w:rPr>
        <w:t>POS</w:t>
      </w:r>
      <w:r>
        <w:rPr>
          <w:spacing w:val="-2"/>
        </w:rPr>
        <w:t>等金融终端）、税控终端及面向纳税户企业的增值服务（财税、供应链金融等综合服务）、物联网技术服务</w:t>
      </w:r>
      <w:r>
        <w:rPr>
          <w:spacing w:val="-64"/>
        </w:rPr>
        <w:t> </w:t>
      </w:r>
      <w:r>
        <w:rPr>
          <w:spacing w:val="-64"/>
        </w:rPr>
      </w:r>
      <w:r>
        <w:rPr/>
        <w:t>云平台及增值服务和以国家教育信息化为背景的</w:t>
      </w:r>
      <w:r>
        <w:rPr>
          <w:rFonts w:ascii="宋体" w:hAnsi="宋体" w:cs="宋体" w:eastAsia="宋体" w:hint="default"/>
        </w:rPr>
        <w:t>K12</w:t>
      </w:r>
      <w:r>
        <w:rPr/>
        <w:t>智慧教育业务。</w:t>
      </w:r>
    </w:p>
    <w:p>
      <w:pPr>
        <w:pStyle w:val="BodyText"/>
        <w:spacing w:line="240" w:lineRule="auto" w:before="56"/>
        <w:ind w:right="0"/>
        <w:jc w:val="both"/>
      </w:pPr>
      <w:r>
        <w:rPr/>
        <w:t>（一）智能卡</w:t>
      </w:r>
    </w:p>
    <w:p>
      <w:pPr>
        <w:pStyle w:val="BodyText"/>
        <w:spacing w:line="319" w:lineRule="auto" w:before="116"/>
        <w:ind w:right="1133" w:firstLine="360"/>
        <w:jc w:val="both"/>
      </w:pPr>
      <w:r>
        <w:rPr/>
        <w:t>金融</w:t>
      </w:r>
      <w:r>
        <w:rPr>
          <w:rFonts w:ascii="宋体" w:hAnsi="宋体" w:cs="宋体" w:eastAsia="宋体" w:hint="default"/>
        </w:rPr>
        <w:t>IC</w:t>
      </w:r>
      <w:r>
        <w:rPr/>
        <w:t>卡产品的销售对象为商业银行和社保机构等，通信智能卡（含</w:t>
      </w:r>
      <w:r>
        <w:rPr>
          <w:rFonts w:ascii="宋体" w:hAnsi="宋体" w:cs="宋体" w:eastAsia="宋体" w:hint="default"/>
        </w:rPr>
        <w:t>M2M</w:t>
      </w:r>
      <w:r>
        <w:rPr/>
        <w:t>卡，即物联网卡）产品的销售对象为电信运营 </w:t>
      </w:r>
      <w:r>
        <w:rPr>
          <w:spacing w:val="-2"/>
        </w:rPr>
        <w:t>商，城市通卡产品的销售对象为各地一卡通运营公司。公司主要通过参加商业银行、社保机构、电信运营商、一卡通运营公</w:t>
      </w:r>
      <w:r>
        <w:rPr>
          <w:spacing w:val="-66"/>
        </w:rPr>
        <w:t> </w:t>
      </w:r>
      <w:r>
        <w:rPr>
          <w:spacing w:val="-66"/>
        </w:rPr>
      </w:r>
      <w:r>
        <w:rPr/>
        <w:t>司的招投标获得供应商资格，按照合同</w:t>
      </w:r>
      <w:r>
        <w:rPr>
          <w:rFonts w:ascii="宋体" w:hAnsi="宋体" w:cs="宋体" w:eastAsia="宋体" w:hint="default"/>
        </w:rPr>
        <w:t>/</w:t>
      </w:r>
      <w:r>
        <w:rPr/>
        <w:t>订单确定的价格和数量销售产品。智能卡产品的主要业绩驱动因素为卡片销量、销 售价格及成本控制。</w:t>
      </w:r>
    </w:p>
    <w:p>
      <w:pPr>
        <w:pStyle w:val="BodyText"/>
        <w:spacing w:line="357" w:lineRule="auto" w:before="56"/>
        <w:ind w:left="514" w:right="1122" w:hanging="360"/>
        <w:jc w:val="left"/>
      </w:pPr>
      <w:r>
        <w:rPr/>
        <w:t>（二）智能终端 </w:t>
      </w:r>
      <w:r>
        <w:rPr>
          <w:rFonts w:ascii="宋体" w:hAnsi="宋体" w:cs="宋体" w:eastAsia="宋体" w:hint="default"/>
        </w:rPr>
        <w:t>mPOS</w:t>
      </w:r>
      <w:r>
        <w:rPr/>
        <w:t>、传统</w:t>
      </w:r>
      <w:r>
        <w:rPr>
          <w:rFonts w:ascii="宋体" w:hAnsi="宋体" w:cs="宋体" w:eastAsia="宋体" w:hint="default"/>
        </w:rPr>
        <w:t>POS</w:t>
      </w:r>
      <w:r>
        <w:rPr/>
        <w:t>、二维码</w:t>
      </w:r>
      <w:r>
        <w:rPr>
          <w:rFonts w:ascii="宋体" w:hAnsi="宋体" w:cs="宋体" w:eastAsia="宋体" w:hint="default"/>
        </w:rPr>
        <w:t>POS</w:t>
      </w:r>
      <w:r>
        <w:rPr/>
        <w:t>、智能</w:t>
      </w:r>
      <w:r>
        <w:rPr>
          <w:rFonts w:ascii="宋体" w:hAnsi="宋体" w:cs="宋体" w:eastAsia="宋体" w:hint="default"/>
        </w:rPr>
        <w:t>POS</w:t>
      </w:r>
      <w:r>
        <w:rPr/>
        <w:t>等金融终端产品的销售对象主要为金融支付机构，公司主要根据客户对产品功能</w:t>
      </w:r>
    </w:p>
    <w:p>
      <w:pPr>
        <w:pStyle w:val="BodyText"/>
        <w:spacing w:line="224" w:lineRule="exact"/>
        <w:ind w:right="0"/>
        <w:jc w:val="both"/>
      </w:pPr>
      <w:r>
        <w:rPr/>
        <w:t>需求的差异、订购数量等因素协商确定销售价格，签订合同，实现销售。公司金融终端业务深耕支付市场，除金融</w:t>
      </w:r>
      <w:r>
        <w:rPr>
          <w:rFonts w:ascii="宋体" w:hAnsi="宋体" w:cs="宋体" w:eastAsia="宋体" w:hint="default"/>
        </w:rPr>
        <w:t>IC</w:t>
      </w:r>
      <w:r>
        <w:rPr/>
        <w:t>卡、二</w:t>
      </w:r>
    </w:p>
    <w:p>
      <w:pPr>
        <w:pStyle w:val="BodyText"/>
        <w:spacing w:line="319" w:lineRule="auto" w:before="76"/>
        <w:ind w:right="1132"/>
        <w:jc w:val="both"/>
      </w:pPr>
      <w:r>
        <w:rPr>
          <w:spacing w:val="-2"/>
        </w:rPr>
        <w:t>维码等支付场景外，还积极布局指纹支付、人脸支付等基于生物识别技术的支付场景；同时，与各垂直行业深入合作，根据</w:t>
      </w:r>
      <w:r>
        <w:rPr>
          <w:spacing w:val="-66"/>
        </w:rPr>
        <w:t> </w:t>
      </w:r>
      <w:r>
        <w:rPr>
          <w:spacing w:val="-66"/>
        </w:rPr>
      </w:r>
      <w:r>
        <w:rPr>
          <w:spacing w:val="-2"/>
        </w:rPr>
        <w:t>行业特点与应用场景，提供基于智能终端的行业整体解决方案。金融终端产品的主要业绩驱动因素为产品销量、销售价格及</w:t>
      </w:r>
      <w:r>
        <w:rPr>
          <w:spacing w:val="-65"/>
        </w:rPr>
        <w:t> </w:t>
      </w:r>
      <w:r>
        <w:rPr>
          <w:spacing w:val="-65"/>
        </w:rPr>
      </w:r>
      <w:r>
        <w:rPr/>
        <w:t>成本控制。</w:t>
      </w:r>
    </w:p>
    <w:p>
      <w:pPr>
        <w:pStyle w:val="BodyText"/>
        <w:spacing w:line="357" w:lineRule="auto" w:before="58"/>
        <w:ind w:left="514" w:right="0" w:hanging="360"/>
        <w:jc w:val="left"/>
      </w:pPr>
      <w:r>
        <w:rPr/>
        <w:t>（三）税控终端及面向纳税户企业的增值服务 </w:t>
      </w:r>
      <w:r>
        <w:rPr>
          <w:spacing w:val="-2"/>
        </w:rPr>
        <w:t>该业务产品和服务的销售对象为纳税户企业，公司向其销售税控终端设备并提供增值服务。税控盘是国家规定的增值税</w:t>
      </w:r>
    </w:p>
    <w:p>
      <w:pPr>
        <w:pStyle w:val="BodyText"/>
        <w:spacing w:line="224" w:lineRule="exact"/>
        <w:ind w:right="0"/>
        <w:jc w:val="both"/>
      </w:pPr>
      <w:r>
        <w:rPr/>
        <w:t>纳税人必备的税控设备，其销售价格由国家发改委确定。公司销售税控盘产品，并通过现场服务、呼叫中心、客户端软件、</w:t>
      </w:r>
    </w:p>
    <w:p>
      <w:pPr>
        <w:pStyle w:val="BodyText"/>
        <w:spacing w:line="319" w:lineRule="auto" w:before="76"/>
        <w:ind w:right="1130"/>
        <w:jc w:val="both"/>
      </w:pPr>
      <w:r>
        <w:rPr>
          <w:spacing w:val="-4"/>
        </w:rPr>
        <w:t>微信等平台为纳税户企业提供后续增值服务，包含全方位财税融合服务（“</w:t>
      </w:r>
      <w:r>
        <w:rPr>
          <w:rFonts w:ascii="宋体" w:hAnsi="宋体" w:cs="宋体" w:eastAsia="宋体" w:hint="default"/>
          <w:spacing w:val="-4"/>
        </w:rPr>
        <w:t>580</w:t>
      </w:r>
      <w:r>
        <w:rPr>
          <w:spacing w:val="-4"/>
        </w:rPr>
        <w:t>百企通”）、智慧税务服务（包含发票开具、</w:t>
      </w:r>
      <w:r>
        <w:rPr>
          <w:spacing w:val="-42"/>
        </w:rPr>
        <w:t> </w:t>
      </w:r>
      <w:r>
        <w:rPr>
          <w:spacing w:val="-42"/>
        </w:rPr>
      </w:r>
      <w:r>
        <w:rPr>
          <w:spacing w:val="-2"/>
        </w:rPr>
        <w:t>发票数据管理及电子发票的“</w:t>
      </w:r>
      <w:r>
        <w:rPr>
          <w:rFonts w:ascii="宋体" w:hAnsi="宋体" w:cs="宋体" w:eastAsia="宋体" w:hint="default"/>
          <w:spacing w:val="-2"/>
        </w:rPr>
        <w:t>580</w:t>
      </w:r>
      <w:r>
        <w:rPr>
          <w:spacing w:val="-2"/>
        </w:rPr>
        <w:t>百赋通”）、供应链金融服务（为快消品、物流等行业企业提供供应链管理服务</w:t>
      </w:r>
      <w:r>
        <w:rPr>
          <w:rFonts w:ascii="宋体" w:hAnsi="宋体" w:cs="宋体" w:eastAsia="宋体" w:hint="default"/>
          <w:spacing w:val="-2"/>
        </w:rPr>
        <w:t>+</w:t>
      </w:r>
      <w:r>
        <w:rPr>
          <w:spacing w:val="-2"/>
        </w:rPr>
        <w:t>金融服务</w:t>
      </w:r>
      <w:r>
        <w:rPr>
          <w:spacing w:val="-65"/>
        </w:rPr>
        <w:t> </w:t>
      </w:r>
      <w:r>
        <w:rPr>
          <w:spacing w:val="-2"/>
        </w:rPr>
        <w:t>平台，帮助企业实现在线商品采购、库存管理、物流配送、财务管理、金融支付（含收单）及小额融资，提升企业的经营效</w:t>
      </w:r>
      <w:r>
        <w:rPr>
          <w:spacing w:val="-67"/>
        </w:rPr>
        <w:t> </w:t>
      </w:r>
      <w:r>
        <w:rPr>
          <w:spacing w:val="-67"/>
        </w:rPr>
      </w:r>
      <w:r>
        <w:rPr>
          <w:spacing w:val="-2"/>
        </w:rPr>
        <w:t>率和资金归集效率）等增值服务，收取服务费。税控盘产品主要的业绩驱动因素为产品销量和成本控制，税务服务业务主要</w:t>
      </w:r>
      <w:r>
        <w:rPr>
          <w:spacing w:val="-66"/>
        </w:rPr>
        <w:t> </w:t>
      </w:r>
      <w:r>
        <w:rPr>
          <w:spacing w:val="-66"/>
        </w:rPr>
      </w:r>
      <w:r>
        <w:rPr/>
        <w:t>的业绩驱动因素为服务的纳税户企业数量。</w:t>
      </w:r>
    </w:p>
    <w:p>
      <w:pPr>
        <w:pStyle w:val="BodyText"/>
        <w:spacing w:line="357" w:lineRule="auto" w:before="56"/>
        <w:ind w:left="514" w:right="0" w:hanging="360"/>
        <w:jc w:val="left"/>
      </w:pPr>
      <w:r>
        <w:rPr/>
        <w:t>（四）物联网技术服务云平台及增值服务 </w:t>
      </w:r>
      <w:r>
        <w:rPr>
          <w:spacing w:val="-2"/>
        </w:rPr>
        <w:t>公司拥有多年的数据安全技术积累，积极把握设备</w:t>
      </w:r>
      <w:r>
        <w:rPr>
          <w:rFonts w:ascii="宋体" w:hAnsi="宋体" w:cs="宋体" w:eastAsia="宋体" w:hint="default"/>
          <w:spacing w:val="-2"/>
        </w:rPr>
        <w:t>/</w:t>
      </w:r>
      <w:r>
        <w:rPr>
          <w:spacing w:val="-2"/>
        </w:rPr>
        <w:t>物品数字化、联网化的趋势，融合</w:t>
      </w:r>
      <w:r>
        <w:rPr>
          <w:rFonts w:ascii="宋体" w:hAnsi="宋体" w:cs="宋体" w:eastAsia="宋体" w:hint="default"/>
          <w:spacing w:val="-2"/>
        </w:rPr>
        <w:t>NFC</w:t>
      </w:r>
      <w:r>
        <w:rPr>
          <w:spacing w:val="-2"/>
        </w:rPr>
        <w:t>、区块链、云平台、大数据等</w:t>
      </w:r>
    </w:p>
    <w:p>
      <w:pPr>
        <w:pStyle w:val="BodyText"/>
        <w:spacing w:line="224" w:lineRule="exact"/>
        <w:ind w:right="0"/>
        <w:jc w:val="both"/>
      </w:pPr>
      <w:r>
        <w:rPr/>
        <w:t>技术，打造公司物联网技术服务云平台，基于云平台产生的大数据为行业客户的用户提供增值服务。同时，积极把握汽车互</w:t>
      </w:r>
    </w:p>
    <w:p>
      <w:pPr>
        <w:pStyle w:val="BodyText"/>
        <w:spacing w:line="240" w:lineRule="auto" w:before="77"/>
        <w:ind w:right="0"/>
        <w:jc w:val="both"/>
      </w:pPr>
      <w:r>
        <w:rPr/>
        <w:t>联网化（物联网化）趋势，提供基于安全技术的智能网联汽车安全解决方案。</w:t>
      </w:r>
    </w:p>
    <w:p>
      <w:pPr>
        <w:pStyle w:val="BodyText"/>
        <w:spacing w:line="357" w:lineRule="auto" w:before="116"/>
        <w:ind w:left="514" w:right="1122" w:hanging="360"/>
        <w:jc w:val="left"/>
      </w:pPr>
      <w:r>
        <w:rPr/>
        <w:t>（五）智慧教育 公司从事的是以国家教育信息化为背景的</w:t>
      </w:r>
      <w:r>
        <w:rPr>
          <w:rFonts w:ascii="宋体" w:hAnsi="宋体" w:cs="宋体" w:eastAsia="宋体" w:hint="default"/>
        </w:rPr>
        <w:t>K12</w:t>
      </w:r>
      <w:r>
        <w:rPr/>
        <w:t>智慧教育业务。公司围绕教育部政策导向及各级教育主管部门、学校、教</w:t>
      </w:r>
    </w:p>
    <w:p>
      <w:pPr>
        <w:pStyle w:val="BodyText"/>
        <w:spacing w:line="224" w:lineRule="exact"/>
        <w:ind w:right="0"/>
        <w:jc w:val="both"/>
      </w:pPr>
      <w:r>
        <w:rPr>
          <w:spacing w:val="-5"/>
        </w:rPr>
        <w:t>师、学生用户需求开发并持续完善智慧教育产品体系（教育云平台、智慧教学、智慧学习、智慧评价、智慧研修、智慧管理、</w:t>
      </w:r>
    </w:p>
    <w:p>
      <w:pPr>
        <w:pStyle w:val="BodyText"/>
        <w:spacing w:line="319" w:lineRule="auto" w:before="76"/>
        <w:ind w:right="1130"/>
        <w:jc w:val="both"/>
      </w:pPr>
      <w:r>
        <w:rPr>
          <w:spacing w:val="-2"/>
        </w:rPr>
        <w:t>智慧校园），同时汇聚第三方优质资源及应用，为教育主管部门、学校提供业务管理平台及应用，为教师、学生提供涵盖教</w:t>
      </w:r>
      <w:r>
        <w:rPr>
          <w:spacing w:val="-68"/>
        </w:rPr>
        <w:t> </w:t>
      </w:r>
      <w:r>
        <w:rPr>
          <w:spacing w:val="-68"/>
        </w:rPr>
      </w:r>
      <w:r>
        <w:rPr>
          <w:spacing w:val="-2"/>
        </w:rPr>
        <w:t>学全过程的平台、应用及工具，为学生、家长提供课内外精准化学习平台、应用及工具，为学校、教师和家长提供家校沟通</w:t>
      </w:r>
      <w:r>
        <w:rPr>
          <w:spacing w:val="-67"/>
        </w:rPr>
        <w:t> </w:t>
      </w:r>
      <w:r>
        <w:rPr>
          <w:spacing w:val="-67"/>
        </w:rPr>
      </w:r>
      <w:r>
        <w:rPr/>
        <w:t>平台。公司智慧教育业务主要的市场开拓模式是以“铺平台”为市场切入点，在获得省、市、区、县教育云平台的建设</w:t>
      </w:r>
      <w:r>
        <w:rPr>
          <w:rFonts w:ascii="宋体" w:hAnsi="宋体" w:cs="宋体" w:eastAsia="宋体" w:hint="default"/>
        </w:rPr>
        <w:t>/</w:t>
      </w:r>
      <w:r>
        <w:rPr/>
        <w:t>运 </w:t>
      </w:r>
      <w:r>
        <w:rPr>
          <w:spacing w:val="-2"/>
        </w:rPr>
        <w:t>营权后，借助教育云平台自上而下的政策推动面向平台落地区域（教育主管部门、中小学）销售区校一体化智慧教育、智慧</w:t>
      </w:r>
      <w:r>
        <w:rPr>
          <w:spacing w:val="-66"/>
        </w:rPr>
        <w:t> </w:t>
      </w:r>
      <w:r>
        <w:rPr>
          <w:spacing w:val="-66"/>
        </w:rPr>
      </w:r>
      <w:r>
        <w:rPr>
          <w:spacing w:val="-2"/>
        </w:rPr>
        <w:t>校园整体解决方案，以及涵盖教、学、考、评、管的智慧教育软硬件产品和服务（核心教学应用、精准教学内容、考试测评</w:t>
      </w:r>
    </w:p>
    <w:p>
      <w:pPr>
        <w:spacing w:after="0" w:line="319"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系统、校园管理平台、教</w:t>
      </w:r>
      <w:r>
        <w:rPr>
          <w:rFonts w:ascii="宋体" w:hAnsi="宋体" w:cs="宋体" w:eastAsia="宋体" w:hint="default"/>
          <w:spacing w:val="-2"/>
        </w:rPr>
        <w:t>&amp;</w:t>
      </w:r>
      <w:r>
        <w:rPr>
          <w:spacing w:val="-2"/>
        </w:rPr>
        <w:t>学</w:t>
      </w:r>
      <w:r>
        <w:rPr>
          <w:rFonts w:ascii="宋体" w:hAnsi="宋体" w:cs="宋体" w:eastAsia="宋体" w:hint="default"/>
          <w:spacing w:val="-2"/>
        </w:rPr>
        <w:t>&amp;</w:t>
      </w:r>
      <w:r>
        <w:rPr>
          <w:spacing w:val="-2"/>
        </w:rPr>
        <w:t>管智慧终端等）；同时通过渠道力量扩大销售。目前该业务的产品及服务采购方主要为各级教</w:t>
      </w:r>
      <w:r>
        <w:rPr>
          <w:spacing w:val="-64"/>
        </w:rPr>
        <w:t> </w:t>
      </w:r>
      <w:r>
        <w:rPr>
          <w:spacing w:val="-64"/>
        </w:rPr>
      </w:r>
      <w:r>
        <w:rPr/>
        <w:t>育主管部门及学校，主要的业绩驱动因素为产品覆盖的区域、学校数量及项目合同金额。</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长期股权投资较期初增加</w:t>
            </w:r>
            <w:r>
              <w:rPr>
                <w:rFonts w:ascii="宋体" w:hAnsi="宋体" w:cs="宋体" w:eastAsia="宋体" w:hint="default"/>
                <w:spacing w:val="-46"/>
                <w:sz w:val="18"/>
                <w:szCs w:val="18"/>
              </w:rPr>
              <w:t> </w:t>
            </w:r>
            <w:r>
              <w:rPr>
                <w:rFonts w:ascii="宋体" w:hAnsi="宋体" w:cs="宋体" w:eastAsia="宋体" w:hint="default"/>
                <w:sz w:val="18"/>
                <w:szCs w:val="18"/>
              </w:rPr>
              <w:t>712.41%</w:t>
            </w:r>
            <w:r>
              <w:rPr>
                <w:rFonts w:ascii="宋体" w:hAnsi="宋体" w:cs="宋体" w:eastAsia="宋体" w:hint="default"/>
                <w:sz w:val="18"/>
                <w:szCs w:val="18"/>
              </w:rPr>
              <w:t>，主要由于公司参与投资设立了武信天喻、兴华教投和聚 联智慧。</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应收票据较期初增加</w:t>
            </w:r>
            <w:r>
              <w:rPr>
                <w:rFonts w:ascii="宋体" w:hAnsi="宋体" w:cs="宋体" w:eastAsia="宋体" w:hint="default"/>
                <w:spacing w:val="-46"/>
                <w:sz w:val="18"/>
                <w:szCs w:val="18"/>
              </w:rPr>
              <w:t> </w:t>
            </w:r>
            <w:r>
              <w:rPr>
                <w:rFonts w:ascii="宋体" w:hAnsi="宋体" w:cs="宋体" w:eastAsia="宋体" w:hint="default"/>
                <w:sz w:val="18"/>
                <w:szCs w:val="18"/>
              </w:rPr>
              <w:t>26853.29%</w:t>
            </w:r>
            <w:r>
              <w:rPr>
                <w:rFonts w:ascii="宋体" w:hAnsi="宋体" w:cs="宋体" w:eastAsia="宋体" w:hint="default"/>
                <w:sz w:val="18"/>
                <w:szCs w:val="18"/>
              </w:rPr>
              <w:t>，主要由于金融终端业务票据结算量大幅增长；应收账款较 期初增加</w:t>
            </w:r>
            <w:r>
              <w:rPr>
                <w:rFonts w:ascii="宋体" w:hAnsi="宋体" w:cs="宋体" w:eastAsia="宋体" w:hint="default"/>
                <w:spacing w:val="-46"/>
                <w:sz w:val="18"/>
                <w:szCs w:val="18"/>
              </w:rPr>
              <w:t> </w:t>
            </w:r>
            <w:r>
              <w:rPr>
                <w:rFonts w:ascii="宋体" w:hAnsi="宋体" w:cs="宋体" w:eastAsia="宋体" w:hint="default"/>
                <w:sz w:val="18"/>
                <w:szCs w:val="18"/>
              </w:rPr>
              <w:t>42.47%</w:t>
            </w:r>
            <w:r>
              <w:rPr>
                <w:rFonts w:ascii="宋体" w:hAnsi="宋体" w:cs="宋体" w:eastAsia="宋体" w:hint="default"/>
                <w:sz w:val="18"/>
                <w:szCs w:val="18"/>
              </w:rPr>
              <w:t>，主要由于金融终端产品销售收入大幅增长，使得未达结算期的应收款项增 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692" w:hanging="360"/>
        <w:jc w:val="left"/>
      </w:pPr>
      <w:r>
        <w:rPr/>
        <w:t>公司是否需要遵守特殊行业的披露要求 否</w:t>
      </w:r>
    </w:p>
    <w:p>
      <w:pPr>
        <w:pStyle w:val="BodyText"/>
        <w:spacing w:line="319" w:lineRule="auto" w:before="26"/>
        <w:ind w:right="950" w:firstLine="360"/>
        <w:jc w:val="left"/>
      </w:pPr>
      <w:r>
        <w:rPr/>
        <w:t>报告期内，公司紧抓产品研发和产品认证工作，持续加大产品创新力度，努力提升市场竞争力。公司申报专利</w:t>
      </w:r>
      <w:r>
        <w:rPr>
          <w:rFonts w:ascii="宋体" w:hAnsi="宋体" w:cs="宋体" w:eastAsia="宋体" w:hint="default"/>
        </w:rPr>
        <w:t>24</w:t>
      </w:r>
      <w:r>
        <w:rPr/>
        <w:t>项，其 中发明专利</w:t>
      </w:r>
      <w:r>
        <w:rPr>
          <w:rFonts w:ascii="宋体" w:hAnsi="宋体" w:cs="宋体" w:eastAsia="宋体" w:hint="default"/>
        </w:rPr>
        <w:t>19</w:t>
      </w:r>
      <w:r>
        <w:rPr/>
        <w:t>项，实用新型专利</w:t>
      </w:r>
      <w:r>
        <w:rPr>
          <w:rFonts w:ascii="宋体" w:hAnsi="宋体" w:cs="宋体" w:eastAsia="宋体" w:hint="default"/>
        </w:rPr>
        <w:t>1</w:t>
      </w:r>
      <w:r>
        <w:rPr/>
        <w:t>项，外观设计专利</w:t>
      </w:r>
      <w:r>
        <w:rPr>
          <w:rFonts w:ascii="宋体" w:hAnsi="宋体" w:cs="宋体" w:eastAsia="宋体" w:hint="default"/>
        </w:rPr>
        <w:t>4</w:t>
      </w:r>
      <w:r>
        <w:rPr/>
        <w:t>项；新增专利</w:t>
      </w:r>
      <w:r>
        <w:rPr>
          <w:rFonts w:ascii="宋体" w:hAnsi="宋体" w:cs="宋体" w:eastAsia="宋体" w:hint="default"/>
        </w:rPr>
        <w:t>16</w:t>
      </w:r>
      <w:r>
        <w:rPr/>
        <w:t>项，其中发明专利</w:t>
      </w:r>
      <w:r>
        <w:rPr>
          <w:rFonts w:ascii="宋体" w:hAnsi="宋体" w:cs="宋体" w:eastAsia="宋体" w:hint="default"/>
        </w:rPr>
        <w:t>4</w:t>
      </w:r>
      <w:r>
        <w:rPr/>
        <w:t>项，实用新型专利</w:t>
      </w:r>
      <w:r>
        <w:rPr>
          <w:rFonts w:ascii="宋体" w:hAnsi="宋体" w:cs="宋体" w:eastAsia="宋体" w:hint="default"/>
        </w:rPr>
        <w:t>9</w:t>
      </w:r>
      <w:r>
        <w:rPr/>
        <w:t>项，外观设计专 利</w:t>
      </w:r>
      <w:r>
        <w:rPr>
          <w:rFonts w:ascii="宋体" w:hAnsi="宋体" w:cs="宋体" w:eastAsia="宋体" w:hint="default"/>
        </w:rPr>
        <w:t>3</w:t>
      </w:r>
      <w:r>
        <w:rPr/>
        <w:t>项；新增软件著作权</w:t>
      </w:r>
      <w:r>
        <w:rPr>
          <w:rFonts w:ascii="宋体" w:hAnsi="宋体" w:cs="宋体" w:eastAsia="宋体" w:hint="default"/>
        </w:rPr>
        <w:t>65</w:t>
      </w:r>
      <w:r>
        <w:rPr/>
        <w:t>项。公司</w:t>
      </w:r>
      <w:r>
        <w:rPr>
          <w:rFonts w:ascii="宋体" w:hAnsi="宋体" w:cs="宋体" w:eastAsia="宋体" w:hint="default"/>
        </w:rPr>
        <w:t>39</w:t>
      </w:r>
      <w:r>
        <w:rPr/>
        <w:t>款智能卡、终端产品通过第三方检测机构的合计</w:t>
      </w:r>
      <w:r>
        <w:rPr>
          <w:rFonts w:ascii="宋体" w:hAnsi="宋体" w:cs="宋体" w:eastAsia="宋体" w:hint="default"/>
        </w:rPr>
        <w:t>178</w:t>
      </w:r>
      <w:r>
        <w:rPr/>
        <w:t>项检测，其中</w:t>
      </w:r>
      <w:r>
        <w:rPr>
          <w:rFonts w:ascii="宋体" w:hAnsi="宋体" w:cs="宋体" w:eastAsia="宋体" w:hint="default"/>
        </w:rPr>
        <w:t>4</w:t>
      </w:r>
      <w:r>
        <w:rPr/>
        <w:t>款金融</w:t>
      </w:r>
      <w:r>
        <w:rPr>
          <w:rFonts w:ascii="宋体" w:hAnsi="宋体" w:cs="宋体" w:eastAsia="宋体" w:hint="default"/>
        </w:rPr>
        <w:t>IC</w:t>
      </w:r>
      <w:r>
        <w:rPr/>
        <w:t>卡产品通</w:t>
      </w:r>
      <w:r>
        <w:rPr>
          <w:spacing w:val="-83"/>
        </w:rPr>
        <w:t> </w:t>
      </w:r>
      <w:r>
        <w:rPr/>
        <w:t>过</w:t>
      </w:r>
      <w:r>
        <w:rPr>
          <w:rFonts w:ascii="宋体" w:hAnsi="宋体" w:cs="宋体" w:eastAsia="宋体" w:hint="default"/>
        </w:rPr>
        <w:t>VISA</w:t>
      </w:r>
      <w:r>
        <w:rPr/>
        <w:t>、</w:t>
      </w:r>
      <w:r>
        <w:rPr>
          <w:rFonts w:ascii="宋体" w:hAnsi="宋体" w:cs="宋体" w:eastAsia="宋体" w:hint="default"/>
        </w:rPr>
        <w:t>MasterCard</w:t>
      </w:r>
      <w:r>
        <w:rPr/>
        <w:t>、</w:t>
      </w:r>
      <w:r>
        <w:rPr>
          <w:rFonts w:ascii="宋体" w:hAnsi="宋体" w:cs="宋体" w:eastAsia="宋体" w:hint="default"/>
        </w:rPr>
        <w:t>GP</w:t>
      </w:r>
      <w:r>
        <w:rPr/>
        <w:t>（全球平台组织）等国际组织认证，</w:t>
      </w:r>
      <w:r>
        <w:rPr>
          <w:rFonts w:ascii="宋体" w:hAnsi="宋体" w:cs="宋体" w:eastAsia="宋体" w:hint="default"/>
        </w:rPr>
        <w:t>4</w:t>
      </w:r>
      <w:r>
        <w:rPr/>
        <w:t>款金融终端产品通过</w:t>
      </w:r>
      <w:r>
        <w:rPr>
          <w:rFonts w:ascii="宋体" w:hAnsi="宋体" w:cs="宋体" w:eastAsia="宋体" w:hint="default"/>
        </w:rPr>
        <w:t>PCI</w:t>
      </w:r>
      <w:r>
        <w:rPr>
          <w:rFonts w:ascii="宋体" w:hAnsi="宋体" w:cs="宋体" w:eastAsia="宋体" w:hint="default"/>
          <w:spacing w:val="-53"/>
        </w:rPr>
        <w:t> </w:t>
      </w:r>
      <w:r>
        <w:rPr>
          <w:rFonts w:ascii="宋体" w:hAnsi="宋体" w:cs="宋体" w:eastAsia="宋体" w:hint="default"/>
        </w:rPr>
        <w:t>SSC</w:t>
      </w:r>
      <w:r>
        <w:rPr/>
        <w:t>（国际支付卡行业安全标准委员 </w:t>
      </w:r>
      <w:r>
        <w:rPr>
          <w:spacing w:val="-3"/>
        </w:rPr>
        <w:t>会）、</w:t>
      </w:r>
      <w:r>
        <w:rPr>
          <w:rFonts w:ascii="宋体" w:hAnsi="宋体" w:cs="宋体" w:eastAsia="宋体" w:hint="default"/>
          <w:spacing w:val="-3"/>
        </w:rPr>
        <w:t>EMVCo</w:t>
      </w:r>
      <w:r>
        <w:rPr>
          <w:spacing w:val="-3"/>
        </w:rPr>
        <w:t>、</w:t>
      </w:r>
      <w:r>
        <w:rPr>
          <w:rFonts w:ascii="宋体" w:hAnsi="宋体" w:cs="宋体" w:eastAsia="宋体" w:hint="default"/>
          <w:spacing w:val="-3"/>
        </w:rPr>
        <w:t>VISA</w:t>
      </w:r>
      <w:r>
        <w:rPr>
          <w:spacing w:val="-3"/>
        </w:rPr>
        <w:t>、</w:t>
      </w:r>
      <w:r>
        <w:rPr>
          <w:rFonts w:ascii="宋体" w:hAnsi="宋体" w:cs="宋体" w:eastAsia="宋体" w:hint="default"/>
          <w:spacing w:val="-3"/>
        </w:rPr>
        <w:t>MasterCard</w:t>
      </w:r>
      <w:r>
        <w:rPr>
          <w:spacing w:val="-3"/>
        </w:rPr>
        <w:t>等国际组织认证。公司基于射频的移动支付标准项目获评</w:t>
      </w:r>
      <w:r>
        <w:rPr>
          <w:rFonts w:ascii="宋体" w:hAnsi="宋体" w:cs="宋体" w:eastAsia="宋体" w:hint="default"/>
          <w:spacing w:val="-3"/>
        </w:rPr>
        <w:t>2018</w:t>
      </w:r>
      <w:r>
        <w:rPr>
          <w:spacing w:val="-3"/>
        </w:rPr>
        <w:t>年中国标准创新贡献一等奖。</w:t>
      </w:r>
      <w:r>
        <w:rPr>
          <w:spacing w:val="-66"/>
        </w:rPr>
        <w:t> </w:t>
      </w:r>
      <w:r>
        <w:rPr/>
        <w:t>公司入选</w:t>
      </w:r>
      <w:r>
        <w:rPr>
          <w:rFonts w:ascii="宋体" w:hAnsi="宋体" w:cs="宋体" w:eastAsia="宋体" w:hint="default"/>
        </w:rPr>
        <w:t>2018</w:t>
      </w:r>
      <w:r>
        <w:rPr/>
        <w:t>年（第</w:t>
      </w:r>
      <w:r>
        <w:rPr>
          <w:rFonts w:ascii="宋体" w:hAnsi="宋体" w:cs="宋体" w:eastAsia="宋体" w:hint="default"/>
        </w:rPr>
        <w:t>25</w:t>
      </w:r>
      <w:r>
        <w:rPr/>
        <w:t>批）国家企业技术中心名单，彰显公司在行业中显著的竞争优势和行业领先的技术创新能力。公司获 评</w:t>
      </w:r>
      <w:r>
        <w:rPr>
          <w:rFonts w:ascii="宋体" w:hAnsi="宋体" w:cs="宋体" w:eastAsia="宋体" w:hint="default"/>
        </w:rPr>
        <w:t>2018</w:t>
      </w:r>
      <w:r>
        <w:rPr/>
        <w:t>中国软件和信息技术服务综合竞争力百强企业、</w:t>
      </w:r>
      <w:r>
        <w:rPr>
          <w:rFonts w:ascii="宋体" w:hAnsi="宋体" w:cs="宋体" w:eastAsia="宋体" w:hint="default"/>
        </w:rPr>
        <w:t>2017-2018</w:t>
      </w:r>
      <w:r>
        <w:rPr/>
        <w:t>年度湖北省优秀软件企业（规模重点型）、武汉东湖新技</w:t>
      </w:r>
      <w:r>
        <w:rPr>
          <w:spacing w:val="-84"/>
        </w:rPr>
        <w:t> </w:t>
      </w:r>
      <w:r>
        <w:rPr>
          <w:spacing w:val="-84"/>
        </w:rPr>
      </w:r>
      <w:r>
        <w:rPr>
          <w:spacing w:val="-2"/>
        </w:rPr>
        <w:t>术开发区</w:t>
      </w:r>
      <w:r>
        <w:rPr>
          <w:rFonts w:ascii="宋体" w:hAnsi="宋体" w:cs="宋体" w:eastAsia="宋体" w:hint="default"/>
          <w:spacing w:val="-2"/>
        </w:rPr>
        <w:t>2017</w:t>
      </w:r>
      <w:r>
        <w:rPr>
          <w:spacing w:val="-2"/>
        </w:rPr>
        <w:t>年度优秀制造业企业。天喻教育在</w:t>
      </w:r>
      <w:r>
        <w:rPr>
          <w:rFonts w:ascii="宋体" w:hAnsi="宋体" w:cs="宋体" w:eastAsia="宋体" w:hint="default"/>
          <w:spacing w:val="-2"/>
        </w:rPr>
        <w:t>2018</w:t>
      </w:r>
      <w:r>
        <w:rPr>
          <w:spacing w:val="-2"/>
        </w:rPr>
        <w:t>国际教育信息化峰会暨国际智慧教育展览会荣膺</w:t>
      </w:r>
      <w:r>
        <w:rPr>
          <w:rFonts w:ascii="宋体" w:hAnsi="宋体" w:cs="宋体" w:eastAsia="宋体" w:hint="default"/>
          <w:spacing w:val="-2"/>
        </w:rPr>
        <w:t>2018</w:t>
      </w:r>
      <w:r>
        <w:rPr>
          <w:spacing w:val="-2"/>
        </w:rPr>
        <w:t>智慧教育十大品牌，</w:t>
      </w:r>
      <w:r>
        <w:rPr>
          <w:spacing w:val="-51"/>
        </w:rPr>
        <w:t> </w:t>
      </w:r>
      <w:r>
        <w:rPr/>
        <w:t>天喻教育云平台、智慧校园解决方案、个性化学习等产品荣获中国教育技术协会、中国教育装备行业协会等教育行业组织颁</w:t>
      </w:r>
      <w:r>
        <w:rPr/>
        <w:t> 发的多个优异奖项。子公司湖北百旺获评</w:t>
      </w:r>
      <w:r>
        <w:rPr>
          <w:rFonts w:ascii="宋体" w:hAnsi="宋体" w:cs="宋体" w:eastAsia="宋体" w:hint="default"/>
        </w:rPr>
        <w:t>2017</w:t>
      </w:r>
      <w:r>
        <w:rPr/>
        <w:t>年度全国税控服务优秀服务单位。</w:t>
      </w:r>
    </w:p>
    <w:p>
      <w:pPr>
        <w:spacing w:after="0" w:line="319"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rFonts w:ascii="宋体" w:hAnsi="宋体" w:cs="宋体" w:eastAsia="宋体" w:hint="default"/>
          <w:spacing w:val="-5"/>
        </w:rPr>
        <w:t>2018</w:t>
      </w:r>
      <w:r>
        <w:rPr>
          <w:spacing w:val="-5"/>
        </w:rPr>
        <w:t>年公司各业务板块齐头并进，整体经营业绩同比大幅提升。报告期内，公司实现营业收入</w:t>
      </w:r>
      <w:r>
        <w:rPr>
          <w:rFonts w:ascii="宋体" w:hAnsi="宋体" w:cs="宋体" w:eastAsia="宋体" w:hint="default"/>
          <w:spacing w:val="-5"/>
        </w:rPr>
        <w:t>23.97</w:t>
      </w:r>
      <w:r>
        <w:rPr>
          <w:spacing w:val="-5"/>
        </w:rPr>
        <w:t>亿元，同比增长</w:t>
      </w:r>
      <w:r>
        <w:rPr>
          <w:rFonts w:ascii="宋体" w:hAnsi="宋体" w:cs="宋体" w:eastAsia="宋体" w:hint="default"/>
          <w:spacing w:val="-5"/>
        </w:rPr>
        <w:t>24%</w:t>
      </w:r>
      <w:r>
        <w:rPr>
          <w:spacing w:val="-5"/>
        </w:rPr>
        <w:t>；</w:t>
      </w:r>
      <w:r>
        <w:rPr/>
        <w:t> </w:t>
      </w:r>
      <w:r>
        <w:rPr>
          <w:spacing w:val="-2"/>
        </w:rPr>
        <w:t>实现归属于上市公司股东的净利润</w:t>
      </w:r>
      <w:r>
        <w:rPr>
          <w:rFonts w:ascii="宋体" w:hAnsi="宋体" w:cs="宋体" w:eastAsia="宋体" w:hint="default"/>
          <w:spacing w:val="-2"/>
        </w:rPr>
        <w:t>1.01</w:t>
      </w:r>
      <w:r>
        <w:rPr>
          <w:spacing w:val="-2"/>
        </w:rPr>
        <w:t>亿元，同比增长</w:t>
      </w:r>
      <w:r>
        <w:rPr>
          <w:rFonts w:ascii="宋体" w:hAnsi="宋体" w:cs="宋体" w:eastAsia="宋体" w:hint="default"/>
          <w:spacing w:val="-2"/>
        </w:rPr>
        <w:t>347%</w:t>
      </w:r>
      <w:r>
        <w:rPr>
          <w:spacing w:val="-2"/>
        </w:rPr>
        <w:t>。公司营业收入同比增长的主要原因是金融终端业务和智慧教育</w:t>
      </w:r>
      <w:r>
        <w:rPr>
          <w:spacing w:val="-56"/>
        </w:rPr>
        <w:t> </w:t>
      </w:r>
      <w:r>
        <w:rPr>
          <w:spacing w:val="-56"/>
        </w:rPr>
      </w:r>
      <w:r>
        <w:rPr>
          <w:spacing w:val="-2"/>
        </w:rPr>
        <w:t>业务的销售收入同比增加；归属于上市公司股东的净利润同比大幅增长，主要缘于智慧教育业务和金融终端业务的利润同比</w:t>
      </w:r>
      <w:r>
        <w:rPr>
          <w:spacing w:val="-64"/>
        </w:rPr>
        <w:t> </w:t>
      </w:r>
      <w:r>
        <w:rPr>
          <w:spacing w:val="-64"/>
        </w:rPr>
      </w:r>
      <w:r>
        <w:rPr/>
        <w:t>大幅增加。</w:t>
      </w:r>
    </w:p>
    <w:p>
      <w:pPr>
        <w:pStyle w:val="BodyText"/>
        <w:spacing w:line="240" w:lineRule="auto" w:before="136"/>
        <w:ind w:right="0"/>
        <w:jc w:val="both"/>
      </w:pPr>
      <w:r>
        <w:rPr/>
        <w:t>（一）智能卡</w:t>
      </w:r>
    </w:p>
    <w:p>
      <w:pPr>
        <w:pStyle w:val="BodyText"/>
        <w:spacing w:line="319" w:lineRule="auto" w:before="116"/>
        <w:ind w:right="1130" w:firstLine="360"/>
        <w:jc w:val="both"/>
      </w:pPr>
      <w:r>
        <w:rPr>
          <w:spacing w:val="-2"/>
        </w:rPr>
        <w:t>国内金融</w:t>
      </w:r>
      <w:r>
        <w:rPr>
          <w:rFonts w:ascii="宋体" w:hAnsi="宋体" w:cs="宋体" w:eastAsia="宋体" w:hint="default"/>
          <w:spacing w:val="-2"/>
        </w:rPr>
        <w:t>IC</w:t>
      </w:r>
      <w:r>
        <w:rPr>
          <w:spacing w:val="-2"/>
        </w:rPr>
        <w:t>卡和通信智能卡产品的市场空间仍在，但市场竞争不断加剧。报告期内公司金融</w:t>
      </w:r>
      <w:r>
        <w:rPr>
          <w:rFonts w:ascii="宋体" w:hAnsi="宋体" w:cs="宋体" w:eastAsia="宋体" w:hint="default"/>
          <w:spacing w:val="-2"/>
        </w:rPr>
        <w:t>IC</w:t>
      </w:r>
      <w:r>
        <w:rPr>
          <w:spacing w:val="-2"/>
        </w:rPr>
        <w:t>卡、通信智能卡等智能卡</w:t>
      </w:r>
      <w:r>
        <w:rPr/>
        <w:t> </w:t>
      </w:r>
      <w:r>
        <w:rPr>
          <w:spacing w:val="-2"/>
        </w:rPr>
        <w:t>产品售价和销量均下降，销售收入及毛利同比减少，智能卡产品占公司整体销售收入和毛利的比重降幅较大。公司采取多方</w:t>
      </w:r>
      <w:r>
        <w:rPr>
          <w:spacing w:val="-66"/>
        </w:rPr>
        <w:t> </w:t>
      </w:r>
      <w:r>
        <w:rPr>
          <w:spacing w:val="-66"/>
        </w:rPr>
      </w:r>
      <w:r>
        <w:rPr>
          <w:spacing w:val="-5"/>
        </w:rPr>
        <w:t>举措积极应对不利的市场环境：加强供应链管理、提高生产效率以降低产品成本，加强产品质量管控，巩固产品市场竞争力；</w:t>
      </w:r>
      <w:r>
        <w:rPr>
          <w:spacing w:val="-82"/>
        </w:rPr>
        <w:t> </w:t>
      </w:r>
      <w:r>
        <w:rPr>
          <w:spacing w:val="-82"/>
        </w:rPr>
      </w:r>
      <w:r>
        <w:rPr>
          <w:spacing w:val="-2"/>
        </w:rPr>
        <w:t>根据市场情况积极调整投标及供货策略，维持产品毛利率水平；加强应收账款回款力度，提高运营效率。</w:t>
      </w:r>
      <w:r>
        <w:rPr>
          <w:rFonts w:ascii="宋体" w:hAnsi="宋体" w:cs="宋体" w:eastAsia="宋体" w:hint="default"/>
          <w:spacing w:val="-2"/>
        </w:rPr>
        <w:t>2019</w:t>
      </w:r>
      <w:r>
        <w:rPr>
          <w:spacing w:val="-2"/>
        </w:rPr>
        <w:t>年公司将争取</w:t>
      </w:r>
      <w:r>
        <w:rPr>
          <w:spacing w:val="-61"/>
        </w:rPr>
        <w:t> </w:t>
      </w:r>
      <w:r>
        <w:rPr>
          <w:spacing w:val="-2"/>
        </w:rPr>
        <w:t>保持国内金融</w:t>
      </w:r>
      <w:r>
        <w:rPr>
          <w:rFonts w:ascii="宋体" w:hAnsi="宋体" w:cs="宋体" w:eastAsia="宋体" w:hint="default"/>
          <w:spacing w:val="-2"/>
        </w:rPr>
        <w:t>IC</w:t>
      </w:r>
      <w:r>
        <w:rPr>
          <w:spacing w:val="-2"/>
        </w:rPr>
        <w:t>卡产品的市场份额，积极拓展国际金融</w:t>
      </w:r>
      <w:r>
        <w:rPr>
          <w:rFonts w:ascii="宋体" w:hAnsi="宋体" w:cs="宋体" w:eastAsia="宋体" w:hint="default"/>
          <w:spacing w:val="-2"/>
        </w:rPr>
        <w:t>IC</w:t>
      </w:r>
      <w:r>
        <w:rPr>
          <w:spacing w:val="-2"/>
        </w:rPr>
        <w:t>卡和通信智能卡产品市场，同时加快个性化制卡服务业务进程，加</w:t>
      </w:r>
      <w:r>
        <w:rPr>
          <w:spacing w:val="-62"/>
        </w:rPr>
        <w:t> </w:t>
      </w:r>
      <w:r>
        <w:rPr>
          <w:spacing w:val="-62"/>
        </w:rPr>
      </w:r>
      <w:r>
        <w:rPr/>
        <w:t>大产品和工艺创新力度，开辟智能生产线，降成本、控费用、提升运营效率，努力稳定公司智能卡业务的盈利水平。</w:t>
      </w:r>
    </w:p>
    <w:p>
      <w:pPr>
        <w:pStyle w:val="BodyText"/>
        <w:spacing w:line="357" w:lineRule="auto" w:before="56"/>
        <w:ind w:left="514" w:right="1122" w:hanging="360"/>
        <w:jc w:val="left"/>
      </w:pPr>
      <w:r>
        <w:rPr/>
        <w:t>（二）智能终端 随着更多传统</w:t>
      </w:r>
      <w:r>
        <w:rPr>
          <w:rFonts w:ascii="宋体" w:hAnsi="宋体" w:cs="宋体" w:eastAsia="宋体" w:hint="default"/>
        </w:rPr>
        <w:t>POS</w:t>
      </w:r>
      <w:r>
        <w:rPr/>
        <w:t>厂商进入</w:t>
      </w:r>
      <w:r>
        <w:rPr>
          <w:rFonts w:ascii="宋体" w:hAnsi="宋体" w:cs="宋体" w:eastAsia="宋体" w:hint="default"/>
        </w:rPr>
        <w:t>mPOS</w:t>
      </w:r>
      <w:r>
        <w:rPr/>
        <w:t>产品市场，该细分领域的市场竞争日趋激烈。报告期内公司紧跟市场变化趋势，发挥规</w:t>
      </w:r>
    </w:p>
    <w:p>
      <w:pPr>
        <w:pStyle w:val="BodyText"/>
        <w:spacing w:line="224" w:lineRule="exact"/>
        <w:ind w:right="0"/>
        <w:jc w:val="both"/>
      </w:pPr>
      <w:r>
        <w:rPr/>
        <w:t>模优势及时调整</w:t>
      </w:r>
      <w:r>
        <w:rPr>
          <w:rFonts w:ascii="宋体" w:hAnsi="宋体" w:cs="宋体" w:eastAsia="宋体" w:hint="default"/>
        </w:rPr>
        <w:t>mPOS</w:t>
      </w:r>
      <w:r>
        <w:rPr/>
        <w:t>产品销售价格，加大市场拓展力度应对行业竞争，公司</w:t>
      </w:r>
      <w:r>
        <w:rPr>
          <w:rFonts w:ascii="宋体" w:hAnsi="宋体" w:cs="宋体" w:eastAsia="宋体" w:hint="default"/>
        </w:rPr>
        <w:t>mPOS</w:t>
      </w:r>
      <w:r>
        <w:rPr/>
        <w:t>产品销量、销售收入同比大幅增长，公司在</w:t>
      </w:r>
    </w:p>
    <w:p>
      <w:pPr>
        <w:pStyle w:val="BodyText"/>
        <w:spacing w:line="319" w:lineRule="auto" w:before="76"/>
        <w:ind w:right="1129"/>
        <w:jc w:val="both"/>
      </w:pPr>
      <w:r>
        <w:rPr>
          <w:spacing w:val="-4"/>
        </w:rPr>
        <w:t>该细分领域继续保持领先的市场地位；适时优化产品销售结构，挺进成熟的毛利率较高的传统</w:t>
      </w:r>
      <w:r>
        <w:rPr>
          <w:rFonts w:ascii="宋体" w:hAnsi="宋体" w:cs="宋体" w:eastAsia="宋体" w:hint="default"/>
          <w:spacing w:val="-4"/>
        </w:rPr>
        <w:t>POS</w:t>
      </w:r>
      <w:r>
        <w:rPr>
          <w:spacing w:val="-4"/>
        </w:rPr>
        <w:t>产品市场，取得明显成效。</w:t>
      </w:r>
      <w:r>
        <w:rPr>
          <w:spacing w:val="-39"/>
        </w:rPr>
        <w:t> </w:t>
      </w:r>
      <w:r>
        <w:rPr>
          <w:spacing w:val="-39"/>
        </w:rPr>
      </w:r>
      <w:r>
        <w:rPr/>
        <w:t>受益于</w:t>
      </w:r>
      <w:r>
        <w:rPr>
          <w:rFonts w:ascii="宋体" w:hAnsi="宋体" w:cs="宋体" w:eastAsia="宋体" w:hint="default"/>
        </w:rPr>
        <w:t>mPOS</w:t>
      </w:r>
      <w:r>
        <w:rPr/>
        <w:t>产品的热销以及传统</w:t>
      </w:r>
      <w:r>
        <w:rPr>
          <w:rFonts w:ascii="宋体" w:hAnsi="宋体" w:cs="宋体" w:eastAsia="宋体" w:hint="default"/>
        </w:rPr>
        <w:t>POS</w:t>
      </w:r>
      <w:r>
        <w:rPr/>
        <w:t>产品销售占比的快速提高，公司金融终端产品销售均价明显提升，销售收入、毛利同比</w:t>
      </w:r>
      <w:r>
        <w:rPr>
          <w:spacing w:val="-83"/>
        </w:rPr>
        <w:t> </w:t>
      </w:r>
      <w:r>
        <w:rPr>
          <w:spacing w:val="-83"/>
        </w:rPr>
      </w:r>
      <w:r>
        <w:rPr/>
        <w:t>大幅增长，金融终端产品占公司整体销售收入和毛利的比重均持续提升。</w:t>
      </w:r>
      <w:r>
        <w:rPr>
          <w:rFonts w:ascii="宋体" w:hAnsi="宋体" w:cs="宋体" w:eastAsia="宋体" w:hint="default"/>
        </w:rPr>
        <w:t>2019</w:t>
      </w:r>
      <w:r>
        <w:rPr/>
        <w:t>年公司将在继续努力扩大</w:t>
      </w:r>
      <w:r>
        <w:rPr>
          <w:rFonts w:ascii="宋体" w:hAnsi="宋体" w:cs="宋体" w:eastAsia="宋体" w:hint="default"/>
        </w:rPr>
        <w:t>mPOS</w:t>
      </w:r>
      <w:r>
        <w:rPr/>
        <w:t>、传统</w:t>
      </w:r>
      <w:r>
        <w:rPr>
          <w:rFonts w:ascii="宋体" w:hAnsi="宋体" w:cs="宋体" w:eastAsia="宋体" w:hint="default"/>
        </w:rPr>
        <w:t>POS</w:t>
      </w:r>
      <w:r>
        <w:rPr/>
        <w:t>产品</w:t>
      </w:r>
      <w:r>
        <w:rPr>
          <w:spacing w:val="-82"/>
        </w:rPr>
        <w:t> </w:t>
      </w:r>
      <w:r>
        <w:rPr>
          <w:spacing w:val="-4"/>
        </w:rPr>
        <w:t>市场份额的同时，积极推动二维码</w:t>
      </w:r>
      <w:r>
        <w:rPr>
          <w:rFonts w:ascii="宋体" w:hAnsi="宋体" w:cs="宋体" w:eastAsia="宋体" w:hint="default"/>
          <w:spacing w:val="-4"/>
        </w:rPr>
        <w:t>POS</w:t>
      </w:r>
      <w:r>
        <w:rPr>
          <w:spacing w:val="-4"/>
        </w:rPr>
        <w:t>等新型金融终端产品的销售，加快指纹支付、人脸支付等新支付场景终端的落地推广，</w:t>
      </w:r>
      <w:r>
        <w:rPr>
          <w:spacing w:val="-40"/>
        </w:rPr>
        <w:t> </w:t>
      </w:r>
      <w:r>
        <w:rPr>
          <w:spacing w:val="-40"/>
        </w:rPr>
      </w:r>
      <w:r>
        <w:rPr/>
        <w:t>争取在国际市场取得突破，保持公司金融终端业务收入和利润规模的持续增长。</w:t>
      </w:r>
    </w:p>
    <w:p>
      <w:pPr>
        <w:pStyle w:val="BodyText"/>
        <w:spacing w:line="357" w:lineRule="auto" w:before="56"/>
        <w:ind w:left="514" w:right="1122" w:hanging="360"/>
        <w:jc w:val="left"/>
      </w:pPr>
      <w:r>
        <w:rPr/>
        <w:t>（三）税控终端及面向纳税户企业的增值服务 </w:t>
      </w:r>
      <w:r>
        <w:rPr>
          <w:rFonts w:ascii="宋体" w:hAnsi="宋体" w:cs="宋体" w:eastAsia="宋体" w:hint="default"/>
        </w:rPr>
        <w:t>2017</w:t>
      </w:r>
      <w:r>
        <w:rPr/>
        <w:t>年</w:t>
      </w:r>
      <w:r>
        <w:rPr>
          <w:rFonts w:ascii="宋体" w:hAnsi="宋体" w:cs="宋体" w:eastAsia="宋体" w:hint="default"/>
        </w:rPr>
        <w:t>8</w:t>
      </w:r>
      <w:r>
        <w:rPr/>
        <w:t>月国家发改委下调税控盘价格及相关服务费，对公司</w:t>
      </w:r>
      <w:r>
        <w:rPr>
          <w:rFonts w:ascii="宋体" w:hAnsi="宋体" w:cs="宋体" w:eastAsia="宋体" w:hint="default"/>
        </w:rPr>
        <w:t>2018</w:t>
      </w:r>
      <w:r>
        <w:rPr/>
        <w:t>年税控盘产品销售收入及毛利水平造成了不利影响。</w:t>
      </w:r>
    </w:p>
    <w:p>
      <w:pPr>
        <w:pStyle w:val="BodyText"/>
        <w:spacing w:line="224" w:lineRule="exact"/>
        <w:ind w:right="0"/>
        <w:jc w:val="both"/>
      </w:pPr>
      <w:r>
        <w:rPr/>
        <w:t>公司抓住国地税合并的契机，快速抢占服务入口，努力提高市场占有率，税控盘产品销量同比增长；持续优化低成本税控盘</w:t>
      </w:r>
    </w:p>
    <w:p>
      <w:pPr>
        <w:pStyle w:val="BodyText"/>
        <w:spacing w:line="319" w:lineRule="auto" w:before="76"/>
        <w:ind w:right="1129"/>
        <w:jc w:val="both"/>
      </w:pPr>
      <w:r>
        <w:rPr>
          <w:spacing w:val="-2"/>
        </w:rPr>
        <w:t>产品</w:t>
      </w:r>
      <w:r>
        <w:rPr>
          <w:rFonts w:ascii="宋体" w:hAnsi="宋体" w:cs="宋体" w:eastAsia="宋体" w:hint="default"/>
          <w:spacing w:val="-2"/>
        </w:rPr>
        <w:t>/</w:t>
      </w:r>
      <w:r>
        <w:rPr>
          <w:spacing w:val="-2"/>
        </w:rPr>
        <w:t>方案，产品毛利率明显提升。随着“互联网</w:t>
      </w:r>
      <w:r>
        <w:rPr>
          <w:rFonts w:ascii="宋体" w:hAnsi="宋体" w:cs="宋体" w:eastAsia="宋体" w:hint="default"/>
          <w:spacing w:val="-2"/>
        </w:rPr>
        <w:t>+</w:t>
      </w:r>
      <w:r>
        <w:rPr>
          <w:spacing w:val="-2"/>
        </w:rPr>
        <w:t>税务”的逐步普及，公司持续加大以</w:t>
      </w:r>
      <w:r>
        <w:rPr>
          <w:rFonts w:ascii="宋体" w:hAnsi="宋体" w:cs="宋体" w:eastAsia="宋体" w:hint="default"/>
          <w:spacing w:val="-2"/>
        </w:rPr>
        <w:t>580</w:t>
      </w:r>
      <w:r>
        <w:rPr>
          <w:spacing w:val="-2"/>
        </w:rPr>
        <w:t>百赋通、</w:t>
      </w:r>
      <w:r>
        <w:rPr>
          <w:rFonts w:ascii="宋体" w:hAnsi="宋体" w:cs="宋体" w:eastAsia="宋体" w:hint="default"/>
          <w:spacing w:val="-2"/>
        </w:rPr>
        <w:t>580</w:t>
      </w:r>
      <w:r>
        <w:rPr>
          <w:spacing w:val="-2"/>
        </w:rPr>
        <w:t>旺票为代表的税务增</w:t>
      </w:r>
      <w:r>
        <w:rPr>
          <w:spacing w:val="-59"/>
        </w:rPr>
        <w:t> </w:t>
      </w:r>
      <w:r>
        <w:rPr/>
        <w:t>值服务产品的市场推广力度，不断提高</w:t>
      </w:r>
      <w:r>
        <w:rPr>
          <w:rFonts w:ascii="宋体" w:hAnsi="宋体" w:cs="宋体" w:eastAsia="宋体" w:hint="default"/>
        </w:rPr>
        <w:t>580</w:t>
      </w:r>
      <w:r>
        <w:rPr/>
        <w:t>系列产品的客户（纳税户企业）服务体验，围绕客户需求开发新的增值服务产品</w:t>
      </w:r>
      <w:r>
        <w:rPr>
          <w:spacing w:val="-83"/>
        </w:rPr>
        <w:t> </w:t>
      </w:r>
      <w:r>
        <w:rPr>
          <w:spacing w:val="-83"/>
        </w:rPr>
      </w:r>
      <w:r>
        <w:rPr>
          <w:spacing w:val="-2"/>
        </w:rPr>
        <w:t>并投入市场，税务增值服务业务收入、毛利同比增幅较大。</w:t>
      </w:r>
      <w:r>
        <w:rPr>
          <w:rFonts w:ascii="宋体" w:hAnsi="宋体" w:cs="宋体" w:eastAsia="宋体" w:hint="default"/>
          <w:spacing w:val="-2"/>
        </w:rPr>
        <w:t>2019</w:t>
      </w:r>
      <w:r>
        <w:rPr>
          <w:spacing w:val="-2"/>
        </w:rPr>
        <w:t>年公司将继续努力提升税控盘产品销量，加大诸如财税融合</w:t>
      </w:r>
      <w:r>
        <w:rPr>
          <w:spacing w:val="-61"/>
        </w:rPr>
        <w:t> </w:t>
      </w:r>
      <w:r>
        <w:rPr>
          <w:spacing w:val="-61"/>
        </w:rPr>
      </w:r>
      <w:r>
        <w:rPr/>
        <w:t>服务、电子发票、金融服务、行业解决方案等增值服务业务的投入力度，增加</w:t>
      </w:r>
      <w:r>
        <w:rPr>
          <w:rFonts w:ascii="宋体" w:hAnsi="宋体" w:cs="宋体" w:eastAsia="宋体" w:hint="default"/>
        </w:rPr>
        <w:t>580</w:t>
      </w:r>
      <w:r>
        <w:rPr/>
        <w:t>系列增值服务产品的市场覆盖区域，提升</w:t>
      </w:r>
      <w:r>
        <w:rPr>
          <w:spacing w:val="-82"/>
        </w:rPr>
        <w:t> </w:t>
      </w:r>
      <w:r>
        <w:rPr>
          <w:spacing w:val="-82"/>
        </w:rPr>
      </w:r>
      <w:r>
        <w:rPr/>
        <w:t>产品用户数，提高服务业务收入规模，实现公司税控业务的持续发展。</w:t>
      </w:r>
    </w:p>
    <w:p>
      <w:pPr>
        <w:pStyle w:val="BodyText"/>
        <w:spacing w:line="357" w:lineRule="auto" w:before="58"/>
        <w:ind w:left="514" w:right="0" w:hanging="360"/>
        <w:jc w:val="left"/>
      </w:pPr>
      <w:r>
        <w:rPr/>
        <w:t>（四）物联网技术服务云平台及增值服务 </w:t>
      </w:r>
      <w:r>
        <w:rPr>
          <w:spacing w:val="-2"/>
        </w:rPr>
        <w:t>公司拥有多年的数据安全产品、平台开发经验及技术积累，随着国家</w:t>
      </w:r>
      <w:r>
        <w:rPr>
          <w:rFonts w:ascii="宋体" w:hAnsi="宋体" w:cs="宋体" w:eastAsia="宋体" w:hint="default"/>
          <w:spacing w:val="-2"/>
        </w:rPr>
        <w:t>5G</w:t>
      </w:r>
      <w:r>
        <w:rPr>
          <w:spacing w:val="-2"/>
        </w:rPr>
        <w:t>建设的逐步深入，物联网等相关领域将迎来快速</w:t>
      </w:r>
    </w:p>
    <w:p>
      <w:pPr>
        <w:pStyle w:val="BodyText"/>
        <w:spacing w:line="224" w:lineRule="exact"/>
        <w:ind w:right="0"/>
        <w:jc w:val="both"/>
      </w:pPr>
      <w:r>
        <w:rPr/>
        <w:t>发展期。</w:t>
      </w:r>
      <w:r>
        <w:rPr>
          <w:rFonts w:ascii="宋体" w:hAnsi="宋体" w:cs="宋体" w:eastAsia="宋体" w:hint="default"/>
        </w:rPr>
        <w:t>2019</w:t>
      </w:r>
      <w:r>
        <w:rPr/>
        <w:t>年，公司将积极把握设备</w:t>
      </w:r>
      <w:r>
        <w:rPr>
          <w:rFonts w:ascii="宋体" w:hAnsi="宋体" w:cs="宋体" w:eastAsia="宋体" w:hint="default"/>
        </w:rPr>
        <w:t>/</w:t>
      </w:r>
      <w:r>
        <w:rPr/>
        <w:t>物品数字化、联网化的趋势，融合</w:t>
      </w:r>
      <w:r>
        <w:rPr>
          <w:rFonts w:ascii="宋体" w:hAnsi="宋体" w:cs="宋体" w:eastAsia="宋体" w:hint="default"/>
        </w:rPr>
        <w:t>NFC</w:t>
      </w:r>
      <w:r>
        <w:rPr/>
        <w:t>、区块链、云平台、大数据等技术，打造公司</w:t>
      </w:r>
    </w:p>
    <w:p>
      <w:pPr>
        <w:pStyle w:val="BodyText"/>
        <w:spacing w:line="319" w:lineRule="auto" w:before="76"/>
        <w:ind w:right="1130"/>
        <w:jc w:val="both"/>
      </w:pPr>
      <w:r>
        <w:rPr>
          <w:spacing w:val="-2"/>
        </w:rPr>
        <w:t>物联网技术服务云平台，基于技术服务云平台产生的大数据为行业客户的用户提供增值服务；积极把握汽车互联网化（物联</w:t>
      </w:r>
      <w:r>
        <w:rPr>
          <w:spacing w:val="-66"/>
        </w:rPr>
        <w:t> </w:t>
      </w:r>
      <w:r>
        <w:rPr>
          <w:spacing w:val="-66"/>
        </w:rPr>
      </w:r>
      <w:r>
        <w:rPr>
          <w:spacing w:val="-2"/>
        </w:rPr>
        <w:t>网化）趋势，努力开发并完善基于安全技术的智能网联汽车安全解决方案。同时，加强行业合作伙伴关系，加快实现相关产</w:t>
      </w:r>
      <w:r>
        <w:rPr>
          <w:spacing w:val="-65"/>
        </w:rPr>
        <w:t> </w:t>
      </w:r>
      <w:r>
        <w:rPr>
          <w:spacing w:val="-65"/>
        </w:rPr>
      </w:r>
      <w:r>
        <w:rPr/>
        <w:t>品</w:t>
      </w:r>
      <w:r>
        <w:rPr>
          <w:rFonts w:ascii="宋体" w:hAnsi="宋体" w:cs="宋体" w:eastAsia="宋体" w:hint="default"/>
        </w:rPr>
        <w:t>/</w:t>
      </w:r>
      <w:r>
        <w:rPr/>
        <w:t>服务的落地销售。</w:t>
      </w:r>
    </w:p>
    <w:p>
      <w:pPr>
        <w:pStyle w:val="BodyText"/>
        <w:spacing w:line="357" w:lineRule="auto" w:before="136"/>
        <w:ind w:left="514" w:right="1123" w:hanging="360"/>
        <w:jc w:val="left"/>
      </w:pPr>
      <w:r>
        <w:rPr/>
        <w:t>（五）智慧教育 </w:t>
      </w:r>
      <w:r>
        <w:rPr>
          <w:spacing w:val="-2"/>
        </w:rPr>
        <w:t>近年来，伴随国家教育信息化多项规划、政策的陆续出台，以及国家、省、市、区、县等各级财政经费的持续投入，以</w:t>
      </w:r>
    </w:p>
    <w:p>
      <w:pPr>
        <w:pStyle w:val="BodyText"/>
        <w:spacing w:line="224" w:lineRule="exact"/>
        <w:ind w:right="0"/>
        <w:jc w:val="both"/>
      </w:pPr>
      <w:r>
        <w:rPr/>
        <w:t>国家教育信息化为背景的</w:t>
      </w:r>
      <w:r>
        <w:rPr>
          <w:rFonts w:ascii="宋体" w:hAnsi="宋体" w:cs="宋体" w:eastAsia="宋体" w:hint="default"/>
        </w:rPr>
        <w:t>K12</w:t>
      </w:r>
      <w:r>
        <w:rPr/>
        <w:t>智慧教育业务市场规模庞大、前景广阔。该市场参与者众多，有计算机、安防、宽带网络等硬</w:t>
      </w:r>
    </w:p>
    <w:p>
      <w:pPr>
        <w:spacing w:after="0" w:line="224" w:lineRule="exact"/>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2"/>
        <w:jc w:val="both"/>
      </w:pPr>
      <w:r>
        <w:rPr>
          <w:spacing w:val="-2"/>
        </w:rPr>
        <w:t>件设备供应商，也有教育平台、教育应用、数字化教学资源等软件产品和服务提供商；有市场规模相对较大的上市公司，也</w:t>
      </w:r>
      <w:r>
        <w:rPr>
          <w:spacing w:val="-66"/>
        </w:rPr>
        <w:t> </w:t>
      </w:r>
      <w:r>
        <w:rPr>
          <w:spacing w:val="-66"/>
        </w:rPr>
      </w:r>
      <w:r>
        <w:rPr>
          <w:spacing w:val="-2"/>
        </w:rPr>
        <w:t>有区域化中小企业；上述市场参与主体之间既有竞争又有合作。长远看，具有较好产品竞争力、持续运营服务能力、较强渠</w:t>
      </w:r>
      <w:r>
        <w:rPr>
          <w:spacing w:val="-66"/>
        </w:rPr>
        <w:t> </w:t>
      </w:r>
      <w:r>
        <w:rPr>
          <w:spacing w:val="-66"/>
        </w:rPr>
      </w:r>
      <w:r>
        <w:rPr/>
        <w:t>道整合能力、较高品牌知名度的企业将有望在行业的发展中持续提升市场份额。</w:t>
      </w:r>
    </w:p>
    <w:p>
      <w:pPr>
        <w:pStyle w:val="BodyText"/>
        <w:spacing w:line="319" w:lineRule="auto" w:before="55"/>
        <w:ind w:right="1130" w:firstLine="360"/>
        <w:jc w:val="both"/>
      </w:pPr>
      <w:r>
        <w:rPr>
          <w:spacing w:val="-2"/>
        </w:rPr>
        <w:t>报告期内，公司围绕用户需求持续优化智慧教育系列产品，着力提升教育云平台、智慧课堂、智慧校园等产品的市场竞</w:t>
      </w:r>
      <w:r>
        <w:rPr/>
        <w:t> </w:t>
      </w:r>
      <w:r>
        <w:rPr>
          <w:spacing w:val="-4"/>
        </w:rPr>
        <w:t>争力，积极开发面向学生用户的个性化学习产品，为后续开拓</w:t>
      </w:r>
      <w:r>
        <w:rPr>
          <w:rFonts w:ascii="宋体" w:hAnsi="宋体" w:cs="宋体" w:eastAsia="宋体" w:hint="default"/>
          <w:spacing w:val="-4"/>
        </w:rPr>
        <w:t>C</w:t>
      </w:r>
      <w:r>
        <w:rPr>
          <w:spacing w:val="-4"/>
        </w:rPr>
        <w:t>端市场奠定基础。公司深入贯彻“铺平台、拓渠道、全产品、</w:t>
      </w:r>
      <w:r>
        <w:rPr>
          <w:spacing w:val="-44"/>
        </w:rPr>
        <w:t> </w:t>
      </w:r>
      <w:r>
        <w:rPr>
          <w:spacing w:val="-44"/>
        </w:rPr>
      </w:r>
      <w:r>
        <w:rPr>
          <w:spacing w:val="-2"/>
        </w:rPr>
        <w:t>大项目、深运营”的市场策略，承接了广东、江苏、山东、浙江、河南、四川、湖北、河北、福建、安徽、辽宁、陕西、广</w:t>
      </w:r>
      <w:r>
        <w:rPr>
          <w:spacing w:val="-65"/>
        </w:rPr>
        <w:t> </w:t>
      </w:r>
      <w:r>
        <w:rPr>
          <w:spacing w:val="-65"/>
        </w:rPr>
      </w:r>
      <w:r>
        <w:rPr/>
        <w:t>西、内蒙古、吉林、新疆、上海、天津、重庆等多个省（自治区、直辖市）的省、市、区、县教育云平台建设、运营</w:t>
      </w:r>
      <w:r>
        <w:rPr>
          <w:rFonts w:ascii="宋体" w:hAnsi="宋体" w:cs="宋体" w:eastAsia="宋体" w:hint="default"/>
        </w:rPr>
        <w:t>/</w:t>
      </w:r>
      <w:r>
        <w:rPr/>
        <w:t>运维</w:t>
      </w:r>
      <w:r>
        <w:rPr>
          <w:spacing w:val="-85"/>
        </w:rPr>
        <w:t> </w:t>
      </w:r>
      <w:r>
        <w:rPr>
          <w:spacing w:val="-2"/>
        </w:rPr>
        <w:t>项目，教育云平台市场占有率持续保持行业领先；承接了成都市成华区、广东五华县、贵州兴义市、山东济南市、榆林市榆</w:t>
      </w:r>
      <w:r>
        <w:rPr>
          <w:spacing w:val="-68"/>
        </w:rPr>
        <w:t> </w:t>
      </w:r>
      <w:r>
        <w:rPr>
          <w:spacing w:val="-68"/>
        </w:rPr>
      </w:r>
      <w:r>
        <w:rPr>
          <w:spacing w:val="-5"/>
        </w:rPr>
        <w:t>阳区、江苏江阴市等多个地区学校的智慧校园、智慧课堂项目；承接了武汉市武昌区新高考信息化系统建设及运维服务项目；</w:t>
      </w:r>
      <w:r>
        <w:rPr>
          <w:spacing w:val="-79"/>
        </w:rPr>
        <w:t> </w:t>
      </w:r>
      <w:r>
        <w:rPr>
          <w:spacing w:val="-79"/>
        </w:rPr>
      </w:r>
      <w:r>
        <w:rPr>
          <w:spacing w:val="-4"/>
        </w:rPr>
        <w:t>参与了湖北蕲春县、河南内乡县、河北张家口市等区域教育信息化整体建设项目。公司积极构建“省级服务商</w:t>
      </w:r>
      <w:r>
        <w:rPr>
          <w:rFonts w:ascii="宋体" w:hAnsi="宋体" w:cs="宋体" w:eastAsia="宋体" w:hint="default"/>
          <w:spacing w:val="-4"/>
        </w:rPr>
        <w:t>+</w:t>
      </w:r>
      <w:r>
        <w:rPr>
          <w:spacing w:val="-4"/>
        </w:rPr>
        <w:t>区域代理商”</w:t>
      </w:r>
      <w:r>
        <w:rPr>
          <w:spacing w:val="-43"/>
        </w:rPr>
        <w:t> </w:t>
      </w:r>
      <w:r>
        <w:rPr>
          <w:spacing w:val="-2"/>
        </w:rPr>
        <w:t>两级渠道体系，不断提升省级服务商的客户服务能力，大力发展地市、区县代理商，渠道收入占比快速提升；持续加大“天</w:t>
      </w:r>
      <w:r>
        <w:rPr>
          <w:spacing w:val="-65"/>
        </w:rPr>
        <w:t> </w:t>
      </w:r>
      <w:r>
        <w:rPr>
          <w:spacing w:val="-65"/>
        </w:rPr>
      </w:r>
      <w:r>
        <w:rPr>
          <w:spacing w:val="-5"/>
        </w:rPr>
        <w:t>喻教育”品牌建设力度，积极参与教育装备展会，组织了教育信息化</w:t>
      </w:r>
      <w:r>
        <w:rPr>
          <w:rFonts w:ascii="宋体" w:hAnsi="宋体" w:cs="宋体" w:eastAsia="宋体" w:hint="default"/>
          <w:spacing w:val="-5"/>
        </w:rPr>
        <w:t>2.0</w:t>
      </w:r>
      <w:r>
        <w:rPr>
          <w:spacing w:val="-5"/>
        </w:rPr>
        <w:t>建设、互联网</w:t>
      </w:r>
      <w:r>
        <w:rPr>
          <w:rFonts w:ascii="宋体" w:hAnsi="宋体" w:cs="宋体" w:eastAsia="宋体" w:hint="default"/>
          <w:spacing w:val="-5"/>
        </w:rPr>
        <w:t>+</w:t>
      </w:r>
      <w:r>
        <w:rPr>
          <w:spacing w:val="-5"/>
        </w:rPr>
        <w:t>教育大平台暨智慧校园建设等研讨会；</w:t>
      </w:r>
      <w:r>
        <w:rPr>
          <w:spacing w:val="-69"/>
        </w:rPr>
        <w:t> </w:t>
      </w:r>
      <w:r>
        <w:rPr>
          <w:spacing w:val="-2"/>
        </w:rPr>
        <w:t>同时与教育信息化领域各类产品、服务提供商及智慧城市承建方加强合作，共同构建智慧教育生态，发挥协同效应增强公司</w:t>
      </w:r>
      <w:r>
        <w:rPr>
          <w:spacing w:val="-66"/>
        </w:rPr>
        <w:t> </w:t>
      </w:r>
      <w:r>
        <w:rPr>
          <w:spacing w:val="-66"/>
        </w:rPr>
      </w:r>
      <w:r>
        <w:rPr/>
        <w:t>智慧教育业务产品及服务的市场竞争力。</w:t>
      </w:r>
    </w:p>
    <w:p>
      <w:pPr>
        <w:pStyle w:val="BodyText"/>
        <w:spacing w:line="319" w:lineRule="auto" w:before="56"/>
        <w:ind w:right="1129" w:firstLine="360"/>
        <w:jc w:val="both"/>
      </w:pPr>
      <w:r>
        <w:rPr/>
        <w:t>报告期内，公司子公司天喻教育实现营业收入</w:t>
      </w:r>
      <w:r>
        <w:rPr>
          <w:rFonts w:ascii="宋体" w:hAnsi="宋体" w:cs="宋体" w:eastAsia="宋体" w:hint="default"/>
        </w:rPr>
        <w:t>2.64</w:t>
      </w:r>
      <w:r>
        <w:rPr/>
        <w:t>亿元，同比增长</w:t>
      </w:r>
      <w:r>
        <w:rPr>
          <w:rFonts w:ascii="宋体" w:hAnsi="宋体" w:cs="宋体" w:eastAsia="宋体" w:hint="default"/>
        </w:rPr>
        <w:t>190%</w:t>
      </w:r>
      <w:r>
        <w:rPr/>
        <w:t>，实现净利润</w:t>
      </w:r>
      <w:r>
        <w:rPr>
          <w:rFonts w:ascii="宋体" w:hAnsi="宋体" w:cs="宋体" w:eastAsia="宋体" w:hint="default"/>
        </w:rPr>
        <w:t>3,745</w:t>
      </w:r>
      <w:r>
        <w:rPr/>
        <w:t>万元，同比增长</w:t>
      </w:r>
      <w:r>
        <w:rPr>
          <w:rFonts w:ascii="宋体" w:hAnsi="宋体" w:cs="宋体" w:eastAsia="宋体" w:hint="default"/>
        </w:rPr>
        <w:t>174%</w:t>
      </w:r>
      <w:r>
        <w:rPr/>
        <w:t>。</w:t>
      </w:r>
      <w:r>
        <w:rPr>
          <w:rFonts w:ascii="宋体" w:hAnsi="宋体" w:cs="宋体" w:eastAsia="宋体" w:hint="default"/>
        </w:rPr>
        <w:t>2019 </w:t>
      </w:r>
      <w:r>
        <w:rPr/>
        <w:t>年公司将坚持“平台</w:t>
      </w:r>
      <w:r>
        <w:rPr>
          <w:rFonts w:ascii="宋体" w:hAnsi="宋体" w:cs="宋体" w:eastAsia="宋体" w:hint="default"/>
        </w:rPr>
        <w:t>+</w:t>
      </w:r>
      <w:r>
        <w:rPr/>
        <w:t>生态”战略，坚持既定的市场策略，充分利用教育云平台市场优势，基于教育云平台构建生态体系，</w:t>
      </w:r>
      <w:r>
        <w:rPr>
          <w:spacing w:val="-83"/>
        </w:rPr>
        <w:t> </w:t>
      </w:r>
      <w:r>
        <w:rPr>
          <w:spacing w:val="-83"/>
        </w:rPr>
      </w:r>
      <w:r>
        <w:rPr>
          <w:spacing w:val="-2"/>
        </w:rPr>
        <w:t>整合内容、应用、服务及终端，形成区校一体化的智慧教育整体解决方案，进一步扩大公司智慧教育系列产品市场，持续完</w:t>
      </w:r>
      <w:r>
        <w:rPr>
          <w:spacing w:val="-66"/>
        </w:rPr>
        <w:t> </w:t>
      </w:r>
      <w:r>
        <w:rPr>
          <w:spacing w:val="-66"/>
        </w:rPr>
      </w:r>
      <w:r>
        <w:rPr>
          <w:spacing w:val="-2"/>
        </w:rPr>
        <w:t>善销售渠道体系建设，加强运营服务体系建设，通过打造示范区和标杆校努力扩大深度运营区域，推动公司智慧教育业务收</w:t>
      </w:r>
      <w:r>
        <w:rPr>
          <w:spacing w:val="-66"/>
        </w:rPr>
        <w:t> </w:t>
      </w:r>
      <w:r>
        <w:rPr>
          <w:spacing w:val="-66"/>
        </w:rPr>
      </w:r>
      <w:r>
        <w:rPr/>
        <w:t>入和利润规模的持续增长。</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宋体" w:hAnsi="宋体" w:cs="宋体" w:eastAsia="宋体" w:hint="default"/>
        </w:rPr>
        <w:t>1</w:t>
      </w:r>
      <w:r>
        <w:rPr/>
        <w:t>、概述</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032" w:firstLine="360"/>
        <w:jc w:val="left"/>
      </w:pPr>
      <w:r>
        <w:rPr/>
        <w:t>报告期内，公司实现营业收入</w:t>
      </w:r>
      <w:r>
        <w:rPr>
          <w:rFonts w:ascii="宋体" w:hAnsi="宋体" w:cs="宋体" w:eastAsia="宋体" w:hint="default"/>
        </w:rPr>
        <w:t>239,698.69</w:t>
      </w:r>
      <w:r>
        <w:rPr/>
        <w:t>万元，发生营业成本</w:t>
      </w:r>
      <w:r>
        <w:rPr>
          <w:rFonts w:ascii="宋体" w:hAnsi="宋体" w:cs="宋体" w:eastAsia="宋体" w:hint="default"/>
        </w:rPr>
        <w:t>173,698.43</w:t>
      </w:r>
      <w:r>
        <w:rPr/>
        <w:t>万元，分别较上年同期增长</w:t>
      </w:r>
      <w:r>
        <w:rPr>
          <w:rFonts w:ascii="宋体" w:hAnsi="宋体" w:cs="宋体" w:eastAsia="宋体" w:hint="default"/>
        </w:rPr>
        <w:t>23.81%</w:t>
      </w:r>
      <w:r>
        <w:rPr/>
        <w:t>和</w:t>
      </w:r>
      <w:r>
        <w:rPr>
          <w:rFonts w:ascii="宋体" w:hAnsi="宋体" w:cs="宋体" w:eastAsia="宋体" w:hint="default"/>
        </w:rPr>
        <w:t>18.94%</w:t>
      </w:r>
      <w:r>
        <w:rPr/>
        <w:t>， </w:t>
      </w:r>
      <w:r>
        <w:rPr>
          <w:spacing w:val="-2"/>
        </w:rPr>
        <w:t>实现归属于上市公司股东的净利润</w:t>
      </w:r>
      <w:r>
        <w:rPr>
          <w:rFonts w:ascii="宋体" w:hAnsi="宋体" w:cs="宋体" w:eastAsia="宋体" w:hint="default"/>
          <w:spacing w:val="-2"/>
        </w:rPr>
        <w:t>10,102.27</w:t>
      </w:r>
      <w:r>
        <w:rPr>
          <w:spacing w:val="-2"/>
        </w:rPr>
        <w:t>万元，较上年同期增长</w:t>
      </w:r>
      <w:r>
        <w:rPr>
          <w:rFonts w:ascii="宋体" w:hAnsi="宋体" w:cs="宋体" w:eastAsia="宋体" w:hint="default"/>
          <w:spacing w:val="-2"/>
        </w:rPr>
        <w:t>347.06%</w:t>
      </w:r>
      <w:r>
        <w:rPr>
          <w:spacing w:val="-2"/>
        </w:rPr>
        <w:t>，主要缘于金融终端业务和智慧教育业务收入和</w:t>
      </w:r>
      <w:r>
        <w:rPr>
          <w:spacing w:val="-48"/>
        </w:rPr>
        <w:t> </w:t>
      </w:r>
      <w:r>
        <w:rPr>
          <w:spacing w:val="-48"/>
        </w:rPr>
      </w:r>
      <w:r>
        <w:rPr/>
        <w:t>利润增长。</w:t>
      </w:r>
    </w:p>
    <w:p>
      <w:pPr>
        <w:pStyle w:val="BodyText"/>
        <w:spacing w:line="319" w:lineRule="auto" w:before="55"/>
        <w:ind w:right="1139" w:firstLine="360"/>
        <w:jc w:val="both"/>
      </w:pPr>
      <w:r>
        <w:rPr/>
        <w:t>报告期内，公司发生期间费用</w:t>
      </w:r>
      <w:r>
        <w:rPr>
          <w:rFonts w:ascii="宋体" w:hAnsi="宋体" w:cs="宋体" w:eastAsia="宋体" w:hint="default"/>
        </w:rPr>
        <w:t>51,277.27</w:t>
      </w:r>
      <w:r>
        <w:rPr/>
        <w:t>万元，较上年同期增长</w:t>
      </w:r>
      <w:r>
        <w:rPr>
          <w:rFonts w:ascii="宋体" w:hAnsi="宋体" w:cs="宋体" w:eastAsia="宋体" w:hint="default"/>
        </w:rPr>
        <w:t>13.52%</w:t>
      </w:r>
      <w:r>
        <w:rPr/>
        <w:t>，主要由于市场竞争日益激烈，公司为扩大产品 市场，提高产品竞争力，市场和研发投入分别较上年同期增长</w:t>
      </w:r>
      <w:r>
        <w:rPr>
          <w:rFonts w:ascii="宋体" w:hAnsi="宋体" w:cs="宋体" w:eastAsia="宋体" w:hint="default"/>
        </w:rPr>
        <w:t>13.79%</w:t>
      </w:r>
      <w:r>
        <w:rPr/>
        <w:t>和</w:t>
      </w:r>
      <w:r>
        <w:rPr>
          <w:rFonts w:ascii="宋体" w:hAnsi="宋体" w:cs="宋体" w:eastAsia="宋体" w:hint="default"/>
        </w:rPr>
        <w:t>10.67%</w:t>
      </w:r>
      <w:r>
        <w:rPr/>
        <w:t>。</w:t>
      </w:r>
    </w:p>
    <w:p>
      <w:pPr>
        <w:pStyle w:val="BodyText"/>
        <w:spacing w:line="319" w:lineRule="auto" w:before="55"/>
        <w:ind w:right="1132" w:firstLine="360"/>
        <w:jc w:val="both"/>
      </w:pPr>
      <w:r>
        <w:rPr>
          <w:spacing w:val="-2"/>
        </w:rPr>
        <w:t>报告期内，公司经营活动产生的现金流量净额为</w:t>
      </w:r>
      <w:r>
        <w:rPr>
          <w:rFonts w:ascii="宋体" w:hAnsi="宋体" w:cs="宋体" w:eastAsia="宋体" w:hint="default"/>
          <w:spacing w:val="-2"/>
        </w:rPr>
        <w:t>-1,119.43</w:t>
      </w:r>
      <w:r>
        <w:rPr>
          <w:spacing w:val="-2"/>
        </w:rPr>
        <w:t>万元，较上年同期减少</w:t>
      </w:r>
      <w:r>
        <w:rPr>
          <w:rFonts w:ascii="宋体" w:hAnsi="宋体" w:cs="宋体" w:eastAsia="宋体" w:hint="default"/>
          <w:spacing w:val="-2"/>
        </w:rPr>
        <w:t>19,754.17</w:t>
      </w:r>
      <w:r>
        <w:rPr>
          <w:spacing w:val="-2"/>
        </w:rPr>
        <w:t>万元，主要由于金融终端业</w:t>
      </w:r>
      <w:r>
        <w:rPr/>
        <w:t> 务收入规模同比增长，但其采购结算周期短于销售回款周期，使经营活动产生的现金流量净额减少。</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2,396,986,879.64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1,936,070,390.59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1"/>
                <w:sz w:val="18"/>
                <w:szCs w:val="18"/>
              </w:rPr>
              <w:t>：</w:t>
            </w: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2,392,607,583.85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1,931,962,306.16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2,392,607,583.85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1,931,962,306.16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23.84%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618,550,142.35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846,152,838.53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1,407,637,551.07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894,192,901.08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322,110,374.32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178,681,186.89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44,309,516.11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12,935,379.66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242.55%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2,349,563,435.19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1,869,883,299.93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43,044,148.66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62,079,006.23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1187" w:top="1100" w:bottom="1380" w:left="980" w:right="0"/>
        </w:sectPr>
      </w:pPr>
    </w:p>
    <w:p>
      <w:pPr>
        <w:pStyle w:val="BodyText"/>
        <w:spacing w:line="360" w:lineRule="auto" w:before="44"/>
        <w:ind w:left="514" w:right="-20" w:hanging="360"/>
        <w:jc w:val="left"/>
      </w:pPr>
      <w:r>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610"/>
        <w:gridCol w:w="1559"/>
        <w:gridCol w:w="930"/>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2,392,607,583.85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1,735,773,709.38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2.98</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618,550,142.35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459,640,151.72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1.24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1,407,637,551.07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1,153,218,717.62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1.24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322,110,374.32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93,990,727.51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9.23</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2,349,563,435.19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1,703,632,160.64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bl>
    <w:p>
      <w:pPr>
        <w:spacing w:line="240" w:lineRule="auto" w:before="8"/>
        <w:rPr>
          <w:rFonts w:ascii="宋体" w:hAnsi="宋体" w:cs="宋体" w:eastAsia="宋体" w:hint="default"/>
          <w:sz w:val="6"/>
          <w:szCs w:val="6"/>
        </w:rPr>
      </w:pPr>
    </w:p>
    <w:p>
      <w:pPr>
        <w:pStyle w:val="BodyText"/>
        <w:spacing w:line="319" w:lineRule="auto" w:before="44"/>
        <w:ind w:right="1114" w:firstLine="360"/>
        <w:jc w:val="left"/>
      </w:pPr>
      <w:r>
        <w:rPr/>
        <w:t>报告期内，公司智能卡产品营业收入和营业成本同比分别下降</w:t>
      </w:r>
      <w:r>
        <w:rPr>
          <w:spacing w:val="-41"/>
        </w:rPr>
        <w:t> </w:t>
      </w:r>
      <w:r>
        <w:rPr>
          <w:rFonts w:ascii="宋体" w:hAnsi="宋体" w:cs="宋体" w:eastAsia="宋体" w:hint="default"/>
        </w:rPr>
        <w:t>26.90%</w:t>
      </w:r>
      <w:r>
        <w:rPr/>
        <w:t>和</w:t>
      </w:r>
      <w:r>
        <w:rPr>
          <w:spacing w:val="-41"/>
        </w:rPr>
        <w:t> </w:t>
      </w:r>
      <w:r>
        <w:rPr>
          <w:rFonts w:ascii="宋体" w:hAnsi="宋体" w:cs="宋体" w:eastAsia="宋体" w:hint="default"/>
        </w:rPr>
        <w:t>28.10%</w:t>
      </w:r>
      <w:r>
        <w:rPr/>
        <w:t>，主要由于受市场竞争加剧影响，产品 销量和销售价格同比下降。</w:t>
      </w:r>
    </w:p>
    <w:p>
      <w:pPr>
        <w:pStyle w:val="BodyText"/>
        <w:spacing w:line="319" w:lineRule="auto" w:before="55"/>
        <w:ind w:right="1118" w:firstLine="360"/>
        <w:jc w:val="left"/>
      </w:pPr>
      <w:r>
        <w:rPr/>
        <w:t>报告期内，公司终端产品营业收入和营业成本同比分别增长</w:t>
      </w:r>
      <w:r>
        <w:rPr>
          <w:spacing w:val="-52"/>
        </w:rPr>
        <w:t> </w:t>
      </w:r>
      <w:r>
        <w:rPr>
          <w:rFonts w:ascii="宋体" w:hAnsi="宋体" w:cs="宋体" w:eastAsia="宋体" w:hint="default"/>
        </w:rPr>
        <w:t>57.42%</w:t>
      </w:r>
      <w:r>
        <w:rPr/>
        <w:t>和</w:t>
      </w:r>
      <w:r>
        <w:rPr>
          <w:spacing w:val="-52"/>
        </w:rPr>
        <w:t> </w:t>
      </w:r>
      <w:r>
        <w:rPr>
          <w:rFonts w:ascii="宋体" w:hAnsi="宋体" w:cs="宋体" w:eastAsia="宋体" w:hint="default"/>
          <w:spacing w:val="-4"/>
        </w:rPr>
        <w:t>55.06%</w:t>
      </w:r>
      <w:r>
        <w:rPr>
          <w:spacing w:val="-4"/>
        </w:rPr>
        <w:t>，主要由于</w:t>
      </w:r>
      <w:r>
        <w:rPr>
          <w:spacing w:val="-52"/>
        </w:rPr>
        <w:t> </w:t>
      </w:r>
      <w:r>
        <w:rPr>
          <w:rFonts w:ascii="宋体" w:hAnsi="宋体" w:cs="宋体" w:eastAsia="宋体" w:hint="default"/>
        </w:rPr>
        <w:t>mPOS</w:t>
      </w:r>
      <w:r>
        <w:rPr>
          <w:rFonts w:ascii="宋体" w:hAnsi="宋体" w:cs="宋体" w:eastAsia="宋体" w:hint="default"/>
          <w:spacing w:val="-52"/>
        </w:rPr>
        <w:t> </w:t>
      </w:r>
      <w:r>
        <w:rPr/>
        <w:t>和传统</w:t>
      </w:r>
      <w:r>
        <w:rPr>
          <w:spacing w:val="-52"/>
        </w:rPr>
        <w:t> </w:t>
      </w:r>
      <w:r>
        <w:rPr>
          <w:rFonts w:ascii="宋体" w:hAnsi="宋体" w:cs="宋体" w:eastAsia="宋体" w:hint="default"/>
        </w:rPr>
        <w:t>POS</w:t>
      </w:r>
      <w:r>
        <w:rPr>
          <w:rFonts w:ascii="宋体" w:hAnsi="宋体" w:cs="宋体" w:eastAsia="宋体" w:hint="default"/>
          <w:spacing w:val="-52"/>
        </w:rPr>
        <w:t> </w:t>
      </w:r>
      <w:r>
        <w:rPr/>
        <w:t>产品销量大幅 增长。</w:t>
      </w:r>
    </w:p>
    <w:p>
      <w:pPr>
        <w:pStyle w:val="BodyText"/>
        <w:spacing w:line="319" w:lineRule="auto" w:before="55"/>
        <w:ind w:right="1113" w:firstLine="360"/>
        <w:jc w:val="left"/>
      </w:pPr>
      <w:r>
        <w:rPr/>
        <w:t>报告期内，公司技术服务与开发收入和成本同比分别增长</w:t>
      </w:r>
      <w:r>
        <w:rPr>
          <w:spacing w:val="-40"/>
        </w:rPr>
        <w:t> </w:t>
      </w:r>
      <w:r>
        <w:rPr>
          <w:rFonts w:ascii="宋体" w:hAnsi="宋体" w:cs="宋体" w:eastAsia="宋体" w:hint="default"/>
        </w:rPr>
        <w:t>80.27%</w:t>
      </w:r>
      <w:r>
        <w:rPr/>
        <w:t>和</w:t>
      </w:r>
      <w:r>
        <w:rPr>
          <w:spacing w:val="-41"/>
        </w:rPr>
        <w:t> </w:t>
      </w:r>
      <w:r>
        <w:rPr>
          <w:rFonts w:ascii="宋体" w:hAnsi="宋体" w:cs="宋体" w:eastAsia="宋体" w:hint="default"/>
        </w:rPr>
        <w:t>36.94%</w:t>
      </w:r>
      <w:r>
        <w:rPr/>
        <w:t>，主要由于智慧教育业务收入同比增加；毛 利率同比增长</w:t>
      </w:r>
      <w:r>
        <w:rPr>
          <w:spacing w:val="-46"/>
        </w:rPr>
        <w:t> </w:t>
      </w:r>
      <w:r>
        <w:rPr>
          <w:rFonts w:ascii="宋体" w:hAnsi="宋体" w:cs="宋体" w:eastAsia="宋体" w:hint="default"/>
        </w:rPr>
        <w:t>9.23</w:t>
      </w:r>
      <w:r>
        <w:rPr>
          <w:rFonts w:ascii="宋体" w:hAnsi="宋体" w:cs="宋体" w:eastAsia="宋体" w:hint="default"/>
          <w:spacing w:val="-46"/>
        </w:rPr>
        <w:t> </w:t>
      </w:r>
      <w:r>
        <w:rPr/>
        <w:t>个百分点，主要由于智慧教育业务通过优化产品和服务方案，降低了项目交付成本。</w:t>
      </w:r>
    </w:p>
    <w:p>
      <w:pPr>
        <w:pStyle w:val="BodyText"/>
        <w:spacing w:line="240" w:lineRule="auto" w:before="137"/>
        <w:ind w:right="0"/>
        <w:jc w:val="left"/>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7"/>
        <w:ind w:right="0"/>
        <w:jc w:val="left"/>
      </w:pPr>
      <w:r>
        <w:rPr/>
        <w:t>□ 适用 √ 不适用</w:t>
      </w:r>
    </w:p>
    <w:p>
      <w:pPr>
        <w:spacing w:after="0" w:line="240" w:lineRule="auto"/>
        <w:jc w:val="left"/>
        <w:sectPr>
          <w:type w:val="continuous"/>
          <w:pgSz w:w="11910" w:h="16840"/>
          <w:pgMar w:top="1580" w:bottom="70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218,906,761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291,202,766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-24.83%</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218,092,939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288,897,593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-24.51%</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6,237,423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7,051,245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-11.54%</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240" w:lineRule="auto" w:before="11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620,798,191.91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720,847,452.96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4" w:right="0"/>
              <w:jc w:val="left"/>
              <w:rPr>
                <w:rFonts w:ascii="宋体" w:hAnsi="宋体" w:cs="宋体" w:eastAsia="宋体" w:hint="default"/>
                <w:sz w:val="18"/>
                <w:szCs w:val="18"/>
              </w:rPr>
            </w:pPr>
            <w:r>
              <w:rPr>
                <w:rFonts w:ascii="宋体"/>
                <w:sz w:val="18"/>
              </w:rPr>
              <w:t>-13.88%</w:t>
            </w:r>
          </w:p>
        </w:tc>
      </w:tr>
    </w:tbl>
    <w:p>
      <w:pPr>
        <w:spacing w:line="240" w:lineRule="auto" w:before="8"/>
        <w:rPr>
          <w:rFonts w:ascii="宋体" w:hAnsi="宋体" w:cs="宋体" w:eastAsia="宋体" w:hint="default"/>
          <w:sz w:val="6"/>
          <w:szCs w:val="6"/>
        </w:rPr>
      </w:pPr>
    </w:p>
    <w:p>
      <w:pPr>
        <w:pStyle w:val="BodyText"/>
        <w:spacing w:line="271" w:lineRule="auto" w:before="44"/>
        <w:ind w:right="1139" w:firstLine="360"/>
        <w:jc w:val="both"/>
        <w:rPr>
          <w:rFonts w:ascii="微软雅黑" w:hAnsi="微软雅黑" w:cs="微软雅黑" w:eastAsia="微软雅黑" w:hint="default"/>
        </w:rPr>
      </w:pPr>
      <w:r>
        <w:rPr/>
        <w:t>报告期内，公司产品原材料成本占总营业成本比重下降</w:t>
      </w:r>
      <w:r>
        <w:rPr>
          <w:rFonts w:ascii="宋体" w:hAnsi="宋体" w:cs="宋体" w:eastAsia="宋体" w:hint="default"/>
        </w:rPr>
        <w:t>13.62</w:t>
      </w:r>
      <w:r>
        <w:rPr/>
        <w:t>个百分点，主要由于采取外协加工生产模式的金融终端产 品销售规模增长，使外协加工成本占比进一步提升，原材料成本占比相应下降</w:t>
      </w:r>
      <w:r>
        <w:rPr>
          <w:rFonts w:ascii="微软雅黑" w:hAnsi="微软雅黑" w:cs="微软雅黑" w:eastAsia="微软雅黑" w:hint="default"/>
        </w:rPr>
        <w:t>｡</w:t>
      </w:r>
    </w:p>
    <w:p>
      <w:pPr>
        <w:spacing w:line="240" w:lineRule="auto" w:before="16"/>
        <w:rPr>
          <w:rFonts w:ascii="微软雅黑" w:hAnsi="微软雅黑" w:cs="微软雅黑" w:eastAsia="微软雅黑" w:hint="default"/>
          <w:sz w:val="16"/>
          <w:szCs w:val="1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是 □ 否</w:t>
      </w:r>
    </w:p>
    <w:p>
      <w:pPr>
        <w:pStyle w:val="BodyText"/>
        <w:spacing w:line="319" w:lineRule="auto" w:before="116"/>
        <w:ind w:right="1139" w:firstLine="360"/>
        <w:jc w:val="both"/>
      </w:pPr>
      <w:r>
        <w:rPr/>
        <w:t>报告期内，公司子公司天喻教育收购现代教育股权，现代教育于</w:t>
      </w:r>
      <w:r>
        <w:rPr>
          <w:rFonts w:ascii="宋体" w:hAnsi="宋体" w:cs="宋体" w:eastAsia="宋体" w:hint="default"/>
        </w:rPr>
        <w:t>2018</w:t>
      </w:r>
      <w:r>
        <w:rPr/>
        <w:t>年</w:t>
      </w:r>
      <w:r>
        <w:rPr>
          <w:rFonts w:ascii="宋体" w:hAnsi="宋体" w:cs="宋体" w:eastAsia="宋体" w:hint="default"/>
        </w:rPr>
        <w:t>3</w:t>
      </w:r>
      <w:r>
        <w:rPr/>
        <w:t>月完成相关股权转让的工商登记，天喻教育持 有现代教育</w:t>
      </w:r>
      <w:r>
        <w:rPr>
          <w:rFonts w:ascii="宋体" w:hAnsi="宋体" w:cs="宋体" w:eastAsia="宋体" w:hint="default"/>
        </w:rPr>
        <w:t>51%</w:t>
      </w:r>
      <w:r>
        <w:rPr/>
        <w:t>股权，现代教育纳入公司合并财务报表范围。</w:t>
      </w:r>
    </w:p>
    <w:p>
      <w:pPr>
        <w:pStyle w:val="BodyText"/>
        <w:spacing w:line="319" w:lineRule="auto" w:before="55"/>
        <w:ind w:right="1039" w:firstLine="360"/>
        <w:jc w:val="both"/>
      </w:pPr>
      <w:r>
        <w:rPr/>
        <w:t>报告期内，公司子公司天喻教育参与投资设立鱼渔课堂，鱼渔课堂于</w:t>
      </w:r>
      <w:r>
        <w:rPr>
          <w:rFonts w:ascii="宋体" w:hAnsi="宋体" w:cs="宋体" w:eastAsia="宋体" w:hint="default"/>
        </w:rPr>
        <w:t>2018</w:t>
      </w:r>
      <w:r>
        <w:rPr/>
        <w:t>年</w:t>
      </w:r>
      <w:r>
        <w:rPr>
          <w:rFonts w:ascii="宋体" w:hAnsi="宋体" w:cs="宋体" w:eastAsia="宋体" w:hint="default"/>
        </w:rPr>
        <w:t>4</w:t>
      </w:r>
      <w:r>
        <w:rPr/>
        <w:t>月完成工商注册登记，注册资本</w:t>
      </w:r>
      <w:r>
        <w:rPr>
          <w:rFonts w:ascii="宋体" w:hAnsi="宋体" w:cs="宋体" w:eastAsia="宋体" w:hint="default"/>
        </w:rPr>
        <w:t>500</w:t>
      </w:r>
      <w:r>
        <w:rPr/>
        <w:t>万元， 天喻教育出资比例为</w:t>
      </w:r>
      <w:r>
        <w:rPr>
          <w:rFonts w:ascii="宋体" w:hAnsi="宋体" w:cs="宋体" w:eastAsia="宋体" w:hint="default"/>
        </w:rPr>
        <w:t>60%</w:t>
      </w:r>
      <w:r>
        <w:rPr/>
        <w:t>，鱼渔课堂纳入公司合并财务报表范围。</w:t>
      </w:r>
    </w:p>
    <w:p>
      <w:pPr>
        <w:pStyle w:val="BodyText"/>
        <w:spacing w:line="319" w:lineRule="auto" w:before="55"/>
        <w:ind w:right="1132" w:firstLine="360"/>
        <w:jc w:val="both"/>
      </w:pPr>
      <w:r>
        <w:rPr>
          <w:spacing w:val="-2"/>
        </w:rPr>
        <w:t>报告期内，公司与子公司湖北百旺的自然人股东分别以各自持有的湖北百旺股权和现金共同投资设立百望信息。百望信</w:t>
      </w:r>
      <w:r>
        <w:rPr/>
        <w:t> 息于</w:t>
      </w:r>
      <w:r>
        <w:rPr>
          <w:rFonts w:ascii="宋体" w:hAnsi="宋体" w:cs="宋体" w:eastAsia="宋体" w:hint="default"/>
        </w:rPr>
        <w:t>2018</w:t>
      </w:r>
      <w:r>
        <w:rPr/>
        <w:t>年</w:t>
      </w:r>
      <w:r>
        <w:rPr>
          <w:rFonts w:ascii="宋体" w:hAnsi="宋体" w:cs="宋体" w:eastAsia="宋体" w:hint="default"/>
        </w:rPr>
        <w:t>2</w:t>
      </w:r>
      <w:r>
        <w:rPr/>
        <w:t>月完成工商注册登记，注册资本</w:t>
      </w:r>
      <w:r>
        <w:rPr>
          <w:rFonts w:ascii="宋体" w:hAnsi="宋体" w:cs="宋体" w:eastAsia="宋体" w:hint="default"/>
        </w:rPr>
        <w:t>2,140</w:t>
      </w:r>
      <w:r>
        <w:rPr/>
        <w:t>万元，公司出资比例为</w:t>
      </w:r>
      <w:r>
        <w:rPr>
          <w:rFonts w:ascii="宋体" w:hAnsi="宋体" w:cs="宋体" w:eastAsia="宋体" w:hint="default"/>
        </w:rPr>
        <w:t>80%</w:t>
      </w:r>
      <w:r>
        <w:rPr/>
        <w:t>，百望信息纳入公司合并财务报表范围。湖北 百旺于</w:t>
      </w:r>
      <w:r>
        <w:rPr>
          <w:rFonts w:ascii="宋体" w:hAnsi="宋体" w:cs="宋体" w:eastAsia="宋体" w:hint="default"/>
        </w:rPr>
        <w:t>2018</w:t>
      </w:r>
      <w:r>
        <w:rPr/>
        <w:t>年</w:t>
      </w:r>
      <w:r>
        <w:rPr>
          <w:rFonts w:ascii="宋体" w:hAnsi="宋体" w:cs="宋体" w:eastAsia="宋体" w:hint="default"/>
        </w:rPr>
        <w:t>5</w:t>
      </w:r>
      <w:r>
        <w:rPr/>
        <w:t>月完成股东变更的工商登记，成为百望信息全资子公司，纳入百望信息合并财务报表范围。</w:t>
      </w:r>
    </w:p>
    <w:p>
      <w:pPr>
        <w:pStyle w:val="BodyText"/>
        <w:spacing w:line="319" w:lineRule="auto" w:before="56"/>
        <w:ind w:right="1040" w:firstLine="360"/>
        <w:jc w:val="both"/>
      </w:pPr>
      <w:r>
        <w:rPr/>
        <w:t>报告期内，公司子公司天喻教育参与投资设立河南喻周，河南喻周于</w:t>
      </w:r>
      <w:r>
        <w:rPr>
          <w:rFonts w:ascii="宋体" w:hAnsi="宋体" w:cs="宋体" w:eastAsia="宋体" w:hint="default"/>
        </w:rPr>
        <w:t>2018</w:t>
      </w:r>
      <w:r>
        <w:rPr/>
        <w:t>年</w:t>
      </w:r>
      <w:r>
        <w:rPr>
          <w:rFonts w:ascii="宋体" w:hAnsi="宋体" w:cs="宋体" w:eastAsia="宋体" w:hint="default"/>
        </w:rPr>
        <w:t>8</w:t>
      </w:r>
      <w:r>
        <w:rPr/>
        <w:t>月完成工商注册登记，注册资本</w:t>
      </w:r>
      <w:r>
        <w:rPr>
          <w:rFonts w:ascii="宋体" w:hAnsi="宋体" w:cs="宋体" w:eastAsia="宋体" w:hint="default"/>
        </w:rPr>
        <w:t>500</w:t>
      </w:r>
      <w:r>
        <w:rPr/>
        <w:t>万元，</w:t>
      </w:r>
      <w:r>
        <w:rPr>
          <w:spacing w:val="1"/>
        </w:rPr>
        <w:t> </w:t>
      </w:r>
      <w:r>
        <w:rPr/>
        <w:t>天喻教育出资比例为</w:t>
      </w:r>
      <w:r>
        <w:rPr>
          <w:rFonts w:ascii="宋体" w:hAnsi="宋体" w:cs="宋体" w:eastAsia="宋体" w:hint="default"/>
        </w:rPr>
        <w:t>51%</w:t>
      </w:r>
      <w:r>
        <w:rPr/>
        <w:t>，河南喻周纳入公司合并财务报表范围。</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953,106,319.80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39.76%</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267,613,500.28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233,985,344.22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189,008,620.62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162,289,473.18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100,209,381.50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953,106,319.80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39.76%</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主要客户其他情况说明</w:t>
      </w:r>
    </w:p>
    <w:p>
      <w:pPr>
        <w:pStyle w:val="BodyText"/>
        <w:spacing w:line="439" w:lineRule="auto" w:before="117"/>
        <w:ind w:right="9132"/>
        <w:jc w:val="left"/>
      </w:pPr>
      <w:r>
        <w:rPr/>
        <w:pict>
          <v:shape style="position:absolute;margin-left:56.459999pt;margin-top:44.441715pt;width:479.2pt;height:60.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04"/>
                    <w:gridCol w:w="4464"/>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1,182,508,447.50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64.73%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
              </w:txbxContent>
            </v:textbox>
            <w10:wrap type="none"/>
          </v:shape>
        </w:pict>
      </w:r>
      <w:r>
        <w:rPr/>
        <w:t>□ 适用 √ 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497,075,814.28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314,565,909.19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177,973,284.70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113,385,391.26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79,508,048.07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1,182,508,447.50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64.73%</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主要供应商其他情况说明</w:t>
      </w:r>
    </w:p>
    <w:p>
      <w:pPr>
        <w:pStyle w:val="BodyText"/>
        <w:spacing w:line="240" w:lineRule="auto" w:before="116"/>
        <w:ind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139"/>
        <w:jc w:val="right"/>
      </w:pPr>
      <w:r>
        <w:rPr/>
        <w:pict>
          <v:shape style="position:absolute;margin-left:56.459999pt;margin-top:-76.82827pt;width:479.2pt;height:116.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373"/>
                    <w:gridCol w:w="1320"/>
                    <w:gridCol w:w="850"/>
                    <w:gridCol w:w="5032"/>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247,043,999.24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217,095,916.86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13.79%</w:t>
                        </w:r>
                      </w:p>
                    </w:tc>
                    <w:tc>
                      <w:tcPr>
                        <w:tcW w:w="50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73,855,037.87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64,068,529.64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15.28%</w:t>
                        </w:r>
                      </w:p>
                    </w:tc>
                    <w:tc>
                      <w:tcPr>
                        <w:tcW w:w="50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9,543,621.71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5,803,223.98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64.45%</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3"/>
                            <w:sz w:val="18"/>
                            <w:szCs w:val="18"/>
                          </w:rPr>
                          <w:t>受银行收紧人民币贷款影响，融资成本上升使得利息支出同比增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加；下半年人民币持续贬值，美元负债增加产生的汇兑损失增加</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182,330,033.35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164,754,562.83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10.67%</w:t>
                        </w:r>
                      </w:p>
                    </w:tc>
                    <w:tc>
                      <w:tcPr>
                        <w:tcW w:w="503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left="511" w:right="5895" w:hanging="358"/>
        <w:jc w:val="left"/>
      </w:pPr>
      <w:r>
        <w:rPr/>
        <w:t>√ 适用 □ 不适用 报告期内，公司加大研发投入力度，以提升产品竞争力。</w:t>
      </w:r>
    </w:p>
    <w:p>
      <w:pPr>
        <w:pStyle w:val="BodyText"/>
        <w:spacing w:line="202" w:lineRule="exact"/>
        <w:ind w:right="0" w:firstLine="360"/>
        <w:jc w:val="left"/>
      </w:pPr>
      <w:r>
        <w:rPr/>
        <w:t>公司开发多款基于国内外新工艺芯片的金融</w:t>
      </w:r>
      <w:r>
        <w:rPr>
          <w:rFonts w:ascii="宋体" w:hAnsi="宋体" w:cs="宋体" w:eastAsia="宋体" w:hint="default"/>
        </w:rPr>
        <w:t>IC</w:t>
      </w:r>
      <w:r>
        <w:rPr/>
        <w:t>卡产品，完成</w:t>
      </w:r>
      <w:r>
        <w:rPr>
          <w:rFonts w:ascii="宋体" w:hAnsi="宋体" w:cs="宋体" w:eastAsia="宋体" w:hint="default"/>
        </w:rPr>
        <w:t>VISA</w:t>
      </w:r>
      <w:r>
        <w:rPr/>
        <w:t>、</w:t>
      </w:r>
      <w:r>
        <w:rPr>
          <w:rFonts w:ascii="宋体" w:hAnsi="宋体" w:cs="宋体" w:eastAsia="宋体" w:hint="default"/>
        </w:rPr>
        <w:t>MasterCard</w:t>
      </w:r>
      <w:r>
        <w:rPr/>
        <w:t>中国应用产品的研发、认证，以把握国际</w:t>
      </w:r>
    </w:p>
    <w:p>
      <w:pPr>
        <w:pStyle w:val="BodyText"/>
        <w:spacing w:line="319" w:lineRule="auto" w:before="76"/>
        <w:ind w:right="1026"/>
        <w:jc w:val="left"/>
      </w:pPr>
      <w:r>
        <w:rPr/>
        <w:t>卡组织进入国内银行卡清算市场的契机；完成三大电信运营商基于低成本芯片的普通通信智能卡和</w:t>
      </w:r>
      <w:r>
        <w:rPr>
          <w:rFonts w:ascii="宋体" w:hAnsi="宋体" w:cs="宋体" w:eastAsia="宋体" w:hint="default"/>
        </w:rPr>
        <w:t>M2M</w:t>
      </w:r>
      <w:r>
        <w:rPr/>
        <w:t>产品、</w:t>
      </w:r>
      <w:r>
        <w:rPr>
          <w:rFonts w:ascii="宋体" w:hAnsi="宋体" w:cs="宋体" w:eastAsia="宋体" w:hint="default"/>
        </w:rPr>
        <w:t>eSIM</w:t>
      </w:r>
      <w:r>
        <w:rPr/>
        <w:t>和国密卡</w:t>
      </w:r>
      <w:r>
        <w:rPr>
          <w:spacing w:val="-82"/>
        </w:rPr>
        <w:t> </w:t>
      </w:r>
      <w:r>
        <w:rPr/>
        <w:t>等新产品的开发、备案工作，</w:t>
      </w:r>
      <w:r>
        <w:rPr>
          <w:rFonts w:ascii="宋体" w:hAnsi="宋体" w:cs="宋体" w:eastAsia="宋体" w:hint="default"/>
        </w:rPr>
        <w:t>eSIM</w:t>
      </w:r>
      <w:r>
        <w:rPr/>
        <w:t>连接管理系统通过</w:t>
      </w:r>
      <w:r>
        <w:rPr>
          <w:rFonts w:ascii="宋体" w:hAnsi="宋体" w:cs="宋体" w:eastAsia="宋体" w:hint="default"/>
        </w:rPr>
        <w:t>GSMA SAS-SM</w:t>
      </w:r>
      <w:r>
        <w:rPr/>
        <w:t>认证（全球移动通信系统协会安全标准认证），具备商用</w:t>
      </w:r>
      <w:r>
        <w:rPr>
          <w:spacing w:val="-85"/>
        </w:rPr>
        <w:t> </w:t>
      </w:r>
      <w:r>
        <w:rPr>
          <w:spacing w:val="-85"/>
        </w:rPr>
      </w:r>
      <w:r>
        <w:rPr>
          <w:spacing w:val="-3"/>
        </w:rPr>
        <w:t>能力。公司推出多款新型金融终端产品以顺应市场需求；进一步优化</w:t>
      </w:r>
      <w:r>
        <w:rPr>
          <w:rFonts w:ascii="宋体" w:hAnsi="宋体" w:cs="宋体" w:eastAsia="宋体" w:hint="default"/>
          <w:spacing w:val="-3"/>
        </w:rPr>
        <w:t>mPOS</w:t>
      </w:r>
      <w:r>
        <w:rPr>
          <w:spacing w:val="-3"/>
        </w:rPr>
        <w:t>系列产品的技术方案以降低产品成本；完成传统</w:t>
      </w:r>
      <w:r>
        <w:rPr>
          <w:rFonts w:ascii="宋体" w:hAnsi="宋体" w:cs="宋体" w:eastAsia="宋体" w:hint="default"/>
          <w:spacing w:val="-3"/>
        </w:rPr>
        <w:t>POS</w:t>
      </w:r>
      <w:r>
        <w:rPr>
          <w:rFonts w:ascii="宋体" w:hAnsi="宋体" w:cs="宋体" w:eastAsia="宋体" w:hint="default"/>
        </w:rPr>
        <w:t> </w:t>
      </w:r>
      <w:r>
        <w:rPr>
          <w:spacing w:val="-2"/>
        </w:rPr>
        <w:t>产品研发及各项银联认证，产品进入量产阶段；完成二维码</w:t>
      </w:r>
      <w:r>
        <w:rPr>
          <w:rFonts w:ascii="宋体" w:hAnsi="宋体" w:cs="宋体" w:eastAsia="宋体" w:hint="default"/>
          <w:spacing w:val="-2"/>
        </w:rPr>
        <w:t>POS</w:t>
      </w:r>
      <w:r>
        <w:rPr>
          <w:spacing w:val="-2"/>
        </w:rPr>
        <w:t>产品研发，并与多家收单机构展开合作；智能</w:t>
      </w:r>
      <w:r>
        <w:rPr>
          <w:rFonts w:ascii="宋体" w:hAnsi="宋体" w:cs="宋体" w:eastAsia="宋体" w:hint="default"/>
          <w:spacing w:val="-2"/>
        </w:rPr>
        <w:t>POS</w:t>
      </w:r>
      <w:r>
        <w:rPr>
          <w:spacing w:val="-2"/>
        </w:rPr>
        <w:t>产品首批通</w:t>
      </w:r>
      <w:r>
        <w:rPr>
          <w:spacing w:val="-60"/>
        </w:rPr>
        <w:t> </w:t>
      </w:r>
      <w:r>
        <w:rPr/>
        <w:t>过银联最佳实践测试，并通过</w:t>
      </w:r>
      <w:r>
        <w:rPr>
          <w:rFonts w:ascii="宋体" w:hAnsi="宋体" w:cs="宋体" w:eastAsia="宋体" w:hint="default"/>
        </w:rPr>
        <w:t>PCI</w:t>
      </w:r>
      <w:r>
        <w:rPr>
          <w:rFonts w:ascii="宋体" w:hAnsi="宋体" w:cs="宋体" w:eastAsia="宋体" w:hint="default"/>
          <w:spacing w:val="6"/>
        </w:rPr>
        <w:t> </w:t>
      </w:r>
      <w:r>
        <w:rPr>
          <w:rFonts w:ascii="宋体" w:hAnsi="宋体" w:cs="宋体" w:eastAsia="宋体" w:hint="default"/>
        </w:rPr>
        <w:t>SSC</w:t>
      </w:r>
      <w:r>
        <w:rPr/>
        <w:t>、</w:t>
      </w:r>
      <w:r>
        <w:rPr>
          <w:rFonts w:ascii="宋体" w:hAnsi="宋体" w:cs="宋体" w:eastAsia="宋体" w:hint="default"/>
        </w:rPr>
        <w:t>EMVCo</w:t>
      </w:r>
      <w:r>
        <w:rPr/>
        <w:t>、</w:t>
      </w:r>
      <w:r>
        <w:rPr>
          <w:rFonts w:ascii="宋体" w:hAnsi="宋体" w:cs="宋体" w:eastAsia="宋体" w:hint="default"/>
        </w:rPr>
        <w:t>VISA</w:t>
      </w:r>
      <w:r>
        <w:rPr/>
        <w:t>、</w:t>
      </w:r>
      <w:r>
        <w:rPr>
          <w:rFonts w:ascii="宋体" w:hAnsi="宋体" w:cs="宋体" w:eastAsia="宋体" w:hint="default"/>
        </w:rPr>
        <w:t>MasterCard</w:t>
      </w:r>
      <w:r>
        <w:rPr/>
        <w:t>等国际组织认证，产品在国内、国际市场更具竞争优势； </w:t>
      </w:r>
      <w:r>
        <w:rPr>
          <w:spacing w:val="-2"/>
        </w:rPr>
        <w:t>加大指纹支付、人脸支付等支付技术的研发投入力度，进一步丰富智能终端支付体系。公司围绕小微企业纳税人的办税服务</w:t>
      </w:r>
      <w:r>
        <w:rPr>
          <w:spacing w:val="-66"/>
        </w:rPr>
        <w:t> </w:t>
      </w:r>
      <w:r>
        <w:rPr>
          <w:spacing w:val="-66"/>
        </w:rPr>
      </w:r>
      <w:r>
        <w:rPr/>
        <w:t>需求以及国家税务总局推广电子发票的要求，持续开发和优化</w:t>
      </w:r>
      <w:r>
        <w:rPr>
          <w:rFonts w:ascii="宋体" w:hAnsi="宋体" w:cs="宋体" w:eastAsia="宋体" w:hint="default"/>
        </w:rPr>
        <w:t>580</w:t>
      </w:r>
      <w:r>
        <w:rPr/>
        <w:t>百赋通、</w:t>
      </w:r>
      <w:r>
        <w:rPr>
          <w:rFonts w:ascii="宋体" w:hAnsi="宋体" w:cs="宋体" w:eastAsia="宋体" w:hint="default"/>
        </w:rPr>
        <w:t>580</w:t>
      </w:r>
      <w:r>
        <w:rPr/>
        <w:t>百企通、</w:t>
      </w:r>
      <w:r>
        <w:rPr>
          <w:rFonts w:ascii="宋体" w:hAnsi="宋体" w:cs="宋体" w:eastAsia="宋体" w:hint="default"/>
        </w:rPr>
        <w:t>580</w:t>
      </w:r>
      <w:r>
        <w:rPr/>
        <w:t>百信通等税务增值服务产品，同</w:t>
      </w:r>
      <w:r>
        <w:rPr>
          <w:spacing w:val="-82"/>
        </w:rPr>
        <w:t> </w:t>
      </w:r>
      <w:r>
        <w:rPr>
          <w:spacing w:val="-82"/>
        </w:rPr>
      </w:r>
      <w:r>
        <w:rPr/>
        <w:t>时构建企业大数据平台，为提供精准多样的企业数据服务奠定基础。</w:t>
      </w:r>
    </w:p>
    <w:p>
      <w:pPr>
        <w:pStyle w:val="BodyText"/>
        <w:spacing w:line="319" w:lineRule="auto" w:before="55"/>
        <w:ind w:right="1032" w:firstLine="360"/>
        <w:jc w:val="left"/>
      </w:pPr>
      <w:r>
        <w:rPr>
          <w:spacing w:val="-5"/>
        </w:rPr>
        <w:t>公司基于教育云平台产品开发省级服务体系、全市一张网、区校一体化的全面解决方案；构建区校一体化教学管理体系，</w:t>
      </w:r>
      <w:r>
        <w:rPr/>
        <w:t> 推出优质内容智能组课及多种互动学科工具，促进教师规模化和常态化教学应用；发布纸笔智慧课堂方案，支持纸笔教学，</w:t>
      </w:r>
      <w:r>
        <w:rPr>
          <w:spacing w:val="-85"/>
        </w:rPr>
        <w:t> </w:t>
      </w:r>
      <w:r>
        <w:rPr>
          <w:spacing w:val="-85"/>
        </w:rPr>
      </w:r>
      <w:r>
        <w:rPr>
          <w:spacing w:val="-2"/>
        </w:rPr>
        <w:t>智能化采集学生纸笔书写数据，自动批改，实时反馈，提升课堂教学效率；在</w:t>
      </w:r>
      <w:r>
        <w:rPr>
          <w:rFonts w:ascii="宋体" w:hAnsi="宋体" w:cs="宋体" w:eastAsia="宋体" w:hint="default"/>
          <w:spacing w:val="-2"/>
        </w:rPr>
        <w:t>Android</w:t>
      </w:r>
      <w:r>
        <w:rPr>
          <w:spacing w:val="-2"/>
        </w:rPr>
        <w:t>版、</w:t>
      </w:r>
      <w:r>
        <w:rPr>
          <w:rFonts w:ascii="宋体" w:hAnsi="宋体" w:cs="宋体" w:eastAsia="宋体" w:hint="default"/>
          <w:spacing w:val="-2"/>
        </w:rPr>
        <w:t>Windows</w:t>
      </w:r>
      <w:r>
        <w:rPr>
          <w:spacing w:val="-2"/>
        </w:rPr>
        <w:t>版的基础上开发电子书包</w:t>
      </w:r>
      <w:r>
        <w:rPr>
          <w:spacing w:val="-52"/>
        </w:rPr>
        <w:t> </w:t>
      </w:r>
      <w:r>
        <w:rPr>
          <w:rFonts w:ascii="宋体" w:hAnsi="宋体" w:cs="宋体" w:eastAsia="宋体" w:hint="default"/>
          <w:spacing w:val="-2"/>
        </w:rPr>
        <w:t>iPad</w:t>
      </w:r>
      <w:r>
        <w:rPr>
          <w:spacing w:val="-2"/>
        </w:rPr>
        <w:t>版，为家长和学生提供更多选择方案，同时发布电子书包的终端管控系统，为学生提供绿色、安全的学习环境；重构慧</w:t>
      </w:r>
      <w:r>
        <w:rPr>
          <w:spacing w:val="-62"/>
        </w:rPr>
        <w:t> </w:t>
      </w:r>
      <w:r>
        <w:rPr>
          <w:spacing w:val="-62"/>
        </w:rPr>
      </w:r>
      <w:r>
        <w:rPr>
          <w:spacing w:val="-2"/>
        </w:rPr>
        <w:t>学产品线，实现阅卷产品的区校一体化、手阅网阅一体化和教研备课一体化；优化智慧校园基础平台和管理应用产品，开发</w:t>
      </w:r>
      <w:r>
        <w:rPr>
          <w:spacing w:val="-66"/>
        </w:rPr>
        <w:t> </w:t>
      </w:r>
      <w:r>
        <w:rPr>
          <w:spacing w:val="-66"/>
        </w:rPr>
      </w:r>
      <w:r>
        <w:rPr>
          <w:spacing w:val="-2"/>
        </w:rPr>
        <w:t>走班排课系统、校园大数据产品，整合学科教室、创客教室、生涯规划、校园安全等第三方校园产品，提升智慧校园综合解</w:t>
      </w:r>
      <w:r>
        <w:rPr>
          <w:spacing w:val="-68"/>
        </w:rPr>
        <w:t> </w:t>
      </w:r>
      <w:r>
        <w:rPr>
          <w:spacing w:val="-68"/>
        </w:rPr>
      </w:r>
      <w:r>
        <w:rPr/>
        <w:t>决方案的市场竞争力。</w:t>
      </w:r>
    </w:p>
    <w:p>
      <w:pPr>
        <w:pStyle w:val="BodyText"/>
        <w:spacing w:line="240" w:lineRule="auto" w:before="137"/>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2127"/>
        <w:gridCol w:w="2160"/>
        <w:gridCol w:w="216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37.29%</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205,149,925.10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164,754,562.83</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171,415,434.55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8.51%</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22,819,891.75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研发投入总额占营业收入的比重较上年发生显著变化的原因</w:t>
      </w:r>
    </w:p>
    <w:p>
      <w:pPr>
        <w:pStyle w:val="BodyText"/>
        <w:spacing w:line="439" w:lineRule="auto" w:before="116"/>
        <w:ind w:right="6792"/>
        <w:jc w:val="left"/>
      </w:pPr>
      <w:r>
        <w:rPr/>
        <w:t>□ 适用 √ 不适用 研发投入资本化率大幅变动的原因及其合理性说明</w:t>
      </w:r>
    </w:p>
    <w:p>
      <w:pPr>
        <w:pStyle w:val="BodyText"/>
        <w:spacing w:line="203" w:lineRule="exact"/>
        <w:ind w:right="0"/>
        <w:jc w:val="left"/>
      </w:pPr>
      <w:r>
        <w:rPr/>
        <w:t>√ 适用 □ 不适用</w:t>
      </w:r>
    </w:p>
    <w:p>
      <w:pPr>
        <w:pStyle w:val="BodyText"/>
        <w:spacing w:line="319" w:lineRule="auto" w:before="115"/>
        <w:ind w:right="1131" w:firstLine="360"/>
        <w:jc w:val="both"/>
      </w:pPr>
      <w:r>
        <w:rPr>
          <w:spacing w:val="-2"/>
        </w:rPr>
        <w:t>报告期内，公司子公司天喻教育全力构建依托于教育云平台的产品应用生态体系，从充分挖掘平台数据价值的角度重点</w:t>
      </w:r>
      <w:r>
        <w:rPr/>
        <w:t> </w:t>
      </w:r>
      <w:r>
        <w:rPr>
          <w:spacing w:val="-2"/>
        </w:rPr>
        <w:t>在精准教学和精准管理方向进行了技术开发战略布局。该类技术方向具备较强的市场前瞻性，且能充分体现公司智慧教育业</w:t>
      </w:r>
      <w:r>
        <w:rPr>
          <w:spacing w:val="-64"/>
        </w:rPr>
        <w:t> </w:t>
      </w:r>
      <w:r>
        <w:rPr>
          <w:spacing w:val="-64"/>
        </w:rPr>
      </w:r>
      <w:r>
        <w:rPr>
          <w:spacing w:val="-2"/>
        </w:rPr>
        <w:t>务技术开发水平，未来借助公司在教育云平台的服务优势将能实现较好的产品经济效益。因此，天喻教育对上述技术开发项</w:t>
      </w:r>
      <w:r>
        <w:rPr>
          <w:spacing w:val="-66"/>
        </w:rPr>
        <w:t> </w:t>
      </w:r>
      <w:r>
        <w:rPr>
          <w:spacing w:val="-66"/>
        </w:rPr>
      </w:r>
      <w:r>
        <w:rPr/>
        <w:t>目符合资本化条件的开发支出予以资本化处理。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8"/>
        <w:gridCol w:w="2410"/>
        <w:gridCol w:w="2411"/>
        <w:gridCol w:w="1770"/>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2,230,658,756.16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2,120,830,319.18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2,241,853,046.91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1,934,482,951.80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-11,194,290.75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186,347,367.38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-106.01%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545,629,859.21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3,638,627.29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14895.49%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556,027,362.48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123,916,857.86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348.71%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-10,397,503.27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-120,278,230.57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91.36%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364,968,350.00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380,000,000.00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-3.96%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331,873,269.62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463,179,470.41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33,095,080.38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-83,179,470.41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139.79%</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11,385,923.16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-17,952,242.50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163.42%</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相关数据同比发生重大变动的主要影响因素说明</w:t>
      </w:r>
    </w:p>
    <w:p>
      <w:pPr>
        <w:pStyle w:val="BodyText"/>
        <w:spacing w:line="240" w:lineRule="auto" w:before="116"/>
        <w:ind w:left="514" w:right="0"/>
        <w:jc w:val="left"/>
      </w:pPr>
      <w:r>
        <w:rPr/>
        <w:t>√ 适用 □ 不适用</w:t>
      </w:r>
    </w:p>
    <w:p>
      <w:pPr>
        <w:pStyle w:val="BodyText"/>
        <w:spacing w:line="319" w:lineRule="auto" w:before="115"/>
        <w:ind w:right="1130" w:firstLine="360"/>
        <w:jc w:val="both"/>
      </w:pPr>
      <w:r>
        <w:rPr>
          <w:spacing w:val="-1"/>
        </w:rPr>
        <w:t>报告期内，公司经营活动产生的现金流量净额较上年同期减少</w:t>
      </w:r>
      <w:r>
        <w:rPr>
          <w:spacing w:val="-30"/>
        </w:rPr>
        <w:t> </w:t>
      </w:r>
      <w:r>
        <w:rPr>
          <w:rFonts w:ascii="宋体" w:hAnsi="宋体" w:cs="宋体" w:eastAsia="宋体" w:hint="default"/>
          <w:spacing w:val="-1"/>
        </w:rPr>
        <w:t>106.01%</w:t>
      </w:r>
      <w:r>
        <w:rPr>
          <w:spacing w:val="-1"/>
        </w:rPr>
        <w:t>，主要由于金融终端业务收入规模同比增长，但</w:t>
      </w:r>
      <w:r>
        <w:rPr/>
        <w:t> 其采购结算周期短于销售回款周期，使经营活动产生的现金流量净额减少。</w:t>
      </w:r>
    </w:p>
    <w:p>
      <w:pPr>
        <w:pStyle w:val="BodyText"/>
        <w:spacing w:line="319" w:lineRule="auto" w:before="56"/>
        <w:ind w:right="1131" w:firstLine="360"/>
        <w:jc w:val="both"/>
      </w:pPr>
      <w:r>
        <w:rPr/>
        <w:t>报告期内，公司投资活动产生的现金流入和流出分别较上年同期增加</w:t>
      </w:r>
      <w:r>
        <w:rPr>
          <w:spacing w:val="-45"/>
        </w:rPr>
        <w:t> </w:t>
      </w:r>
      <w:r>
        <w:rPr>
          <w:rFonts w:ascii="宋体" w:hAnsi="宋体" w:cs="宋体" w:eastAsia="宋体" w:hint="default"/>
        </w:rPr>
        <w:t>14895.49%</w:t>
      </w:r>
      <w:r>
        <w:rPr/>
        <w:t>和</w:t>
      </w:r>
      <w:r>
        <w:rPr>
          <w:spacing w:val="-46"/>
        </w:rPr>
        <w:t> </w:t>
      </w:r>
      <w:r>
        <w:rPr>
          <w:rFonts w:ascii="宋体" w:hAnsi="宋体" w:cs="宋体" w:eastAsia="宋体" w:hint="default"/>
        </w:rPr>
        <w:t>348.71%</w:t>
      </w:r>
      <w:r>
        <w:rPr/>
        <w:t>，主要由于公司购买理财产 </w:t>
      </w:r>
      <w:r>
        <w:rPr>
          <w:spacing w:val="-3"/>
        </w:rPr>
        <w:t>品并到期赎回；投资活动产生的现金流量净额较上年同期增加</w:t>
      </w:r>
      <w:r>
        <w:rPr>
          <w:spacing w:val="-2"/>
        </w:rPr>
        <w:t> </w:t>
      </w:r>
      <w:r>
        <w:rPr>
          <w:rFonts w:ascii="宋体" w:hAnsi="宋体" w:cs="宋体" w:eastAsia="宋体" w:hint="default"/>
          <w:spacing w:val="-3"/>
        </w:rPr>
        <w:t>91.36%</w:t>
      </w:r>
      <w:r>
        <w:rPr>
          <w:spacing w:val="-3"/>
        </w:rPr>
        <w:t>，主要由于上年购买的理财产品于本报告期到期赎回。</w:t>
      </w:r>
    </w:p>
    <w:p>
      <w:pPr>
        <w:pStyle w:val="BodyText"/>
        <w:spacing w:line="439" w:lineRule="auto" w:before="56"/>
        <w:ind w:right="1437" w:firstLine="360"/>
        <w:jc w:val="left"/>
      </w:pPr>
      <w:r>
        <w:rPr/>
        <w:t>报告期内，公司筹资活动产生的现金流量净额较上年同期增加</w:t>
      </w:r>
      <w:r>
        <w:rPr>
          <w:spacing w:val="-45"/>
        </w:rPr>
        <w:t> </w:t>
      </w:r>
      <w:r>
        <w:rPr>
          <w:rFonts w:ascii="宋体" w:hAnsi="宋体" w:cs="宋体" w:eastAsia="宋体" w:hint="default"/>
        </w:rPr>
        <w:t>139.79%</w:t>
      </w:r>
      <w:r>
        <w:rPr/>
        <w:t>，主要由于经营活动产生的融资需求增加。 报告期内公司经营活动产生的现金净流量与本年度净利润存在重大差异的原因说明</w:t>
      </w:r>
    </w:p>
    <w:p>
      <w:pPr>
        <w:pStyle w:val="BodyText"/>
        <w:spacing w:line="203" w:lineRule="exact"/>
        <w:ind w:right="0"/>
        <w:jc w:val="left"/>
      </w:pPr>
      <w:r>
        <w:rPr/>
        <w:t>√ 适用 □ 不适用</w:t>
      </w:r>
    </w:p>
    <w:p>
      <w:pPr>
        <w:pStyle w:val="BodyText"/>
        <w:spacing w:line="319" w:lineRule="auto" w:before="116"/>
        <w:ind w:right="1131" w:firstLine="360"/>
        <w:jc w:val="both"/>
      </w:pPr>
      <w:r>
        <w:rPr>
          <w:spacing w:val="-2"/>
        </w:rPr>
        <w:t>报告期内，公司净利润为</w:t>
      </w:r>
      <w:r>
        <w:rPr>
          <w:rFonts w:ascii="宋体" w:hAnsi="宋体" w:cs="宋体" w:eastAsia="宋体" w:hint="default"/>
          <w:spacing w:val="-2"/>
        </w:rPr>
        <w:t>11,402.05</w:t>
      </w:r>
      <w:r>
        <w:rPr>
          <w:spacing w:val="-2"/>
        </w:rPr>
        <w:t>万元，与公司经营活动产生的现金流量净额</w:t>
      </w:r>
      <w:r>
        <w:rPr>
          <w:rFonts w:ascii="宋体" w:hAnsi="宋体" w:cs="宋体" w:eastAsia="宋体" w:hint="default"/>
          <w:spacing w:val="-2"/>
        </w:rPr>
        <w:t>-1,119.43</w:t>
      </w:r>
      <w:r>
        <w:rPr>
          <w:spacing w:val="-2"/>
        </w:rPr>
        <w:t>万元相差</w:t>
      </w:r>
      <w:r>
        <w:rPr>
          <w:rFonts w:ascii="宋体" w:hAnsi="宋体" w:cs="宋体" w:eastAsia="宋体" w:hint="default"/>
          <w:spacing w:val="-2"/>
        </w:rPr>
        <w:t>-12,521.48</w:t>
      </w:r>
      <w:r>
        <w:rPr>
          <w:spacing w:val="-2"/>
        </w:rPr>
        <w:t>万元，主</w:t>
      </w:r>
      <w:r>
        <w:rPr/>
        <w:t> </w:t>
      </w:r>
      <w:r>
        <w:rPr>
          <w:spacing w:val="-5"/>
        </w:rPr>
        <w:t>要是报告期内发生不影响经营性现金流量的费用（固定资产折旧、无形资产摊销、长期待摊费用摊销、利息支出、汇兑损益）</w:t>
      </w:r>
      <w:r>
        <w:rPr>
          <w:spacing w:val="-79"/>
        </w:rPr>
        <w:t> </w:t>
      </w:r>
      <w:r>
        <w:rPr>
          <w:spacing w:val="-79"/>
        </w:rPr>
      </w:r>
      <w:r>
        <w:rPr>
          <w:spacing w:val="-2"/>
        </w:rPr>
        <w:t>以及资产减值准备分别影响</w:t>
      </w:r>
      <w:r>
        <w:rPr>
          <w:rFonts w:ascii="宋体" w:hAnsi="宋体" w:cs="宋体" w:eastAsia="宋体" w:hint="default"/>
          <w:spacing w:val="-2"/>
        </w:rPr>
        <w:t>5,259.33</w:t>
      </w:r>
      <w:r>
        <w:rPr>
          <w:spacing w:val="-2"/>
        </w:rPr>
        <w:t>万元和</w:t>
      </w:r>
      <w:r>
        <w:rPr>
          <w:rFonts w:ascii="宋体" w:hAnsi="宋体" w:cs="宋体" w:eastAsia="宋体" w:hint="default"/>
          <w:spacing w:val="-2"/>
        </w:rPr>
        <w:t>7,839.28</w:t>
      </w:r>
      <w:r>
        <w:rPr>
          <w:spacing w:val="-2"/>
        </w:rPr>
        <w:t>万元，报告期内存货减少影响</w:t>
      </w:r>
      <w:r>
        <w:rPr>
          <w:rFonts w:ascii="宋体" w:hAnsi="宋体" w:cs="宋体" w:eastAsia="宋体" w:hint="default"/>
          <w:spacing w:val="-2"/>
        </w:rPr>
        <w:t>4,514.72</w:t>
      </w:r>
      <w:r>
        <w:rPr>
          <w:spacing w:val="-2"/>
        </w:rPr>
        <w:t>万元，递延所得税资产、经营性</w:t>
      </w:r>
      <w:r>
        <w:rPr>
          <w:spacing w:val="-43"/>
        </w:rPr>
        <w:t> </w:t>
      </w:r>
      <w:r>
        <w:rPr>
          <w:spacing w:val="-43"/>
        </w:rPr>
      </w:r>
      <w:r>
        <w:rPr/>
        <w:t>应收项目、经营性应付项目增加影响</w:t>
      </w:r>
      <w:r>
        <w:rPr>
          <w:rFonts w:ascii="宋体" w:hAnsi="宋体" w:cs="宋体" w:eastAsia="宋体" w:hint="default"/>
        </w:rPr>
        <w:t>-29,129.79</w:t>
      </w:r>
      <w:r>
        <w:rPr/>
        <w:t>万元。</w:t>
      </w:r>
    </w:p>
    <w:p>
      <w:pPr>
        <w:spacing w:after="0" w:line="319" w:lineRule="auto"/>
        <w:jc w:val="both"/>
        <w:sectPr>
          <w:pgSz w:w="11910" w:h="16840"/>
          <w:pgMar w:header="877"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294" w:right="2832"/>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294" w:right="2832"/>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994"/>
        <w:gridCol w:w="1416"/>
        <w:gridCol w:w="1419"/>
        <w:gridCol w:w="3118"/>
        <w:gridCol w:w="2622"/>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84,214,838.76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根据公司会计政策计提的应收款项坏账 准备和存货跌价准备。</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70,393,974.82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主要是确认的与收益相关的政府补助。</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294" w:right="2832"/>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94" w:right="2832"/>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4"/>
        <w:ind w:left="0" w:right="892"/>
        <w:jc w:val="right"/>
      </w:pPr>
      <w:r>
        <w:rPr/>
        <w:pict>
          <v:shape style="position:absolute;margin-left:47.52pt;margin-top:-76.748291pt;width:500.55pt;height:355.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1398"/>
                    <w:gridCol w:w="857"/>
                    <w:gridCol w:w="1402"/>
                    <w:gridCol w:w="880"/>
                    <w:gridCol w:w="1092"/>
                    <w:gridCol w:w="2666"/>
                  </w:tblGrid>
                  <w:tr>
                    <w:trPr>
                      <w:trHeight w:val="402" w:hRule="exact"/>
                    </w:trPr>
                    <w:tc>
                      <w:tcPr>
                        <w:tcW w:w="1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8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701" w:type="dxa"/>
                        <w:vMerge/>
                        <w:tcBorders>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3" w:right="6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4" w:right="7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092" w:type="dxa"/>
                        <w:vMerge/>
                        <w:tcBorders>
                          <w:left w:val="single" w:sz="4" w:space="0" w:color="000000"/>
                          <w:bottom w:val="single" w:sz="4" w:space="0" w:color="000000"/>
                          <w:right w:val="single" w:sz="4" w:space="0" w:color="000000"/>
                        </w:tcBorders>
                      </w:tcPr>
                      <w:p>
                        <w:pPr/>
                      </w:p>
                    </w:tc>
                    <w:tc>
                      <w:tcPr>
                        <w:tcW w:w="2666" w:type="dxa"/>
                        <w:vMerge/>
                        <w:tcBorders>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452,372,720.29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384,869,771.51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0.61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732,900,766.71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34.96%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514,420,932.15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6.93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金融终端产品销售收入大幅增长 使未达结算期的应收款项增加。</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262,206,102.60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358,312,958.06</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-7.01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72,035,686.11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3.44%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8,866,860.76</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2.96</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公司参与投资设立了武信天喻、兴</w:t>
                        </w:r>
                        <w:r>
                          <w:rPr>
                            <w:rFonts w:ascii="宋体" w:hAnsi="宋体" w:cs="宋体" w:eastAsia="宋体" w:hint="default"/>
                            <w:sz w:val="18"/>
                            <w:szCs w:val="18"/>
                          </w:rPr>
                          <w:t> 华教投和聚联智慧。</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181,733,226.62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194,066,073.15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-1.90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2.49</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经营活动产生的融资需求增加。</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107,813,149.59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5.12</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金融终端业务票据结算量大幅增 长。</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3,866,466.03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0.18%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84,543,742.38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-4.43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上年末公司持有的银行理财产品 于本报告期到期赎回。</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105,853,064.80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-3.17</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491,841,652.24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23.46%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407,907,578.60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1.23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85,229,908.37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4.07%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56,719,078.31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0.98</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公司计提的员工年终绩效考核奖 金增加。</w:t>
                        </w:r>
                      </w:p>
                    </w:tc>
                  </w:tr>
                </w:tbl>
                <w:p>
                  <w:pPr/>
                </w:p>
              </w:txbxContent>
            </v:textbox>
            <w10:wrap type="none"/>
          </v:shape>
        </w:pict>
      </w:r>
      <w:r>
        <w:rPr/>
        <w:t>，</w:t>
      </w:r>
    </w:p>
    <w:p>
      <w:pPr>
        <w:spacing w:after="0" w:line="240" w:lineRule="auto"/>
        <w:jc w:val="right"/>
        <w:sectPr>
          <w:pgSz w:w="11910" w:h="16840"/>
          <w:pgMar w:header="877" w:footer="1187" w:top="1100" w:bottom="1380" w:left="84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1357"/>
        <w:gridCol w:w="911"/>
        <w:gridCol w:w="868"/>
        <w:gridCol w:w="880"/>
        <w:gridCol w:w="1370"/>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1" w:right="11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3" w:right="4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9" w:right="8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8" w:right="69"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4" w:right="73"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7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148,874,906.40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90,421,064.80</w:t>
            </w:r>
          </w:p>
        </w:tc>
        <w:tc>
          <w:tcPr>
            <w:tcW w:w="91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103,953,064.80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148,874,906.40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90,421,064.80</w:t>
            </w:r>
          </w:p>
        </w:tc>
        <w:tc>
          <w:tcPr>
            <w:tcW w:w="91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103,953,064.80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91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报告期内公司主要资产计量属性是否发生重大变化</w:t>
      </w:r>
    </w:p>
    <w:p>
      <w:pPr>
        <w:pStyle w:val="BodyText"/>
        <w:spacing w:line="240" w:lineRule="auto" w:before="116"/>
        <w:ind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宋体" w:hAnsi="宋体" w:cs="宋体" w:eastAsia="宋体" w:hint="default"/>
        </w:rPr>
        <w:t>3</w:t>
      </w:r>
      <w:r>
        <w:rPr/>
        <w:t>、截至报告期末的资产权利受限情况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575,880,781.25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7" w:right="0"/>
              <w:jc w:val="left"/>
              <w:rPr>
                <w:rFonts w:ascii="宋体" w:hAnsi="宋体" w:cs="宋体" w:eastAsia="宋体" w:hint="default"/>
                <w:sz w:val="18"/>
                <w:szCs w:val="18"/>
              </w:rPr>
            </w:pPr>
            <w:r>
              <w:rPr>
                <w:rFonts w:ascii="宋体"/>
                <w:sz w:val="18"/>
              </w:rPr>
              <w:t>108,799,820.43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429.30%</w:t>
            </w:r>
          </w:p>
        </w:tc>
      </w:tr>
    </w:tbl>
    <w:p>
      <w:pPr>
        <w:spacing w:line="240" w:lineRule="auto" w:before="8"/>
        <w:rPr>
          <w:rFonts w:ascii="宋体" w:hAnsi="宋体" w:cs="宋体" w:eastAsia="宋体" w:hint="default"/>
          <w:sz w:val="6"/>
          <w:szCs w:val="6"/>
        </w:rPr>
      </w:pPr>
    </w:p>
    <w:p>
      <w:pPr>
        <w:pStyle w:val="BodyText"/>
        <w:spacing w:line="319" w:lineRule="auto" w:before="44"/>
        <w:ind w:right="1116" w:firstLine="360"/>
        <w:jc w:val="left"/>
      </w:pPr>
      <w:r>
        <w:rPr/>
        <w:t>报告期内，公司购买保本型理财产品</w:t>
      </w:r>
      <w:r>
        <w:rPr>
          <w:spacing w:val="-43"/>
        </w:rPr>
        <w:t> </w:t>
      </w:r>
      <w:r>
        <w:rPr>
          <w:rFonts w:ascii="宋体" w:hAnsi="宋体" w:cs="宋体" w:eastAsia="宋体" w:hint="default"/>
        </w:rPr>
        <w:t>4.5</w:t>
      </w:r>
      <w:r>
        <w:rPr>
          <w:rFonts w:ascii="宋体" w:hAnsi="宋体" w:cs="宋体" w:eastAsia="宋体" w:hint="default"/>
          <w:spacing w:val="-44"/>
        </w:rPr>
        <w:t> </w:t>
      </w:r>
      <w:r>
        <w:rPr/>
        <w:t>亿元，股权投资</w:t>
      </w:r>
      <w:r>
        <w:rPr>
          <w:spacing w:val="-43"/>
        </w:rPr>
        <w:t> </w:t>
      </w:r>
      <w:r>
        <w:rPr>
          <w:rFonts w:ascii="宋体" w:hAnsi="宋体" w:cs="宋体" w:eastAsia="宋体" w:hint="default"/>
        </w:rPr>
        <w:t>1.08</w:t>
      </w:r>
      <w:r>
        <w:rPr>
          <w:rFonts w:ascii="宋体" w:hAnsi="宋体" w:cs="宋体" w:eastAsia="宋体" w:hint="default"/>
          <w:spacing w:val="-44"/>
        </w:rPr>
        <w:t> </w:t>
      </w:r>
      <w:r>
        <w:rPr/>
        <w:t>亿元（包括对武信天喻、现代教育、鱼渔课堂、百望信 </w:t>
      </w:r>
      <w:r>
        <w:rPr>
          <w:spacing w:val="-4"/>
        </w:rPr>
        <w:t>息、兴华教投、河南喻周、聚联智慧、易考乐学的投资）。</w:t>
      </w:r>
    </w:p>
    <w:p>
      <w:pPr>
        <w:pStyle w:val="BodyText"/>
        <w:spacing w:line="240" w:lineRule="auto" w:before="56"/>
        <w:ind w:left="514" w:right="0"/>
        <w:jc w:val="left"/>
      </w:pPr>
      <w:r>
        <w:rPr/>
        <w:t>公司与武汉信用投资集团股份有限公司共同投资设立武信天喻，围绕公司现有业务方向及未来衍生业务方向进行投资</w:t>
      </w:r>
    </w:p>
    <w:p>
      <w:pPr>
        <w:pStyle w:val="BodyText"/>
        <w:spacing w:line="240" w:lineRule="auto" w:before="76"/>
        <w:ind w:right="0"/>
        <w:jc w:val="both"/>
      </w:pPr>
      <w:r>
        <w:rPr/>
        <w:t>（详见公司于</w:t>
      </w:r>
      <w:r>
        <w:rPr>
          <w:spacing w:val="-44"/>
        </w:rPr>
        <w:t> </w:t>
      </w:r>
      <w:r>
        <w:rPr>
          <w:rFonts w:ascii="宋体" w:hAnsi="宋体" w:cs="宋体" w:eastAsia="宋体" w:hint="default"/>
        </w:rPr>
        <w:t>2018</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8</w:t>
      </w:r>
      <w:r>
        <w:rPr>
          <w:rFonts w:ascii="宋体" w:hAnsi="宋体" w:cs="宋体" w:eastAsia="宋体" w:hint="default"/>
          <w:spacing w:val="-45"/>
        </w:rPr>
        <w:t> </w:t>
      </w:r>
      <w:r>
        <w:rPr/>
        <w:t>日在中国证监会指定信息披露网站披露的《关于参与投资设立武汉武信天喻科技投资有限公司</w:t>
      </w:r>
    </w:p>
    <w:p>
      <w:pPr>
        <w:pStyle w:val="BodyText"/>
        <w:spacing w:line="319" w:lineRule="auto" w:before="76"/>
        <w:ind w:right="1129"/>
        <w:jc w:val="both"/>
      </w:pPr>
      <w:r>
        <w:rPr>
          <w:spacing w:val="-17"/>
        </w:rPr>
        <w:t>的公告》）。武信天喻于</w:t>
      </w:r>
      <w:r>
        <w:rPr>
          <w:spacing w:val="-36"/>
        </w:rPr>
        <w:t> </w:t>
      </w:r>
      <w:r>
        <w:rPr>
          <w:rFonts w:ascii="宋体" w:hAnsi="宋体" w:cs="宋体" w:eastAsia="宋体" w:hint="default"/>
        </w:rPr>
        <w:t>2018</w:t>
      </w:r>
      <w:r>
        <w:rPr>
          <w:rFonts w:ascii="宋体" w:hAnsi="宋体" w:cs="宋体" w:eastAsia="宋体" w:hint="default"/>
          <w:spacing w:val="-38"/>
        </w:rPr>
        <w:t> </w:t>
      </w:r>
      <w:r>
        <w:rPr/>
        <w:t>年</w:t>
      </w:r>
      <w:r>
        <w:rPr>
          <w:spacing w:val="-38"/>
        </w:rPr>
        <w:t> </w:t>
      </w:r>
      <w:r>
        <w:rPr>
          <w:rFonts w:ascii="宋体" w:hAnsi="宋体" w:cs="宋体" w:eastAsia="宋体" w:hint="default"/>
        </w:rPr>
        <w:t>2</w:t>
      </w:r>
      <w:r>
        <w:rPr>
          <w:rFonts w:ascii="宋体" w:hAnsi="宋体" w:cs="宋体" w:eastAsia="宋体" w:hint="default"/>
          <w:spacing w:val="-38"/>
        </w:rPr>
        <w:t> </w:t>
      </w:r>
      <w:r>
        <w:rPr/>
        <w:t>月完成工商注册登记，注册资本</w:t>
      </w:r>
      <w:r>
        <w:rPr>
          <w:spacing w:val="-36"/>
        </w:rPr>
        <w:t> </w:t>
      </w:r>
      <w:r>
        <w:rPr>
          <w:rFonts w:ascii="宋体" w:hAnsi="宋体" w:cs="宋体" w:eastAsia="宋体" w:hint="default"/>
        </w:rPr>
        <w:t>2</w:t>
      </w:r>
      <w:r>
        <w:rPr>
          <w:rFonts w:ascii="宋体" w:hAnsi="宋体" w:cs="宋体" w:eastAsia="宋体" w:hint="default"/>
          <w:spacing w:val="-38"/>
        </w:rPr>
        <w:t> </w:t>
      </w:r>
      <w:r>
        <w:rPr/>
        <w:t>亿元，公司出资比例为</w:t>
      </w:r>
      <w:r>
        <w:rPr>
          <w:spacing w:val="-36"/>
        </w:rPr>
        <w:t> </w:t>
      </w:r>
      <w:r>
        <w:rPr>
          <w:rFonts w:ascii="宋体" w:hAnsi="宋体" w:cs="宋体" w:eastAsia="宋体" w:hint="default"/>
        </w:rPr>
        <w:t>25%</w:t>
      </w:r>
      <w:r>
        <w:rPr/>
        <w:t>。截至报告期末，武信天喻 股东已完成实缴出资。</w:t>
      </w:r>
    </w:p>
    <w:p>
      <w:pPr>
        <w:pStyle w:val="BodyText"/>
        <w:spacing w:line="316" w:lineRule="auto" w:before="55"/>
        <w:ind w:right="1115" w:firstLine="360"/>
        <w:jc w:val="left"/>
      </w:pPr>
      <w:r>
        <w:rPr/>
        <w:t>为推进智慧教育业务在山东市场的发展，公司子公司天喻教育以现金</w:t>
      </w:r>
      <w:r>
        <w:rPr>
          <w:spacing w:val="-50"/>
        </w:rPr>
        <w:t> </w:t>
      </w:r>
      <w:r>
        <w:rPr>
          <w:rFonts w:ascii="宋体" w:hAnsi="宋体" w:cs="宋体" w:eastAsia="宋体" w:hint="default"/>
        </w:rPr>
        <w:t>2,400</w:t>
      </w:r>
      <w:r>
        <w:rPr>
          <w:rFonts w:ascii="宋体" w:hAnsi="宋体" w:cs="宋体" w:eastAsia="宋体" w:hint="default"/>
          <w:spacing w:val="-51"/>
        </w:rPr>
        <w:t> </w:t>
      </w:r>
      <w:r>
        <w:rPr/>
        <w:t>万元收购孙弋持有的现代教育</w:t>
      </w:r>
      <w:r>
        <w:rPr>
          <w:spacing w:val="-51"/>
        </w:rPr>
        <w:t> </w:t>
      </w:r>
      <w:r>
        <w:rPr>
          <w:rFonts w:ascii="宋体" w:hAnsi="宋体" w:cs="宋体" w:eastAsia="宋体" w:hint="default"/>
          <w:spacing w:val="-3"/>
        </w:rPr>
        <w:t>51%</w:t>
      </w:r>
      <w:r>
        <w:rPr>
          <w:spacing w:val="-3"/>
        </w:rPr>
        <w:t>股权（详</w:t>
      </w:r>
      <w:r>
        <w:rPr/>
        <w:t> 见公司于</w:t>
      </w:r>
      <w:r>
        <w:rPr>
          <w:spacing w:val="-44"/>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8</w:t>
      </w:r>
      <w:r>
        <w:rPr>
          <w:rFonts w:ascii="宋体" w:hAnsi="宋体" w:cs="宋体" w:eastAsia="宋体" w:hint="default"/>
          <w:spacing w:val="-45"/>
        </w:rPr>
        <w:t> </w:t>
      </w:r>
      <w:r>
        <w:rPr/>
        <w:t>日在中国证监会指定信息披露网站披露的《关于控股子公司收购山东爱书人现代教育科技有限公司</w:t>
      </w:r>
    </w:p>
    <w:p>
      <w:pPr>
        <w:pStyle w:val="BodyText"/>
        <w:spacing w:line="319" w:lineRule="auto" w:before="19"/>
        <w:ind w:right="1132"/>
        <w:jc w:val="both"/>
      </w:pPr>
      <w:r>
        <w:rPr>
          <w:spacing w:val="-9"/>
        </w:rPr>
        <w:t>股权暨质押其中部分股权的公告》）。现代教育于</w:t>
      </w:r>
      <w:r>
        <w:rPr>
          <w:spacing w:val="-39"/>
        </w:rPr>
        <w:t> </w:t>
      </w:r>
      <w:r>
        <w:rPr>
          <w:rFonts w:ascii="宋体" w:hAnsi="宋体" w:cs="宋体" w:eastAsia="宋体" w:hint="default"/>
        </w:rPr>
        <w:t>2018</w:t>
      </w:r>
      <w:r>
        <w:rPr>
          <w:rFonts w:ascii="宋体" w:hAnsi="宋体" w:cs="宋体" w:eastAsia="宋体" w:hint="default"/>
          <w:spacing w:val="-40"/>
        </w:rPr>
        <w:t> </w:t>
      </w:r>
      <w:r>
        <w:rPr/>
        <w:t>年</w:t>
      </w:r>
      <w:r>
        <w:rPr>
          <w:spacing w:val="-40"/>
        </w:rPr>
        <w:t> </w:t>
      </w:r>
      <w:r>
        <w:rPr>
          <w:rFonts w:ascii="宋体" w:hAnsi="宋体" w:cs="宋体" w:eastAsia="宋体" w:hint="default"/>
        </w:rPr>
        <w:t>3</w:t>
      </w:r>
      <w:r>
        <w:rPr>
          <w:rFonts w:ascii="宋体" w:hAnsi="宋体" w:cs="宋体" w:eastAsia="宋体" w:hint="default"/>
          <w:spacing w:val="-40"/>
        </w:rPr>
        <w:t> </w:t>
      </w:r>
      <w:r>
        <w:rPr/>
        <w:t>月完成本次股权转让相关工商变更登记，天喻教育持有现代教育 </w:t>
      </w:r>
      <w:r>
        <w:rPr>
          <w:rFonts w:ascii="宋体" w:hAnsi="宋体" w:cs="宋体" w:eastAsia="宋体" w:hint="default"/>
          <w:spacing w:val="-6"/>
        </w:rPr>
        <w:t>51%</w:t>
      </w:r>
      <w:r>
        <w:rPr>
          <w:spacing w:val="-6"/>
        </w:rPr>
        <w:t>股权，现代教育纳入公司合并财务报表范围。天喻教育与孙弋于</w:t>
      </w:r>
      <w:r>
        <w:rPr>
          <w:spacing w:val="-57"/>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月办理现代教育</w:t>
      </w:r>
      <w:r>
        <w:rPr>
          <w:spacing w:val="-59"/>
        </w:rPr>
        <w:t> </w:t>
      </w:r>
      <w:r>
        <w:rPr>
          <w:rFonts w:ascii="宋体" w:hAnsi="宋体" w:cs="宋体" w:eastAsia="宋体" w:hint="default"/>
        </w:rPr>
        <w:t>17%</w:t>
      </w:r>
      <w:r>
        <w:rPr/>
        <w:t>和</w:t>
      </w:r>
      <w:r>
        <w:rPr>
          <w:spacing w:val="-59"/>
        </w:rPr>
        <w:t> </w:t>
      </w:r>
      <w:r>
        <w:rPr>
          <w:rFonts w:ascii="宋体" w:hAnsi="宋体" w:cs="宋体" w:eastAsia="宋体" w:hint="default"/>
        </w:rPr>
        <w:t>8.5%</w:t>
      </w:r>
      <w:r>
        <w:rPr/>
        <w:t>股权出质登记手续， 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月办理上述</w:t>
      </w:r>
      <w:r>
        <w:rPr>
          <w:spacing w:val="-46"/>
        </w:rPr>
        <w:t> </w:t>
      </w:r>
      <w:r>
        <w:rPr>
          <w:rFonts w:ascii="宋体" w:hAnsi="宋体" w:cs="宋体" w:eastAsia="宋体" w:hint="default"/>
        </w:rPr>
        <w:t>17%</w:t>
      </w:r>
      <w:r>
        <w:rPr/>
        <w:t>股权出质注销登记手续。截至报告期末，天喻教育已向孙弋支付</w:t>
      </w:r>
      <w:r>
        <w:rPr>
          <w:spacing w:val="-45"/>
        </w:rPr>
        <w:t> </w:t>
      </w:r>
      <w:r>
        <w:rPr>
          <w:rFonts w:ascii="宋体" w:hAnsi="宋体" w:cs="宋体" w:eastAsia="宋体" w:hint="default"/>
        </w:rPr>
        <w:t>2,000</w:t>
      </w:r>
      <w:r>
        <w:rPr>
          <w:rFonts w:ascii="宋体" w:hAnsi="宋体" w:cs="宋体" w:eastAsia="宋体" w:hint="default"/>
          <w:spacing w:val="-45"/>
        </w:rPr>
        <w:t> </w:t>
      </w:r>
      <w:r>
        <w:rPr/>
        <w:t>万元股权转让款。</w:t>
      </w:r>
    </w:p>
    <w:p>
      <w:pPr>
        <w:pStyle w:val="BodyText"/>
        <w:spacing w:line="316" w:lineRule="auto" w:before="55"/>
        <w:ind w:right="1122" w:firstLine="360"/>
        <w:jc w:val="left"/>
      </w:pPr>
      <w:r>
        <w:rPr/>
        <w:t>公司子公司天喻教育以现金</w:t>
      </w:r>
      <w:r>
        <w:rPr>
          <w:spacing w:val="-46"/>
        </w:rPr>
        <w:t> </w:t>
      </w:r>
      <w:r>
        <w:rPr>
          <w:rFonts w:ascii="宋体" w:hAnsi="宋体" w:cs="宋体" w:eastAsia="宋体" w:hint="default"/>
        </w:rPr>
        <w:t>300</w:t>
      </w:r>
      <w:r>
        <w:rPr>
          <w:rFonts w:ascii="宋体" w:hAnsi="宋体" w:cs="宋体" w:eastAsia="宋体" w:hint="default"/>
          <w:spacing w:val="-46"/>
        </w:rPr>
        <w:t> </w:t>
      </w:r>
      <w:r>
        <w:rPr>
          <w:spacing w:val="-6"/>
        </w:rPr>
        <w:t>万元参与投资设立鱼渔课堂，从事</w:t>
      </w:r>
      <w:r>
        <w:rPr>
          <w:spacing w:val="-46"/>
        </w:rPr>
        <w:t> </w:t>
      </w:r>
      <w:r>
        <w:rPr>
          <w:rFonts w:ascii="宋体" w:hAnsi="宋体" w:cs="宋体" w:eastAsia="宋体" w:hint="default"/>
        </w:rPr>
        <w:t>K12</w:t>
      </w:r>
      <w:r>
        <w:rPr>
          <w:rFonts w:ascii="宋体" w:hAnsi="宋体" w:cs="宋体" w:eastAsia="宋体" w:hint="default"/>
          <w:spacing w:val="-46"/>
        </w:rPr>
        <w:t> </w:t>
      </w:r>
      <w:r>
        <w:rPr>
          <w:spacing w:val="-8"/>
        </w:rPr>
        <w:t>学生个性化学习系统、资源的开发、销售和服务。</w:t>
      </w:r>
      <w:r>
        <w:rPr/>
        <w:t> 鱼渔课堂于</w:t>
      </w:r>
      <w:r>
        <w:rPr>
          <w:spacing w:val="-38"/>
        </w:rPr>
        <w:t> </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月完成工商注册登记，注册资本</w:t>
      </w:r>
      <w:r>
        <w:rPr>
          <w:spacing w:val="-38"/>
        </w:rPr>
        <w:t> </w:t>
      </w:r>
      <w:r>
        <w:rPr>
          <w:rFonts w:ascii="宋体" w:hAnsi="宋体" w:cs="宋体" w:eastAsia="宋体" w:hint="default"/>
        </w:rPr>
        <w:t>500</w:t>
      </w:r>
      <w:r>
        <w:rPr>
          <w:rFonts w:ascii="宋体" w:hAnsi="宋体" w:cs="宋体" w:eastAsia="宋体" w:hint="default"/>
          <w:spacing w:val="-39"/>
        </w:rPr>
        <w:t> </w:t>
      </w:r>
      <w:r>
        <w:rPr/>
        <w:t>万元，天喻教育出资比例为</w:t>
      </w:r>
      <w:r>
        <w:rPr>
          <w:spacing w:val="-39"/>
        </w:rPr>
        <w:t> </w:t>
      </w:r>
      <w:r>
        <w:rPr>
          <w:rFonts w:ascii="宋体" w:hAnsi="宋体" w:cs="宋体" w:eastAsia="宋体" w:hint="default"/>
        </w:rPr>
        <w:t>60%</w:t>
      </w:r>
      <w:r>
        <w:rPr/>
        <w:t>，鱼渔课堂纳入公司合并财务报</w:t>
      </w:r>
    </w:p>
    <w:p>
      <w:pPr>
        <w:pStyle w:val="BodyText"/>
        <w:spacing w:line="240" w:lineRule="auto" w:before="20"/>
        <w:ind w:right="0"/>
        <w:jc w:val="both"/>
      </w:pPr>
      <w:r>
        <w:rPr/>
        <w:t>表范围。截至报告期末，鱼渔课堂股东已按出资比例合计实缴出资</w:t>
      </w:r>
      <w:r>
        <w:rPr>
          <w:spacing w:val="-45"/>
        </w:rPr>
        <w:t> </w:t>
      </w:r>
      <w:r>
        <w:rPr>
          <w:rFonts w:ascii="宋体" w:hAnsi="宋体" w:cs="宋体" w:eastAsia="宋体" w:hint="default"/>
        </w:rPr>
        <w:t>300</w:t>
      </w:r>
      <w:r>
        <w:rPr>
          <w:rFonts w:ascii="宋体" w:hAnsi="宋体" w:cs="宋体" w:eastAsia="宋体" w:hint="default"/>
          <w:spacing w:val="-46"/>
        </w:rPr>
        <w:t> </w:t>
      </w:r>
      <w:r>
        <w:rPr/>
        <w:t>万元。</w:t>
      </w:r>
    </w:p>
    <w:p>
      <w:pPr>
        <w:pStyle w:val="BodyText"/>
        <w:spacing w:line="240" w:lineRule="auto" w:before="116"/>
        <w:ind w:left="514" w:right="0"/>
        <w:jc w:val="left"/>
      </w:pPr>
      <w:r>
        <w:rPr/>
        <w:t>公司与公司子公司湖北百旺</w:t>
      </w:r>
      <w:r>
        <w:rPr>
          <w:spacing w:val="-41"/>
        </w:rPr>
        <w:t> </w:t>
      </w:r>
      <w:r>
        <w:rPr>
          <w:rFonts w:ascii="宋体" w:hAnsi="宋体" w:cs="宋体" w:eastAsia="宋体" w:hint="default"/>
        </w:rPr>
        <w:t>35</w:t>
      </w:r>
      <w:r>
        <w:rPr>
          <w:rFonts w:ascii="宋体" w:hAnsi="宋体" w:cs="宋体" w:eastAsia="宋体" w:hint="default"/>
          <w:spacing w:val="-41"/>
        </w:rPr>
        <w:t> </w:t>
      </w:r>
      <w:r>
        <w:rPr/>
        <w:t>名自然人股东分别以各自持有的湖北百旺股权及现金共同投资设立百望信息，从事新一</w:t>
      </w:r>
    </w:p>
    <w:p>
      <w:pPr>
        <w:pStyle w:val="BodyText"/>
        <w:spacing w:line="240" w:lineRule="auto" w:before="76"/>
        <w:ind w:right="0"/>
        <w:jc w:val="both"/>
      </w:pPr>
      <w:r>
        <w:rPr/>
        <w:t>代低成本税控安全产品、基于互联网的税务增值服务及衍生服务产品的开发及销售。百望信息于</w:t>
      </w:r>
      <w:r>
        <w:rPr>
          <w:spacing w:val="-42"/>
        </w:rPr>
        <w:t> </w:t>
      </w:r>
      <w:r>
        <w:rPr>
          <w:rFonts w:ascii="宋体" w:hAnsi="宋体" w:cs="宋体" w:eastAsia="宋体" w:hint="default"/>
        </w:rPr>
        <w:t>2018</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月完成工商注册</w:t>
      </w:r>
    </w:p>
    <w:p>
      <w:pPr>
        <w:pStyle w:val="BodyText"/>
        <w:spacing w:line="240" w:lineRule="auto" w:before="76"/>
        <w:ind w:right="0"/>
        <w:jc w:val="both"/>
      </w:pPr>
      <w:r>
        <w:rPr/>
        <w:t>登记，注册资本</w:t>
      </w:r>
      <w:r>
        <w:rPr>
          <w:spacing w:val="-37"/>
        </w:rPr>
        <w:t> </w:t>
      </w:r>
      <w:r>
        <w:rPr>
          <w:rFonts w:ascii="宋体" w:hAnsi="宋体" w:cs="宋体" w:eastAsia="宋体" w:hint="default"/>
        </w:rPr>
        <w:t>2,140</w:t>
      </w:r>
      <w:r>
        <w:rPr>
          <w:rFonts w:ascii="宋体" w:hAnsi="宋体" w:cs="宋体" w:eastAsia="宋体" w:hint="default"/>
          <w:spacing w:val="-38"/>
        </w:rPr>
        <w:t> </w:t>
      </w:r>
      <w:r>
        <w:rPr/>
        <w:t>万元，公司出资比例为</w:t>
      </w:r>
      <w:r>
        <w:rPr>
          <w:spacing w:val="-38"/>
        </w:rPr>
        <w:t> </w:t>
      </w:r>
      <w:r>
        <w:rPr>
          <w:rFonts w:ascii="宋体" w:hAnsi="宋体" w:cs="宋体" w:eastAsia="宋体" w:hint="default"/>
        </w:rPr>
        <w:t>80%</w:t>
      </w:r>
      <w:r>
        <w:rPr/>
        <w:t>，百望信息纳入公司合并财务报表范围。湖北百旺于</w:t>
      </w:r>
      <w:r>
        <w:rPr>
          <w:spacing w:val="-38"/>
        </w:rPr>
        <w:t> </w:t>
      </w:r>
      <w:r>
        <w:rPr>
          <w:rFonts w:ascii="宋体" w:hAnsi="宋体" w:cs="宋体" w:eastAsia="宋体" w:hint="default"/>
        </w:rPr>
        <w:t>2018</w:t>
      </w:r>
      <w:r>
        <w:rPr>
          <w:rFonts w:ascii="宋体" w:hAnsi="宋体" w:cs="宋体" w:eastAsia="宋体" w:hint="default"/>
          <w:spacing w:val="-38"/>
        </w:rPr>
        <w:t> </w:t>
      </w:r>
      <w:r>
        <w:rPr/>
        <w:t>年</w:t>
      </w:r>
      <w:r>
        <w:rPr>
          <w:spacing w:val="-38"/>
        </w:rPr>
        <w:t> </w:t>
      </w:r>
      <w:r>
        <w:rPr>
          <w:rFonts w:ascii="宋体" w:hAnsi="宋体" w:cs="宋体" w:eastAsia="宋体" w:hint="default"/>
        </w:rPr>
        <w:t>5</w:t>
      </w:r>
      <w:r>
        <w:rPr>
          <w:rFonts w:ascii="宋体" w:hAnsi="宋体" w:cs="宋体" w:eastAsia="宋体" w:hint="default"/>
          <w:spacing w:val="-39"/>
        </w:rPr>
        <w:t> </w:t>
      </w:r>
      <w:r>
        <w:rPr/>
        <w:t>月完成股</w:t>
      </w:r>
    </w:p>
    <w:p>
      <w:pPr>
        <w:spacing w:after="0" w:line="240"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1"/>
        <w:jc w:val="both"/>
      </w:pPr>
      <w:r>
        <w:rPr>
          <w:spacing w:val="-2"/>
        </w:rPr>
        <w:t>东变更的工商登记，成为百望信息全资子公司，继续从事湖北地区税控产品零售及相关服务业务。截至报告期末，百望信息</w:t>
      </w:r>
      <w:r>
        <w:rPr>
          <w:spacing w:val="-65"/>
        </w:rPr>
        <w:t> </w:t>
      </w:r>
      <w:r>
        <w:rPr>
          <w:spacing w:val="-65"/>
        </w:rPr>
      </w:r>
      <w:r>
        <w:rPr/>
        <w:t>股东已完成实缴出资。</w:t>
      </w:r>
    </w:p>
    <w:p>
      <w:pPr>
        <w:pStyle w:val="BodyText"/>
        <w:spacing w:line="240" w:lineRule="auto" w:before="55"/>
        <w:ind w:left="514" w:right="0"/>
        <w:jc w:val="left"/>
      </w:pPr>
      <w:r>
        <w:rPr/>
        <w:t>公司以现金</w:t>
      </w:r>
      <w:r>
        <w:rPr>
          <w:spacing w:val="-43"/>
        </w:rPr>
        <w:t> </w:t>
      </w:r>
      <w:r>
        <w:rPr>
          <w:rFonts w:ascii="宋体" w:hAnsi="宋体" w:cs="宋体" w:eastAsia="宋体" w:hint="default"/>
        </w:rPr>
        <w:t>320</w:t>
      </w:r>
      <w:r>
        <w:rPr>
          <w:rFonts w:ascii="宋体" w:hAnsi="宋体" w:cs="宋体" w:eastAsia="宋体" w:hint="default"/>
          <w:spacing w:val="-43"/>
        </w:rPr>
        <w:t> </w:t>
      </w:r>
      <w:r>
        <w:rPr>
          <w:spacing w:val="-2"/>
        </w:rPr>
        <w:t>万元与湖北省教育投资有限公司、武汉合众志成企业管理咨询合伙企业（有限合伙）共同投资设立兴华</w:t>
      </w:r>
    </w:p>
    <w:p>
      <w:pPr>
        <w:pStyle w:val="BodyText"/>
        <w:spacing w:line="319" w:lineRule="auto" w:before="76"/>
        <w:ind w:right="1132"/>
        <w:jc w:val="both"/>
      </w:pPr>
      <w:r>
        <w:rPr>
          <w:spacing w:val="-4"/>
        </w:rPr>
        <w:t>教投，主要从事高校教育信息化相关产品的开发、销售及服务。兴华教投于</w:t>
      </w:r>
      <w:r>
        <w:rPr>
          <w:spacing w:val="-37"/>
        </w:rPr>
        <w:t> </w:t>
      </w:r>
      <w:r>
        <w:rPr>
          <w:rFonts w:ascii="宋体" w:hAnsi="宋体" w:cs="宋体" w:eastAsia="宋体" w:hint="default"/>
        </w:rPr>
        <w:t>2018</w:t>
      </w:r>
      <w:r>
        <w:rPr>
          <w:rFonts w:ascii="宋体" w:hAnsi="宋体" w:cs="宋体" w:eastAsia="宋体" w:hint="default"/>
          <w:spacing w:val="-38"/>
        </w:rPr>
        <w:t> </w:t>
      </w:r>
      <w:r>
        <w:rPr/>
        <w:t>年</w:t>
      </w:r>
      <w:r>
        <w:rPr>
          <w:spacing w:val="-37"/>
        </w:rPr>
        <w:t> </w:t>
      </w:r>
      <w:r>
        <w:rPr>
          <w:rFonts w:ascii="宋体" w:hAnsi="宋体" w:cs="宋体" w:eastAsia="宋体" w:hint="default"/>
        </w:rPr>
        <w:t>5</w:t>
      </w:r>
      <w:r>
        <w:rPr>
          <w:rFonts w:ascii="宋体" w:hAnsi="宋体" w:cs="宋体" w:eastAsia="宋体" w:hint="default"/>
          <w:spacing w:val="-38"/>
        </w:rPr>
        <w:t> </w:t>
      </w:r>
      <w:r>
        <w:rPr>
          <w:spacing w:val="-3"/>
        </w:rPr>
        <w:t>月完成工商注册登记，注册资本</w:t>
      </w:r>
      <w:r>
        <w:rPr>
          <w:spacing w:val="-38"/>
        </w:rPr>
        <w:t> </w:t>
      </w:r>
      <w:r>
        <w:rPr>
          <w:rFonts w:ascii="宋体" w:hAnsi="宋体" w:cs="宋体" w:eastAsia="宋体" w:hint="default"/>
        </w:rPr>
        <w:t>1,000</w:t>
      </w:r>
      <w:r>
        <w:rPr>
          <w:rFonts w:ascii="宋体" w:hAnsi="宋体" w:cs="宋体" w:eastAsia="宋体" w:hint="default"/>
          <w:spacing w:val="-88"/>
        </w:rPr>
        <w:t> </w:t>
      </w:r>
      <w:r>
        <w:rPr/>
        <w:t>万元，公司出资比例为</w:t>
      </w:r>
      <w:r>
        <w:rPr>
          <w:spacing w:val="-46"/>
        </w:rPr>
        <w:t> </w:t>
      </w:r>
      <w:r>
        <w:rPr>
          <w:rFonts w:ascii="宋体" w:hAnsi="宋体" w:cs="宋体" w:eastAsia="宋体" w:hint="default"/>
        </w:rPr>
        <w:t>32%</w:t>
      </w:r>
      <w:r>
        <w:rPr/>
        <w:t>，兴华教投为公司参股公司。截至报告期末，公司已完成实缴出资。</w:t>
      </w:r>
    </w:p>
    <w:p>
      <w:pPr>
        <w:pStyle w:val="BodyText"/>
        <w:spacing w:line="240" w:lineRule="auto" w:before="56"/>
        <w:ind w:left="514" w:right="0"/>
        <w:jc w:val="left"/>
      </w:pPr>
      <w:r>
        <w:rPr/>
        <w:t>公司子公司天喻教育以现金</w:t>
      </w:r>
      <w:r>
        <w:rPr>
          <w:spacing w:val="-46"/>
        </w:rPr>
        <w:t> </w:t>
      </w:r>
      <w:r>
        <w:rPr>
          <w:rFonts w:ascii="宋体" w:hAnsi="宋体" w:cs="宋体" w:eastAsia="宋体" w:hint="default"/>
        </w:rPr>
        <w:t>255</w:t>
      </w:r>
      <w:r>
        <w:rPr>
          <w:rFonts w:ascii="宋体" w:hAnsi="宋体" w:cs="宋体" w:eastAsia="宋体" w:hint="default"/>
          <w:spacing w:val="-46"/>
        </w:rPr>
        <w:t> </w:t>
      </w:r>
      <w:r>
        <w:rPr/>
        <w:t>万元与河南中图教育科技有限公司共同投资设立河南喻周</w:t>
      </w:r>
      <w:r>
        <w:rPr>
          <w:spacing w:val="-82"/>
        </w:rPr>
        <w:t>，</w:t>
      </w:r>
      <w:r>
        <w:rPr/>
        <w:t>从事河南省周口市智慧教育</w:t>
      </w:r>
    </w:p>
    <w:p>
      <w:pPr>
        <w:pStyle w:val="BodyText"/>
        <w:spacing w:line="240" w:lineRule="auto" w:before="76"/>
        <w:ind w:right="0"/>
        <w:jc w:val="both"/>
      </w:pPr>
      <w:r>
        <w:rPr/>
        <w:t>系列产品的销售及运营服务。河南喻周于</w:t>
      </w:r>
      <w:r>
        <w:rPr>
          <w:spacing w:val="-38"/>
        </w:rPr>
        <w:t> </w:t>
      </w:r>
      <w:r>
        <w:rPr>
          <w:rFonts w:ascii="宋体" w:hAnsi="宋体" w:cs="宋体" w:eastAsia="宋体" w:hint="default"/>
        </w:rPr>
        <w:t>2018</w:t>
      </w:r>
      <w:r>
        <w:rPr>
          <w:rFonts w:ascii="宋体" w:hAnsi="宋体" w:cs="宋体" w:eastAsia="宋体" w:hint="default"/>
          <w:spacing w:val="-39"/>
        </w:rPr>
        <w:t> </w:t>
      </w:r>
      <w:r>
        <w:rPr/>
        <w:t>年</w:t>
      </w:r>
      <w:r>
        <w:rPr>
          <w:spacing w:val="-38"/>
        </w:rPr>
        <w:t> </w:t>
      </w:r>
      <w:r>
        <w:rPr>
          <w:rFonts w:ascii="宋体" w:hAnsi="宋体" w:cs="宋体" w:eastAsia="宋体" w:hint="default"/>
        </w:rPr>
        <w:t>8</w:t>
      </w:r>
      <w:r>
        <w:rPr>
          <w:rFonts w:ascii="宋体" w:hAnsi="宋体" w:cs="宋体" w:eastAsia="宋体" w:hint="default"/>
          <w:spacing w:val="-39"/>
        </w:rPr>
        <w:t> </w:t>
      </w:r>
      <w:r>
        <w:rPr/>
        <w:t>月完成工商注册登记，注册资本</w:t>
      </w:r>
      <w:r>
        <w:rPr>
          <w:spacing w:val="-39"/>
        </w:rPr>
        <w:t> </w:t>
      </w:r>
      <w:r>
        <w:rPr>
          <w:rFonts w:ascii="宋体" w:hAnsi="宋体" w:cs="宋体" w:eastAsia="宋体" w:hint="default"/>
        </w:rPr>
        <w:t>500</w:t>
      </w:r>
      <w:r>
        <w:rPr>
          <w:rFonts w:ascii="宋体" w:hAnsi="宋体" w:cs="宋体" w:eastAsia="宋体" w:hint="default"/>
          <w:spacing w:val="-39"/>
        </w:rPr>
        <w:t> </w:t>
      </w:r>
      <w:r>
        <w:rPr/>
        <w:t>万元，天喻教育出资比例为</w:t>
      </w:r>
      <w:r>
        <w:rPr>
          <w:spacing w:val="-38"/>
        </w:rPr>
        <w:t> </w:t>
      </w:r>
      <w:r>
        <w:rPr>
          <w:rFonts w:ascii="宋体" w:hAnsi="宋体" w:cs="宋体" w:eastAsia="宋体" w:hint="default"/>
        </w:rPr>
        <w:t>51%</w:t>
      </w:r>
      <w:r>
        <w:rPr/>
        <w:t>，</w:t>
      </w:r>
    </w:p>
    <w:p>
      <w:pPr>
        <w:pStyle w:val="BodyText"/>
        <w:spacing w:line="357" w:lineRule="auto" w:before="77"/>
        <w:ind w:left="514" w:right="1212" w:hanging="360"/>
        <w:jc w:val="left"/>
      </w:pPr>
      <w:r>
        <w:rPr/>
        <w:t>河南喻周纳入公司合并财务报表范围。截至报告期末，河南喻周股东已按出资比例合计实缴出资</w:t>
      </w:r>
      <w:r>
        <w:rPr>
          <w:spacing w:val="-45"/>
        </w:rPr>
        <w:t> </w:t>
      </w:r>
      <w:r>
        <w:rPr>
          <w:rFonts w:ascii="宋体" w:hAnsi="宋体" w:cs="宋体" w:eastAsia="宋体" w:hint="default"/>
        </w:rPr>
        <w:t>205</w:t>
      </w:r>
      <w:r>
        <w:rPr>
          <w:rFonts w:ascii="宋体" w:hAnsi="宋体" w:cs="宋体" w:eastAsia="宋体" w:hint="default"/>
          <w:spacing w:val="-46"/>
        </w:rPr>
        <w:t> </w:t>
      </w:r>
      <w:r>
        <w:rPr/>
        <w:t>万元。 </w:t>
      </w:r>
      <w:r>
        <w:rPr>
          <w:spacing w:val="-10"/>
        </w:rPr>
        <w:t>公司与联想（北京）有限公司（以下简称“联想公司”）、郑州金惠计算机系统工程有限公司（以下简称“郑州金惠”）、</w:t>
      </w:r>
      <w:r>
        <w:rPr/>
      </w:r>
    </w:p>
    <w:p>
      <w:pPr>
        <w:pStyle w:val="BodyText"/>
        <w:spacing w:line="224" w:lineRule="exact"/>
        <w:ind w:right="0"/>
        <w:jc w:val="both"/>
      </w:pPr>
      <w:r>
        <w:rPr/>
        <w:t>北京华油弘康石油工程技术开发有限公司（以下简称“北京华油”）组成的联合体中标内乡县教育信息化扶贫整县推进项目</w:t>
      </w:r>
    </w:p>
    <w:p>
      <w:pPr>
        <w:pStyle w:val="BodyText"/>
        <w:spacing w:line="319" w:lineRule="auto" w:before="76"/>
        <w:ind w:right="1130"/>
        <w:jc w:val="both"/>
      </w:pPr>
      <w:r>
        <w:rPr/>
        <w:t>（</w:t>
      </w:r>
      <w:r>
        <w:rPr>
          <w:rFonts w:ascii="宋体" w:hAnsi="宋体" w:cs="宋体" w:eastAsia="宋体" w:hint="default"/>
        </w:rPr>
        <w:t>PPP</w:t>
      </w:r>
      <w:r>
        <w:rPr>
          <w:rFonts w:ascii="宋体" w:hAnsi="宋体" w:cs="宋体" w:eastAsia="宋体" w:hint="default"/>
          <w:spacing w:val="-28"/>
        </w:rPr>
        <w:t> </w:t>
      </w:r>
      <w:r>
        <w:rPr>
          <w:spacing w:val="-10"/>
        </w:rPr>
        <w:t>模式），公司以现金</w:t>
      </w:r>
      <w:r>
        <w:rPr>
          <w:spacing w:val="-28"/>
        </w:rPr>
        <w:t> </w:t>
      </w:r>
      <w:r>
        <w:rPr>
          <w:rFonts w:ascii="宋体" w:hAnsi="宋体" w:cs="宋体" w:eastAsia="宋体" w:hint="default"/>
        </w:rPr>
        <w:t>1,200</w:t>
      </w:r>
      <w:r>
        <w:rPr>
          <w:rFonts w:ascii="宋体" w:hAnsi="宋体" w:cs="宋体" w:eastAsia="宋体" w:hint="default"/>
          <w:spacing w:val="-28"/>
        </w:rPr>
        <w:t> </w:t>
      </w:r>
      <w:r>
        <w:rPr/>
        <w:t>万元与联想公司、郑州金惠、北京华油及内乡县人民政府指定的出资代表内乡县城乡一体 </w:t>
      </w:r>
      <w:r>
        <w:rPr>
          <w:spacing w:val="-3"/>
        </w:rPr>
        <w:t>化发展有限公司共同投资设立聚联智慧（</w:t>
      </w:r>
      <w:r>
        <w:rPr>
          <w:rFonts w:ascii="宋体" w:hAnsi="宋体" w:cs="宋体" w:eastAsia="宋体" w:hint="default"/>
          <w:spacing w:val="-3"/>
        </w:rPr>
        <w:t>SPV</w:t>
      </w:r>
      <w:r>
        <w:rPr>
          <w:rFonts w:ascii="宋体" w:hAnsi="宋体" w:cs="宋体" w:eastAsia="宋体" w:hint="default"/>
          <w:spacing w:val="-14"/>
        </w:rPr>
        <w:t> </w:t>
      </w:r>
      <w:r>
        <w:rPr>
          <w:spacing w:val="-8"/>
        </w:rPr>
        <w:t>公司），负责内乡县教育信息化项目的设计、投融资、建设、运营</w:t>
      </w:r>
      <w:r>
        <w:rPr>
          <w:rFonts w:ascii="宋体" w:hAnsi="宋体" w:cs="宋体" w:eastAsia="宋体" w:hint="default"/>
          <w:spacing w:val="-8"/>
        </w:rPr>
        <w:t>/</w:t>
      </w:r>
      <w:r>
        <w:rPr>
          <w:spacing w:val="-8"/>
        </w:rPr>
        <w:t>运维和移交。</w:t>
      </w:r>
      <w:r>
        <w:rPr>
          <w:spacing w:val="-82"/>
        </w:rPr>
        <w:t> </w:t>
      </w:r>
      <w:r>
        <w:rPr/>
        <w:t>聚联智慧于</w:t>
      </w:r>
      <w:r>
        <w:rPr>
          <w:spacing w:val="-38"/>
        </w:rPr>
        <w:t> </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月完成工商注册登记，目前注册资本</w:t>
      </w:r>
      <w:r>
        <w:rPr>
          <w:spacing w:val="-38"/>
        </w:rPr>
        <w:t> </w:t>
      </w:r>
      <w:r>
        <w:rPr>
          <w:rFonts w:ascii="宋体" w:hAnsi="宋体" w:cs="宋体" w:eastAsia="宋体" w:hint="default"/>
        </w:rPr>
        <w:t>6,030</w:t>
      </w:r>
      <w:r>
        <w:rPr>
          <w:rFonts w:ascii="宋体" w:hAnsi="宋体" w:cs="宋体" w:eastAsia="宋体" w:hint="default"/>
          <w:spacing w:val="-39"/>
        </w:rPr>
        <w:t> </w:t>
      </w:r>
      <w:r>
        <w:rPr/>
        <w:t>万元，公司出资比例为</w:t>
      </w:r>
      <w:r>
        <w:rPr>
          <w:spacing w:val="-38"/>
        </w:rPr>
        <w:t> </w:t>
      </w:r>
      <w:r>
        <w:rPr>
          <w:rFonts w:ascii="宋体" w:hAnsi="宋体" w:cs="宋体" w:eastAsia="宋体" w:hint="default"/>
        </w:rPr>
        <w:t>19.90%</w:t>
      </w:r>
      <w:r>
        <w:rPr/>
        <w:t>。聚联智慧为公司参股公 司。截至目前，上述联合体股东已完成实缴出资。</w:t>
      </w:r>
    </w:p>
    <w:p>
      <w:pPr>
        <w:spacing w:after="0" w:line="319" w:lineRule="auto"/>
        <w:jc w:val="both"/>
        <w:sectPr>
          <w:pgSz w:w="11910" w:h="16840"/>
          <w:pgMar w:header="877" w:footer="1187" w:top="1100" w:bottom="1380" w:left="980" w:right="0"/>
        </w:sectPr>
      </w:pPr>
    </w:p>
    <w:p>
      <w:pPr>
        <w:spacing w:line="240" w:lineRule="auto" w:before="12"/>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60" w:right="0"/>
        <w:jc w:val="left"/>
        <w:rPr>
          <w:b w:val="0"/>
          <w:bCs w:val="0"/>
        </w:rPr>
      </w:pPr>
      <w:bookmarkStart w:name="2、报告期内获取的重大的股权投资情况" w:id="46"/>
      <w:bookmarkEnd w:id="46"/>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260" w:right="0"/>
        <w:jc w:val="left"/>
      </w:pPr>
      <w:r>
        <w:rPr/>
        <w:t>√ 适用 □ 不适用</w:t>
      </w:r>
    </w:p>
    <w:p>
      <w:pPr>
        <w:pStyle w:val="BodyText"/>
        <w:spacing w:line="240" w:lineRule="auto" w:before="116"/>
        <w:ind w:left="0" w:right="545"/>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871" w:lineRule="exact"/>
        <w:ind w:left="2672"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0.8pt;height:43.6pt;mso-position-horizontal-relative:char;mso-position-vertical-relative:line" coordorigin="0,0" coordsize="416,872">
            <v:group style="position:absolute;left:0;top:0;width:416;height:468" coordorigin="0,0" coordsize="416,468">
              <v:shape style="position:absolute;left:0;top:0;width:416;height:468" coordorigin="0,0" coordsize="416,468" path="m0,468l415,468,415,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370;height:393" coordorigin="23,468" coordsize="370,393">
              <v:shape style="position:absolute;left:23;top:468;width:370;height:393" coordorigin="23,468" coordsize="370,393" path="m23,860l392,860,392,468,23,468,23,860xe" filled="true" fillcolor="#ffffff" stroked="false">
                <v:path arrowok="t"/>
                <v:fill type="solid"/>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13"/>
        <w:jc w:val="right"/>
      </w:pPr>
      <w:r>
        <w:rPr/>
        <w:pict>
          <v:shape style="position:absolute;margin-left:71.580002pt;margin-top:-167.908279pt;width:698.95pt;height:209.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418"/>
                    <w:gridCol w:w="425"/>
                    <w:gridCol w:w="1598"/>
                    <w:gridCol w:w="850"/>
                    <w:gridCol w:w="992"/>
                    <w:gridCol w:w="993"/>
                    <w:gridCol w:w="851"/>
                    <w:gridCol w:w="566"/>
                    <w:gridCol w:w="568"/>
                    <w:gridCol w:w="1276"/>
                    <w:gridCol w:w="566"/>
                    <w:gridCol w:w="992"/>
                    <w:gridCol w:w="1876"/>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4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武信天喻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对科技产业、教 育、物联网产业 </w:t>
                        </w:r>
                        <w:r>
                          <w:rPr>
                            <w:rFonts w:ascii="宋体" w:hAnsi="宋体" w:cs="宋体" w:eastAsia="宋体" w:hint="default"/>
                            <w:spacing w:val="-10"/>
                            <w:sz w:val="18"/>
                            <w:szCs w:val="18"/>
                          </w:rPr>
                          <w:t>互联网产业、汽车</w:t>
                        </w:r>
                        <w:r>
                          <w:rPr>
                            <w:rFonts w:ascii="宋体" w:hAnsi="宋体" w:cs="宋体" w:eastAsia="宋体" w:hint="default"/>
                            <w:sz w:val="18"/>
                            <w:szCs w:val="18"/>
                          </w:rPr>
                          <w:t> 电子产业的投资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6"/>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8" w:right="0"/>
                          <w:jc w:val="left"/>
                          <w:rPr>
                            <w:rFonts w:ascii="宋体" w:hAnsi="宋体" w:cs="宋体" w:eastAsia="宋体" w:hint="default"/>
                            <w:sz w:val="18"/>
                            <w:szCs w:val="18"/>
                          </w:rPr>
                        </w:pPr>
                        <w:r>
                          <w:rPr>
                            <w:rFonts w:ascii="宋体"/>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武汉信用投 资集团股份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59,799.36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《关于参与投资设立武 汉武信天喻科技投资有 </w:t>
                        </w:r>
                        <w:r>
                          <w:rPr>
                            <w:rFonts w:ascii="宋体" w:hAnsi="宋体" w:cs="宋体" w:eastAsia="宋体" w:hint="default"/>
                            <w:spacing w:val="-15"/>
                            <w:sz w:val="18"/>
                            <w:szCs w:val="18"/>
                          </w:rPr>
                          <w:t>限公司的公告》（公告编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w:t>
                        </w:r>
                        <w:r>
                          <w:rPr>
                            <w:rFonts w:ascii="宋体" w:hAnsi="宋体" w:cs="宋体" w:eastAsia="宋体" w:hint="default"/>
                            <w:sz w:val="18"/>
                            <w:szCs w:val="18"/>
                          </w:rPr>
                          <w:t>2018-002</w:t>
                        </w:r>
                        <w:r>
                          <w:rPr>
                            <w:rFonts w:ascii="宋体" w:hAnsi="宋体" w:cs="宋体" w:eastAsia="宋体" w:hint="default"/>
                            <w:sz w:val="18"/>
                            <w:szCs w:val="18"/>
                          </w:rPr>
                          <w:t>）</w:t>
                        </w:r>
                      </w:p>
                    </w:tc>
                  </w:tr>
                  <w:tr>
                    <w:trPr>
                      <w:trHeight w:val="17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现代教育</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区域教育信息化 公共服务平台和 智慧校园相关产 品的销售、服务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24,000,000.00</w:t>
                        </w:r>
                      </w:p>
                      <w:p>
                        <w:pPr>
                          <w:pStyle w:val="TableParagraph"/>
                          <w:spacing w:line="338" w:lineRule="auto" w:before="116"/>
                          <w:ind w:left="28" w:right="29"/>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截至报告期末支付 第一期和第二期 股权转让款合计</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现代教育原 股东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4,207,244.56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1"/>
                          <w:ind w:left="22" w:right="41"/>
                          <w:jc w:val="both"/>
                          <w:rPr>
                            <w:rFonts w:ascii="宋体" w:hAnsi="宋体" w:cs="宋体" w:eastAsia="宋体" w:hint="default"/>
                            <w:sz w:val="18"/>
                            <w:szCs w:val="18"/>
                          </w:rPr>
                        </w:pPr>
                        <w:r>
                          <w:rPr>
                            <w:rFonts w:ascii="宋体" w:hAnsi="宋体" w:cs="宋体" w:eastAsia="宋体" w:hint="default"/>
                            <w:sz w:val="18"/>
                            <w:szCs w:val="18"/>
                          </w:rPr>
                          <w:t>《关于控股子公司收购 山东爱书人现代教育科 技有限公司股权暨质押 其中部分股权的公告》</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宋体" w:hAnsi="宋体" w:cs="宋体" w:eastAsia="宋体" w:hint="default"/>
                            <w:spacing w:val="-5"/>
                            <w:sz w:val="18"/>
                            <w:szCs w:val="18"/>
                          </w:rPr>
                          <w:t>2018-003</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4" w:right="0"/>
                          <w:jc w:val="left"/>
                          <w:rPr>
                            <w:rFonts w:ascii="宋体" w:hAnsi="宋体" w:cs="宋体" w:eastAsia="宋体" w:hint="default"/>
                            <w:sz w:val="18"/>
                            <w:szCs w:val="18"/>
                          </w:rPr>
                        </w:pPr>
                        <w:r>
                          <w:rPr>
                            <w:rFonts w:ascii="宋体"/>
                            <w:sz w:val="18"/>
                          </w:rPr>
                          <w:t>74,000,000.00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4,267,043.92</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40" w:lineRule="auto" w:before="35"/>
        <w:ind w:left="260" w:right="0"/>
        <w:jc w:val="left"/>
        <w:rPr>
          <w:b w:val="0"/>
          <w:bCs w:val="0"/>
        </w:rPr>
      </w:pPr>
      <w:bookmarkStart w:name="3、报告期内正在进行的重大的非股权投资情况" w:id="47"/>
      <w:bookmarkEnd w:id="47"/>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260" w:right="0"/>
        <w:jc w:val="left"/>
      </w:pPr>
      <w:r>
        <w:rPr/>
        <w:t>□ 适用 √ 不适用</w:t>
      </w:r>
    </w:p>
    <w:p>
      <w:pPr>
        <w:spacing w:line="240" w:lineRule="auto" w:before="2"/>
        <w:rPr>
          <w:rFonts w:ascii="宋体" w:hAnsi="宋体" w:cs="宋体" w:eastAsia="宋体" w:hint="default"/>
          <w:sz w:val="22"/>
          <w:szCs w:val="22"/>
        </w:rPr>
      </w:pPr>
    </w:p>
    <w:p>
      <w:pPr>
        <w:pStyle w:val="Heading3"/>
        <w:spacing w:line="240" w:lineRule="auto"/>
        <w:ind w:left="260" w:right="0"/>
        <w:jc w:val="left"/>
        <w:rPr>
          <w:b w:val="0"/>
          <w:bCs w:val="0"/>
        </w:rPr>
      </w:pPr>
      <w:bookmarkStart w:name="4、以公允价值计量的金融资产" w:id="48"/>
      <w:bookmarkEnd w:id="48"/>
      <w:r>
        <w:rPr>
          <w:b w:val="0"/>
          <w:bCs w:val="0"/>
        </w:rPr>
      </w:r>
      <w:r>
        <w:rPr>
          <w:rFonts w:ascii="宋体" w:hAnsi="宋体" w:cs="宋体" w:eastAsia="宋体" w:hint="default"/>
        </w:rPr>
        <w:t>4</w:t>
      </w:r>
      <w:r>
        <w:rPr/>
        <w:t>、以公允价值计量的金融资产</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before="44"/>
        <w:ind w:left="260" w:right="0"/>
        <w:jc w:val="left"/>
      </w:pPr>
      <w:r>
        <w:rPr/>
        <w:t>√ 适用 □ 不适用</w:t>
      </w:r>
    </w:p>
    <w:p>
      <w:pPr>
        <w:pStyle w:val="BodyText"/>
        <w:spacing w:line="240" w:lineRule="auto" w:before="116"/>
        <w:ind w:left="0" w:right="275"/>
        <w:jc w:val="right"/>
      </w:pPr>
      <w:r>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51"/>
        <w:gridCol w:w="1276"/>
        <w:gridCol w:w="1985"/>
        <w:gridCol w:w="2410"/>
        <w:gridCol w:w="1559"/>
        <w:gridCol w:w="1560"/>
        <w:gridCol w:w="1276"/>
        <w:gridCol w:w="1417"/>
        <w:gridCol w:w="1702"/>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本期公允价值变动损益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计入权益的累计公允价值变动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13,532,000.00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90,421,064.80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948,944.40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103,953,064.80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自有资金、股权置换</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13,532,000.00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90,421,064.80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948,944.40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103,953,064.80</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67" w:footer="1187" w:top="1060" w:bottom="1380" w:left="1180" w:right="1260"/>
          <w:pgNumType w:start="20"/>
        </w:sectPr>
      </w:pPr>
    </w:p>
    <w:p>
      <w:pPr>
        <w:spacing w:line="240" w:lineRule="auto" w:before="12"/>
        <w:rPr>
          <w:rFonts w:ascii="宋体" w:hAnsi="宋体" w:cs="宋体" w:eastAsia="宋体" w:hint="default"/>
          <w:sz w:val="2"/>
          <w:szCs w:val="2"/>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300" w:right="11238"/>
        <w:jc w:val="left"/>
        <w:rPr>
          <w:b w:val="0"/>
          <w:bCs w:val="0"/>
        </w:rPr>
      </w:pPr>
      <w:bookmarkStart w:name="5、募集资金使用情况" w:id="49"/>
      <w:bookmarkEnd w:id="49"/>
      <w:r>
        <w:rPr>
          <w:b w:val="0"/>
          <w:bCs w:val="0"/>
        </w:rPr>
      </w:r>
      <w:r>
        <w:rPr>
          <w:rFonts w:ascii="宋体" w:hAnsi="宋体" w:cs="宋体" w:eastAsia="宋体" w:hint="default"/>
        </w:rPr>
        <w:t>5</w:t>
      </w:r>
      <w:r>
        <w:rPr/>
        <w:t>、募集资金使用情况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660" w:right="11238" w:hanging="360"/>
        <w:jc w:val="left"/>
      </w:pPr>
      <w:r>
        <w:rPr/>
        <w:t>□ 适用 √ 不适用 公司报告期无募集资金使用情况。</w:t>
      </w:r>
    </w:p>
    <w:p>
      <w:pPr>
        <w:spacing w:line="240" w:lineRule="auto" w:before="4"/>
        <w:rPr>
          <w:rFonts w:ascii="宋体" w:hAnsi="宋体" w:cs="宋体" w:eastAsia="宋体" w:hint="default"/>
          <w:sz w:val="18"/>
          <w:szCs w:val="18"/>
        </w:rPr>
      </w:pPr>
    </w:p>
    <w:p>
      <w:pPr>
        <w:pStyle w:val="Heading2"/>
        <w:spacing w:line="240" w:lineRule="auto"/>
        <w:ind w:left="300" w:right="11238"/>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00" w:right="11238"/>
        <w:jc w:val="left"/>
        <w:rPr>
          <w:b w:val="0"/>
          <w:bCs w:val="0"/>
        </w:rPr>
      </w:pPr>
      <w:bookmarkStart w:name="1、出售重大资产情况" w:id="51"/>
      <w:bookmarkEnd w:id="51"/>
      <w:r>
        <w:rPr>
          <w:b w:val="0"/>
          <w:bCs w:val="0"/>
        </w:rPr>
      </w:r>
      <w:r>
        <w:rPr>
          <w:rFonts w:ascii="宋体" w:hAnsi="宋体" w:cs="宋体" w:eastAsia="宋体" w:hint="default"/>
        </w:rPr>
        <w:t>1</w:t>
      </w:r>
      <w:r>
        <w:rPr/>
        <w:t>、出售重大资产情况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300" w:right="11238"/>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624" w:lineRule="exact"/>
        <w:ind w:left="452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2pt;height:31.2pt;mso-position-horizontal-relative:char;mso-position-vertical-relative:line" coordorigin="0,0" coordsize="840,624">
            <v:group style="position:absolute;left:0;top:0;width:840;height:624" coordorigin="0,0" coordsize="840,624">
              <v:shape style="position:absolute;left:0;top:0;width:840;height:624" coordorigin="0,0" coordsize="840,624" path="m0,624l840,624,840,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16"/>
        <w:jc w:val="right"/>
      </w:pPr>
      <w:r>
        <w:rPr/>
        <w:pict>
          <v:shape style="position:absolute;margin-left:249.923004pt;margin-top:-63.248283pt;width:75.2pt;height:31.2pt;mso-position-horizontal-relative:page;mso-position-vertical-relative:paragraph;z-index:-788392" type="#_x0000_t202" filled="false" stroked="false">
            <v:textbox inset="0,0,0,0">
              <w:txbxContent>
                <w:p>
                  <w:pPr>
                    <w:pStyle w:val="BodyText"/>
                    <w:spacing w:line="240" w:lineRule="auto" w:before="128"/>
                    <w:ind w:left="0" w:right="0"/>
                    <w:jc w:val="left"/>
                  </w:pPr>
                  <w:r>
                    <w:rPr/>
                    <w:t>（万元）</w:t>
                  </w:r>
                </w:p>
              </w:txbxContent>
            </v:textbox>
            <w10:wrap type="none"/>
          </v:shape>
        </w:pict>
      </w:r>
      <w:r>
        <w:rPr/>
        <w:pict>
          <v:shape style="position:absolute;margin-left:62.82pt;margin-top:-130.168289pt;width:716.6pt;height:299.3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3"/>
                    <w:gridCol w:w="851"/>
                    <w:gridCol w:w="708"/>
                    <w:gridCol w:w="992"/>
                    <w:gridCol w:w="851"/>
                    <w:gridCol w:w="851"/>
                    <w:gridCol w:w="1180"/>
                    <w:gridCol w:w="672"/>
                    <w:gridCol w:w="728"/>
                    <w:gridCol w:w="1072"/>
                    <w:gridCol w:w="851"/>
                    <w:gridCol w:w="1166"/>
                    <w:gridCol w:w="1134"/>
                    <w:gridCol w:w="1417"/>
                  </w:tblGrid>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9"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8" w:right="7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1" w:firstLine="18"/>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1" w:right="59"/>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04" w:right="45" w:hanging="360"/>
                          <w:jc w:val="left"/>
                          <w:rPr>
                            <w:rFonts w:ascii="宋体" w:hAnsi="宋体" w:cs="宋体" w:eastAsia="宋体" w:hint="default"/>
                            <w:sz w:val="18"/>
                            <w:szCs w:val="18"/>
                          </w:rPr>
                        </w:pPr>
                        <w:r>
                          <w:rPr>
                            <w:rFonts w:ascii="宋体" w:hAnsi="宋体" w:cs="宋体" w:eastAsia="宋体" w:hint="default"/>
                            <w:sz w:val="18"/>
                            <w:szCs w:val="18"/>
                          </w:rPr>
                          <w:t>资产出售定价 原则</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1" w:right="5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8" w:right="89"/>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80" w:right="79"/>
                          <w:jc w:val="both"/>
                          <w:rPr>
                            <w:rFonts w:ascii="宋体" w:hAnsi="宋体" w:cs="宋体" w:eastAsia="宋体" w:hint="default"/>
                            <w:sz w:val="18"/>
                            <w:szCs w:val="18"/>
                          </w:rPr>
                        </w:pPr>
                        <w:r>
                          <w:rPr>
                            <w:rFonts w:ascii="宋体" w:hAnsi="宋体" w:cs="宋体" w:eastAsia="宋体" w:hint="default"/>
                            <w:sz w:val="18"/>
                            <w:szCs w:val="18"/>
                          </w:rPr>
                          <w:t>所涉及的资 产产权是否 已全部过户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36"/>
                          <w:jc w:val="center"/>
                          <w:rPr>
                            <w:rFonts w:ascii="宋体" w:hAnsi="宋体" w:cs="宋体" w:eastAsia="宋体" w:hint="default"/>
                            <w:sz w:val="18"/>
                            <w:szCs w:val="18"/>
                          </w:rPr>
                        </w:pPr>
                        <w:r>
                          <w:rPr>
                            <w:rFonts w:ascii="宋体" w:hAnsi="宋体" w:cs="宋体" w:eastAsia="宋体" w:hint="default"/>
                            <w:sz w:val="18"/>
                            <w:szCs w:val="18"/>
                          </w:rPr>
                          <w:t>是否按计划如 期实施，如未 按计划实施， 应当说明原因 及公司已采取 的措施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507-202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增加公司 净利润</w:t>
                        </w:r>
                      </w:p>
                      <w:p>
                        <w:pPr>
                          <w:pStyle w:val="TableParagraph"/>
                          <w:spacing w:line="319" w:lineRule="auto" w:before="19"/>
                          <w:ind w:left="23" w:right="50"/>
                          <w:jc w:val="left"/>
                          <w:rPr>
                            <w:rFonts w:ascii="宋体" w:hAnsi="宋体" w:cs="宋体" w:eastAsia="宋体" w:hint="default"/>
                            <w:sz w:val="18"/>
                            <w:szCs w:val="18"/>
                          </w:rPr>
                        </w:pPr>
                        <w:r>
                          <w:rPr>
                            <w:rFonts w:ascii="宋体" w:hAnsi="宋体" w:cs="宋体" w:eastAsia="宋体" w:hint="default"/>
                            <w:sz w:val="18"/>
                            <w:szCs w:val="18"/>
                          </w:rPr>
                          <w:t>136.74</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1.20%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市场公允价格 且不低于资产 评估价格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6"/>
                          <w:ind w:left="22" w:right="4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 完成过户）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4" w:right="0"/>
                          <w:jc w:val="left"/>
                          <w:rPr>
                            <w:rFonts w:ascii="宋体" w:hAnsi="宋体" w:cs="宋体" w:eastAsia="宋体" w:hint="default"/>
                            <w:sz w:val="18"/>
                            <w:szCs w:val="18"/>
                          </w:rPr>
                        </w:pPr>
                        <w:r>
                          <w:rPr>
                            <w:rFonts w:ascii="宋体"/>
                            <w:sz w:val="18"/>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《关于继续出售 紫菘花园房产的 </w:t>
                        </w:r>
                        <w:r>
                          <w:rPr>
                            <w:rFonts w:ascii="宋体" w:hAnsi="宋体" w:cs="宋体" w:eastAsia="宋体" w:hint="default"/>
                            <w:spacing w:val="-22"/>
                            <w:sz w:val="18"/>
                            <w:szCs w:val="18"/>
                          </w:rPr>
                          <w:t>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2017-054</w:t>
                        </w:r>
                        <w:r>
                          <w:rPr>
                            <w:rFonts w:ascii="宋体" w:hAnsi="宋体" w:cs="宋体" w:eastAsia="宋体" w:hint="default"/>
                            <w:sz w:val="18"/>
                            <w:szCs w:val="18"/>
                          </w:rPr>
                          <w:t>）</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507-102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149.9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增加公司 净利润</w:t>
                        </w:r>
                      </w:p>
                      <w:p>
                        <w:pPr>
                          <w:pStyle w:val="TableParagraph"/>
                          <w:spacing w:line="319" w:lineRule="auto" w:before="17"/>
                          <w:ind w:left="23" w:right="50"/>
                          <w:jc w:val="left"/>
                          <w:rPr>
                            <w:rFonts w:ascii="宋体" w:hAnsi="宋体" w:cs="宋体" w:eastAsia="宋体" w:hint="default"/>
                            <w:sz w:val="18"/>
                            <w:szCs w:val="18"/>
                          </w:rPr>
                        </w:pPr>
                        <w:r>
                          <w:rPr>
                            <w:rFonts w:ascii="宋体" w:hAnsi="宋体" w:cs="宋体" w:eastAsia="宋体" w:hint="default"/>
                            <w:sz w:val="18"/>
                            <w:szCs w:val="18"/>
                          </w:rPr>
                          <w:t>124.92</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1.10%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市场公允价格 且不低于资产 评估价格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7"/>
                          <w:ind w:left="22" w:right="4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 完成过户）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4" w:right="0"/>
                          <w:jc w:val="left"/>
                          <w:rPr>
                            <w:rFonts w:ascii="宋体" w:hAnsi="宋体" w:cs="宋体" w:eastAsia="宋体" w:hint="default"/>
                            <w:sz w:val="18"/>
                            <w:szCs w:val="18"/>
                          </w:rPr>
                        </w:pPr>
                        <w:r>
                          <w:rPr>
                            <w:rFonts w:ascii="宋体"/>
                            <w:sz w:val="18"/>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《关于继续出售 紫菘花园房产的 </w:t>
                        </w:r>
                        <w:r>
                          <w:rPr>
                            <w:rFonts w:ascii="宋体" w:hAnsi="宋体" w:cs="宋体" w:eastAsia="宋体" w:hint="default"/>
                            <w:spacing w:val="-22"/>
                            <w:sz w:val="18"/>
                            <w:szCs w:val="18"/>
                          </w:rPr>
                          <w:t>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2018-046</w:t>
                        </w:r>
                        <w:r>
                          <w:rPr>
                            <w:rFonts w:ascii="宋体" w:hAnsi="宋体" w:cs="宋体" w:eastAsia="宋体" w:hint="default"/>
                            <w:sz w:val="18"/>
                            <w:szCs w:val="18"/>
                          </w:rPr>
                          <w:t>）</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507-602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增加公司 净利润</w:t>
                        </w:r>
                      </w:p>
                      <w:p>
                        <w:pPr>
                          <w:pStyle w:val="TableParagraph"/>
                          <w:spacing w:line="319" w:lineRule="auto" w:before="19"/>
                          <w:ind w:left="23" w:right="50"/>
                          <w:jc w:val="left"/>
                          <w:rPr>
                            <w:rFonts w:ascii="宋体" w:hAnsi="宋体" w:cs="宋体" w:eastAsia="宋体" w:hint="default"/>
                            <w:sz w:val="18"/>
                            <w:szCs w:val="18"/>
                          </w:rPr>
                        </w:pPr>
                        <w:r>
                          <w:rPr>
                            <w:rFonts w:ascii="宋体" w:hAnsi="宋体" w:cs="宋体" w:eastAsia="宋体" w:hint="default"/>
                            <w:sz w:val="18"/>
                            <w:szCs w:val="18"/>
                          </w:rPr>
                          <w:t>131.34</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1.15%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市场公允价格 且不低于资产 评估价格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6"/>
                          <w:ind w:left="22" w:right="4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 完成过户）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4" w:right="0"/>
                          <w:jc w:val="left"/>
                          <w:rPr>
                            <w:rFonts w:ascii="宋体" w:hAnsi="宋体" w:cs="宋体" w:eastAsia="宋体" w:hint="default"/>
                            <w:sz w:val="18"/>
                            <w:szCs w:val="18"/>
                          </w:rPr>
                        </w:pPr>
                        <w:r>
                          <w:rPr>
                            <w:rFonts w:ascii="宋体"/>
                            <w:sz w:val="18"/>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《关于继续出售 紫菘花园房产的 </w:t>
                        </w:r>
                        <w:r>
                          <w:rPr>
                            <w:rFonts w:ascii="宋体" w:hAnsi="宋体" w:cs="宋体" w:eastAsia="宋体" w:hint="default"/>
                            <w:spacing w:val="-22"/>
                            <w:sz w:val="18"/>
                            <w:szCs w:val="18"/>
                          </w:rPr>
                          <w:t>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2018-046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6"/>
        <w:jc w:val="right"/>
      </w:pPr>
      <w:r>
        <w:rPr/>
        <w:t>：</w:t>
      </w:r>
    </w:p>
    <w:p>
      <w:pPr>
        <w:spacing w:after="0" w:line="240" w:lineRule="auto"/>
        <w:jc w:val="right"/>
        <w:sectPr>
          <w:pgSz w:w="16840" w:h="11910" w:orient="landscape"/>
          <w:pgMar w:header="867" w:footer="1187" w:top="1060" w:bottom="1380" w:left="114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16"/>
        <w:jc w:val="right"/>
      </w:pPr>
      <w:r>
        <w:rPr/>
        <w:pict>
          <v:shape style="position:absolute;margin-left:62.82pt;margin-top:-33.508286pt;width:716.6pt;height:68.8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3"/>
                    <w:gridCol w:w="851"/>
                    <w:gridCol w:w="708"/>
                    <w:gridCol w:w="992"/>
                    <w:gridCol w:w="851"/>
                    <w:gridCol w:w="851"/>
                    <w:gridCol w:w="1180"/>
                    <w:gridCol w:w="672"/>
                    <w:gridCol w:w="728"/>
                    <w:gridCol w:w="1072"/>
                    <w:gridCol w:w="851"/>
                    <w:gridCol w:w="1166"/>
                    <w:gridCol w:w="1134"/>
                    <w:gridCol w:w="1417"/>
                  </w:tblGrid>
                  <w:tr>
                    <w:trPr>
                      <w:trHeight w:val="1353" w:hRule="exact"/>
                    </w:trPr>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w:t>
                        </w: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507-603</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sz w:val="18"/>
                          </w:rPr>
                          <w:t>157</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增加公司 净利润</w:t>
                        </w:r>
                      </w:p>
                      <w:p>
                        <w:pPr>
                          <w:pStyle w:val="TableParagraph"/>
                          <w:spacing w:line="319" w:lineRule="auto" w:before="17"/>
                          <w:ind w:left="23" w:right="50"/>
                          <w:jc w:val="left"/>
                          <w:rPr>
                            <w:rFonts w:ascii="宋体" w:hAnsi="宋体" w:cs="宋体" w:eastAsia="宋体" w:hint="default"/>
                            <w:sz w:val="18"/>
                            <w:szCs w:val="18"/>
                          </w:rPr>
                        </w:pPr>
                        <w:r>
                          <w:rPr>
                            <w:rFonts w:ascii="宋体" w:hAnsi="宋体" w:cs="宋体" w:eastAsia="宋体" w:hint="default"/>
                            <w:sz w:val="18"/>
                            <w:szCs w:val="18"/>
                          </w:rPr>
                          <w:t>131.14</w:t>
                        </w:r>
                        <w:r>
                          <w:rPr>
                            <w:rFonts w:ascii="宋体" w:hAnsi="宋体" w:cs="宋体" w:eastAsia="宋体" w:hint="default"/>
                            <w:spacing w:val="-46"/>
                            <w:sz w:val="18"/>
                            <w:szCs w:val="18"/>
                          </w:rPr>
                          <w:t> </w:t>
                        </w:r>
                        <w:r>
                          <w:rPr>
                            <w:rFonts w:ascii="宋体" w:hAnsi="宋体" w:cs="宋体" w:eastAsia="宋体" w:hint="default"/>
                            <w:sz w:val="18"/>
                            <w:szCs w:val="18"/>
                          </w:rPr>
                          <w:t>万 元</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5" w:right="0"/>
                          <w:jc w:val="left"/>
                          <w:rPr>
                            <w:rFonts w:ascii="宋体" w:hAnsi="宋体" w:cs="宋体" w:eastAsia="宋体" w:hint="default"/>
                            <w:sz w:val="18"/>
                            <w:szCs w:val="18"/>
                          </w:rPr>
                        </w:pPr>
                        <w:r>
                          <w:rPr>
                            <w:rFonts w:ascii="宋体"/>
                            <w:sz w:val="18"/>
                          </w:rPr>
                          <w:t>1.15%</w:t>
                        </w:r>
                      </w:p>
                    </w:tc>
                    <w:tc>
                      <w:tcPr>
                        <w:tcW w:w="11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市场公允价格 且不低于资产 评估价格</w:t>
                        </w:r>
                      </w:p>
                    </w:tc>
                    <w:tc>
                      <w:tcPr>
                        <w:tcW w:w="6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7"/>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2"/>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2"/>
                            <w:sz w:val="18"/>
                            <w:szCs w:val="18"/>
                          </w:rPr>
                          <w:t> </w:t>
                        </w:r>
                        <w:r>
                          <w:rPr>
                            <w:rFonts w:ascii="宋体" w:hAnsi="宋体" w:cs="宋体" w:eastAsia="宋体" w:hint="default"/>
                            <w:sz w:val="18"/>
                            <w:szCs w:val="18"/>
                          </w:rPr>
                          <w:t>日 完成过户）</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《关于继续出售 紫菘花园房产的 </w:t>
                        </w:r>
                        <w:r>
                          <w:rPr>
                            <w:rFonts w:ascii="宋体" w:hAnsi="宋体" w:cs="宋体" w:eastAsia="宋体" w:hint="default"/>
                            <w:spacing w:val="-22"/>
                            <w:sz w:val="18"/>
                            <w:szCs w:val="18"/>
                          </w:rPr>
                          <w:t>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2018-046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ind w:left="300" w:right="11238"/>
        <w:jc w:val="left"/>
        <w:rPr>
          <w:b w:val="0"/>
          <w:bCs w:val="0"/>
        </w:rPr>
      </w:pPr>
      <w:bookmarkStart w:name="2、出售重大股权情况" w:id="52"/>
      <w:bookmarkEnd w:id="52"/>
      <w:r>
        <w:rPr>
          <w:b w:val="0"/>
          <w:bCs w:val="0"/>
        </w:rPr>
      </w:r>
      <w:r>
        <w:rPr>
          <w:rFonts w:ascii="宋体" w:hAnsi="宋体" w:cs="宋体" w:eastAsia="宋体" w:hint="default"/>
        </w:rPr>
        <w:t>2</w:t>
      </w:r>
      <w:r>
        <w:rPr/>
        <w:t>、出售重大股权情况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00" w:right="11238"/>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300" w:right="11238"/>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7"/>
          <w:pgSz w:w="16840" w:h="11910" w:orient="landscape"/>
          <w:pgMar w:header="867" w:footer="1187" w:top="1060" w:bottom="1380" w:left="1140" w:right="1080"/>
        </w:sectPr>
      </w:pPr>
    </w:p>
    <w:p>
      <w:pPr>
        <w:pStyle w:val="BodyText"/>
        <w:spacing w:line="240" w:lineRule="auto" w:before="44"/>
        <w:ind w:left="300" w:right="-20"/>
        <w:jc w:val="left"/>
      </w:pPr>
      <w:r>
        <w:rPr/>
        <w:t>√ 适用 □ 不适用</w:t>
      </w:r>
    </w:p>
    <w:p>
      <w:pPr>
        <w:pStyle w:val="BodyText"/>
        <w:spacing w:line="240" w:lineRule="auto" w:before="117"/>
        <w:ind w:left="300" w:right="-20"/>
        <w:jc w:val="left"/>
      </w:pPr>
      <w:r>
        <w:rPr/>
        <w:t>主要子公司及对公司净利润影响达</w:t>
      </w:r>
      <w:r>
        <w:rPr>
          <w:spacing w:val="-46"/>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00" w:right="0"/>
        <w:jc w:val="left"/>
      </w:pPr>
      <w:r>
        <w:rPr/>
        <w:t>单位：元</w:t>
      </w:r>
    </w:p>
    <w:p>
      <w:pPr>
        <w:spacing w:after="0" w:line="240" w:lineRule="auto"/>
        <w:jc w:val="left"/>
        <w:sectPr>
          <w:type w:val="continuous"/>
          <w:pgSz w:w="16840" w:h="11910" w:orient="landscape"/>
          <w:pgMar w:top="1580" w:bottom="700" w:left="1140" w:right="1080"/>
          <w:cols w:num="2" w:equalWidth="0">
            <w:col w:w="4935" w:space="8207"/>
            <w:col w:w="1478"/>
          </w:cols>
        </w:sectPr>
      </w:pPr>
    </w:p>
    <w:p>
      <w:pPr>
        <w:spacing w:line="240" w:lineRule="auto" w:before="13"/>
        <w:rPr>
          <w:rFonts w:ascii="宋体" w:hAnsi="宋体" w:cs="宋体" w:eastAsia="宋体" w:hint="default"/>
          <w:sz w:val="7"/>
          <w:szCs w:val="7"/>
        </w:rPr>
      </w:pPr>
    </w:p>
    <w:tbl>
      <w:tblPr>
        <w:tblW w:w="0" w:type="auto"/>
        <w:jc w:val="left"/>
        <w:tblInd w:w="295" w:type="dxa"/>
        <w:tblLayout w:type="fixed"/>
        <w:tblCellMar>
          <w:top w:w="0" w:type="dxa"/>
          <w:left w:w="0" w:type="dxa"/>
          <w:bottom w:w="0" w:type="dxa"/>
          <w:right w:w="0" w:type="dxa"/>
        </w:tblCellMar>
        <w:tblLook w:val="01E0"/>
      </w:tblPr>
      <w:tblGrid>
        <w:gridCol w:w="1054"/>
        <w:gridCol w:w="932"/>
        <w:gridCol w:w="3265"/>
        <w:gridCol w:w="1414"/>
        <w:gridCol w:w="1559"/>
        <w:gridCol w:w="1417"/>
        <w:gridCol w:w="1417"/>
        <w:gridCol w:w="1415"/>
        <w:gridCol w:w="1421"/>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天喻教育</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教育云平台、智慧课堂、智慧校园等智慧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教育系列产品的开发、销售及运营服务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5,192.3077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253,511,966.81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center"/>
              <w:rPr>
                <w:rFonts w:ascii="宋体" w:hAnsi="宋体" w:cs="宋体" w:eastAsia="宋体" w:hint="default"/>
                <w:sz w:val="18"/>
                <w:szCs w:val="18"/>
              </w:rPr>
            </w:pPr>
            <w:r>
              <w:rPr>
                <w:rFonts w:ascii="宋体"/>
                <w:sz w:val="18"/>
              </w:rPr>
              <w:t>-45,378,820.73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263,752,994.13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38,673,192.47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37,448,927.20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百望信息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税控产品、基于互联网的税务增值服务产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品的开发、销售及服务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2,140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54,116,826.86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center"/>
              <w:rPr>
                <w:rFonts w:ascii="宋体" w:hAnsi="宋体" w:cs="宋体" w:eastAsia="宋体" w:hint="default"/>
                <w:sz w:val="18"/>
                <w:szCs w:val="18"/>
              </w:rPr>
            </w:pPr>
            <w:r>
              <w:rPr>
                <w:rFonts w:ascii="宋体"/>
                <w:sz w:val="18"/>
              </w:rPr>
              <w:t>36,115,490.80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54,902,960.64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13,165,935.97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11,832,834.83</w:t>
            </w:r>
          </w:p>
        </w:tc>
      </w:tr>
      <w:tr>
        <w:trPr>
          <w:trHeight w:val="71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擎动网络</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快消品、物流等行业企业供应链管理服务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金融服务平台的开发及运维、运营服务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12,093,044.48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center"/>
              <w:rPr>
                <w:rFonts w:ascii="宋体" w:hAnsi="宋体" w:cs="宋体" w:eastAsia="宋体" w:hint="default"/>
                <w:sz w:val="18"/>
                <w:szCs w:val="18"/>
              </w:rPr>
            </w:pPr>
            <w:r>
              <w:rPr>
                <w:rFonts w:ascii="宋体"/>
                <w:sz w:val="18"/>
              </w:rPr>
              <w:t>-1,490,406.99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3,998,354.80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-11,770,096.99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-11,768,346.54</w:t>
            </w:r>
          </w:p>
        </w:tc>
      </w:tr>
    </w:tbl>
    <w:p>
      <w:pPr>
        <w:spacing w:line="240" w:lineRule="auto" w:before="9"/>
        <w:rPr>
          <w:rFonts w:ascii="宋体" w:hAnsi="宋体" w:cs="宋体" w:eastAsia="宋体" w:hint="default"/>
          <w:sz w:val="6"/>
          <w:szCs w:val="6"/>
        </w:rPr>
      </w:pPr>
    </w:p>
    <w:p>
      <w:pPr>
        <w:pStyle w:val="BodyText"/>
        <w:spacing w:line="240" w:lineRule="auto" w:before="44"/>
        <w:ind w:left="300" w:right="11238"/>
        <w:jc w:val="left"/>
      </w:pPr>
      <w:r>
        <w:rPr/>
        <w:t>报告期内取得和处置子公司的情况</w:t>
      </w:r>
    </w:p>
    <w:p>
      <w:pPr>
        <w:pStyle w:val="BodyText"/>
        <w:spacing w:line="240" w:lineRule="auto" w:before="116"/>
        <w:ind w:left="300" w:right="11238"/>
        <w:jc w:val="left"/>
      </w:pPr>
      <w:r>
        <w:rPr/>
        <w:t>√ 适用 □ 不适用</w:t>
      </w:r>
    </w:p>
    <w:p>
      <w:pPr>
        <w:spacing w:line="240" w:lineRule="auto" w:before="13"/>
        <w:rPr>
          <w:rFonts w:ascii="宋体" w:hAnsi="宋体" w:cs="宋体" w:eastAsia="宋体" w:hint="default"/>
          <w:sz w:val="7"/>
          <w:szCs w:val="7"/>
        </w:rPr>
      </w:pPr>
    </w:p>
    <w:tbl>
      <w:tblPr>
        <w:tblW w:w="0" w:type="auto"/>
        <w:jc w:val="left"/>
        <w:tblInd w:w="295" w:type="dxa"/>
        <w:tblLayout w:type="fixed"/>
        <w:tblCellMar>
          <w:top w:w="0" w:type="dxa"/>
          <w:left w:w="0" w:type="dxa"/>
          <w:bottom w:w="0" w:type="dxa"/>
          <w:right w:w="0" w:type="dxa"/>
        </w:tblCellMar>
        <w:tblLook w:val="01E0"/>
      </w:tblPr>
      <w:tblGrid>
        <w:gridCol w:w="2694"/>
        <w:gridCol w:w="4820"/>
        <w:gridCol w:w="6380"/>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4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现代教育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天喻教育以现金收购现代教育</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拓展公司智慧教育产品的销售及运营</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百望信息</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公司出资参与设立</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有利于加快公司税务增值服务业务发展</w:t>
            </w:r>
          </w:p>
        </w:tc>
      </w:tr>
    </w:tbl>
    <w:p>
      <w:pPr>
        <w:spacing w:after="0" w:line="240" w:lineRule="auto"/>
        <w:jc w:val="left"/>
        <w:rPr>
          <w:rFonts w:ascii="宋体" w:hAnsi="宋体" w:cs="宋体" w:eastAsia="宋体" w:hint="default"/>
          <w:sz w:val="18"/>
          <w:szCs w:val="18"/>
        </w:rPr>
        <w:sectPr>
          <w:type w:val="continuous"/>
          <w:pgSz w:w="16840" w:h="11910" w:orient="landscape"/>
          <w:pgMar w:top="1580" w:bottom="700" w:left="1140" w:right="108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4"/>
        <w:gridCol w:w="4820"/>
        <w:gridCol w:w="6380"/>
      </w:tblGrid>
      <w:tr>
        <w:trPr>
          <w:trHeight w:val="416" w:hRule="exact"/>
        </w:trPr>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鱼渔课堂</w:t>
            </w:r>
          </w:p>
        </w:tc>
        <w:tc>
          <w:tcPr>
            <w:tcW w:w="4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天喻教育出资参与设立</w:t>
            </w:r>
          </w:p>
        </w:tc>
        <w:tc>
          <w:tcPr>
            <w:tcW w:w="6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w:t>
            </w:r>
            <w:r>
              <w:rPr>
                <w:rFonts w:ascii="宋体" w:hAnsi="宋体" w:cs="宋体" w:eastAsia="宋体" w:hint="default"/>
                <w:spacing w:val="-46"/>
                <w:sz w:val="18"/>
                <w:szCs w:val="18"/>
              </w:rPr>
              <w:t> </w:t>
            </w:r>
            <w:r>
              <w:rPr>
                <w:rFonts w:ascii="宋体" w:hAnsi="宋体" w:cs="宋体" w:eastAsia="宋体" w:hint="default"/>
                <w:sz w:val="18"/>
                <w:szCs w:val="18"/>
              </w:rPr>
              <w:t>K12</w:t>
            </w:r>
            <w:r>
              <w:rPr>
                <w:rFonts w:ascii="宋体" w:hAnsi="宋体" w:cs="宋体" w:eastAsia="宋体" w:hint="default"/>
                <w:spacing w:val="-46"/>
                <w:sz w:val="18"/>
                <w:szCs w:val="18"/>
              </w:rPr>
              <w:t> </w:t>
            </w:r>
            <w:r>
              <w:rPr>
                <w:rFonts w:ascii="宋体" w:hAnsi="宋体" w:cs="宋体" w:eastAsia="宋体" w:hint="default"/>
                <w:sz w:val="18"/>
                <w:szCs w:val="18"/>
              </w:rPr>
              <w:t>学生个性化学习系统、资源，布局学生用户学习市场</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河南喻周</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天喻教育出资参与设立</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拓展公司智慧教育产品的销售及运营</w:t>
            </w:r>
          </w:p>
        </w:tc>
      </w:tr>
    </w:tbl>
    <w:p>
      <w:pPr>
        <w:spacing w:line="240" w:lineRule="auto" w:before="9"/>
        <w:rPr>
          <w:rFonts w:ascii="宋体" w:hAnsi="宋体" w:cs="宋体" w:eastAsia="宋体" w:hint="default"/>
          <w:sz w:val="6"/>
          <w:szCs w:val="6"/>
        </w:rPr>
      </w:pPr>
    </w:p>
    <w:p>
      <w:pPr>
        <w:pStyle w:val="BodyText"/>
        <w:spacing w:line="357" w:lineRule="auto" w:before="44"/>
        <w:ind w:left="480" w:right="0" w:hanging="360"/>
        <w:jc w:val="left"/>
      </w:pPr>
      <w:r>
        <w:rPr/>
        <w:t>主要控股参股公司情况说明 </w:t>
      </w:r>
      <w:r>
        <w:rPr>
          <w:spacing w:val="-2"/>
        </w:rPr>
        <w:t>报告期内，公司子公司天喻教育不断升级智慧教育系列产品，完善渠道体系建设，持续提升品牌知名度，承接的教育云平台项目、区域及学校智慧课堂</w:t>
      </w:r>
      <w:r>
        <w:rPr>
          <w:rFonts w:ascii="宋体" w:hAnsi="宋体" w:cs="宋体" w:eastAsia="宋体" w:hint="default"/>
          <w:spacing w:val="-2"/>
        </w:rPr>
        <w:t>&amp;</w:t>
      </w:r>
      <w:r>
        <w:rPr>
          <w:spacing w:val="-2"/>
        </w:rPr>
        <w:t>智慧校园项目数量快</w:t>
      </w:r>
    </w:p>
    <w:p>
      <w:pPr>
        <w:pStyle w:val="BodyText"/>
        <w:spacing w:line="357" w:lineRule="auto"/>
        <w:ind w:left="480" w:right="3798" w:hanging="360"/>
        <w:jc w:val="left"/>
      </w:pPr>
      <w:r>
        <w:rPr/>
        <w:t>速增加。天喻教育营业收入和净利润同比均大幅增长。 报告期内，公司子公司百望信息在努力扩大税控产品销量的同时，大力开拓税务增值服务产品市场，增值服务业务快速发展。 报告期内，公司子公司擎动网络继续与中信银行共同推广“信</w:t>
      </w:r>
      <w:r>
        <w:rPr>
          <w:spacing w:val="-46"/>
        </w:rPr>
        <w:t> </w:t>
      </w:r>
      <w:r>
        <w:rPr>
          <w:rFonts w:ascii="宋体" w:hAnsi="宋体" w:cs="宋体" w:eastAsia="宋体" w:hint="default"/>
        </w:rPr>
        <w:t>e</w:t>
      </w:r>
      <w:r>
        <w:rPr>
          <w:rFonts w:ascii="宋体" w:hAnsi="宋体" w:cs="宋体" w:eastAsia="宋体" w:hint="default"/>
          <w:spacing w:val="-46"/>
        </w:rPr>
        <w:t> </w:t>
      </w:r>
      <w:r>
        <w:rPr/>
        <w:t>付”业务，该业务收入有所增长，但规模尚小。 主要子公司经营情况参见“第四节 经营情况讨论与分析</w:t>
      </w:r>
      <w:r>
        <w:rPr>
          <w:rFonts w:ascii="宋体" w:hAnsi="宋体" w:cs="宋体" w:eastAsia="宋体" w:hint="default"/>
        </w:rPr>
        <w:t>/</w:t>
      </w:r>
      <w:r>
        <w:rPr/>
        <w:t>一、概述”。</w:t>
      </w:r>
    </w:p>
    <w:p>
      <w:pPr>
        <w:spacing w:after="0" w:line="357" w:lineRule="auto"/>
        <w:jc w:val="left"/>
        <w:sectPr>
          <w:pgSz w:w="16840" w:h="11910" w:orient="landscape"/>
          <w:pgMar w:header="867" w:footer="1187" w:top="1060" w:bottom="1380" w:left="132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行业格局和趋势" w:id="56"/>
      <w:bookmarkEnd w:id="56"/>
      <w:r>
        <w:rPr>
          <w:b w:val="0"/>
          <w:bCs w:val="0"/>
        </w:rPr>
      </w:r>
      <w:r>
        <w:rPr>
          <w:rFonts w:ascii="宋体" w:hAnsi="宋体" w:cs="宋体" w:eastAsia="宋体" w:hint="default"/>
        </w:rPr>
        <w:t>1</w:t>
      </w:r>
      <w:r>
        <w:rPr/>
        <w:t>、行业格局和趋势</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29" w:firstLine="360"/>
        <w:jc w:val="both"/>
      </w:pPr>
      <w:r>
        <w:rPr/>
        <w:t>根据中国人民银行公布的相关数据，截至</w:t>
      </w:r>
      <w:r>
        <w:rPr>
          <w:rFonts w:ascii="宋体" w:hAnsi="宋体" w:cs="宋体" w:eastAsia="宋体" w:hint="default"/>
        </w:rPr>
        <w:t>2018</w:t>
      </w:r>
      <w:r>
        <w:rPr/>
        <w:t>年第三季度末，全国银行卡在用发卡数量为</w:t>
      </w:r>
      <w:r>
        <w:rPr>
          <w:rFonts w:ascii="宋体" w:hAnsi="宋体" w:cs="宋体" w:eastAsia="宋体" w:hint="default"/>
        </w:rPr>
        <w:t>73.85</w:t>
      </w:r>
      <w:r>
        <w:rPr/>
        <w:t>亿张，</w:t>
      </w:r>
      <w:r>
        <w:rPr>
          <w:rFonts w:ascii="宋体" w:hAnsi="宋体" w:cs="宋体" w:eastAsia="宋体" w:hint="default"/>
        </w:rPr>
        <w:t>2018</w:t>
      </w:r>
      <w:r>
        <w:rPr/>
        <w:t>年前三季度 </w:t>
      </w:r>
      <w:r>
        <w:rPr>
          <w:spacing w:val="-5"/>
        </w:rPr>
        <w:t>新增</w:t>
      </w:r>
      <w:r>
        <w:rPr>
          <w:rFonts w:ascii="宋体" w:hAnsi="宋体" w:cs="宋体" w:eastAsia="宋体" w:hint="default"/>
          <w:spacing w:val="-5"/>
        </w:rPr>
        <w:t>6.92</w:t>
      </w:r>
      <w:r>
        <w:rPr>
          <w:spacing w:val="-5"/>
        </w:rPr>
        <w:t>亿张，同比增加</w:t>
      </w:r>
      <w:r>
        <w:rPr>
          <w:rFonts w:ascii="宋体" w:hAnsi="宋体" w:cs="宋体" w:eastAsia="宋体" w:hint="default"/>
          <w:spacing w:val="-5"/>
        </w:rPr>
        <w:t>2.99</w:t>
      </w:r>
      <w:r>
        <w:rPr>
          <w:spacing w:val="-5"/>
        </w:rPr>
        <w:t>亿张。金融</w:t>
      </w:r>
      <w:r>
        <w:rPr>
          <w:rFonts w:ascii="宋体" w:hAnsi="宋体" w:cs="宋体" w:eastAsia="宋体" w:hint="default"/>
          <w:spacing w:val="-5"/>
        </w:rPr>
        <w:t>IC</w:t>
      </w:r>
      <w:r>
        <w:rPr>
          <w:spacing w:val="-5"/>
        </w:rPr>
        <w:t>卡产品市场受政策影响较大、产品普及率较高，但总体发卡规模仍在。除公司外，</w:t>
      </w:r>
      <w:r>
        <w:rPr>
          <w:spacing w:val="-56"/>
        </w:rPr>
        <w:t> </w:t>
      </w:r>
      <w:r>
        <w:rPr>
          <w:spacing w:val="-56"/>
        </w:rPr>
      </w:r>
      <w:r>
        <w:rPr>
          <w:spacing w:val="-2"/>
        </w:rPr>
        <w:t>国内金融</w:t>
      </w:r>
      <w:r>
        <w:rPr>
          <w:rFonts w:ascii="宋体" w:hAnsi="宋体" w:cs="宋体" w:eastAsia="宋体" w:hint="default"/>
          <w:spacing w:val="-2"/>
        </w:rPr>
        <w:t>IC</w:t>
      </w:r>
      <w:r>
        <w:rPr>
          <w:spacing w:val="-2"/>
        </w:rPr>
        <w:t>卡产品主要供货厂商还包括金邦达宝嘉、恒宝股份等。近几年公司金融</w:t>
      </w:r>
      <w:r>
        <w:rPr>
          <w:rFonts w:ascii="宋体" w:hAnsi="宋体" w:cs="宋体" w:eastAsia="宋体" w:hint="default"/>
          <w:spacing w:val="-2"/>
        </w:rPr>
        <w:t>IC</w:t>
      </w:r>
      <w:r>
        <w:rPr>
          <w:spacing w:val="-2"/>
        </w:rPr>
        <w:t>卡产品的发卡量保持行业前列。工信部</w:t>
      </w:r>
      <w:r>
        <w:rPr>
          <w:spacing w:val="-62"/>
        </w:rPr>
        <w:t> </w:t>
      </w:r>
      <w:r>
        <w:rPr>
          <w:spacing w:val="-62"/>
        </w:rPr>
      </w:r>
      <w:r>
        <w:rPr>
          <w:spacing w:val="-3"/>
        </w:rPr>
        <w:t>公布的统计数据显示，截至</w:t>
      </w:r>
      <w:r>
        <w:rPr>
          <w:rFonts w:ascii="宋体" w:hAnsi="宋体" w:cs="宋体" w:eastAsia="宋体" w:hint="default"/>
          <w:spacing w:val="-3"/>
        </w:rPr>
        <w:t>2018</w:t>
      </w:r>
      <w:r>
        <w:rPr>
          <w:spacing w:val="-3"/>
        </w:rPr>
        <w:t>年末，全国移动电话用户总数达</w:t>
      </w:r>
      <w:r>
        <w:rPr>
          <w:rFonts w:ascii="宋体" w:hAnsi="宋体" w:cs="宋体" w:eastAsia="宋体" w:hint="default"/>
          <w:spacing w:val="-3"/>
        </w:rPr>
        <w:t>15.7</w:t>
      </w:r>
      <w:r>
        <w:rPr>
          <w:spacing w:val="-3"/>
        </w:rPr>
        <w:t>亿户，全年净增</w:t>
      </w:r>
      <w:r>
        <w:rPr>
          <w:rFonts w:ascii="宋体" w:hAnsi="宋体" w:cs="宋体" w:eastAsia="宋体" w:hint="default"/>
          <w:spacing w:val="-3"/>
        </w:rPr>
        <w:t>1.49</w:t>
      </w:r>
      <w:r>
        <w:rPr>
          <w:spacing w:val="-3"/>
        </w:rPr>
        <w:t>亿户，上年同期为净增</w:t>
      </w:r>
      <w:r>
        <w:rPr>
          <w:rFonts w:ascii="宋体" w:hAnsi="宋体" w:cs="宋体" w:eastAsia="宋体" w:hint="default"/>
          <w:spacing w:val="-3"/>
        </w:rPr>
        <w:t>9,555</w:t>
      </w:r>
      <w:r>
        <w:rPr>
          <w:spacing w:val="-3"/>
        </w:rPr>
        <w:t>万户。</w:t>
      </w:r>
      <w:r>
        <w:rPr>
          <w:spacing w:val="-77"/>
        </w:rPr>
        <w:t> </w:t>
      </w:r>
      <w:r>
        <w:rPr>
          <w:spacing w:val="-2"/>
        </w:rPr>
        <w:t>随着国内通信智能卡行业市场竞争日益激烈，普通通信智能卡产品价格逐年降低，利润微薄。除公司外，国内通信智能卡产</w:t>
      </w:r>
      <w:r>
        <w:rPr>
          <w:spacing w:val="-66"/>
        </w:rPr>
        <w:t> </w:t>
      </w:r>
      <w:r>
        <w:rPr>
          <w:spacing w:val="-66"/>
        </w:rPr>
      </w:r>
      <w:r>
        <w:rPr/>
        <w:t>品主要供货厂商还包括恒宝股份、东信和平等。</w:t>
      </w:r>
    </w:p>
    <w:p>
      <w:pPr>
        <w:pStyle w:val="BodyText"/>
        <w:spacing w:line="319" w:lineRule="auto" w:before="55"/>
        <w:ind w:right="1130" w:firstLine="360"/>
        <w:jc w:val="both"/>
      </w:pPr>
      <w:r>
        <w:rPr>
          <w:spacing w:val="-2"/>
        </w:rPr>
        <w:t>根据中国人民银行发布的《</w:t>
      </w:r>
      <w:r>
        <w:rPr>
          <w:rFonts w:ascii="宋体" w:hAnsi="宋体" w:cs="宋体" w:eastAsia="宋体" w:hint="default"/>
          <w:spacing w:val="-2"/>
        </w:rPr>
        <w:t>2018</w:t>
      </w:r>
      <w:r>
        <w:rPr>
          <w:spacing w:val="-2"/>
        </w:rPr>
        <w:t>年第三季度支付体系运行总体情况》报告，截至</w:t>
      </w:r>
      <w:r>
        <w:rPr>
          <w:rFonts w:ascii="宋体" w:hAnsi="宋体" w:cs="宋体" w:eastAsia="宋体" w:hint="default"/>
          <w:spacing w:val="-2"/>
        </w:rPr>
        <w:t>2018</w:t>
      </w:r>
      <w:r>
        <w:rPr>
          <w:spacing w:val="-2"/>
        </w:rPr>
        <w:t>年第三季度末，国内支付系统联网</w:t>
      </w:r>
      <w:r>
        <w:rPr/>
        <w:t> </w:t>
      </w:r>
      <w:r>
        <w:rPr>
          <w:rFonts w:ascii="宋体" w:hAnsi="宋体" w:cs="宋体" w:eastAsia="宋体" w:hint="default"/>
        </w:rPr>
        <w:t>POS</w:t>
      </w:r>
      <w:r>
        <w:rPr/>
        <w:t>机具数量累计为</w:t>
      </w:r>
      <w:r>
        <w:rPr>
          <w:rFonts w:ascii="宋体" w:hAnsi="宋体" w:cs="宋体" w:eastAsia="宋体" w:hint="default"/>
        </w:rPr>
        <w:t>3,231.25</w:t>
      </w:r>
      <w:r>
        <w:rPr/>
        <w:t>万台，行业规模较大。近年来，具备更高安全等级、更便捷使用体验和更好功能延展性（如扫</w:t>
      </w:r>
      <w:r>
        <w:rPr>
          <w:spacing w:val="-83"/>
        </w:rPr>
        <w:t> </w:t>
      </w:r>
      <w:r>
        <w:rPr>
          <w:spacing w:val="-83"/>
        </w:rPr>
      </w:r>
      <w:r>
        <w:rPr>
          <w:spacing w:val="-2"/>
        </w:rPr>
        <w:t>手机二维码）的</w:t>
      </w:r>
      <w:r>
        <w:rPr>
          <w:rFonts w:ascii="宋体" w:hAnsi="宋体" w:cs="宋体" w:eastAsia="宋体" w:hint="default"/>
          <w:spacing w:val="-2"/>
        </w:rPr>
        <w:t>mPOS</w:t>
      </w:r>
      <w:r>
        <w:rPr>
          <w:spacing w:val="-2"/>
        </w:rPr>
        <w:t>、智能</w:t>
      </w:r>
      <w:r>
        <w:rPr>
          <w:rFonts w:ascii="宋体" w:hAnsi="宋体" w:cs="宋体" w:eastAsia="宋体" w:hint="default"/>
          <w:spacing w:val="-2"/>
        </w:rPr>
        <w:t>POS</w:t>
      </w:r>
      <w:r>
        <w:rPr>
          <w:spacing w:val="-2"/>
        </w:rPr>
        <w:t>产品销售占比持续提升，相关产品市场快速发展。国内</w:t>
      </w:r>
      <w:r>
        <w:rPr>
          <w:rFonts w:ascii="宋体" w:hAnsi="宋体" w:cs="宋体" w:eastAsia="宋体" w:hint="default"/>
          <w:spacing w:val="-2"/>
        </w:rPr>
        <w:t>POS</w:t>
      </w:r>
      <w:r>
        <w:rPr>
          <w:spacing w:val="-2"/>
        </w:rPr>
        <w:t>机具行业的主要厂商为新大陆、新</w:t>
      </w:r>
      <w:r>
        <w:rPr>
          <w:spacing w:val="-57"/>
        </w:rPr>
        <w:t> </w:t>
      </w:r>
      <w:r>
        <w:rPr>
          <w:spacing w:val="-57"/>
        </w:rPr>
      </w:r>
      <w:r>
        <w:rPr>
          <w:spacing w:val="-4"/>
        </w:rPr>
        <w:t>国都、百富环球等，公司属于该领域的新进入者，在</w:t>
      </w:r>
      <w:r>
        <w:rPr>
          <w:rFonts w:ascii="宋体" w:hAnsi="宋体" w:cs="宋体" w:eastAsia="宋体" w:hint="default"/>
          <w:spacing w:val="-4"/>
        </w:rPr>
        <w:t>mPOS</w:t>
      </w:r>
      <w:r>
        <w:rPr>
          <w:spacing w:val="-4"/>
        </w:rPr>
        <w:t>等细分领域市场占有率领先，在传统</w:t>
      </w:r>
      <w:r>
        <w:rPr>
          <w:rFonts w:ascii="宋体" w:hAnsi="宋体" w:cs="宋体" w:eastAsia="宋体" w:hint="default"/>
          <w:spacing w:val="-4"/>
        </w:rPr>
        <w:t>POS</w:t>
      </w:r>
      <w:r>
        <w:rPr>
          <w:spacing w:val="-4"/>
        </w:rPr>
        <w:t>领域市场占有率快速提升，</w:t>
      </w:r>
      <w:r>
        <w:rPr>
          <w:spacing w:val="-34"/>
        </w:rPr>
        <w:t> </w:t>
      </w:r>
      <w:r>
        <w:rPr/>
        <w:t>在智能终端领域市场蓄势待发，适时推出整合行业应用的整体解决方案，为</w:t>
      </w:r>
      <w:r>
        <w:rPr>
          <w:rFonts w:ascii="宋体" w:hAnsi="宋体" w:cs="宋体" w:eastAsia="宋体" w:hint="default"/>
        </w:rPr>
        <w:t>B</w:t>
      </w:r>
      <w:r>
        <w:rPr/>
        <w:t>端客户提供更好的收单体验和更有价值的智能</w:t>
      </w:r>
      <w:r>
        <w:rPr>
          <w:spacing w:val="-82"/>
        </w:rPr>
        <w:t> </w:t>
      </w:r>
      <w:r>
        <w:rPr>
          <w:spacing w:val="-82"/>
        </w:rPr>
      </w:r>
      <w:r>
        <w:rPr/>
        <w:t>收单服务。</w:t>
      </w:r>
    </w:p>
    <w:p>
      <w:pPr>
        <w:pStyle w:val="BodyText"/>
        <w:spacing w:line="319" w:lineRule="auto" w:before="56"/>
        <w:ind w:right="1129" w:firstLine="360"/>
        <w:jc w:val="both"/>
      </w:pPr>
      <w:r>
        <w:rPr>
          <w:spacing w:val="-2"/>
        </w:rPr>
        <w:t>随着国家“营改增”税制转换工作的完成，税控盘市场的高速增长期已结束，税控终端市场需求以自然增长和更新替换</w:t>
      </w:r>
      <w:r>
        <w:rPr/>
        <w:t> 为主。在夯实“营改增”成果的基础上，国家税务总局依托“互联网</w:t>
      </w:r>
      <w:r>
        <w:rPr>
          <w:rFonts w:ascii="宋体" w:hAnsi="宋体" w:cs="宋体" w:eastAsia="宋体" w:hint="default"/>
        </w:rPr>
        <w:t>+</w:t>
      </w:r>
      <w:r>
        <w:rPr/>
        <w:t>税务”行动计划，围绕纳税人痛感最强烈的事项，推</w:t>
      </w:r>
      <w:r>
        <w:rPr>
          <w:spacing w:val="-83"/>
        </w:rPr>
        <w:t> </w:t>
      </w:r>
      <w:r>
        <w:rPr>
          <w:spacing w:val="-83"/>
        </w:rPr>
      </w:r>
      <w:r>
        <w:rPr>
          <w:spacing w:val="-2"/>
        </w:rPr>
        <w:t>出一系列创新举措（在全国范围内建成规范统一的电子税务局，提供功能更加全面、办税更加便捷的网上办税系统；推进网</w:t>
      </w:r>
      <w:r>
        <w:rPr>
          <w:spacing w:val="-66"/>
        </w:rPr>
        <w:t> </w:t>
      </w:r>
      <w:r>
        <w:rPr>
          <w:spacing w:val="-66"/>
        </w:rPr>
      </w:r>
      <w:r>
        <w:rPr>
          <w:spacing w:val="-2"/>
        </w:rPr>
        <w:t>上办税系统与企业财务软件对接，最大限度压缩企业纳税时间），进一步提升办税便利度，传统税务服务业务与互联网融合</w:t>
      </w:r>
      <w:r>
        <w:rPr>
          <w:spacing w:val="-66"/>
        </w:rPr>
        <w:t> </w:t>
      </w:r>
      <w:r>
        <w:rPr>
          <w:spacing w:val="-66"/>
        </w:rPr>
      </w:r>
      <w:r>
        <w:rPr/>
        <w:t>的步伐持续加速。在后“营改增”时代，针对</w:t>
      </w:r>
      <w:r>
        <w:rPr>
          <w:rFonts w:ascii="宋体" w:hAnsi="宋体" w:cs="宋体" w:eastAsia="宋体" w:hint="default"/>
        </w:rPr>
        <w:t>B</w:t>
      </w:r>
      <w:r>
        <w:rPr/>
        <w:t>端纳税户企业服务市场的增值业务进入蓬勃发展期。目前国内增值税税控设</w:t>
      </w:r>
      <w:r>
        <w:rPr>
          <w:spacing w:val="-83"/>
        </w:rPr>
        <w:t> </w:t>
      </w:r>
      <w:r>
        <w:rPr>
          <w:spacing w:val="-83"/>
        </w:rPr>
      </w:r>
      <w:r>
        <w:rPr/>
        <w:t>备销售与服务市场的参与者主要包括航天信息、旋极信息、恒宝股份和各地百旺金赋公司。</w:t>
      </w:r>
    </w:p>
    <w:p>
      <w:pPr>
        <w:pStyle w:val="BodyText"/>
        <w:spacing w:line="319" w:lineRule="auto" w:before="55"/>
        <w:ind w:right="1130"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月，工信部对外公布已向中国电信、中国移动、中国联通发放了</w:t>
      </w:r>
      <w:r>
        <w:rPr>
          <w:rFonts w:ascii="宋体" w:hAnsi="宋体" w:cs="宋体" w:eastAsia="宋体" w:hint="default"/>
          <w:spacing w:val="-2"/>
        </w:rPr>
        <w:t>5G</w:t>
      </w:r>
      <w:r>
        <w:rPr>
          <w:spacing w:val="-2"/>
        </w:rPr>
        <w:t>系统中低频段试验频率使用许可，此举将进</w:t>
      </w:r>
      <w:r>
        <w:rPr/>
        <w:t> </w:t>
      </w:r>
      <w:r>
        <w:rPr>
          <w:spacing w:val="-5"/>
        </w:rPr>
        <w:t>一步推动我国</w:t>
      </w:r>
      <w:r>
        <w:rPr>
          <w:rFonts w:ascii="宋体" w:hAnsi="宋体" w:cs="宋体" w:eastAsia="宋体" w:hint="default"/>
          <w:spacing w:val="-5"/>
        </w:rPr>
        <w:t>5G</w:t>
      </w:r>
      <w:r>
        <w:rPr>
          <w:spacing w:val="-5"/>
        </w:rPr>
        <w:t>产业链的成熟与发展。</w:t>
      </w:r>
      <w:r>
        <w:rPr>
          <w:rFonts w:ascii="宋体" w:hAnsi="宋体" w:cs="宋体" w:eastAsia="宋体" w:hint="default"/>
          <w:spacing w:val="-5"/>
        </w:rPr>
        <w:t>5G</w:t>
      </w:r>
      <w:r>
        <w:rPr>
          <w:spacing w:val="-5"/>
        </w:rPr>
        <w:t>技术以其高速率、低时延、海量机器连接的特性，在物联网、智能汽车、智慧家居、</w:t>
      </w:r>
      <w:r>
        <w:rPr>
          <w:spacing w:val="-71"/>
        </w:rPr>
        <w:t> </w:t>
      </w:r>
      <w:r>
        <w:rPr>
          <w:spacing w:val="-71"/>
        </w:rPr>
      </w:r>
      <w:r>
        <w:rPr>
          <w:spacing w:val="-2"/>
        </w:rPr>
        <w:t>远程服务、虚拟现实、增强现实等领域应用前景广阔。随着</w:t>
      </w:r>
      <w:r>
        <w:rPr>
          <w:rFonts w:ascii="宋体" w:hAnsi="宋体" w:cs="宋体" w:eastAsia="宋体" w:hint="default"/>
          <w:spacing w:val="-2"/>
        </w:rPr>
        <w:t>5G</w:t>
      </w:r>
      <w:r>
        <w:rPr>
          <w:spacing w:val="-2"/>
        </w:rPr>
        <w:t>通信时代的来临，物联网相关产业的蓬勃发展将带动公司物联</w:t>
      </w:r>
      <w:r>
        <w:rPr>
          <w:spacing w:val="-64"/>
        </w:rPr>
        <w:t> </w:t>
      </w:r>
      <w:r>
        <w:rPr>
          <w:spacing w:val="-64"/>
        </w:rPr>
      </w:r>
      <w:r>
        <w:rPr/>
        <w:t>网技术服务云平台及应用业务的发展。</w:t>
      </w:r>
    </w:p>
    <w:p>
      <w:pPr>
        <w:pStyle w:val="BodyText"/>
        <w:spacing w:line="316" w:lineRule="auto" w:before="55"/>
        <w:ind w:right="1129" w:firstLine="360"/>
        <w:jc w:val="both"/>
      </w:pPr>
      <w:r>
        <w:rPr>
          <w:spacing w:val="-2"/>
        </w:rPr>
        <w:t>伴随教育信息化“十二五”核心目标和标志工程“三通两平台”建设的持续推进及《教育信息化“十三五”规划》等政</w:t>
      </w:r>
      <w:r>
        <w:rPr/>
        <w:t> </w:t>
      </w:r>
      <w:r>
        <w:rPr>
          <w:spacing w:val="-2"/>
        </w:rPr>
        <w:t>策的出台，全国范围内中小学校的信息化基础设施环境日趋完备，基础教育信息化建设财政经费投入保障机制日益清晰。截</w:t>
      </w:r>
      <w:r>
        <w:rPr>
          <w:spacing w:val="-65"/>
        </w:rPr>
        <w:t> </w:t>
      </w:r>
      <w:r>
        <w:rPr>
          <w:spacing w:val="-65"/>
        </w:rPr>
      </w:r>
      <w:r>
        <w:rPr>
          <w:spacing w:val="-2"/>
        </w:rPr>
        <w:t>至</w:t>
      </w:r>
      <w:r>
        <w:rPr>
          <w:rFonts w:ascii="宋体" w:hAnsi="宋体" w:cs="宋体" w:eastAsia="宋体" w:hint="default"/>
          <w:spacing w:val="-2"/>
        </w:rPr>
        <w:t>2018</w:t>
      </w:r>
      <w:r>
        <w:rPr>
          <w:spacing w:val="-2"/>
        </w:rPr>
        <w:t>年末，全国中小学中</w:t>
      </w:r>
      <w:r>
        <w:rPr>
          <w:rFonts w:ascii="宋体" w:hAnsi="宋体" w:cs="宋体" w:eastAsia="宋体" w:hint="default"/>
          <w:spacing w:val="-2"/>
        </w:rPr>
        <w:t>96.7%</w:t>
      </w:r>
      <w:r>
        <w:rPr>
          <w:spacing w:val="-2"/>
        </w:rPr>
        <w:t>的学校已实现网络接入，学校网络教学环境大幅改善；</w:t>
      </w:r>
      <w:r>
        <w:rPr>
          <w:rFonts w:ascii="宋体" w:hAnsi="宋体" w:cs="宋体" w:eastAsia="宋体" w:hint="default"/>
          <w:spacing w:val="-2"/>
        </w:rPr>
        <w:t>92.3%</w:t>
      </w:r>
      <w:r>
        <w:rPr>
          <w:spacing w:val="-2"/>
        </w:rPr>
        <w:t>的学校已拥有多媒体教室，其</w:t>
      </w:r>
      <w:r>
        <w:rPr>
          <w:spacing w:val="-53"/>
        </w:rPr>
        <w:t> </w:t>
      </w:r>
      <w:r>
        <w:rPr>
          <w:spacing w:val="-53"/>
        </w:rPr>
      </w:r>
      <w:r>
        <w:rPr/>
        <w:t>中</w:t>
      </w:r>
      <w:r>
        <w:rPr>
          <w:rFonts w:ascii="宋体" w:hAnsi="宋体" w:cs="宋体" w:eastAsia="宋体" w:hint="default"/>
        </w:rPr>
        <w:t>71.2%</w:t>
      </w:r>
      <w:r>
        <w:rPr/>
        <w:t>的学校实现多媒体教学设备全覆盖，学校统一配备的教师终端、学生终端数量分别为</w:t>
      </w:r>
      <w:r>
        <w:rPr>
          <w:rFonts w:ascii="宋体" w:hAnsi="宋体" w:cs="宋体" w:eastAsia="宋体" w:hint="default"/>
        </w:rPr>
        <w:t>946</w:t>
      </w:r>
      <w:r>
        <w:rPr/>
        <w:t>万台和</w:t>
      </w:r>
      <w:r>
        <w:rPr>
          <w:rFonts w:ascii="宋体" w:hAnsi="宋体" w:cs="宋体" w:eastAsia="宋体" w:hint="default"/>
        </w:rPr>
        <w:t>1,372</w:t>
      </w:r>
      <w:r>
        <w:rPr/>
        <w:t>万台，信息化</w:t>
      </w:r>
      <w:r>
        <w:rPr>
          <w:spacing w:val="-82"/>
        </w:rPr>
        <w:t> </w:t>
      </w:r>
      <w:r>
        <w:rPr>
          <w:spacing w:val="-82"/>
        </w:rPr>
      </w:r>
      <w:r>
        <w:rPr>
          <w:spacing w:val="-2"/>
        </w:rPr>
        <w:t>教学日渐普及；在教育资源公共服务平台上开通网络学习空间的学生、教师分别占全体学生和教师数量的</w:t>
      </w:r>
      <w:r>
        <w:rPr>
          <w:rFonts w:ascii="宋体" w:hAnsi="宋体" w:cs="宋体" w:eastAsia="宋体" w:hint="default"/>
          <w:spacing w:val="-2"/>
        </w:rPr>
        <w:t>47.7%</w:t>
      </w:r>
      <w:r>
        <w:rPr>
          <w:spacing w:val="-2"/>
        </w:rPr>
        <w:t>、</w:t>
      </w:r>
      <w:r>
        <w:rPr>
          <w:rFonts w:ascii="宋体" w:hAnsi="宋体" w:cs="宋体" w:eastAsia="宋体" w:hint="default"/>
          <w:spacing w:val="-2"/>
        </w:rPr>
        <w:t>63.7%</w:t>
      </w:r>
      <w:r>
        <w:rPr>
          <w:spacing w:val="-2"/>
        </w:rPr>
        <w:t>，优</w:t>
      </w:r>
      <w:r>
        <w:rPr>
          <w:spacing w:val="-76"/>
        </w:rPr>
        <w:t> </w:t>
      </w:r>
      <w:r>
        <w:rPr>
          <w:spacing w:val="-2"/>
        </w:rPr>
        <w:t>质数字教育资源日益丰富，资源服务体系日益完善。</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月教育部发布《教育信息化</w:t>
      </w:r>
      <w:r>
        <w:rPr>
          <w:rFonts w:ascii="宋体" w:hAnsi="宋体" w:cs="宋体" w:eastAsia="宋体" w:hint="default"/>
          <w:spacing w:val="-2"/>
        </w:rPr>
        <w:t>2.0</w:t>
      </w:r>
      <w:r>
        <w:rPr>
          <w:spacing w:val="-2"/>
        </w:rPr>
        <w:t>行动计划》，提出通过实施教育</w:t>
      </w:r>
      <w:r>
        <w:rPr>
          <w:spacing w:val="-59"/>
        </w:rPr>
        <w:t> </w:t>
      </w:r>
      <w:r>
        <w:rPr>
          <w:spacing w:val="-59"/>
        </w:rPr>
      </w:r>
      <w:r>
        <w:rPr/>
        <w:t>信息化</w:t>
      </w:r>
      <w:r>
        <w:rPr>
          <w:rFonts w:ascii="宋体" w:hAnsi="宋体" w:cs="宋体" w:eastAsia="宋体" w:hint="default"/>
        </w:rPr>
        <w:t>2.0</w:t>
      </w:r>
      <w:r>
        <w:rPr/>
        <w:t>行动计划，到</w:t>
      </w:r>
      <w:r>
        <w:rPr>
          <w:rFonts w:ascii="宋体" w:hAnsi="宋体" w:cs="宋体" w:eastAsia="宋体" w:hint="default"/>
        </w:rPr>
        <w:t>2022</w:t>
      </w:r>
      <w:r>
        <w:rPr/>
        <w:t>年基本实现“三全两高一大”的发展目标，即教学应用覆盖全体教师、学习应用覆盖全体适龄</w:t>
      </w:r>
      <w:r>
        <w:rPr>
          <w:spacing w:val="-83"/>
        </w:rPr>
        <w:t> </w:t>
      </w:r>
      <w:r>
        <w:rPr>
          <w:spacing w:val="-83"/>
        </w:rPr>
      </w:r>
      <w:r>
        <w:rPr/>
        <w:t>学生、数字校园建设覆盖全体学校，信息化应用水平和师生信息素养普遍提高，建成“互联网</w:t>
      </w:r>
      <w:r>
        <w:rPr>
          <w:rFonts w:ascii="宋体" w:hAnsi="宋体" w:cs="宋体" w:eastAsia="宋体" w:hint="default"/>
        </w:rPr>
        <w:t>+</w:t>
      </w:r>
      <w:r>
        <w:rPr/>
        <w:t>教育”大平台，推动从教育</w:t>
      </w:r>
      <w:r>
        <w:rPr>
          <w:spacing w:val="-82"/>
        </w:rPr>
        <w:t> </w:t>
      </w:r>
      <w:r>
        <w:rPr>
          <w:spacing w:val="-82"/>
        </w:rPr>
      </w:r>
      <w:r>
        <w:rPr>
          <w:spacing w:val="-2"/>
        </w:rPr>
        <w:t>专用资源向教育大资源转变、从提升师生信息技术应用能力向全面提升其信息素养转变、从融合应用向创新发展转变，努力</w:t>
      </w:r>
      <w:r>
        <w:rPr>
          <w:spacing w:val="-66"/>
        </w:rPr>
        <w:t> </w:t>
      </w:r>
      <w:r>
        <w:rPr>
          <w:spacing w:val="-66"/>
        </w:rPr>
      </w:r>
      <w:r>
        <w:rPr>
          <w:spacing w:val="-4"/>
        </w:rPr>
        <w:t>构建“互联网</w:t>
      </w:r>
      <w:r>
        <w:rPr>
          <w:rFonts w:ascii="宋体" w:hAnsi="宋体" w:cs="宋体" w:eastAsia="宋体" w:hint="default"/>
          <w:spacing w:val="-4"/>
        </w:rPr>
        <w:t>+</w:t>
      </w:r>
      <w:r>
        <w:rPr>
          <w:spacing w:val="-4"/>
        </w:rPr>
        <w:t>”条件下的人才培养新模式、发展基于互联网的教育服务新模式、探索信息时代教育治理新模式。各省、市、</w:t>
      </w:r>
      <w:r>
        <w:rPr>
          <w:spacing w:val="-44"/>
        </w:rPr>
        <w:t> </w:t>
      </w:r>
      <w:r>
        <w:rPr>
          <w:spacing w:val="-44"/>
        </w:rPr>
      </w:r>
      <w:r>
        <w:rPr>
          <w:spacing w:val="-2"/>
        </w:rPr>
        <w:t>区、县教育主管部门、学校按照教育信息化发展规划（计划）要求分阶段积极开展建设工作，目前建设重点正从“基础硬件</w:t>
      </w:r>
      <w:r>
        <w:rPr>
          <w:spacing w:val="-66"/>
        </w:rPr>
        <w:t> </w:t>
      </w:r>
      <w:r>
        <w:rPr>
          <w:spacing w:val="-66"/>
        </w:rPr>
      </w:r>
      <w:r>
        <w:rPr/>
        <w:t>环境”向“互联网</w:t>
      </w:r>
      <w:r>
        <w:rPr>
          <w:rFonts w:ascii="宋体" w:hAnsi="宋体" w:cs="宋体" w:eastAsia="宋体" w:hint="default"/>
        </w:rPr>
        <w:t>+</w:t>
      </w:r>
      <w:r>
        <w:rPr/>
        <w:t>教育大平台”及“网络学习空间”推广和常态化的方向发展，向如何利用网络学习空间汇聚大数据，利</w:t>
      </w:r>
      <w:r>
        <w:rPr>
          <w:spacing w:val="-83"/>
        </w:rPr>
        <w:t> </w:t>
      </w:r>
      <w:r>
        <w:rPr>
          <w:spacing w:val="-83"/>
        </w:rPr>
      </w:r>
      <w:r>
        <w:rPr>
          <w:spacing w:val="-2"/>
        </w:rPr>
        <w:t>用大数据和人工智能技术改变教育教学方向发展。在国家教育信息化政策支持及教育主管部门实现科学管理，学校创新教学</w:t>
      </w:r>
    </w:p>
    <w:p>
      <w:pPr>
        <w:spacing w:after="0" w:line="316" w:lineRule="auto"/>
        <w:jc w:val="both"/>
        <w:sectPr>
          <w:headerReference w:type="default" r:id="rId18"/>
          <w:footerReference w:type="default" r:id="rId19"/>
          <w:pgSz w:w="11910" w:h="16840"/>
          <w:pgMar w:header="877" w:footer="1187" w:top="1100" w:bottom="1380" w:left="980" w:right="0"/>
          <w:pgNumType w:start="24"/>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方法、提高教学效率、实现精准教学，学生提高学习效率、提升学习成绩、实现个性学习等需求的推动下，智慧教育业务市</w:t>
      </w:r>
      <w:r>
        <w:rPr>
          <w:spacing w:val="-68"/>
        </w:rPr>
        <w:t> </w:t>
      </w:r>
      <w:r>
        <w:rPr>
          <w:spacing w:val="-68"/>
        </w:rPr>
      </w:r>
      <w:r>
        <w:rPr/>
        <w:t>场快速发展。该领域与公司类似的产品和服务提供商主要有科大讯飞等。公司教育云平台业务市场占有率全国领先。</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发展战略" w:id="57"/>
      <w:bookmarkEnd w:id="57"/>
      <w:r>
        <w:rPr>
          <w:b w:val="0"/>
          <w:bCs w:val="0"/>
        </w:rPr>
      </w:r>
      <w:r>
        <w:rPr>
          <w:rFonts w:ascii="宋体" w:hAnsi="宋体" w:cs="宋体" w:eastAsia="宋体" w:hint="default"/>
        </w:rPr>
        <w:t>2</w:t>
      </w:r>
      <w:r>
        <w:rPr/>
        <w:t>、发展战略</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29" w:firstLine="360"/>
        <w:jc w:val="both"/>
      </w:pPr>
      <w:r>
        <w:rPr/>
        <w:t>传统智能卡业务稳中求进；大力拓展新型</w:t>
      </w:r>
      <w:r>
        <w:rPr>
          <w:rFonts w:ascii="宋体" w:hAnsi="宋体" w:cs="宋体" w:eastAsia="宋体" w:hint="default"/>
        </w:rPr>
        <w:t>POS</w:t>
      </w:r>
      <w:r>
        <w:rPr/>
        <w:t>和传统</w:t>
      </w:r>
      <w:r>
        <w:rPr>
          <w:rFonts w:ascii="宋体" w:hAnsi="宋体" w:cs="宋体" w:eastAsia="宋体" w:hint="default"/>
        </w:rPr>
        <w:t>POS</w:t>
      </w:r>
      <w:r>
        <w:rPr/>
        <w:t>等金融终端业务，为</w:t>
      </w:r>
      <w:r>
        <w:rPr>
          <w:rFonts w:ascii="宋体" w:hAnsi="宋体" w:cs="宋体" w:eastAsia="宋体" w:hint="default"/>
        </w:rPr>
        <w:t>B</w:t>
      </w:r>
      <w:r>
        <w:rPr/>
        <w:t>端客户提供基于智能终端的垂直行业整体 解决方案；扩大税控盘销售，努力提升用户（纳税户企业）数，为</w:t>
      </w:r>
      <w:r>
        <w:rPr>
          <w:rFonts w:ascii="宋体" w:hAnsi="宋体" w:cs="宋体" w:eastAsia="宋体" w:hint="default"/>
        </w:rPr>
        <w:t>B</w:t>
      </w:r>
      <w:r>
        <w:rPr/>
        <w:t>端纳税户企业提供财税、供应链金融等综合服务；基于</w:t>
      </w:r>
      <w:r>
        <w:rPr>
          <w:spacing w:val="-83"/>
        </w:rPr>
        <w:t> </w:t>
      </w:r>
      <w:r>
        <w:rPr>
          <w:spacing w:val="-83"/>
        </w:rPr>
      </w:r>
      <w:r>
        <w:rPr>
          <w:spacing w:val="-5"/>
        </w:rPr>
        <w:t>物联网技术服务云平台，构建安全智联的物联网生态体系，为客户提供安全智联的物联网综合解决方案及增值服务；围绕“平</w:t>
      </w:r>
      <w:r>
        <w:rPr>
          <w:spacing w:val="-79"/>
        </w:rPr>
        <w:t> </w:t>
      </w:r>
      <w:r>
        <w:rPr>
          <w:spacing w:val="-79"/>
        </w:rPr>
      </w:r>
      <w:r>
        <w:rPr/>
        <w:t>台</w:t>
      </w:r>
      <w:r>
        <w:rPr>
          <w:rFonts w:ascii="宋体" w:hAnsi="宋体" w:cs="宋体" w:eastAsia="宋体" w:hint="default"/>
        </w:rPr>
        <w:t>+</w:t>
      </w:r>
      <w:r>
        <w:rPr/>
        <w:t>生态”战略全力推进智慧教育业务，通过平台及应用汇聚的教育大数据实现精准教学、个性学习、科学管理，构建智慧</w:t>
      </w:r>
      <w:r>
        <w:rPr>
          <w:spacing w:val="-82"/>
        </w:rPr>
        <w:t> </w:t>
      </w:r>
      <w:r>
        <w:rPr>
          <w:spacing w:val="-82"/>
        </w:rPr>
      </w:r>
      <w:r>
        <w:rPr/>
        <w:t>教育的基础环境从而创造链接价值，成为具有市场领先地位的智慧教育平台运营商、教育信息化“平台</w:t>
      </w:r>
      <w:r>
        <w:rPr>
          <w:rFonts w:ascii="宋体" w:hAnsi="宋体" w:cs="宋体" w:eastAsia="宋体" w:hint="default"/>
        </w:rPr>
        <w:t>+</w:t>
      </w:r>
      <w:r>
        <w:rPr/>
        <w:t>生态”领军企业。</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2019年经营计划" w:id="58"/>
      <w:bookmarkEnd w:id="58"/>
      <w:r>
        <w:rPr>
          <w:b w:val="0"/>
          <w:bCs w:val="0"/>
        </w:rPr>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7"/>
        </w:rPr>
        <w:t> </w:t>
      </w:r>
      <w:r>
        <w:rPr/>
        <w:t>年经营计划</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参见“第四节 经营情况讨论与分析</w:t>
      </w:r>
      <w:r>
        <w:rPr>
          <w:rFonts w:ascii="宋体" w:hAnsi="宋体" w:cs="宋体" w:eastAsia="宋体" w:hint="default"/>
        </w:rPr>
        <w:t>/</w:t>
      </w:r>
      <w:r>
        <w:rPr/>
        <w:t>一、概述”。</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可能面对的风险" w:id="59"/>
      <w:bookmarkEnd w:id="59"/>
      <w:r>
        <w:rPr>
          <w:b w:val="0"/>
          <w:bCs w:val="0"/>
        </w:rPr>
      </w:r>
      <w:r>
        <w:rPr>
          <w:rFonts w:ascii="宋体" w:hAnsi="宋体" w:cs="宋体" w:eastAsia="宋体" w:hint="default"/>
        </w:rPr>
        <w:t>4</w:t>
      </w:r>
      <w:r>
        <w:rPr/>
        <w:t>、可能面对的风险</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032" w:firstLine="360"/>
        <w:jc w:val="left"/>
      </w:pPr>
      <w:r>
        <w:rPr>
          <w:spacing w:val="-2"/>
        </w:rPr>
        <w:t>受制于激烈的价格战，公司金融</w:t>
      </w:r>
      <w:r>
        <w:rPr>
          <w:rFonts w:ascii="宋体" w:hAnsi="宋体" w:cs="宋体" w:eastAsia="宋体" w:hint="default"/>
          <w:spacing w:val="-2"/>
        </w:rPr>
        <w:t>IC</w:t>
      </w:r>
      <w:r>
        <w:rPr>
          <w:spacing w:val="-2"/>
        </w:rPr>
        <w:t>卡产品存在价格进一步下降导致相关产品盈利能力持续下降的风险；公司</w:t>
      </w:r>
      <w:r>
        <w:rPr>
          <w:rFonts w:ascii="宋体" w:hAnsi="宋体" w:cs="宋体" w:eastAsia="宋体" w:hint="default"/>
          <w:spacing w:val="-2"/>
        </w:rPr>
        <w:t>mPOS</w:t>
      </w:r>
      <w:r>
        <w:rPr>
          <w:spacing w:val="-2"/>
        </w:rPr>
        <w:t>等金融</w:t>
      </w:r>
      <w:r>
        <w:rPr/>
        <w:t> 终端产品业务已具备较大市场规模，市场竞争激烈、增长压力加大，该业务未来存在销售收入增速放缓、毛利下滑的风险。</w:t>
      </w:r>
      <w:r>
        <w:rPr>
          <w:spacing w:val="-85"/>
        </w:rPr>
        <w:t> </w:t>
      </w:r>
      <w:r>
        <w:rPr>
          <w:spacing w:val="-85"/>
        </w:rPr>
      </w:r>
      <w:r>
        <w:rPr>
          <w:rFonts w:ascii="宋体" w:hAnsi="宋体" w:cs="宋体" w:eastAsia="宋体" w:hint="default"/>
        </w:rPr>
        <w:t>2018</w:t>
      </w:r>
      <w:r>
        <w:rPr/>
        <w:t>年公司智慧教育业务销售规模有较大幅度增长，该业务未来存在销售增长、盈利提升不达预期的风险。</w:t>
      </w:r>
    </w:p>
    <w:p>
      <w:pPr>
        <w:pStyle w:val="BodyText"/>
        <w:spacing w:line="319" w:lineRule="auto" w:before="56"/>
        <w:ind w:right="1130" w:firstLine="360"/>
        <w:jc w:val="both"/>
      </w:pPr>
      <w:r>
        <w:rPr>
          <w:spacing w:val="-2"/>
        </w:rPr>
        <w:t>公司将在努力扩大金融</w:t>
      </w:r>
      <w:r>
        <w:rPr>
          <w:rFonts w:ascii="宋体" w:hAnsi="宋体" w:cs="宋体" w:eastAsia="宋体" w:hint="default"/>
          <w:spacing w:val="-2"/>
        </w:rPr>
        <w:t>IC</w:t>
      </w:r>
      <w:r>
        <w:rPr>
          <w:spacing w:val="-2"/>
        </w:rPr>
        <w:t>卡产品销量的同时，加大产品和工艺创新力度，加快个性化制卡服务业务进程，积极推动传统</w:t>
      </w:r>
      <w:r>
        <w:rPr/>
        <w:t> </w:t>
      </w:r>
      <w:r>
        <w:rPr>
          <w:rFonts w:ascii="宋体" w:hAnsi="宋体" w:cs="宋体" w:eastAsia="宋体" w:hint="default"/>
          <w:spacing w:val="-2"/>
        </w:rPr>
        <w:t>POS</w:t>
      </w:r>
      <w:r>
        <w:rPr>
          <w:spacing w:val="-2"/>
        </w:rPr>
        <w:t>、二维码</w:t>
      </w:r>
      <w:r>
        <w:rPr>
          <w:rFonts w:ascii="宋体" w:hAnsi="宋体" w:cs="宋体" w:eastAsia="宋体" w:hint="default"/>
          <w:spacing w:val="-2"/>
        </w:rPr>
        <w:t>POS</w:t>
      </w:r>
      <w:r>
        <w:rPr>
          <w:spacing w:val="-2"/>
        </w:rPr>
        <w:t>等金融终端产品的销售，加强供应链管理、提高生产效率以持续降低产品成本，努力提升税务增值服务业务</w:t>
      </w:r>
      <w:r>
        <w:rPr>
          <w:spacing w:val="-60"/>
        </w:rPr>
        <w:t> </w:t>
      </w:r>
      <w:r>
        <w:rPr>
          <w:spacing w:val="-60"/>
        </w:rPr>
      </w:r>
      <w:r>
        <w:rPr/>
        <w:t>的收入规模，加快物联网技术服务云平台及增值服务业务相关产品</w:t>
      </w:r>
      <w:r>
        <w:rPr>
          <w:rFonts w:ascii="宋体" w:hAnsi="宋体" w:cs="宋体" w:eastAsia="宋体" w:hint="default"/>
        </w:rPr>
        <w:t>/</w:t>
      </w:r>
      <w:r>
        <w:rPr/>
        <w:t>服务落地销售。公司还将继续大力发展智慧教育业务，</w:t>
      </w:r>
      <w:r>
        <w:rPr>
          <w:spacing w:val="-83"/>
        </w:rPr>
        <w:t> </w:t>
      </w:r>
      <w:r>
        <w:rPr>
          <w:spacing w:val="-83"/>
        </w:rPr>
      </w:r>
      <w:r>
        <w:rPr/>
        <w:t>持续提升该业务的收入、利润规模，从而提升公司整体的经营业绩。</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701"/>
        <w:gridCol w:w="5033"/>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8"/>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0">
              <w:r>
                <w:rPr>
                  <w:rFonts w:ascii="宋体" w:hAnsi="宋体" w:cs="宋体" w:eastAsia="宋体" w:hint="default"/>
                  <w:sz w:val="18"/>
                  <w:szCs w:val="18"/>
                </w:rPr>
                <w:t>http://irm.cninfo.com.cn/ssessgs/S300205/index.html</w:t>
              </w:r>
            </w:hyperlink>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机构、个人</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8"/>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0">
              <w:r>
                <w:rPr>
                  <w:rFonts w:ascii="宋体" w:hAnsi="宋体" w:cs="宋体" w:eastAsia="宋体" w:hint="default"/>
                  <w:sz w:val="18"/>
                  <w:szCs w:val="18"/>
                </w:rPr>
                <w:t>http://irm.cninfo.com.cn/ssessgs/S300205/index.html</w:t>
              </w:r>
            </w:hyperlink>
          </w:p>
        </w:tc>
      </w:tr>
    </w:tbl>
    <w:p>
      <w:pPr>
        <w:spacing w:after="0" w:line="316"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473"/>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32"/>
          <w:szCs w:val="32"/>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right="0"/>
        <w:jc w:val="left"/>
      </w:pPr>
      <w:r>
        <w:rPr/>
        <w:t>报告期内普通股利润分配政策，特别是现金分红政策的制定、执行或调整情况</w:t>
      </w:r>
    </w:p>
    <w:p>
      <w:pPr>
        <w:pStyle w:val="BodyText"/>
        <w:spacing w:line="357" w:lineRule="auto" w:before="117"/>
        <w:ind w:left="511" w:right="1123" w:hanging="358"/>
        <w:jc w:val="left"/>
      </w:pPr>
      <w:r>
        <w:rPr/>
        <w:t>√ 适用 □ 不适用 </w:t>
      </w:r>
      <w:r>
        <w:rPr>
          <w:spacing w:val="-2"/>
        </w:rPr>
        <w:t>公司</w:t>
      </w:r>
      <w:r>
        <w:rPr>
          <w:rFonts w:ascii="宋体" w:hAnsi="宋体" w:cs="宋体" w:eastAsia="宋体" w:hint="default"/>
          <w:spacing w:val="-2"/>
        </w:rPr>
        <w:t>2017</w:t>
      </w:r>
      <w:r>
        <w:rPr>
          <w:spacing w:val="-2"/>
        </w:rPr>
        <w:t>年度利润分配方案经</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28</w:t>
      </w:r>
      <w:r>
        <w:rPr>
          <w:spacing w:val="-2"/>
        </w:rPr>
        <w:t>日召开的第七届董事会第七次会议、</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日召开的</w:t>
      </w:r>
      <w:r>
        <w:rPr>
          <w:rFonts w:ascii="宋体" w:hAnsi="宋体" w:cs="宋体" w:eastAsia="宋体" w:hint="default"/>
          <w:spacing w:val="-2"/>
        </w:rPr>
        <w:t>2017</w:t>
      </w:r>
      <w:r>
        <w:rPr>
          <w:spacing w:val="-2"/>
        </w:rPr>
        <w:t>年年度股东大</w:t>
      </w:r>
    </w:p>
    <w:p>
      <w:pPr>
        <w:pStyle w:val="BodyText"/>
        <w:spacing w:line="224" w:lineRule="exact"/>
        <w:ind w:right="0"/>
        <w:jc w:val="left"/>
      </w:pPr>
      <w:r>
        <w:rPr/>
        <w:t>会审议通过</w:t>
      </w:r>
      <w:r>
        <w:rPr>
          <w:spacing w:val="-88"/>
        </w:rPr>
        <w:t>，</w:t>
      </w:r>
      <w:r>
        <w:rPr/>
        <w:t>具体方案为</w:t>
      </w:r>
      <w:r>
        <w:rPr>
          <w:spacing w:val="-88"/>
        </w:rPr>
        <w:t>：</w:t>
      </w:r>
      <w:r>
        <w:rPr/>
        <w:t>公司以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股为基数向全体股东每</w:t>
      </w:r>
      <w:r>
        <w:rPr>
          <w:rFonts w:ascii="宋体" w:hAnsi="宋体" w:cs="宋体" w:eastAsia="宋体" w:hint="default"/>
        </w:rPr>
        <w:t>10</w:t>
      </w:r>
      <w:r>
        <w:rPr/>
        <w:t>股派发现金股利</w:t>
      </w:r>
      <w:r>
        <w:rPr>
          <w:rFonts w:ascii="宋体" w:hAnsi="宋体" w:cs="宋体" w:eastAsia="宋体" w:hint="default"/>
        </w:rPr>
        <w:t>0.3</w:t>
      </w:r>
      <w:r>
        <w:rPr>
          <w:spacing w:val="-88"/>
        </w:rPr>
        <w:t>元</w:t>
      </w:r>
      <w:r>
        <w:rPr/>
        <w:t>（含税</w:t>
      </w:r>
      <w:r>
        <w:rPr>
          <w:spacing w:val="-88"/>
        </w:rPr>
        <w:t>）</w:t>
      </w:r>
      <w:r>
        <w:rPr/>
        <w:t>。</w:t>
      </w:r>
    </w:p>
    <w:p>
      <w:pPr>
        <w:pStyle w:val="BodyText"/>
        <w:spacing w:line="240" w:lineRule="auto" w:before="76"/>
        <w:ind w:right="0"/>
        <w:jc w:val="left"/>
      </w:pPr>
      <w:r>
        <w:rPr/>
        <w:t>该利润分配方案于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日实施完毕。</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6522"/>
        <w:gridCol w:w="304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公司报告期利润分配预案及资本公积金转增股本预案与公司章程和分红管理办法等的相关规定一致</w:t>
      </w:r>
    </w:p>
    <w:p>
      <w:pPr>
        <w:pStyle w:val="BodyText"/>
        <w:spacing w:line="357" w:lineRule="auto" w:before="117"/>
        <w:ind w:left="514" w:right="3912" w:hanging="360"/>
        <w:jc w:val="left"/>
      </w:pPr>
      <w:r>
        <w:rPr/>
        <w:t>√ 是 □ 否 □ 不适用 公司报告期利润分配预案及资本公积金转增股本预案符合公司章程等的相关规定。</w:t>
      </w:r>
    </w:p>
    <w:p>
      <w:pPr>
        <w:pStyle w:val="BodyText"/>
        <w:spacing w:line="240" w:lineRule="auto" w:before="107"/>
        <w:ind w:right="0"/>
        <w:jc w:val="left"/>
      </w:pPr>
      <w:r>
        <w:rPr/>
        <w:t>本年度利润分配及资本公积金转增股本情况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21"/>
        <w:gridCol w:w="4748"/>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286,918,901.26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在符合利润分配原则、保证公司正常经营和长远发展的前提下，如无重大投资或重大现金支出计划，公司单一年度以现金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形式分配的利润不少于当年实现的可供分配利润的</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430,056,000</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8"/>
                <w:sz w:val="18"/>
                <w:szCs w:val="18"/>
              </w:rPr>
              <w:t>元（含税），以现金形式分</w:t>
            </w:r>
            <w:r>
              <w:rPr>
                <w:rFonts w:ascii="宋体" w:hAnsi="宋体" w:cs="宋体" w:eastAsia="宋体" w:hint="default"/>
                <w:sz w:val="18"/>
                <w:szCs w:val="18"/>
              </w:rPr>
              <w:t> 配的利润占公司当年实现的可供分配利润的</w:t>
            </w:r>
            <w:r>
              <w:rPr>
                <w:rFonts w:ascii="宋体" w:hAnsi="宋体" w:cs="宋体" w:eastAsia="宋体" w:hint="default"/>
                <w:spacing w:val="-46"/>
                <w:sz w:val="18"/>
                <w:szCs w:val="18"/>
              </w:rPr>
              <w:t> </w:t>
            </w:r>
            <w:r>
              <w:rPr>
                <w:rFonts w:ascii="宋体" w:hAnsi="宋体" w:cs="宋体" w:eastAsia="宋体" w:hint="default"/>
                <w:sz w:val="18"/>
                <w:szCs w:val="18"/>
              </w:rPr>
              <w:t>46%</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834" w:right="1572" w:hanging="360"/>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spacing w:val="-3"/>
        </w:rPr>
        <w:t>年（包括本报告期）的普通股股利分配方案（预案）、资本公积金转增股本方案（预案）情况</w:t>
      </w:r>
      <w:r>
        <w:rPr>
          <w:spacing w:val="-59"/>
        </w:rPr>
        <w:t> </w:t>
      </w:r>
      <w:r>
        <w:rPr>
          <w:spacing w:val="-59"/>
        </w:rPr>
      </w:r>
      <w:r>
        <w:rPr>
          <w:rFonts w:ascii="宋体" w:hAnsi="宋体" w:cs="宋体" w:eastAsia="宋体" w:hint="default"/>
        </w:rPr>
        <w:t>2018</w:t>
      </w:r>
      <w:r>
        <w:rPr/>
        <w:t>年度：公司拟以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股为基数向全体股东每</w:t>
      </w:r>
      <w:r>
        <w:rPr>
          <w:rFonts w:ascii="宋体" w:hAnsi="宋体" w:cs="宋体" w:eastAsia="宋体" w:hint="default"/>
        </w:rPr>
        <w:t>10</w:t>
      </w:r>
      <w:r>
        <w:rPr/>
        <w:t>股派发现金股利</w:t>
      </w:r>
      <w:r>
        <w:rPr>
          <w:rFonts w:ascii="宋体" w:hAnsi="宋体" w:cs="宋体" w:eastAsia="宋体" w:hint="default"/>
        </w:rPr>
        <w:t>1</w:t>
      </w:r>
      <w:r>
        <w:rPr/>
        <w:t>元（含税）。</w:t>
      </w:r>
    </w:p>
    <w:p>
      <w:pPr>
        <w:pStyle w:val="BodyText"/>
        <w:spacing w:line="319" w:lineRule="auto" w:before="28"/>
        <w:ind w:left="474" w:right="1122" w:firstLine="360"/>
        <w:jc w:val="left"/>
      </w:pPr>
      <w:r>
        <w:rPr>
          <w:rFonts w:ascii="宋体" w:hAnsi="宋体" w:cs="宋体" w:eastAsia="宋体" w:hint="default"/>
          <w:spacing w:val="-2"/>
        </w:rPr>
        <w:t>2017</w:t>
      </w:r>
      <w:r>
        <w:rPr>
          <w:spacing w:val="-2"/>
        </w:rPr>
        <w:t>年度：经</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日召开的</w:t>
      </w:r>
      <w:r>
        <w:rPr>
          <w:rFonts w:ascii="宋体" w:hAnsi="宋体" w:cs="宋体" w:eastAsia="宋体" w:hint="default"/>
          <w:spacing w:val="-2"/>
        </w:rPr>
        <w:t>2017</w:t>
      </w:r>
      <w:r>
        <w:rPr>
          <w:spacing w:val="-2"/>
        </w:rPr>
        <w:t>年年度股东大会审议批准，公司以</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430,056,000</w:t>
      </w:r>
      <w:r>
        <w:rPr>
          <w:spacing w:val="-2"/>
        </w:rPr>
        <w:t>股为基数</w:t>
      </w:r>
      <w:r>
        <w:rPr/>
        <w:t> 向全体股东每</w:t>
      </w:r>
      <w:r>
        <w:rPr>
          <w:rFonts w:ascii="宋体" w:hAnsi="宋体" w:cs="宋体" w:eastAsia="宋体" w:hint="default"/>
        </w:rPr>
        <w:t>10</w:t>
      </w:r>
      <w:r>
        <w:rPr/>
        <w:t>股派发现金股利</w:t>
      </w:r>
      <w:r>
        <w:rPr>
          <w:rFonts w:ascii="宋体" w:hAnsi="宋体" w:cs="宋体" w:eastAsia="宋体" w:hint="default"/>
        </w:rPr>
        <w:t>0.3</w:t>
      </w:r>
      <w:r>
        <w:rPr/>
        <w:t>元（含税）。公司于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日实施了权益分派。</w:t>
      </w:r>
    </w:p>
    <w:p>
      <w:pPr>
        <w:pStyle w:val="BodyText"/>
        <w:spacing w:line="319" w:lineRule="auto" w:before="56"/>
        <w:ind w:left="474" w:right="1122" w:firstLine="360"/>
        <w:jc w:val="left"/>
      </w:pPr>
      <w:r>
        <w:rPr>
          <w:rFonts w:ascii="宋体" w:hAnsi="宋体" w:cs="宋体" w:eastAsia="宋体" w:hint="default"/>
        </w:rPr>
        <w:t>2016</w:t>
      </w:r>
      <w:r>
        <w:rPr/>
        <w:t>年度：经</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4</w:t>
      </w:r>
      <w:r>
        <w:rPr/>
        <w:t>日召开的</w:t>
      </w:r>
      <w:r>
        <w:rPr>
          <w:rFonts w:ascii="宋体" w:hAnsi="宋体" w:cs="宋体" w:eastAsia="宋体" w:hint="default"/>
        </w:rPr>
        <w:t>2016</w:t>
      </w:r>
      <w:r>
        <w:rPr/>
        <w:t>年年度股东大会审议批准，公司以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 向全体股东每</w:t>
      </w:r>
      <w:r>
        <w:rPr>
          <w:rFonts w:ascii="宋体" w:hAnsi="宋体" w:cs="宋体" w:eastAsia="宋体" w:hint="default"/>
        </w:rPr>
        <w:t>10</w:t>
      </w:r>
      <w:r>
        <w:rPr/>
        <w:t>股派发现金股利</w:t>
      </w:r>
      <w:r>
        <w:rPr>
          <w:rFonts w:ascii="宋体" w:hAnsi="宋体" w:cs="宋体" w:eastAsia="宋体" w:hint="default"/>
        </w:rPr>
        <w:t>0.3</w:t>
      </w:r>
      <w:r>
        <w:rPr/>
        <w:t>元（含税）。公司于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日实施了权益分派。</w:t>
      </w:r>
    </w:p>
    <w:p>
      <w:pPr>
        <w:pStyle w:val="BodyText"/>
        <w:spacing w:line="240" w:lineRule="auto" w:before="136"/>
        <w:ind w:left="474" w:right="157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51"/>
        <w:gridCol w:w="1277"/>
        <w:gridCol w:w="1417"/>
        <w:gridCol w:w="1418"/>
        <w:gridCol w:w="851"/>
        <w:gridCol w:w="1559"/>
        <w:gridCol w:w="1276"/>
        <w:gridCol w:w="1702"/>
      </w:tblGrid>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7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22" w:right="-29"/>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70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23" w:right="35"/>
              <w:jc w:val="center"/>
              <w:rPr>
                <w:rFonts w:ascii="宋体" w:hAnsi="宋体" w:cs="宋体" w:eastAsia="宋体" w:hint="default"/>
                <w:sz w:val="18"/>
                <w:szCs w:val="18"/>
              </w:rPr>
            </w:pPr>
            <w:r>
              <w:rPr>
                <w:rFonts w:ascii="宋体" w:hAnsi="宋体" w:cs="宋体" w:eastAsia="宋体" w:hint="default"/>
                <w:sz w:val="18"/>
                <w:szCs w:val="18"/>
              </w:rPr>
              <w:t>现金分红总额（含其 他方式）占合并报表 中归属于上市公司普 通股股东的净利润的 比率</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101,022,715.51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43,005,600.00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42.57%</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22,596,900.58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12,901,680.00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57.09%</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19,849,784.44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12,901,680.00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65.00%</w:t>
            </w:r>
          </w:p>
        </w:tc>
      </w:tr>
    </w:tbl>
    <w:p>
      <w:pPr>
        <w:spacing w:line="240" w:lineRule="auto" w:before="9"/>
        <w:rPr>
          <w:rFonts w:ascii="宋体" w:hAnsi="宋体" w:cs="宋体" w:eastAsia="宋体" w:hint="default"/>
          <w:sz w:val="6"/>
          <w:szCs w:val="6"/>
        </w:rPr>
      </w:pPr>
    </w:p>
    <w:p>
      <w:pPr>
        <w:pStyle w:val="BodyText"/>
        <w:spacing w:line="240" w:lineRule="auto" w:before="44"/>
        <w:ind w:left="474" w:right="1572"/>
        <w:jc w:val="left"/>
      </w:pPr>
      <w:r>
        <w:rPr/>
        <w:t>公司报告期内盈利且母公司可供普通股股东分配利润为正但未提出普通股现金红利分配预案</w:t>
      </w:r>
    </w:p>
    <w:p>
      <w:pPr>
        <w:pStyle w:val="BodyText"/>
        <w:spacing w:line="240" w:lineRule="auto" w:before="116"/>
        <w:ind w:left="474" w:right="1572"/>
        <w:jc w:val="left"/>
      </w:pPr>
      <w:r>
        <w:rPr/>
        <w:t>□ 适用 √ 不适用</w:t>
      </w:r>
    </w:p>
    <w:p>
      <w:pPr>
        <w:spacing w:after="0" w:line="240" w:lineRule="auto"/>
        <w:jc w:val="left"/>
        <w:sectPr>
          <w:pgSz w:w="11910" w:h="16840"/>
          <w:pgMar w:header="877" w:footer="1187" w:top="1100" w:bottom="1380" w:left="660" w:right="0"/>
        </w:sectPr>
      </w:pPr>
    </w:p>
    <w:p>
      <w:pPr>
        <w:pStyle w:val="Heading2"/>
        <w:spacing w:line="240" w:lineRule="auto" w:before="30"/>
        <w:ind w:left="220" w:right="0"/>
        <w:jc w:val="left"/>
        <w:rPr>
          <w:b w:val="0"/>
          <w:bCs w:val="0"/>
        </w:rPr>
      </w:pPr>
      <w:r>
        <w:rPr/>
        <w:pict>
          <v:group style="position:absolute;margin-left:70.5pt;margin-top:2.255627pt;width:701pt;height:.1pt;mso-position-horizontal-relative:page;mso-position-vertical-relative:paragraph;z-index:-78827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二、承诺事项履行情况" w:id="65"/>
      <w:bookmarkEnd w:id="65"/>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20" w:right="0"/>
        <w:jc w:val="left"/>
        <w:rPr>
          <w:b w:val="0"/>
          <w:bCs w:val="0"/>
        </w:rPr>
      </w:pPr>
      <w:bookmarkStart w:name="1、公司实际控制人、股东、关联方、收购人以及公司等承诺相关方在报告期内履行完毕及" w:id="66"/>
      <w:bookmarkEnd w:id="66"/>
      <w:r>
        <w:rPr>
          <w:b w:val="0"/>
          <w:bCs w:val="0"/>
        </w:rPr>
      </w: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220" w:right="0"/>
        <w:jc w:val="left"/>
      </w:pPr>
      <w:r>
        <w:rPr/>
        <w:pict>
          <v:shape style="position:absolute;margin-left:559.997009pt;margin-top:93.431709pt;width:80.45pt;height:135.65pt;mso-position-horizontal-relative:page;mso-position-vertical-relative:paragraph;z-index:-788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spacing w:line="240" w:lineRule="auto"/>
                    <w:ind w:left="0" w:right="0"/>
                    <w:jc w:val="left"/>
                  </w:pPr>
                  <w:r>
                    <w:rPr/>
                    <w:t>人员、</w:t>
                  </w:r>
                </w:p>
              </w:txbxContent>
            </v:textbox>
            <w10:wrap type="none"/>
          </v:shape>
        </w:pict>
      </w:r>
      <w:r>
        <w:rPr/>
        <w:t>√ 适用 □ 不适用</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44"/>
        <w:gridCol w:w="2312"/>
        <w:gridCol w:w="1097"/>
        <w:gridCol w:w="5097"/>
        <w:gridCol w:w="1134"/>
        <w:gridCol w:w="1134"/>
        <w:gridCol w:w="1560"/>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4"/>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31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31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14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华工创投、光谷基金、产业集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团、和瑞投资</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7"/>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关于规范关联交易的承诺 承诺将按照法律、法规及公司章程依法行使股东权利，不利用关 联股东身份影响天喻信息的独立性，保持天喻信息在资产、</w:t>
            </w:r>
          </w:p>
          <w:p>
            <w:pPr>
              <w:pStyle w:val="TableParagraph"/>
              <w:spacing w:line="319" w:lineRule="auto" w:before="2"/>
              <w:ind w:left="22" w:right="22"/>
              <w:jc w:val="both"/>
              <w:rPr>
                <w:rFonts w:ascii="宋体" w:hAnsi="宋体" w:cs="宋体" w:eastAsia="宋体" w:hint="default"/>
                <w:sz w:val="18"/>
                <w:szCs w:val="18"/>
              </w:rPr>
            </w:pPr>
            <w:r>
              <w:rPr>
                <w:rFonts w:ascii="宋体" w:hAnsi="宋体" w:cs="宋体" w:eastAsia="宋体" w:hint="default"/>
                <w:sz w:val="18"/>
                <w:szCs w:val="18"/>
              </w:rPr>
              <w:t>财务、业务和机构等方面的独立性；承诺与天喻信息进行关联交 易时将按公平、公开的市场原则进行，并履行法律、法规、规范 性文件和公司章程规定的程序；承诺不通过与天喻信息之间的关 联交易谋求特殊的利益，不进行有损天喻信息及其中小股东利益 的关联交易。</w:t>
            </w:r>
          </w:p>
          <w:p>
            <w:pPr>
              <w:pStyle w:val="TableParagraph"/>
              <w:spacing w:line="240" w:lineRule="auto" w:before="58"/>
              <w:ind w:left="22"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9" w:lineRule="auto" w:before="115"/>
              <w:ind w:left="22" w:right="23"/>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）承诺人及其全资、控股子企业目前不拥有及经营任何在商业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上与天喻信息正在经营的业务有直接竞争的业务。（</w:t>
            </w:r>
            <w:r>
              <w:rPr>
                <w:rFonts w:ascii="宋体" w:hAnsi="宋体" w:cs="宋体" w:eastAsia="宋体" w:hint="default"/>
                <w:spacing w:val="-4"/>
                <w:sz w:val="18"/>
                <w:szCs w:val="18"/>
              </w:rPr>
              <w:t>2</w:t>
            </w:r>
            <w:r>
              <w:rPr>
                <w:rFonts w:ascii="宋体" w:hAnsi="宋体" w:cs="宋体" w:eastAsia="宋体" w:hint="default"/>
                <w:spacing w:val="-4"/>
                <w:sz w:val="18"/>
                <w:szCs w:val="18"/>
              </w:rPr>
              <w:t>）承诺人本</w:t>
            </w:r>
            <w:r>
              <w:rPr>
                <w:rFonts w:ascii="宋体" w:hAnsi="宋体" w:cs="宋体" w:eastAsia="宋体" w:hint="default"/>
                <w:spacing w:val="-64"/>
                <w:sz w:val="18"/>
                <w:szCs w:val="18"/>
              </w:rPr>
              <w:t> </w:t>
            </w:r>
            <w:r>
              <w:rPr>
                <w:rFonts w:ascii="宋体" w:hAnsi="宋体" w:cs="宋体" w:eastAsia="宋体" w:hint="default"/>
                <w:sz w:val="18"/>
                <w:szCs w:val="18"/>
              </w:rPr>
              <w:t>身、并且承诺人必将通过法律程序使承诺人之全资、控股子企业 将来均不从事任何在商业上与天喻信息正在经营的业务有直接竞 </w:t>
            </w:r>
            <w:r>
              <w:rPr>
                <w:rFonts w:ascii="宋体" w:hAnsi="宋体" w:cs="宋体" w:eastAsia="宋体" w:hint="default"/>
                <w:spacing w:val="-4"/>
                <w:sz w:val="18"/>
                <w:szCs w:val="18"/>
              </w:rPr>
              <w:t>争的业务。（</w:t>
            </w:r>
            <w:r>
              <w:rPr>
                <w:rFonts w:ascii="宋体" w:hAnsi="宋体" w:cs="宋体" w:eastAsia="宋体" w:hint="default"/>
                <w:spacing w:val="-4"/>
                <w:sz w:val="18"/>
                <w:szCs w:val="18"/>
              </w:rPr>
              <w:t>3</w:t>
            </w:r>
            <w:r>
              <w:rPr>
                <w:rFonts w:ascii="宋体" w:hAnsi="宋体" w:cs="宋体" w:eastAsia="宋体" w:hint="default"/>
                <w:spacing w:val="-4"/>
                <w:sz w:val="18"/>
                <w:szCs w:val="18"/>
              </w:rPr>
              <w:t>）如承诺人（包括受承诺人控制的子企业或其他关</w:t>
            </w:r>
            <w:r>
              <w:rPr>
                <w:rFonts w:ascii="宋体" w:hAnsi="宋体" w:cs="宋体" w:eastAsia="宋体" w:hint="default"/>
                <w:spacing w:val="-64"/>
                <w:sz w:val="18"/>
                <w:szCs w:val="18"/>
              </w:rPr>
              <w:t> </w:t>
            </w:r>
            <w:r>
              <w:rPr>
                <w:rFonts w:ascii="宋体" w:hAnsi="宋体" w:cs="宋体" w:eastAsia="宋体" w:hint="default"/>
                <w:sz w:val="18"/>
                <w:szCs w:val="18"/>
              </w:rPr>
              <w:t>联企业）将来经营的产品或服务与天喻信息的主营产品或服务有 可能形成竞争，承诺人同意天喻信息有权优先收购承诺人与该等 </w:t>
            </w:r>
            <w:r>
              <w:rPr>
                <w:rFonts w:ascii="宋体" w:hAnsi="宋体" w:cs="宋体" w:eastAsia="宋体" w:hint="default"/>
                <w:spacing w:val="-4"/>
                <w:sz w:val="18"/>
                <w:szCs w:val="18"/>
              </w:rPr>
              <w:t>产品或服务有关的资产或承诺人在子企业中的全部股权。（</w:t>
            </w:r>
            <w:r>
              <w:rPr>
                <w:rFonts w:ascii="宋体" w:hAnsi="宋体" w:cs="宋体" w:eastAsia="宋体" w:hint="default"/>
                <w:spacing w:val="-4"/>
                <w:sz w:val="18"/>
                <w:szCs w:val="18"/>
              </w:rPr>
              <w:t>4</w:t>
            </w:r>
            <w:r>
              <w:rPr>
                <w:rFonts w:ascii="宋体" w:hAnsi="宋体" w:cs="宋体" w:eastAsia="宋体" w:hint="default"/>
                <w:spacing w:val="-4"/>
                <w:sz w:val="18"/>
                <w:szCs w:val="18"/>
              </w:rPr>
              <w:t>）如</w:t>
            </w:r>
            <w:r>
              <w:rPr>
                <w:rFonts w:ascii="宋体" w:hAnsi="宋体" w:cs="宋体" w:eastAsia="宋体" w:hint="default"/>
                <w:spacing w:val="-64"/>
                <w:sz w:val="18"/>
                <w:szCs w:val="18"/>
              </w:rPr>
              <w:t> </w:t>
            </w:r>
            <w:r>
              <w:rPr>
                <w:rFonts w:ascii="宋体" w:hAnsi="宋体" w:cs="宋体" w:eastAsia="宋体" w:hint="default"/>
                <w:sz w:val="18"/>
                <w:szCs w:val="18"/>
              </w:rPr>
              <w:t>因承诺人未履行承诺给天喻信息造成损失的，承诺人将赔偿天喻 信息的实际损失。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2" w:lineRule="exact"/>
              <w:ind w:right="-50"/>
              <w:jc w:val="left"/>
              <w:rPr>
                <w:rFonts w:ascii="宋体" w:hAnsi="宋体" w:cs="宋体" w:eastAsia="宋体" w:hint="default"/>
                <w:sz w:val="20"/>
                <w:szCs w:val="20"/>
              </w:rPr>
            </w:pPr>
            <w:r>
              <w:rPr>
                <w:rFonts w:ascii="宋体" w:hAnsi="宋体" w:cs="宋体" w:eastAsia="宋体" w:hint="default"/>
                <w:position w:val="-53"/>
                <w:sz w:val="20"/>
                <w:szCs w:val="20"/>
              </w:rPr>
              <w:pict>
                <v:group style="width:56.2pt;height:135.65pt;mso-position-horizontal-relative:char;mso-position-vertical-relative:line" coordorigin="0,0" coordsize="1124,2713">
                  <v:group style="position:absolute;left:0;top:0;width:1124;height:2713" coordorigin="0,0" coordsize="1124,2713">
                    <v:shape style="position:absolute;left:0;top:0;width:1124;height:2713" coordorigin="0,0" coordsize="1124,2713" path="m0,2712l1123,2712,1123,0,0,0,0,2712xe" filled="true" fillcolor="#ffffff" stroked="false">
                      <v:path arrowok="t"/>
                      <v:fill type="solid"/>
                    </v:shape>
                  </v:group>
                </v:group>
              </w:pict>
            </w:r>
            <w:r>
              <w:rPr>
                <w:rFonts w:ascii="宋体" w:hAnsi="宋体" w:cs="宋体" w:eastAsia="宋体" w:hint="default"/>
                <w:position w:val="-53"/>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47"/>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headerReference w:type="default" r:id="rId21"/>
          <w:footerReference w:type="default" r:id="rId22"/>
          <w:pgSz w:w="16840" w:h="11910" w:orient="landscape"/>
          <w:pgMar w:header="867" w:footer="1187" w:top="1060" w:bottom="1380" w:left="1220" w:right="1220"/>
          <w:pgNumType w:start="28"/>
        </w:sectPr>
      </w:pPr>
    </w:p>
    <w:p>
      <w:pPr>
        <w:spacing w:line="240" w:lineRule="auto" w:before="4"/>
        <w:rPr>
          <w:rFonts w:ascii="Times New Roman" w:hAnsi="Times New Roman" w:cs="Times New Roman" w:eastAsia="Times New Roman" w:hint="default"/>
          <w:sz w:val="3"/>
          <w:szCs w:val="3"/>
        </w:rPr>
      </w:pPr>
      <w:r>
        <w:rPr/>
        <w:pict>
          <v:shape style="position:absolute;margin-left:470.059998pt;margin-top:393.040009pt;width:170.4pt;height:120.05pt;mso-position-horizontal-relative:page;mso-position-vertical-relative:page;z-index:-788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6"/>
                      <w:szCs w:val="16"/>
                    </w:rPr>
                  </w:pPr>
                </w:p>
                <w:p>
                  <w:pPr>
                    <w:pStyle w:val="BodyText"/>
                    <w:spacing w:line="240" w:lineRule="auto"/>
                    <w:ind w:left="0" w:right="0"/>
                    <w:jc w:val="left"/>
                  </w:pPr>
                  <w:r>
                    <w:rPr/>
                    <w:t>避免与天喻信息相同或相似；</w:t>
                  </w:r>
                </w:p>
              </w:txbxContent>
            </v:textbox>
            <w10:wrap type="none"/>
          </v:shape>
        </w:pict>
      </w:r>
      <w:r>
        <w:rPr/>
        <w:pict>
          <v:group style="position:absolute;margin-left:274.579987pt;margin-top:57.180008pt;width:54.4pt;height:39.050pt;mso-position-horizontal-relative:page;mso-position-vertical-relative:page;z-index:-788224" coordorigin="5492,1144" coordsize="1088,781">
            <v:shape style="position:absolute;left:5492;top:1144;width:1088;height:781" coordorigin="5492,1144" coordsize="1088,781" path="m5492,1924l6579,1924,6579,1144,5492,1144,5492,1924xe" filled="true" fillcolor="#ffffff" stroked="false">
              <v:path arrowok="t"/>
              <v:fill type="solid"/>
            </v:shape>
            <w10:wrap type="none"/>
          </v:group>
        </w:pict>
      </w:r>
      <w:r>
        <w:rPr/>
        <w:pict>
          <v:group style="position:absolute;margin-left:584.26001pt;margin-top:393.040009pt;width:56.2pt;height:120.05pt;mso-position-horizontal-relative:page;mso-position-vertical-relative:page;z-index:-788200" coordorigin="11685,7861" coordsize="1124,2401">
            <v:shape style="position:absolute;left:11685;top:7861;width:1124;height:2401" coordorigin="11685,7861" coordsize="1124,2401" path="m11685,10261l12808,10261,12808,7861,11685,7861,11685,10261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844"/>
        <w:gridCol w:w="2312"/>
        <w:gridCol w:w="1097"/>
        <w:gridCol w:w="5097"/>
        <w:gridCol w:w="1134"/>
        <w:gridCol w:w="1134"/>
        <w:gridCol w:w="1560"/>
      </w:tblGrid>
      <w:tr>
        <w:trPr>
          <w:trHeight w:val="372" w:hRule="exact"/>
        </w:trPr>
        <w:tc>
          <w:tcPr>
            <w:tcW w:w="1844" w:type="dxa"/>
            <w:vMerge w:val="restart"/>
            <w:tcBorders>
              <w:top w:val="single" w:sz="15" w:space="0" w:color="000000"/>
              <w:left w:val="single" w:sz="4" w:space="0" w:color="000000"/>
              <w:right w:val="single" w:sz="4" w:space="0" w:color="000000"/>
            </w:tcBorders>
          </w:tcPr>
          <w:p>
            <w:pPr/>
          </w:p>
        </w:tc>
        <w:tc>
          <w:tcPr>
            <w:tcW w:w="231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武汉华创欣网科技有限公司</w:t>
            </w:r>
          </w:p>
        </w:tc>
        <w:tc>
          <w:tcPr>
            <w:tcW w:w="109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5097" w:type="dxa"/>
            <w:tcBorders>
              <w:top w:val="single" w:sz="15" w:space="0" w:color="000000"/>
              <w:left w:val="single" w:sz="4" w:space="0" w:color="000000"/>
              <w:bottom w:val="nil" w:sz="6" w:space="0" w:color="auto"/>
              <w:right w:val="single" w:sz="4" w:space="0" w:color="000000"/>
            </w:tcBorders>
          </w:tcPr>
          <w:p>
            <w:pPr/>
          </w:p>
        </w:tc>
        <w:tc>
          <w:tcPr>
            <w:tcW w:w="1134" w:type="dxa"/>
            <w:tcBorders>
              <w:top w:val="single" w:sz="15" w:space="0" w:color="000000"/>
              <w:left w:val="single" w:sz="4" w:space="0" w:color="000000"/>
              <w:bottom w:val="nil" w:sz="6" w:space="0" w:color="auto"/>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武汉开目信息技术有限责任</w:t>
            </w: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85"/>
                <w:sz w:val="18"/>
                <w:szCs w:val="18"/>
              </w:rPr>
              <w:t>、</w:t>
            </w:r>
            <w:r>
              <w:rPr>
                <w:rFonts w:ascii="宋体" w:hAnsi="宋体" w:cs="宋体" w:eastAsia="宋体" w:hint="default"/>
                <w:sz w:val="18"/>
                <w:szCs w:val="18"/>
              </w:rPr>
              <w:t>武汉集成电路设计工程</w:t>
            </w:r>
            <w:r>
              <w:rPr>
                <w:rFonts w:ascii="宋体" w:hAnsi="宋体" w:cs="宋体" w:eastAsia="宋体" w:hint="default"/>
                <w:sz w:val="18"/>
                <w:szCs w:val="18"/>
              </w:rPr>
              <w:t> 技术有限公司</w:t>
            </w:r>
            <w:r>
              <w:rPr>
                <w:rFonts w:ascii="宋体" w:hAnsi="宋体" w:cs="宋体" w:eastAsia="宋体" w:hint="default"/>
                <w:spacing w:val="-85"/>
                <w:sz w:val="18"/>
                <w:szCs w:val="18"/>
              </w:rPr>
              <w:t>、</w:t>
            </w:r>
            <w:r>
              <w:rPr>
                <w:rFonts w:ascii="宋体" w:hAnsi="宋体" w:cs="宋体" w:eastAsia="宋体" w:hint="default"/>
                <w:sz w:val="18"/>
                <w:szCs w:val="18"/>
              </w:rPr>
              <w:t>武汉华工大创</w:t>
            </w:r>
            <w:r>
              <w:rPr>
                <w:rFonts w:ascii="宋体" w:hAnsi="宋体" w:cs="宋体" w:eastAsia="宋体" w:hint="default"/>
                <w:sz w:val="18"/>
                <w:szCs w:val="18"/>
              </w:rPr>
              <w:t> 能科技有限责任公司</w:t>
            </w:r>
            <w:r>
              <w:rPr>
                <w:rFonts w:ascii="宋体" w:hAnsi="宋体" w:cs="宋体" w:eastAsia="宋体" w:hint="default"/>
                <w:spacing w:val="-85"/>
                <w:sz w:val="18"/>
                <w:szCs w:val="18"/>
              </w:rPr>
              <w:t>、</w:t>
            </w:r>
            <w:r>
              <w:rPr>
                <w:rFonts w:ascii="宋体" w:hAnsi="宋体" w:cs="宋体" w:eastAsia="宋体" w:hint="default"/>
                <w:sz w:val="18"/>
                <w:szCs w:val="18"/>
              </w:rPr>
              <w:t>武汉鸿</w:t>
            </w:r>
            <w:r>
              <w:rPr>
                <w:rFonts w:ascii="宋体" w:hAnsi="宋体" w:cs="宋体" w:eastAsia="宋体" w:hint="default"/>
                <w:sz w:val="18"/>
                <w:szCs w:val="18"/>
              </w:rPr>
              <w:t> 象信息技术有限公司</w:t>
            </w:r>
            <w:r>
              <w:rPr>
                <w:rFonts w:ascii="宋体" w:hAnsi="宋体" w:cs="宋体" w:eastAsia="宋体" w:hint="default"/>
                <w:spacing w:val="-85"/>
                <w:sz w:val="18"/>
                <w:szCs w:val="18"/>
              </w:rPr>
              <w:t>、</w:t>
            </w:r>
            <w:r>
              <w:rPr>
                <w:rFonts w:ascii="宋体" w:hAnsi="宋体" w:cs="宋体" w:eastAsia="宋体" w:hint="default"/>
                <w:sz w:val="18"/>
                <w:szCs w:val="18"/>
              </w:rPr>
              <w:t>深圳市</w:t>
            </w:r>
            <w:r>
              <w:rPr>
                <w:rFonts w:ascii="宋体" w:hAnsi="宋体" w:cs="宋体" w:eastAsia="宋体" w:hint="default"/>
                <w:sz w:val="18"/>
                <w:szCs w:val="18"/>
              </w:rPr>
              <w:t> 华科兆恒科技有限公</w:t>
            </w:r>
            <w:r>
              <w:rPr>
                <w:rFonts w:ascii="宋体" w:hAnsi="宋体" w:cs="宋体" w:eastAsia="宋体" w:hint="default"/>
                <w:spacing w:val="-85"/>
                <w:sz w:val="18"/>
                <w:szCs w:val="18"/>
              </w:rPr>
              <w:t>司</w:t>
            </w:r>
            <w:r>
              <w:rPr>
                <w:rFonts w:ascii="宋体" w:hAnsi="宋体" w:cs="宋体" w:eastAsia="宋体" w:hint="default"/>
                <w:sz w:val="18"/>
                <w:szCs w:val="18"/>
              </w:rPr>
              <w:t>（公司</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7"/>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9" w:lineRule="auto" w:before="115"/>
              <w:ind w:left="22"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）我公司目前不从事与天喻信息业务竞争或可能构成竞争的业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务或其它经济活动。（</w:t>
            </w:r>
            <w:r>
              <w:rPr>
                <w:rFonts w:ascii="宋体" w:hAnsi="宋体" w:cs="宋体" w:eastAsia="宋体" w:hint="default"/>
                <w:spacing w:val="-4"/>
                <w:sz w:val="18"/>
                <w:szCs w:val="18"/>
              </w:rPr>
              <w:t>2</w:t>
            </w:r>
            <w:r>
              <w:rPr>
                <w:rFonts w:ascii="宋体" w:hAnsi="宋体" w:cs="宋体" w:eastAsia="宋体" w:hint="default"/>
                <w:spacing w:val="-4"/>
                <w:sz w:val="18"/>
                <w:szCs w:val="18"/>
              </w:rPr>
              <w:t>）我公司承诺以后也不会从事与天喻信息</w:t>
            </w:r>
            <w:r>
              <w:rPr>
                <w:rFonts w:ascii="宋体" w:hAnsi="宋体" w:cs="宋体" w:eastAsia="宋体" w:hint="default"/>
                <w:spacing w:val="-64"/>
                <w:sz w:val="18"/>
                <w:szCs w:val="18"/>
              </w:rPr>
              <w:t> </w:t>
            </w:r>
            <w:r>
              <w:rPr>
                <w:rFonts w:ascii="宋体" w:hAnsi="宋体" w:cs="宋体" w:eastAsia="宋体" w:hint="default"/>
                <w:sz w:val="18"/>
                <w:szCs w:val="18"/>
              </w:rPr>
              <w:t>业务有竞争或可能构成竞争的业务或其它经济活动。</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3"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宋体" w:hAnsi="宋体" w:cs="宋体" w:eastAsia="宋体" w:hint="default"/>
                <w:spacing w:val="-85"/>
                <w:sz w:val="18"/>
                <w:szCs w:val="18"/>
              </w:rPr>
              <w:t>、</w:t>
            </w:r>
            <w:r>
              <w:rPr>
                <w:rFonts w:ascii="宋体" w:hAnsi="宋体" w:cs="宋体" w:eastAsia="宋体" w:hint="default"/>
                <w:sz w:val="18"/>
                <w:szCs w:val="18"/>
              </w:rPr>
              <w:t>实际控制人控制的</w:t>
            </w: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六家企业）</w:t>
            </w:r>
          </w:p>
        </w:tc>
        <w:tc>
          <w:tcPr>
            <w:tcW w:w="1097" w:type="dxa"/>
            <w:tcBorders>
              <w:top w:val="nil" w:sz="6" w:space="0" w:color="auto"/>
              <w:left w:val="single" w:sz="4" w:space="0" w:color="000000"/>
              <w:bottom w:val="single" w:sz="4" w:space="0" w:color="000000"/>
              <w:right w:val="single" w:sz="4" w:space="0" w:color="000000"/>
            </w:tcBorders>
          </w:tcPr>
          <w:p>
            <w:pPr/>
          </w:p>
        </w:tc>
        <w:tc>
          <w:tcPr>
            <w:tcW w:w="509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844"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保证与公司在人员、资产、财务、机构和业务方面独立。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78" w:hRule="exact"/>
        </w:trPr>
        <w:tc>
          <w:tcPr>
            <w:tcW w:w="1844"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50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承诺在不与法律、法规相抵触的前提下，在权利所及范围内，确</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保自身及其全资、控股下属企业在与天喻信息进行关联交易时将</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按公平、公开的市场原则进行，并履行法律、法规、规范性文件</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和公司章程规定的程序；承诺并确保自身全资、控股下属企业不</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通过与天喻信息之间的关联交易谋求特殊的利益，不进行有损天</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420"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关于同业竞</w:t>
            </w: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喻信息及其中小股东利益的关联交易。</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644"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316" w:lineRule="auto" w:before="78"/>
              <w:ind w:left="22" w:right="20"/>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7"/>
                <w:sz w:val="18"/>
                <w:szCs w:val="18"/>
              </w:rPr>
              <w:t>易、资金占用</w:t>
            </w: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31"/>
                <w:sz w:val="18"/>
                <w:szCs w:val="18"/>
              </w:rPr>
              <w:t>）</w:t>
            </w:r>
            <w:r>
              <w:rPr>
                <w:rFonts w:ascii="宋体" w:hAnsi="宋体" w:cs="宋体" w:eastAsia="宋体" w:hint="default"/>
                <w:sz w:val="18"/>
                <w:szCs w:val="18"/>
              </w:rPr>
              <w:t>我校作为行政事业单位不会直接从事经营活动</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31"/>
                <w:sz w:val="18"/>
                <w:szCs w:val="18"/>
              </w:rPr>
              <w:t>）</w:t>
            </w:r>
            <w:r>
              <w:rPr>
                <w:rFonts w:ascii="宋体" w:hAnsi="宋体" w:cs="宋体" w:eastAsia="宋体" w:hint="default"/>
                <w:sz w:val="18"/>
                <w:szCs w:val="18"/>
              </w:rPr>
              <w:t>我校承</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62"/>
              <w:jc w:val="right"/>
              <w:rPr>
                <w:rFonts w:ascii="宋体" w:hAnsi="宋体" w:cs="宋体" w:eastAsia="宋体" w:hint="default"/>
                <w:sz w:val="18"/>
                <w:szCs w:val="18"/>
              </w:rPr>
            </w:pPr>
            <w:r>
              <w:rPr>
                <w:rFonts w:ascii="宋体" w:hAnsi="宋体" w:cs="宋体" w:eastAsia="宋体" w:hint="default"/>
                <w:sz w:val="18"/>
                <w:szCs w:val="18"/>
              </w:rPr>
              <w:t>方面的承诺</w:t>
            </w: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诺不支持、不批准我校下属的除天喻信息以外的其他企业从事与</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天喻信息业务竞争或可能构成竞争的业务或其它经济活动，不以</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独资经营、合资经营和拥有在其他公司或企业的股权或权益的方</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式从事与天喻信息业务有竞争或可能构成竞争的业务或其它经济</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）我校承诺将促使我校下属的除天喻信息以外的其他企</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业在今后的经营范围和投资方向上，</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5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对天喻信息已经进行建设或拟投资兴建的项目，将不会进行同样</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4" w:type="dxa"/>
            <w:vMerge/>
            <w:tcBorders>
              <w:left w:val="single" w:sz="4" w:space="0" w:color="000000"/>
              <w:bottom w:val="single" w:sz="4" w:space="0" w:color="000000"/>
              <w:right w:val="single" w:sz="4" w:space="0" w:color="000000"/>
            </w:tcBorders>
          </w:tcPr>
          <w:p>
            <w:pPr/>
          </w:p>
        </w:tc>
        <w:tc>
          <w:tcPr>
            <w:tcW w:w="2312"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50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的建设或投资。</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1187" w:top="1060" w:bottom="1380" w:left="1220" w:right="1220"/>
        </w:sectPr>
      </w:pPr>
    </w:p>
    <w:p>
      <w:pPr>
        <w:spacing w:line="240" w:lineRule="auto" w:before="4"/>
        <w:rPr>
          <w:rFonts w:ascii="Times New Roman" w:hAnsi="Times New Roman" w:cs="Times New Roman" w:eastAsia="Times New Roman" w:hint="default"/>
          <w:sz w:val="3"/>
          <w:szCs w:val="3"/>
        </w:rPr>
      </w:pPr>
      <w:r>
        <w:rPr/>
        <w:pict>
          <v:group style="position:absolute;margin-left:275.720001pt;margin-top:127.400009pt;width:52.1pt;height:35.25pt;mso-position-horizontal-relative:page;mso-position-vertical-relative:page;z-index:-788176" coordorigin="5514,2548" coordsize="1042,705">
            <v:group style="position:absolute;left:5514;top:2548;width:1042;height:353" coordorigin="5514,2548" coordsize="1042,353">
              <v:shape style="position:absolute;left:5514;top:2548;width:1042;height:353" coordorigin="5514,2548" coordsize="1042,353" path="m5514,2901l6556,2901,6556,2548,5514,2548,5514,2901xe" filled="true" fillcolor="#ffffff" stroked="false">
                <v:path arrowok="t"/>
                <v:fill type="solid"/>
              </v:shape>
            </v:group>
            <v:group style="position:absolute;left:5514;top:2901;width:1042;height:352" coordorigin="5514,2901" coordsize="1042,352">
              <v:shape style="position:absolute;left:5514;top:2901;width:1042;height:352" coordorigin="5514,2901" coordsize="1042,352" path="m5514,3252l6556,3252,6556,2901,5514,2901,5514,325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844"/>
        <w:gridCol w:w="2312"/>
        <w:gridCol w:w="1097"/>
        <w:gridCol w:w="5097"/>
        <w:gridCol w:w="1134"/>
        <w:gridCol w:w="1134"/>
        <w:gridCol w:w="1560"/>
      </w:tblGrid>
      <w:tr>
        <w:trPr>
          <w:trHeight w:val="3537" w:hRule="exact"/>
        </w:trPr>
        <w:tc>
          <w:tcPr>
            <w:tcW w:w="1844" w:type="dxa"/>
            <w:tcBorders>
              <w:top w:val="single" w:sz="15" w:space="0" w:color="000000"/>
              <w:left w:val="single" w:sz="4" w:space="0" w:color="000000"/>
              <w:bottom w:val="single" w:sz="4" w:space="0" w:color="000000"/>
              <w:right w:val="single" w:sz="4" w:space="0" w:color="000000"/>
            </w:tcBorders>
          </w:tcPr>
          <w:p>
            <w:pPr/>
          </w:p>
        </w:tc>
        <w:tc>
          <w:tcPr>
            <w:tcW w:w="2312" w:type="dxa"/>
            <w:tcBorders>
              <w:top w:val="single" w:sz="15"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张新访、王彬、江绥（离任</w:t>
            </w:r>
          </w:p>
        </w:tc>
        <w:tc>
          <w:tcPr>
            <w:tcW w:w="1097" w:type="dxa"/>
            <w:tcBorders>
              <w:top w:val="single" w:sz="15"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股份限售承</w:t>
            </w:r>
          </w:p>
          <w:p>
            <w:pPr>
              <w:pStyle w:val="TableParagraph"/>
              <w:spacing w:line="157"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097"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自发行人股票在深圳证券交易所上市之日起十二个月内，将不通 过包括但不限于签署转让协议、进行股权托管等任何方式，减少 本人在本次发行前所持有或者实际持有的发行人的股票，也不会 促使或者同意发行人回购部分或者全部本人所持有的股份。本人 在任职期间每年转让的股份不超过本人所持有的发行人股份总数 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；离职后半年内，不转让本承诺人所持有的发行人股份。 若本人在发行人首次公开发行股票上市之日起六个月内申报离职 的，自申报离职之日起十八个月内不转让本人直接持有发行人的 股份；在首次公开发行股票上市之日起第七个月至第十二个月之 间申报离职的，自申报离职之日起十二个月内不转让本人直接持 有发行人的股份。</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87"/>
              <w:jc w:val="left"/>
              <w:rPr>
                <w:rFonts w:ascii="宋体" w:hAnsi="宋体" w:cs="宋体" w:eastAsia="宋体" w:hint="default"/>
                <w:sz w:val="18"/>
                <w:szCs w:val="18"/>
              </w:rPr>
            </w:pPr>
            <w:r>
              <w:rPr>
                <w:rFonts w:ascii="宋体" w:hAnsi="宋体" w:cs="宋体" w:eastAsia="宋体" w:hint="default"/>
                <w:sz w:val="18"/>
                <w:szCs w:val="18"/>
              </w:rPr>
              <w:t>正常履行中（离任 高级管理人员江绥 已经履行完毕其关 于股份锁定的承 </w:t>
            </w:r>
            <w:r>
              <w:rPr>
                <w:rFonts w:ascii="宋体" w:hAnsi="宋体" w:cs="宋体" w:eastAsia="宋体" w:hint="default"/>
                <w:spacing w:val="-30"/>
                <w:sz w:val="18"/>
                <w:szCs w:val="18"/>
              </w:rPr>
              <w:t>诺）。</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31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31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7" w:type="dxa"/>
            <w:tcBorders>
              <w:top w:val="single" w:sz="4" w:space="0" w:color="000000"/>
              <w:left w:val="single" w:sz="4" w:space="0" w:color="000000"/>
              <w:bottom w:val="single" w:sz="4" w:space="0" w:color="000000"/>
              <w:right w:val="single" w:sz="4" w:space="0" w:color="000000"/>
            </w:tcBorders>
          </w:tcPr>
          <w:p>
            <w:pPr/>
          </w:p>
        </w:tc>
        <w:tc>
          <w:tcPr>
            <w:tcW w:w="509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123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2334"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220" w:right="0"/>
        <w:jc w:val="left"/>
        <w:rPr>
          <w:b w:val="0"/>
          <w:bCs w:val="0"/>
        </w:rPr>
      </w:pPr>
      <w:bookmarkStart w:name="2、公司资产或项目存在盈利预测，且报告期仍处在盈利预测期间，公司就资产或项目达到" w:id="67"/>
      <w:bookmarkEnd w:id="67"/>
      <w:r>
        <w:rPr>
          <w:b w:val="0"/>
          <w:bCs w:val="0"/>
        </w:rPr>
      </w:r>
      <w:r>
        <w:rPr>
          <w:rFonts w:ascii="宋体" w:hAnsi="宋体" w:cs="宋体" w:eastAsia="宋体" w:hint="default"/>
        </w:rPr>
        <w:t>2</w:t>
      </w:r>
      <w:r>
        <w:rPr/>
        <w:t>、公司资产或项目存在盈利预测，且报告期仍处在盈利预测期间，公司就资产或项目达到原盈利预测及其原因做出说明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220" w:right="0"/>
        <w:jc w:val="left"/>
      </w:pPr>
      <w:r>
        <w:rPr/>
        <w:t>□ 适用 √ 不适用</w:t>
      </w:r>
    </w:p>
    <w:p>
      <w:pPr>
        <w:spacing w:after="0" w:line="240" w:lineRule="auto"/>
        <w:jc w:val="left"/>
        <w:sectPr>
          <w:pgSz w:w="16840" w:h="11910" w:orient="landscape"/>
          <w:pgMar w:header="867" w:footer="1187" w:top="1060" w:bottom="1380" w:left="1220" w:right="12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4632" w:hanging="360"/>
        <w:jc w:val="left"/>
      </w:pPr>
      <w:r>
        <w:rPr/>
        <w:t>□ 适用 √ 不适用 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9"/>
      <w:bookmarkEnd w:id="69"/>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437"/>
        <w:jc w:val="left"/>
        <w:rPr>
          <w:b w:val="0"/>
          <w:bCs w:val="0"/>
        </w:rPr>
      </w:pPr>
      <w:bookmarkStart w:name="五、董事会、监事会、独立董事（如有）对会计师事务所本报告期“非标准审计报告”的说" w:id="70"/>
      <w:bookmarkEnd w:id="70"/>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19" w:lineRule="auto" w:before="115"/>
        <w:ind w:right="1114" w:firstLine="450"/>
        <w:jc w:val="left"/>
      </w:pPr>
      <w:r>
        <w:rPr/>
        <w:t>根据财政部</w:t>
      </w:r>
      <w:r>
        <w:rPr>
          <w:rFonts w:ascii="宋体" w:hAnsi="宋体" w:cs="宋体" w:eastAsia="宋体" w:hint="default"/>
        </w:rPr>
        <w:t>2018</w:t>
      </w:r>
      <w:r>
        <w:rPr/>
        <w:t>年修订和发布的财务报表格式，公司变更了财务报表格式列报，详见“第十一节</w:t>
      </w:r>
      <w:r>
        <w:rPr>
          <w:spacing w:val="8"/>
        </w:rPr>
        <w:t> </w:t>
      </w:r>
      <w:r>
        <w:rPr/>
        <w:t>财务报告</w:t>
      </w:r>
      <w:r>
        <w:rPr>
          <w:rFonts w:ascii="宋体" w:hAnsi="宋体" w:cs="宋体" w:eastAsia="宋体" w:hint="default"/>
        </w:rPr>
        <w:t>/</w:t>
      </w:r>
      <w:r>
        <w:rPr/>
        <w:t>五、重要 会计政策及会计估计</w:t>
      </w:r>
      <w:r>
        <w:rPr>
          <w:rFonts w:ascii="宋体" w:hAnsi="宋体" w:cs="宋体" w:eastAsia="宋体" w:hint="default"/>
        </w:rPr>
        <w:t>/29</w:t>
      </w:r>
      <w:r>
        <w:rPr/>
        <w:t>、重要会计政策和会计估计变更”。</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5"/>
        <w:ind w:left="514" w:right="0"/>
        <w:jc w:val="left"/>
      </w:pPr>
      <w:r>
        <w:rPr/>
        <w:t>参见“第四节 经营情况讨论与分析</w:t>
      </w:r>
      <w:r>
        <w:rPr>
          <w:rFonts w:ascii="宋体" w:hAnsi="宋体" w:cs="宋体" w:eastAsia="宋体" w:hint="default"/>
        </w:rPr>
        <w:t>/</w:t>
      </w:r>
      <w:r>
        <w:rPr/>
        <w:t>二、主营业务分析</w:t>
      </w:r>
      <w:r>
        <w:rPr>
          <w:rFonts w:ascii="宋体" w:hAnsi="宋体" w:cs="宋体" w:eastAsia="宋体" w:hint="default"/>
        </w:rPr>
        <w:t>/2</w:t>
      </w:r>
      <w:r>
        <w:rPr/>
        <w:t>、收入与成本</w:t>
      </w:r>
      <w:r>
        <w:rPr>
          <w:rFonts w:ascii="宋体" w:hAnsi="宋体" w:cs="宋体" w:eastAsia="宋体" w:hint="default"/>
        </w:rPr>
        <w:t>/</w:t>
      </w:r>
      <w:r>
        <w:rPr/>
        <w:t>（</w:t>
      </w:r>
      <w:r>
        <w:rPr>
          <w:rFonts w:ascii="宋体" w:hAnsi="宋体" w:cs="宋体" w:eastAsia="宋体" w:hint="default"/>
        </w:rPr>
        <w:t>6</w:t>
      </w:r>
      <w:r>
        <w:rPr/>
        <w:t>）报告期内合并范围是否发生变动”。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6"/>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吴杰、聂慧蓉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吴杰连续服务</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年、聂慧蓉连续服务</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是否改聘会计师事务所</w:t>
      </w:r>
    </w:p>
    <w:p>
      <w:pPr>
        <w:pStyle w:val="BodyText"/>
        <w:spacing w:line="439" w:lineRule="auto" w:before="117"/>
        <w:ind w:right="6252"/>
        <w:jc w:val="left"/>
      </w:pPr>
      <w:r>
        <w:rPr/>
        <w:t>□ 是 √ 否 聘请内部控制审计会计师事务所、财务顾问或保荐人情况</w:t>
      </w:r>
    </w:p>
    <w:p>
      <w:pPr>
        <w:pStyle w:val="BodyText"/>
        <w:spacing w:line="203" w:lineRule="exact"/>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headerReference w:type="default" r:id="rId23"/>
          <w:footerReference w:type="default" r:id="rId24"/>
          <w:pgSz w:w="11910" w:h="16840"/>
          <w:pgMar w:header="877" w:footer="1187" w:top="1100" w:bottom="1380" w:left="980" w:right="0"/>
          <w:pgNumType w:start="31"/>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332" w:hanging="360"/>
        <w:jc w:val="left"/>
      </w:pPr>
      <w:r>
        <w:rPr/>
        <w:t>□ 适用 √ 不适用 公司报告期未发生破产重整相关事项。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7"/>
        <w:ind w:left="495" w:right="3280"/>
        <w:jc w:val="center"/>
      </w:pPr>
      <w:r>
        <w:rPr/>
        <w:t>本年度公司无重大诉讼、仲裁事项。公司其他诉讼、仲裁的涉案总金额为</w:t>
      </w:r>
      <w:r>
        <w:rPr>
          <w:spacing w:val="-46"/>
        </w:rPr>
        <w:t> </w:t>
      </w:r>
      <w:r>
        <w:rPr>
          <w:rFonts w:ascii="宋体" w:hAnsi="宋体" w:cs="宋体" w:eastAsia="宋体" w:hint="default"/>
        </w:rPr>
        <w:t>4,844.15</w:t>
      </w:r>
      <w:r>
        <w:rPr>
          <w:rFonts w:ascii="宋体" w:hAnsi="宋体" w:cs="宋体" w:eastAsia="宋体" w:hint="default"/>
          <w:spacing w:val="-45"/>
        </w:rPr>
        <w:t> </w:t>
      </w:r>
      <w:r>
        <w:rPr/>
        <w:t>万元。</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512" w:hanging="360"/>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123" w:hanging="360"/>
        <w:jc w:val="left"/>
      </w:pPr>
      <w:r>
        <w:rPr/>
        <w:t>□ 适用 √ 不适用 </w:t>
      </w:r>
      <w:r>
        <w:rPr>
          <w:spacing w:val="-2"/>
        </w:rPr>
        <w:t>报告期内公司及公司控股股东、实际控制人诚信状况良好，不存在未履行法院生效判决、所负数额较大的债务到期未清</w:t>
      </w:r>
    </w:p>
    <w:p>
      <w:pPr>
        <w:pStyle w:val="BodyText"/>
        <w:spacing w:line="225" w:lineRule="exact"/>
        <w:ind w:right="0"/>
        <w:jc w:val="left"/>
      </w:pPr>
      <w:r>
        <w:rPr/>
        <w:t>偿等情况。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4092" w:hanging="360"/>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14" w:right="6612" w:hanging="360"/>
        <w:jc w:val="left"/>
      </w:pPr>
      <w:r>
        <w:rPr/>
        <w:t>□ 适用 √ 不适用 公司报告期未发生与日常经营相关的关联交易。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6072" w:hanging="360"/>
        <w:jc w:val="left"/>
      </w:pPr>
      <w:r>
        <w:rPr/>
        <w:t>□ 适用 √ 不适用 公司报告期未发生资产或股权收购、出售的关联交易。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共同对外投资的关联交易" w:id="83"/>
      <w:bookmarkEnd w:id="83"/>
      <w:r>
        <w:rPr>
          <w:b w:val="0"/>
          <w:bCs w:val="0"/>
        </w:rPr>
      </w:r>
      <w:r>
        <w:rPr>
          <w:rFonts w:ascii="宋体" w:hAnsi="宋体" w:cs="宋体" w:eastAsia="宋体" w:hint="default"/>
        </w:rPr>
        <w:t>3</w:t>
      </w:r>
      <w:r>
        <w:rPr/>
        <w:t>、共同对外投资的关联交易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6792" w:hanging="360"/>
        <w:jc w:val="left"/>
      </w:pPr>
      <w:r>
        <w:rPr/>
        <w:t>□ 适用 √ 不适用 公司报告期未发生共同对外投资的关联交易。</w:t>
      </w:r>
    </w:p>
    <w:p>
      <w:pPr>
        <w:spacing w:after="0" w:line="357"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关联债权债务往来" w:id="84"/>
      <w:bookmarkEnd w:id="84"/>
      <w:r>
        <w:rPr>
          <w:b w:val="0"/>
          <w:bCs w:val="0"/>
        </w:rPr>
      </w: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7332" w:hanging="360"/>
        <w:jc w:val="left"/>
      </w:pPr>
      <w:r>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5"/>
      <w:bookmarkEnd w:id="85"/>
      <w:r>
        <w:rPr>
          <w:b w:val="0"/>
          <w:bCs w:val="0"/>
        </w:rPr>
      </w:r>
      <w:r>
        <w:rPr>
          <w:rFonts w:ascii="宋体" w:hAnsi="宋体" w:cs="宋体" w:eastAsia="宋体" w:hint="default"/>
        </w:rPr>
        <w:t>5</w:t>
      </w:r>
      <w:r>
        <w:rPr/>
        <w:t>、其他重大关联交易</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1122" w:hanging="360"/>
        <w:jc w:val="left"/>
      </w:pPr>
      <w:r>
        <w:rPr/>
        <w:t>√ 适用 □ 不适用 为促进教育业务的快速发展，公司董事会、股东大会审议批准子公司天喻教育以增资扩股的方式启动新一轮</w:t>
      </w:r>
      <w:r>
        <w:rPr>
          <w:rFonts w:ascii="宋体" w:hAnsi="宋体" w:cs="宋体" w:eastAsia="宋体" w:hint="default"/>
        </w:rPr>
        <w:t>6,000</w:t>
      </w:r>
      <w:r>
        <w:rPr/>
        <w:t>万元</w:t>
      </w:r>
    </w:p>
    <w:p>
      <w:pPr>
        <w:pStyle w:val="BodyText"/>
        <w:spacing w:line="439" w:lineRule="auto"/>
        <w:ind w:right="3822"/>
        <w:jc w:val="left"/>
      </w:pPr>
      <w:r>
        <w:rPr/>
        <w:t>融资，公司关联方武信天喻以现金</w:t>
      </w:r>
      <w:r>
        <w:rPr>
          <w:rFonts w:ascii="宋体" w:hAnsi="宋体" w:cs="宋体" w:eastAsia="宋体" w:hint="default"/>
        </w:rPr>
        <w:t>6,000</w:t>
      </w:r>
      <w:r>
        <w:rPr/>
        <w:t>万元认购天喻教育</w:t>
      </w:r>
      <w:r>
        <w:rPr>
          <w:rFonts w:ascii="宋体" w:hAnsi="宋体" w:cs="宋体" w:eastAsia="宋体" w:hint="default"/>
        </w:rPr>
        <w:t>576.9231</w:t>
      </w:r>
      <w:r>
        <w:rPr/>
        <w:t>万元新增注册资本。 重大关联交易临时报告披露网站相关查询</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2126"/>
        <w:gridCol w:w="2764"/>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《关于控股子公司武汉天喻教育科技有限公司增资扩股暨 </w:t>
            </w:r>
            <w:r>
              <w:rPr>
                <w:rFonts w:ascii="宋体" w:hAnsi="宋体" w:cs="宋体" w:eastAsia="宋体" w:hint="default"/>
                <w:spacing w:val="-7"/>
                <w:sz w:val="18"/>
                <w:szCs w:val="18"/>
              </w:rPr>
              <w:t>关联交易的公告》、《第七届董事会第九次会议决议公告》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托管情况" w:id="88"/>
      <w:bookmarkEnd w:id="88"/>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14" w:right="8052" w:hanging="360"/>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承包情况" w:id="89"/>
      <w:bookmarkEnd w:id="89"/>
      <w:r>
        <w:rPr>
          <w:b w:val="0"/>
          <w:bCs w:val="0"/>
        </w:rPr>
      </w: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8052" w:hanging="360"/>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租赁情况" w:id="90"/>
      <w:bookmarkEnd w:id="90"/>
      <w:r>
        <w:rPr>
          <w:b w:val="0"/>
          <w:bCs w:val="0"/>
        </w:rPr>
      </w: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pStyle w:val="BodyText"/>
        <w:spacing w:line="439" w:lineRule="auto"/>
        <w:ind w:right="9222"/>
        <w:jc w:val="left"/>
      </w:pPr>
      <w:r>
        <w:rPr/>
        <w:t>√ 适用 □ 不适用 租赁情况说明</w:t>
      </w:r>
    </w:p>
    <w:p>
      <w:pPr>
        <w:pStyle w:val="BodyText"/>
        <w:spacing w:line="203" w:lineRule="exact"/>
        <w:ind w:left="514" w:right="0"/>
        <w:jc w:val="left"/>
      </w:pPr>
      <w:r>
        <w:rPr/>
        <w:t>报告期内，公司发生租用其他公司资产的租赁费用为</w:t>
      </w:r>
      <w:r>
        <w:rPr>
          <w:rFonts w:ascii="宋体" w:hAnsi="宋体" w:cs="宋体" w:eastAsia="宋体" w:hint="default"/>
        </w:rPr>
        <w:t>17,764,638.09</w:t>
      </w:r>
      <w:r>
        <w:rPr/>
        <w:t>元，主要为办公场地租赁。</w:t>
      </w:r>
    </w:p>
    <w:p>
      <w:pPr>
        <w:spacing w:line="240" w:lineRule="auto" w:before="12"/>
        <w:rPr>
          <w:rFonts w:ascii="宋体" w:hAnsi="宋体" w:cs="宋体" w:eastAsia="宋体" w:hint="default"/>
          <w:sz w:val="14"/>
          <w:szCs w:val="14"/>
        </w:rPr>
      </w:pPr>
    </w:p>
    <w:p>
      <w:pPr>
        <w:pStyle w:val="BodyText"/>
        <w:spacing w:line="240" w:lineRule="auto"/>
        <w:ind w:right="0"/>
        <w:jc w:val="left"/>
      </w:pPr>
      <w:r>
        <w:rPr/>
        <w:t>为公司带来的损益达到公司报告期利润总额</w:t>
      </w:r>
      <w:r>
        <w:rPr>
          <w:spacing w:val="-46"/>
        </w:rPr>
        <w:t> </w:t>
      </w:r>
      <w:r>
        <w:rPr>
          <w:rFonts w:ascii="宋体" w:hAnsi="宋体" w:cs="宋体" w:eastAsia="宋体" w:hint="default"/>
        </w:rPr>
        <w:t>10%</w:t>
      </w:r>
      <w:r>
        <w:rPr/>
        <w:t>以上的项目</w:t>
      </w:r>
    </w:p>
    <w:p>
      <w:pPr>
        <w:pStyle w:val="BodyText"/>
        <w:spacing w:line="240" w:lineRule="auto" w:before="117"/>
        <w:ind w:right="0"/>
        <w:jc w:val="left"/>
      </w:pPr>
      <w:r>
        <w:rPr/>
        <w:t>□ 适用 √ 不适用</w:t>
      </w:r>
    </w:p>
    <w:p>
      <w:pPr>
        <w:pStyle w:val="BodyText"/>
        <w:spacing w:line="240" w:lineRule="auto" w:before="116"/>
        <w:ind w:left="514" w:right="0"/>
        <w:jc w:val="left"/>
      </w:pPr>
      <w:r>
        <w:rPr/>
        <w:t>公司报告期不存在为公司带来的损益达到公司报告期利润总额</w:t>
      </w:r>
      <w:r>
        <w:rPr>
          <w:spacing w:val="-45"/>
        </w:rPr>
        <w:t> </w:t>
      </w:r>
      <w:r>
        <w:rPr>
          <w:rFonts w:ascii="宋体" w:hAnsi="宋体" w:cs="宋体" w:eastAsia="宋体" w:hint="default"/>
        </w:rPr>
        <w:t>10%</w:t>
      </w:r>
      <w:r>
        <w:rPr/>
        <w:t>以上的租赁项目。</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重大担保" w:id="91"/>
      <w:bookmarkEnd w:id="91"/>
      <w:r>
        <w:rPr>
          <w:b w:val="0"/>
          <w:bCs w:val="0"/>
        </w:rPr>
      </w: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8052" w:hanging="360"/>
        <w:jc w:val="left"/>
      </w:pPr>
      <w:r>
        <w:rPr/>
        <w:t>□ 适用 √ 不适用 公司报告期不存在担保情况。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宋体" w:hAnsi="宋体" w:cs="宋体" w:eastAsia="宋体" w:hint="default"/>
        </w:rPr>
        <w:t>3</w:t>
      </w:r>
      <w:r>
        <w:rPr/>
        <w:t>、委托他人进行现金资产管理情况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委托理财情况" w:id="93"/>
      <w:bookmarkEnd w:id="93"/>
      <w:r>
        <w:rPr>
          <w:b w:val="0"/>
          <w:bCs w:val="0"/>
        </w:rPr>
      </w:r>
      <w:r>
        <w:rPr/>
        <w:t>（</w:t>
      </w:r>
      <w:r>
        <w:rPr>
          <w:rFonts w:ascii="宋体" w:hAnsi="宋体" w:cs="宋体" w:eastAsia="宋体" w:hint="default"/>
        </w:rPr>
        <w:t>1</w:t>
      </w:r>
      <w:r>
        <w:rPr/>
        <w:t>）委托理财情况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7"/>
        <w:rPr>
          <w:rFonts w:ascii="宋体" w:hAnsi="宋体" w:cs="宋体" w:eastAsia="宋体" w:hint="default"/>
          <w:sz w:val="11"/>
          <w:szCs w:val="11"/>
        </w:rPr>
      </w:pPr>
    </w:p>
    <w:p>
      <w:pPr>
        <w:pStyle w:val="BodyText"/>
        <w:spacing w:line="240" w:lineRule="auto" w:before="44"/>
        <w:ind w:right="0"/>
        <w:jc w:val="left"/>
      </w:pPr>
      <w:r>
        <w:rPr/>
        <w:t>报告期内委托理财概况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755"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p>
            <w:pPr>
              <w:pStyle w:val="TableParagraph"/>
              <w:spacing w:line="240" w:lineRule="auto" w:before="116"/>
              <w:ind w:left="265" w:right="0"/>
              <w:jc w:val="left"/>
              <w:rPr>
                <w:rFonts w:ascii="宋体" w:hAnsi="宋体" w:cs="宋体" w:eastAsia="宋体" w:hint="default"/>
                <w:sz w:val="18"/>
                <w:szCs w:val="18"/>
              </w:rPr>
            </w:pPr>
            <w:r>
              <w:rPr>
                <w:rFonts w:ascii="宋体" w:hAnsi="宋体" w:cs="宋体" w:eastAsia="宋体" w:hint="default"/>
                <w:sz w:val="18"/>
                <w:szCs w:val="18"/>
              </w:rPr>
              <w:t>（最高单日余额）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2"/>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25"/>
          <w:footerReference w:type="default" r:id="rId26"/>
          <w:pgSz w:w="16840" w:h="11910" w:orient="landscape"/>
          <w:pgMar w:header="867" w:footer="1187" w:top="1060" w:bottom="1400" w:left="1220" w:right="1220"/>
          <w:pgNumType w:start="35"/>
        </w:sectPr>
      </w:pPr>
    </w:p>
    <w:p>
      <w:pPr>
        <w:pStyle w:val="BodyText"/>
        <w:spacing w:line="240" w:lineRule="auto" w:before="99"/>
        <w:ind w:left="220" w:right="-20"/>
        <w:jc w:val="left"/>
      </w:pPr>
      <w:r>
        <w:rPr/>
        <w:t>单项金额重大或安全性较低、流动性较差、不保本的高风险委托理财具体情况</w:t>
      </w:r>
    </w:p>
    <w:p>
      <w:pPr>
        <w:pStyle w:val="BodyText"/>
        <w:spacing w:line="240" w:lineRule="auto" w:before="117"/>
        <w:ind w:left="220"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220" w:right="0"/>
        <w:jc w:val="left"/>
      </w:pPr>
      <w:r>
        <w:rPr/>
        <w:pict>
          <v:group style="position:absolute;margin-left:555.940002pt;margin-top:76.151726pt;width:42pt;height:7.8pt;mso-position-horizontal-relative:page;mso-position-vertical-relative:paragraph;z-index:-788128" coordorigin="11119,1523" coordsize="840,156">
            <v:shape style="position:absolute;left:11119;top:1523;width:840;height:156" coordorigin="11119,1523" coordsize="840,156" path="m11119,1679l11959,1679,11959,1523,11119,1523,11119,1679xe" filled="true" fillcolor="#ffffff" stroked="false">
              <v:path arrowok="t"/>
              <v:fill type="solid"/>
            </v:shape>
            <w10:wrap type="none"/>
          </v:group>
        </w:pict>
      </w:r>
      <w:r>
        <w:rPr/>
        <w:t>单位：万元</w:t>
      </w:r>
    </w:p>
    <w:p>
      <w:pPr>
        <w:spacing w:after="0" w:line="240" w:lineRule="auto"/>
        <w:jc w:val="left"/>
        <w:sectPr>
          <w:type w:val="continuous"/>
          <w:pgSz w:w="16840" w:h="11910" w:orient="landscape"/>
          <w:pgMar w:top="1580" w:bottom="700" w:left="1220" w:right="1220"/>
          <w:cols w:num="2" w:equalWidth="0">
            <w:col w:w="6341" w:space="6622"/>
            <w:col w:w="1437"/>
          </w:cols>
        </w:sectPr>
      </w:pP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03"/>
        <w:gridCol w:w="850"/>
        <w:gridCol w:w="851"/>
        <w:gridCol w:w="742"/>
        <w:gridCol w:w="568"/>
        <w:gridCol w:w="850"/>
        <w:gridCol w:w="851"/>
        <w:gridCol w:w="568"/>
        <w:gridCol w:w="1101"/>
        <w:gridCol w:w="851"/>
        <w:gridCol w:w="742"/>
        <w:gridCol w:w="709"/>
        <w:gridCol w:w="850"/>
        <w:gridCol w:w="709"/>
        <w:gridCol w:w="709"/>
        <w:gridCol w:w="850"/>
        <w:gridCol w:w="1277"/>
      </w:tblGrid>
      <w:tr>
        <w:trPr>
          <w:trHeight w:val="1338"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受托机构名 </w:t>
            </w:r>
            <w:r>
              <w:rPr>
                <w:rFonts w:ascii="宋体" w:hAnsi="宋体" w:cs="宋体" w:eastAsia="宋体" w:hint="default"/>
                <w:spacing w:val="-6"/>
                <w:sz w:val="18"/>
                <w:szCs w:val="18"/>
              </w:rPr>
              <w:t>称（或受托人</w:t>
            </w:r>
            <w:r>
              <w:rPr>
                <w:rFonts w:ascii="宋体" w:hAnsi="宋体" w:cs="宋体" w:eastAsia="宋体" w:hint="default"/>
                <w:sz w:val="18"/>
                <w:szCs w:val="18"/>
              </w:rPr>
              <w:t> 姓名）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5"/>
              <w:ind w:left="59" w:right="58"/>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9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364" w:right="184"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0" w:right="59" w:hanging="90"/>
              <w:jc w:val="left"/>
              <w:rPr>
                <w:rFonts w:ascii="宋体" w:hAnsi="宋体" w:cs="宋体" w:eastAsia="宋体" w:hint="default"/>
                <w:sz w:val="18"/>
                <w:szCs w:val="18"/>
              </w:rPr>
            </w:pPr>
            <w:r>
              <w:rPr>
                <w:rFonts w:ascii="宋体" w:hAnsi="宋体" w:cs="宋体" w:eastAsia="宋体" w:hint="default"/>
                <w:sz w:val="18"/>
                <w:szCs w:val="18"/>
              </w:rPr>
              <w:t>参考年化 收益率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185" w:right="185"/>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79" w:right="71"/>
              <w:jc w:val="both"/>
              <w:rPr>
                <w:rFonts w:ascii="宋体" w:hAnsi="宋体" w:cs="宋体" w:eastAsia="宋体" w:hint="default"/>
                <w:sz w:val="18"/>
                <w:szCs w:val="18"/>
              </w:rPr>
            </w:pPr>
            <w:r>
              <w:rPr>
                <w:rFonts w:ascii="宋体" w:hAnsi="宋体" w:cs="宋体" w:eastAsia="宋体" w:hint="default"/>
                <w:sz w:val="18"/>
                <w:szCs w:val="18"/>
              </w:rPr>
              <w:t>报告期 实际损 益金额</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（税前）</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92" w:hanging="90"/>
              <w:jc w:val="left"/>
              <w:rPr>
                <w:rFonts w:ascii="宋体" w:hAnsi="宋体" w:cs="宋体" w:eastAsia="宋体" w:hint="default"/>
                <w:sz w:val="18"/>
                <w:szCs w:val="18"/>
              </w:rPr>
            </w:pPr>
            <w:r>
              <w:rPr>
                <w:rFonts w:ascii="宋体" w:hAnsi="宋体" w:cs="宋体" w:eastAsia="宋体" w:hint="default"/>
                <w:sz w:val="18"/>
                <w:szCs w:val="18"/>
              </w:rPr>
              <w:t>事项概述及相 关查询索引</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8"/>
              <w:jc w:val="both"/>
              <w:rPr>
                <w:rFonts w:ascii="宋体" w:hAnsi="宋体" w:cs="宋体" w:eastAsia="宋体" w:hint="default"/>
                <w:sz w:val="18"/>
                <w:szCs w:val="18"/>
              </w:rPr>
            </w:pPr>
            <w:r>
              <w:rPr>
                <w:rFonts w:ascii="宋体" w:hAnsi="宋体" w:cs="宋体" w:eastAsia="宋体" w:hint="default"/>
                <w:sz w:val="18"/>
                <w:szCs w:val="18"/>
              </w:rPr>
              <w:t>平安银行股 份有限公司 武汉分行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2"/>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9"/>
              <w:jc w:val="righ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4.65%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58.6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59.88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2017-058</w:t>
            </w:r>
            <w:r>
              <w:rPr>
                <w:rFonts w:ascii="宋体" w:hAnsi="宋体" w:cs="宋体" w:eastAsia="宋体" w:hint="default"/>
                <w:sz w:val="18"/>
                <w:szCs w:val="18"/>
              </w:rPr>
              <w:t>）</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8"/>
              <w:jc w:val="both"/>
              <w:rPr>
                <w:rFonts w:ascii="宋体" w:hAnsi="宋体" w:cs="宋体" w:eastAsia="宋体" w:hint="default"/>
                <w:sz w:val="18"/>
                <w:szCs w:val="18"/>
              </w:rPr>
            </w:pPr>
            <w:r>
              <w:rPr>
                <w:rFonts w:ascii="宋体" w:hAnsi="宋体" w:cs="宋体" w:eastAsia="宋体" w:hint="default"/>
                <w:sz w:val="18"/>
                <w:szCs w:val="18"/>
              </w:rPr>
              <w:t>中信银行股 份有限公司 武汉分行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9"/>
              <w:jc w:val="right"/>
              <w:rPr>
                <w:rFonts w:ascii="宋体" w:hAnsi="宋体" w:cs="宋体" w:eastAsia="宋体" w:hint="default"/>
                <w:sz w:val="18"/>
                <w:szCs w:val="18"/>
              </w:rPr>
            </w:pPr>
            <w:r>
              <w:rPr>
                <w:rFonts w:ascii="宋体"/>
                <w:sz w:val="18"/>
              </w:rPr>
              <w:t>3,000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4.55%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sz w:val="18"/>
              </w:rPr>
              <w:t>40.39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40.39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2017-058</w:t>
            </w:r>
            <w:r>
              <w:rPr>
                <w:rFonts w:ascii="宋体" w:hAnsi="宋体" w:cs="宋体" w:eastAsia="宋体" w:hint="default"/>
                <w:sz w:val="18"/>
                <w:szCs w:val="18"/>
              </w:rPr>
              <w:t>）</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8"/>
              <w:jc w:val="both"/>
              <w:rPr>
                <w:rFonts w:ascii="宋体" w:hAnsi="宋体" w:cs="宋体" w:eastAsia="宋体" w:hint="default"/>
                <w:sz w:val="18"/>
                <w:szCs w:val="18"/>
              </w:rPr>
            </w:pPr>
            <w:r>
              <w:rPr>
                <w:rFonts w:ascii="宋体" w:hAnsi="宋体" w:cs="宋体" w:eastAsia="宋体" w:hint="default"/>
                <w:sz w:val="18"/>
                <w:szCs w:val="18"/>
              </w:rPr>
              <w:t>平安银行股 份有限公司 武汉分行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9"/>
              <w:jc w:val="right"/>
              <w:rPr>
                <w:rFonts w:ascii="宋体" w:hAnsi="宋体" w:cs="宋体" w:eastAsia="宋体" w:hint="default"/>
                <w:sz w:val="18"/>
                <w:szCs w:val="18"/>
              </w:rPr>
            </w:pPr>
            <w:r>
              <w:rPr>
                <w:rFonts w:ascii="宋体"/>
                <w:sz w:val="18"/>
              </w:rPr>
              <w:t>8,000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3.65%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sz w:val="18"/>
              </w:rPr>
              <w:t>24.80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24.80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2018-007</w:t>
            </w:r>
            <w:r>
              <w:rPr>
                <w:rFonts w:ascii="宋体" w:hAnsi="宋体" w:cs="宋体" w:eastAsia="宋体" w:hint="default"/>
                <w:sz w:val="18"/>
                <w:szCs w:val="18"/>
              </w:rPr>
              <w:t>）</w:t>
            </w:r>
          </w:p>
        </w:tc>
      </w:tr>
      <w:tr>
        <w:trPr>
          <w:trHeight w:val="98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平安银行股 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39"/>
              <w:jc w:val="righ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结构 性产</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4.20%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17.84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18.99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w:t>
            </w:r>
          </w:p>
        </w:tc>
      </w:tr>
    </w:tbl>
    <w:p>
      <w:pPr>
        <w:spacing w:after="0" w:line="316" w:lineRule="auto"/>
        <w:jc w:val="both"/>
        <w:rPr>
          <w:rFonts w:ascii="宋体" w:hAnsi="宋体" w:cs="宋体" w:eastAsia="宋体" w:hint="default"/>
          <w:sz w:val="18"/>
          <w:szCs w:val="18"/>
        </w:rPr>
        <w:sectPr>
          <w:type w:val="continuous"/>
          <w:pgSz w:w="16840" w:h="11910" w:orient="landscape"/>
          <w:pgMar w:top="1580" w:bottom="700" w:left="1220" w:right="122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103"/>
        <w:gridCol w:w="850"/>
        <w:gridCol w:w="851"/>
        <w:gridCol w:w="742"/>
        <w:gridCol w:w="568"/>
        <w:gridCol w:w="850"/>
        <w:gridCol w:w="851"/>
        <w:gridCol w:w="568"/>
        <w:gridCol w:w="1101"/>
        <w:gridCol w:w="851"/>
        <w:gridCol w:w="742"/>
        <w:gridCol w:w="709"/>
        <w:gridCol w:w="850"/>
        <w:gridCol w:w="709"/>
        <w:gridCol w:w="709"/>
        <w:gridCol w:w="850"/>
        <w:gridCol w:w="1277"/>
      </w:tblGrid>
      <w:tr>
        <w:trPr>
          <w:trHeight w:val="1001" w:hRule="exact"/>
        </w:trPr>
        <w:tc>
          <w:tcPr>
            <w:tcW w:w="11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武汉分行</w:t>
            </w:r>
          </w:p>
        </w:tc>
        <w:tc>
          <w:tcPr>
            <w:tcW w:w="850"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742"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1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15" w:space="0" w:color="000000"/>
              <w:left w:val="single" w:sz="4" w:space="0" w:color="000000"/>
              <w:bottom w:val="single" w:sz="4" w:space="0" w:color="000000"/>
              <w:right w:val="single" w:sz="4" w:space="0" w:color="000000"/>
            </w:tcBorders>
          </w:tcPr>
          <w:p>
            <w:pPr/>
          </w:p>
        </w:tc>
        <w:tc>
          <w:tcPr>
            <w:tcW w:w="74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的进展公告》</w:t>
            </w:r>
          </w:p>
          <w:p>
            <w:pPr>
              <w:pStyle w:val="TableParagraph"/>
              <w:spacing w:line="319" w:lineRule="auto" w:before="77"/>
              <w:ind w:left="22" w:right="162"/>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2018-020</w:t>
            </w:r>
            <w:r>
              <w:rPr>
                <w:rFonts w:ascii="宋体" w:hAnsi="宋体" w:cs="宋体" w:eastAsia="宋体" w:hint="default"/>
                <w:sz w:val="18"/>
                <w:szCs w:val="18"/>
              </w:rPr>
              <w:t>）</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8"/>
              <w:jc w:val="both"/>
              <w:rPr>
                <w:rFonts w:ascii="宋体" w:hAnsi="宋体" w:cs="宋体" w:eastAsia="宋体" w:hint="default"/>
                <w:sz w:val="18"/>
                <w:szCs w:val="18"/>
              </w:rPr>
            </w:pPr>
            <w:r>
              <w:rPr>
                <w:rFonts w:ascii="宋体" w:hAnsi="宋体" w:cs="宋体" w:eastAsia="宋体" w:hint="default"/>
                <w:sz w:val="18"/>
                <w:szCs w:val="18"/>
              </w:rPr>
              <w:t>中信银行股 份有限公司 武汉分行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3.90%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18.70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sz w:val="18"/>
              </w:rPr>
              <w:t>18.70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2018-021</w:t>
            </w:r>
            <w:r>
              <w:rPr>
                <w:rFonts w:ascii="宋体" w:hAnsi="宋体" w:cs="宋体" w:eastAsia="宋体" w:hint="default"/>
                <w:sz w:val="18"/>
                <w:szCs w:val="18"/>
              </w:rPr>
              <w:t>）</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8"/>
              <w:jc w:val="both"/>
              <w:rPr>
                <w:rFonts w:ascii="宋体" w:hAnsi="宋体" w:cs="宋体" w:eastAsia="宋体" w:hint="default"/>
                <w:sz w:val="18"/>
                <w:szCs w:val="18"/>
              </w:rPr>
            </w:pPr>
            <w:r>
              <w:rPr>
                <w:rFonts w:ascii="宋体" w:hAnsi="宋体" w:cs="宋体" w:eastAsia="宋体" w:hint="default"/>
                <w:sz w:val="18"/>
                <w:szCs w:val="18"/>
              </w:rPr>
              <w:t>中国农业银 行股份有限 公司武汉华 工支行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6,000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57.95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sz w:val="18"/>
              </w:rPr>
              <w:t>58.72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2018-042</w:t>
            </w:r>
            <w:r>
              <w:rPr>
                <w:rFonts w:ascii="宋体" w:hAnsi="宋体" w:cs="宋体" w:eastAsia="宋体" w:hint="default"/>
                <w:sz w:val="18"/>
                <w:szCs w:val="18"/>
              </w:rPr>
              <w:t>）</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8"/>
              <w:jc w:val="both"/>
              <w:rPr>
                <w:rFonts w:ascii="宋体" w:hAnsi="宋体" w:cs="宋体" w:eastAsia="宋体" w:hint="default"/>
                <w:sz w:val="18"/>
                <w:szCs w:val="18"/>
              </w:rPr>
            </w:pPr>
            <w:r>
              <w:rPr>
                <w:rFonts w:ascii="宋体" w:hAnsi="宋体" w:cs="宋体" w:eastAsia="宋体" w:hint="default"/>
                <w:sz w:val="18"/>
                <w:szCs w:val="18"/>
              </w:rPr>
              <w:t>中信银行股 份有限公司 武汉分行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sz w:val="18"/>
              </w:rPr>
              <w:t>15,000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49.60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sz w:val="18"/>
              </w:rPr>
              <w:t>49.60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2018-042</w:t>
            </w:r>
            <w:r>
              <w:rPr>
                <w:rFonts w:ascii="宋体" w:hAnsi="宋体" w:cs="宋体" w:eastAsia="宋体" w:hint="default"/>
                <w:sz w:val="18"/>
                <w:szCs w:val="18"/>
              </w:rPr>
              <w:t>）</w:t>
            </w:r>
          </w:p>
        </w:tc>
      </w:tr>
      <w:tr>
        <w:trPr>
          <w:trHeight w:val="1962"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8"/>
              <w:jc w:val="both"/>
              <w:rPr>
                <w:rFonts w:ascii="宋体" w:hAnsi="宋体" w:cs="宋体" w:eastAsia="宋体" w:hint="default"/>
                <w:sz w:val="18"/>
                <w:szCs w:val="18"/>
              </w:rPr>
            </w:pPr>
            <w:r>
              <w:rPr>
                <w:rFonts w:ascii="宋体" w:hAnsi="宋体" w:cs="宋体" w:eastAsia="宋体" w:hint="default"/>
                <w:sz w:val="18"/>
                <w:szCs w:val="18"/>
              </w:rPr>
              <w:t>中信银行股 份有限公司 武汉分行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6,000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3"/>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3"/>
              <w:jc w:val="left"/>
              <w:rPr>
                <w:rFonts w:ascii="宋体" w:hAnsi="宋体" w:cs="宋体" w:eastAsia="宋体" w:hint="default"/>
                <w:sz w:val="18"/>
                <w:szCs w:val="18"/>
              </w:rPr>
            </w:pPr>
            <w:r>
              <w:rPr>
                <w:rFonts w:ascii="宋体" w:hAnsi="宋体" w:cs="宋体" w:eastAsia="宋体" w:hint="default"/>
                <w:sz w:val="18"/>
                <w:szCs w:val="18"/>
              </w:rPr>
              <w:t>浮动收益挂 钩美元</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sz w:val="18"/>
              </w:rPr>
              <w:t>17.84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sz w:val="18"/>
              </w:rPr>
              <w:t>17.84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《关于使用自 有资金购买保 本型理财产品 的进展公告》</w:t>
            </w:r>
          </w:p>
          <w:p>
            <w:pPr>
              <w:pStyle w:val="TableParagraph"/>
              <w:spacing w:line="319" w:lineRule="auto" w:before="19"/>
              <w:ind w:left="22" w:right="162"/>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2018-050</w:t>
            </w:r>
            <w:r>
              <w:rPr>
                <w:rFonts w:ascii="宋体" w:hAnsi="宋体" w:cs="宋体" w:eastAsia="宋体" w:hint="default"/>
                <w:sz w:val="18"/>
                <w:szCs w:val="18"/>
              </w:rPr>
              <w:t>）</w:t>
            </w:r>
          </w:p>
        </w:tc>
      </w:tr>
      <w:tr>
        <w:trPr>
          <w:trHeight w:val="402" w:hRule="exact"/>
        </w:trPr>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sz w:val="18"/>
              </w:rPr>
              <w:t>53,000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sz w:val="18"/>
              </w:rPr>
              <w:t>285.72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288.92</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7" w:top="1060" w:bottom="13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right="0"/>
        <w:jc w:val="left"/>
      </w:pPr>
      <w:r>
        <w:rPr/>
        <w:t>委托理财出现预期无法收回本金或存在其他可能导致减值的情形</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4"/>
      <w:bookmarkEnd w:id="94"/>
      <w:r>
        <w:rPr>
          <w:b w:val="0"/>
          <w:bCs w:val="0"/>
        </w:rPr>
      </w:r>
      <w:r>
        <w:rPr/>
        <w:t>（</w:t>
      </w:r>
      <w:r>
        <w:rPr>
          <w:rFonts w:ascii="宋体" w:hAnsi="宋体" w:cs="宋体" w:eastAsia="宋体" w:hint="default"/>
        </w:rPr>
        <w:t>2</w:t>
      </w:r>
      <w:r>
        <w:rPr/>
        <w:t>）委托贷款情况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8052" w:hanging="360"/>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5"/>
      <w:bookmarkEnd w:id="95"/>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14" w:right="7692" w:hanging="360"/>
        <w:jc w:val="left"/>
      </w:pPr>
      <w:r>
        <w:rPr/>
        <w:t>□ 适用 √ 不适用 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7"/>
      <w:bookmarkEnd w:id="97"/>
      <w:r>
        <w:rPr>
          <w:b w:val="0"/>
          <w:bCs w:val="0"/>
        </w:rPr>
      </w:r>
      <w:r>
        <w:rPr>
          <w:rFonts w:ascii="宋体" w:hAnsi="宋体" w:cs="宋体" w:eastAsia="宋体" w:hint="default"/>
        </w:rPr>
        <w:t>1</w:t>
      </w:r>
      <w:r>
        <w:rPr/>
        <w:t>、履行社会责任情况</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6"/>
        </w:rPr>
        <w:t>公司在推动各项业务稳步发展的同时，积极践行社会责任，坚持“为股东创造财富，为客户创造价值，对员工真心关爱，</w:t>
      </w:r>
      <w:r>
        <w:rPr/>
        <w:t> </w:t>
      </w:r>
      <w:r>
        <w:rPr>
          <w:spacing w:val="-2"/>
        </w:rPr>
        <w:t>对社会真诚回馈”的理念，在经营过程中对利益相关方切实负责，努力推进公司、社会与环境的和谐发展。公司积极落实现</w:t>
      </w:r>
      <w:r>
        <w:rPr>
          <w:spacing w:val="-66"/>
        </w:rPr>
        <w:t> </w:t>
      </w:r>
      <w:r>
        <w:rPr>
          <w:spacing w:val="-66"/>
        </w:rPr>
      </w:r>
      <w:r>
        <w:rPr>
          <w:spacing w:val="-2"/>
        </w:rPr>
        <w:t>金分红政策，回馈股东，尊重和保护投资者权益，认真履行信息披露义务，积极开展投资者关系管理工作；建立健全供应链</w:t>
      </w:r>
      <w:r>
        <w:rPr>
          <w:spacing w:val="-66"/>
        </w:rPr>
        <w:t> </w:t>
      </w:r>
      <w:r>
        <w:rPr>
          <w:spacing w:val="-66"/>
        </w:rPr>
      </w:r>
      <w:r>
        <w:rPr>
          <w:spacing w:val="-2"/>
        </w:rPr>
        <w:t>管理体系，在控制产品成本的同时实现与供应商合作关系的稳定和健康发展；秉承“以客户为中心”的理念，以客户需求为</w:t>
      </w:r>
      <w:r>
        <w:rPr>
          <w:spacing w:val="-66"/>
        </w:rPr>
        <w:t> </w:t>
      </w:r>
      <w:r>
        <w:rPr>
          <w:spacing w:val="-66"/>
        </w:rPr>
      </w:r>
      <w:r>
        <w:rPr>
          <w:spacing w:val="-2"/>
        </w:rPr>
        <w:t>导向开展技术创新和产品开发，围绕行业前沿技术进行探索和研究，努力提供卓越产品和服务，持续提升客户满意度；深入</w:t>
      </w:r>
      <w:r>
        <w:rPr>
          <w:spacing w:val="-66"/>
        </w:rPr>
        <w:t> </w:t>
      </w:r>
      <w:r>
        <w:rPr>
          <w:spacing w:val="-66"/>
        </w:rPr>
      </w:r>
      <w:r>
        <w:rPr>
          <w:spacing w:val="-2"/>
        </w:rPr>
        <w:t>贯彻“以人为本”的理念，积极推进和谐稳定的劳动关系建设，切实保障员工合法权益，同时，大力开展员工职业培训，举</w:t>
      </w:r>
      <w:r>
        <w:rPr>
          <w:spacing w:val="-67"/>
        </w:rPr>
        <w:t> </w:t>
      </w:r>
      <w:r>
        <w:rPr>
          <w:spacing w:val="-67"/>
        </w:rPr>
      </w:r>
      <w:r>
        <w:rPr>
          <w:spacing w:val="-2"/>
        </w:rPr>
        <w:t>办多项文体活动，通过多种方式持续改善员工工作和生活环境；响应国家精准扶贫号召，积极投身国家精准扶贫行动中；公</w:t>
      </w:r>
      <w:r>
        <w:rPr>
          <w:spacing w:val="-66"/>
        </w:rPr>
        <w:t> </w:t>
      </w:r>
      <w:r>
        <w:rPr>
          <w:spacing w:val="-66"/>
        </w:rPr>
      </w:r>
      <w:r>
        <w:rPr/>
        <w:t>司工会组织员工和公司设立的湖北省春辉助学基金会一起开展爱心助学活动，支持社会公益事业。</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8"/>
      <w:bookmarkEnd w:id="98"/>
      <w:r>
        <w:rPr>
          <w:b w:val="0"/>
          <w:bCs w:val="0"/>
        </w:rPr>
      </w:r>
      <w:r>
        <w:rPr>
          <w:rFonts w:ascii="宋体" w:hAnsi="宋体" w:cs="宋体" w:eastAsia="宋体" w:hint="default"/>
        </w:rPr>
        <w:t>2</w:t>
      </w:r>
      <w:r>
        <w:rPr/>
        <w:t>、履行精准扶贫社会责任情况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精准扶贫规划" w:id="99"/>
      <w:bookmarkEnd w:id="99"/>
      <w:r>
        <w:rPr>
          <w:b w:val="0"/>
          <w:bCs w:val="0"/>
        </w:rPr>
      </w:r>
      <w:r>
        <w:rPr/>
        <w:t>（</w:t>
      </w:r>
      <w:r>
        <w:rPr>
          <w:rFonts w:ascii="宋体" w:hAnsi="宋体" w:cs="宋体" w:eastAsia="宋体" w:hint="default"/>
        </w:rPr>
        <w:t>1</w:t>
      </w:r>
      <w:r>
        <w:rPr/>
        <w:t>）精准扶贫规划</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公司积极响应国家精准扶贫、精准脱贫的号召，聚焦云南、湖北等深度贫困地区，持续深入开展扶贫工作。</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年度精准扶贫概要" w:id="100"/>
      <w:bookmarkEnd w:id="100"/>
      <w:r>
        <w:rPr>
          <w:b w:val="0"/>
          <w:bCs w:val="0"/>
        </w:rPr>
      </w:r>
      <w:r>
        <w:rPr/>
        <w:t>（</w:t>
      </w:r>
      <w:r>
        <w:rPr>
          <w:rFonts w:ascii="宋体" w:hAnsi="宋体" w:cs="宋体" w:eastAsia="宋体" w:hint="default"/>
        </w:rPr>
        <w:t>2</w:t>
      </w:r>
      <w:r>
        <w:rPr/>
        <w:t>）年度精准扶贫概要</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报告期内，公司如期完成年度扶贫计划。公司是教育部直属高校华中科技大学控制的企业，在国务院扶贫办、中共中央</w:t>
      </w:r>
      <w:r>
        <w:rPr/>
        <w:t> </w:t>
      </w:r>
      <w:r>
        <w:rPr>
          <w:spacing w:val="-2"/>
        </w:rPr>
        <w:t>组织部、教育部对华中科技大学扶贫工作的部署下，积极参与农林产业扶贫和教育扶贫。公司向云南省临沧市临翔区蚂蚁堆</w:t>
      </w:r>
      <w:r>
        <w:rPr>
          <w:spacing w:val="-66"/>
        </w:rPr>
        <w:t> </w:t>
      </w:r>
      <w:r>
        <w:rPr>
          <w:spacing w:val="-66"/>
        </w:rPr>
      </w:r>
      <w:r>
        <w:rPr/>
        <w:t>乡蚂蚁堆村捐赠扶贫款项</w:t>
      </w:r>
      <w:r>
        <w:rPr>
          <w:rFonts w:ascii="宋体" w:hAnsi="宋体" w:cs="宋体" w:eastAsia="宋体" w:hint="default"/>
        </w:rPr>
        <w:t>100</w:t>
      </w:r>
      <w:r>
        <w:rPr/>
        <w:t>万元用于支持该村茶厂建设，公司及员工采购建成投产后的茶厂茶叶及该地区其他农副产品，</w:t>
      </w:r>
      <w:r>
        <w:rPr>
          <w:spacing w:val="-83"/>
        </w:rPr>
        <w:t> </w:t>
      </w:r>
      <w:r>
        <w:rPr>
          <w:spacing w:val="-83"/>
        </w:rPr>
      </w:r>
      <w:r>
        <w:rPr>
          <w:spacing w:val="-2"/>
        </w:rPr>
        <w:t>以带动乡村集体经济发展，助推农户脱贫增收；公司向云南省临沧市临翔区捐赠公司智慧教育产品，探索建立临翔区智慧教</w:t>
      </w:r>
      <w:r>
        <w:rPr>
          <w:spacing w:val="-66"/>
        </w:rPr>
        <w:t> </w:t>
      </w:r>
      <w:r>
        <w:rPr>
          <w:spacing w:val="-66"/>
        </w:rPr>
      </w:r>
      <w:r>
        <w:rPr>
          <w:spacing w:val="-5"/>
        </w:rPr>
        <w:t>育的长效帮扶机制，帮助提升当地教育信息化水平，解决教育资源不均衡问题。公司向中国初级卫生保健基金会捐赠</w:t>
      </w:r>
      <w:r>
        <w:rPr>
          <w:rFonts w:ascii="宋体" w:hAnsi="宋体" w:cs="宋体" w:eastAsia="宋体" w:hint="default"/>
          <w:spacing w:val="-5"/>
        </w:rPr>
        <w:t>25</w:t>
      </w:r>
      <w:r>
        <w:rPr>
          <w:spacing w:val="-5"/>
        </w:rPr>
        <w:t>万元，</w:t>
      </w:r>
      <w:r>
        <w:rPr>
          <w:spacing w:val="-73"/>
        </w:rPr>
        <w:t> </w:t>
      </w:r>
      <w:r>
        <w:rPr>
          <w:spacing w:val="-2"/>
        </w:rPr>
        <w:t>用于扶持基层教育事业发展。此外，公司及湖北省春辉助学基金会在国家级贫困县湖北省红安县、蕲春县开展面向低保、精</w:t>
      </w:r>
      <w:r>
        <w:rPr>
          <w:spacing w:val="-66"/>
        </w:rPr>
        <w:t> </w:t>
      </w:r>
      <w:r>
        <w:rPr>
          <w:spacing w:val="-66"/>
        </w:rPr>
      </w:r>
      <w:r>
        <w:rPr>
          <w:spacing w:val="-2"/>
        </w:rPr>
        <w:t>准扶贫户家庭中小学生的“拾贝计划”爱心助学活动，持续以现金、实物资助和学习辅导等方式帮助寒门学子完成学业；向</w:t>
      </w:r>
      <w:r>
        <w:rPr>
          <w:spacing w:val="-66"/>
        </w:rPr>
        <w:t> </w:t>
      </w:r>
      <w:r>
        <w:rPr>
          <w:spacing w:val="-66"/>
        </w:rPr>
      </w:r>
      <w:r>
        <w:rPr/>
        <w:t>蕲春两所学校捐赠教学软件和学习用品，帮助当地教育信息化建设和发展。</w:t>
      </w:r>
    </w:p>
    <w:p>
      <w:pPr>
        <w:spacing w:after="0" w:line="319" w:lineRule="auto"/>
        <w:jc w:val="both"/>
        <w:sectPr>
          <w:headerReference w:type="default" r:id="rId27"/>
          <w:footerReference w:type="default" r:id="rId28"/>
          <w:pgSz w:w="11910" w:h="16840"/>
          <w:pgMar w:header="877" w:footer="1187" w:top="1100" w:bottom="1380" w:left="980" w:right="0"/>
          <w:pgNumType w:start="37"/>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精准扶贫成效" w:id="101"/>
      <w:bookmarkEnd w:id="101"/>
      <w:r>
        <w:rPr>
          <w:b w:val="0"/>
          <w:bCs w:val="0"/>
        </w:rPr>
      </w:r>
      <w:r>
        <w:rPr/>
        <w:t>（</w:t>
      </w:r>
      <w:r>
        <w:rPr>
          <w:rFonts w:ascii="宋体" w:hAnsi="宋体" w:cs="宋体" w:eastAsia="宋体" w:hint="default"/>
        </w:rPr>
        <w:t>3</w:t>
      </w:r>
      <w:r>
        <w:rPr/>
        <w:t>）精准扶贫成效</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970"/>
        <w:gridCol w:w="1842"/>
        <w:gridCol w:w="3756"/>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842"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152.12</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物资折款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630.4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帮助建档立卡贫困人口脱贫数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1,038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产业发展脱贫</w:t>
            </w:r>
          </w:p>
        </w:tc>
        <w:tc>
          <w:tcPr>
            <w:tcW w:w="1842"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产业发展脱贫项目类型</w:t>
            </w:r>
          </w:p>
        </w:tc>
        <w:tc>
          <w:tcPr>
            <w:tcW w:w="1842"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农林产业扶贫</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产业发展脱贫项目个数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产业发展脱贫项目投入金额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120.12</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帮助建档立卡贫困人口脱贫数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998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教育扶贫</w:t>
            </w:r>
          </w:p>
        </w:tc>
        <w:tc>
          <w:tcPr>
            <w:tcW w:w="1842"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资助贫困学生投入金额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7</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资助贫困学生人数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改善贫困地区教育资源投入金额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655.4</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2"/>
      <w:bookmarkEnd w:id="102"/>
      <w:r>
        <w:rPr>
          <w:b w:val="0"/>
          <w:bCs w:val="0"/>
        </w:rPr>
      </w:r>
      <w:r>
        <w:rPr/>
        <w:t>（</w:t>
      </w:r>
      <w:r>
        <w:rPr>
          <w:rFonts w:ascii="宋体" w:hAnsi="宋体" w:cs="宋体" w:eastAsia="宋体" w:hint="default"/>
        </w:rPr>
        <w:t>4</w:t>
      </w:r>
      <w:r>
        <w:rPr/>
        <w:t>）后续精准扶贫计划</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rFonts w:ascii="宋体" w:hAnsi="宋体" w:cs="宋体" w:eastAsia="宋体" w:hint="default"/>
        </w:rPr>
        <w:t>2019</w:t>
      </w:r>
      <w:r>
        <w:rPr/>
        <w:t>年公司将继续支持云南省临沧市临翔区农林产业发展和教育信息化建设</w:t>
      </w:r>
      <w:r>
        <w:rPr>
          <w:spacing w:val="-82"/>
        </w:rPr>
        <w:t>；</w:t>
      </w:r>
      <w:r>
        <w:rPr/>
        <w:t>计划向湖北省蕲春县文昌教育基金会捐赠</w:t>
      </w:r>
    </w:p>
    <w:p>
      <w:pPr>
        <w:pStyle w:val="BodyText"/>
        <w:spacing w:line="319" w:lineRule="auto" w:before="76"/>
        <w:ind w:right="0"/>
        <w:jc w:val="left"/>
      </w:pPr>
      <w:r>
        <w:rPr>
          <w:rFonts w:ascii="宋体" w:hAnsi="宋体" w:cs="宋体" w:eastAsia="宋体" w:hint="default"/>
          <w:spacing w:val="-2"/>
        </w:rPr>
        <w:t>20</w:t>
      </w:r>
      <w:r>
        <w:rPr>
          <w:spacing w:val="-2"/>
        </w:rPr>
        <w:t>万元，以促进当地教育事业发展。此外，公司及湖北省春辉助学基金会将继续在湖北省武汉市、咸宁市、红安县开展助学</w:t>
      </w:r>
      <w:r>
        <w:rPr>
          <w:spacing w:val="-63"/>
        </w:rPr>
        <w:t> </w:t>
      </w:r>
      <w:r>
        <w:rPr>
          <w:spacing w:val="-63"/>
        </w:rPr>
      </w:r>
      <w:r>
        <w:rPr/>
        <w:t>活动，计划资助</w:t>
      </w:r>
      <w:r>
        <w:rPr>
          <w:rFonts w:ascii="宋体" w:hAnsi="宋体" w:cs="宋体" w:eastAsia="宋体" w:hint="default"/>
        </w:rPr>
        <w:t>100</w:t>
      </w:r>
      <w:r>
        <w:rPr/>
        <w:t>位家境贫困的中小学生。</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环境保护相关的情况" w:id="103"/>
      <w:bookmarkEnd w:id="103"/>
      <w:r>
        <w:rPr>
          <w:b w:val="0"/>
          <w:bCs w:val="0"/>
        </w:rPr>
      </w:r>
      <w:r>
        <w:rPr>
          <w:rFonts w:ascii="宋体" w:hAnsi="宋体" w:cs="宋体" w:eastAsia="宋体" w:hint="default"/>
        </w:rPr>
        <w:t>3</w:t>
      </w:r>
      <w:r>
        <w:rPr/>
        <w:t>、环境保护相关的情况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上市公司及其子公司是否属于环境保护部门公布的重点排污单位</w:t>
      </w:r>
    </w:p>
    <w:p>
      <w:pPr>
        <w:pStyle w:val="BodyText"/>
        <w:spacing w:line="240" w:lineRule="auto" w:before="116"/>
        <w:ind w:right="0"/>
        <w:jc w:val="left"/>
      </w:pPr>
      <w:r>
        <w:rPr/>
        <w:t>□ 是 √ 否</w:t>
      </w:r>
    </w:p>
    <w:p>
      <w:pPr>
        <w:pStyle w:val="BodyText"/>
        <w:spacing w:line="319" w:lineRule="auto" w:before="115"/>
        <w:ind w:right="1130" w:firstLine="360"/>
        <w:jc w:val="both"/>
      </w:pPr>
      <w:r>
        <w:rPr>
          <w:spacing w:val="-2"/>
        </w:rPr>
        <w:t>公司严格遵守国家相关法规，按照公司《环境管理体系运行控制程序》、《环境监测和测量程序》、《环境因素识别和</w:t>
      </w:r>
      <w:r>
        <w:rPr/>
        <w:t> 评价程序》、《危险源辨识评价管理程序》、《</w:t>
      </w:r>
      <w:r>
        <w:rPr>
          <w:rFonts w:ascii="宋体" w:hAnsi="宋体" w:cs="宋体" w:eastAsia="宋体" w:hint="default"/>
        </w:rPr>
        <w:t>EHS</w:t>
      </w:r>
      <w:r>
        <w:rPr/>
        <w:t>安全事故类应急预案》、《吸烟区管理规定》等制度开展环保工作；已</w:t>
      </w:r>
      <w:r>
        <w:rPr>
          <w:spacing w:val="-82"/>
        </w:rPr>
        <w:t> </w:t>
      </w:r>
      <w:r>
        <w:rPr>
          <w:spacing w:val="-82"/>
        </w:rPr>
      </w:r>
      <w:r>
        <w:rPr>
          <w:spacing w:val="-2"/>
        </w:rPr>
        <w:t>通过</w:t>
      </w:r>
      <w:r>
        <w:rPr>
          <w:rFonts w:ascii="宋体" w:hAnsi="宋体" w:cs="宋体" w:eastAsia="宋体" w:hint="default"/>
          <w:spacing w:val="-2"/>
        </w:rPr>
        <w:t>ISO14001</w:t>
      </w:r>
      <w:r>
        <w:rPr>
          <w:spacing w:val="-2"/>
        </w:rPr>
        <w:t>环境管理体系认证，依法取得水务、环保部门颁发的《城市排水许可证》、《武汉市污染物排放许可证》，并</w:t>
      </w:r>
      <w:r>
        <w:rPr>
          <w:spacing w:val="-60"/>
        </w:rPr>
        <w:t> </w:t>
      </w:r>
      <w:r>
        <w:rPr>
          <w:spacing w:val="-60"/>
        </w:rPr>
      </w:r>
      <w:r>
        <w:rPr>
          <w:spacing w:val="-2"/>
        </w:rPr>
        <w:t>严格按照相关标准进行排放；制定环境检测计划并按时开展自查工作，发现隐患，及时治理；委托第三方检测机构对污水和</w:t>
      </w:r>
      <w:r>
        <w:rPr>
          <w:spacing w:val="-66"/>
        </w:rPr>
        <w:t> </w:t>
      </w:r>
      <w:r>
        <w:rPr>
          <w:spacing w:val="-66"/>
        </w:rPr>
      </w:r>
      <w:r>
        <w:rPr>
          <w:spacing w:val="-2"/>
        </w:rPr>
        <w:t>废气排放、设备噪音等进行检测并取得监测报告，确保生产活动的第三方环保监测达到合格水平；大力推行节能减排，在生</w:t>
      </w:r>
      <w:r>
        <w:rPr>
          <w:spacing w:val="-66"/>
        </w:rPr>
        <w:t> </w:t>
      </w:r>
      <w:r>
        <w:rPr>
          <w:spacing w:val="-66"/>
        </w:rPr>
      </w:r>
      <w:r>
        <w:rPr/>
        <w:t>产区、办公区相继更换</w:t>
      </w:r>
      <w:r>
        <w:rPr>
          <w:rFonts w:ascii="宋体" w:hAnsi="宋体" w:cs="宋体" w:eastAsia="宋体" w:hint="default"/>
        </w:rPr>
        <w:t>LED</w:t>
      </w:r>
      <w:r>
        <w:rPr/>
        <w:t>节能灯管照明，倡导全体员工节约用水、用电，提高纸张的二次利用率并积极推行无纸化办公。</w:t>
      </w:r>
      <w:r>
        <w:rPr>
          <w:spacing w:val="-83"/>
        </w:rPr>
        <w:t> </w:t>
      </w:r>
      <w:r>
        <w:rPr>
          <w:spacing w:val="-83"/>
        </w:rPr>
      </w:r>
      <w:r>
        <w:rPr/>
        <w:t>报告期内，公司获得武汉市发展和改革委员会、武汉市环境保护局授予的“武汉市清洁生产企业”荣誉称号。</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13"/>
        <w:rPr>
          <w:rFonts w:ascii="宋体" w:hAnsi="宋体" w:cs="宋体" w:eastAsia="宋体" w:hint="default"/>
          <w:b/>
          <w:bCs/>
          <w:sz w:val="21"/>
          <w:szCs w:val="21"/>
        </w:rPr>
      </w:pPr>
    </w:p>
    <w:p>
      <w:pPr>
        <w:pStyle w:val="BodyText"/>
        <w:spacing w:line="357" w:lineRule="auto"/>
        <w:ind w:left="514" w:right="1123" w:hanging="360"/>
        <w:jc w:val="left"/>
      </w:pPr>
      <w:r>
        <w:rPr/>
        <w:t>√ 适用 □ 不适用 </w:t>
      </w:r>
      <w:r>
        <w:rPr>
          <w:spacing w:val="-2"/>
        </w:rPr>
        <w:t>公司分别于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9</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12</w:t>
      </w:r>
      <w:r>
        <w:rPr>
          <w:spacing w:val="-2"/>
        </w:rPr>
        <w:t>月</w:t>
      </w:r>
      <w:r>
        <w:rPr>
          <w:rFonts w:ascii="宋体" w:hAnsi="宋体" w:cs="宋体" w:eastAsia="宋体" w:hint="default"/>
          <w:spacing w:val="-2"/>
        </w:rPr>
        <w:t>7</w:t>
      </w:r>
      <w:r>
        <w:rPr>
          <w:spacing w:val="-2"/>
        </w:rPr>
        <w:t>日、</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日在中国证监会指定信息披露网站披露了《关于获得</w:t>
      </w:r>
    </w:p>
    <w:p>
      <w:pPr>
        <w:pStyle w:val="BodyText"/>
        <w:spacing w:line="225" w:lineRule="exact"/>
        <w:ind w:right="0"/>
        <w:jc w:val="left"/>
      </w:pPr>
      <w:r>
        <w:rPr/>
        <w:t>政府补助的公告》。</w:t>
      </w:r>
    </w:p>
    <w:p>
      <w:pPr>
        <w:spacing w:after="0" w:line="225" w:lineRule="exact"/>
        <w:jc w:val="left"/>
        <w:sectPr>
          <w:pgSz w:w="11910" w:h="16840"/>
          <w:pgMar w:header="877"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122" w:hanging="360"/>
        <w:jc w:val="left"/>
      </w:pPr>
      <w:r>
        <w:rPr/>
        <w:t>√ 适用 □ 不适用 公司子公司聚联网络于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26</w:t>
      </w:r>
      <w:r>
        <w:rPr/>
        <w:t>日完成注册资本由</w:t>
      </w:r>
      <w:r>
        <w:rPr>
          <w:rFonts w:ascii="宋体" w:hAnsi="宋体" w:cs="宋体" w:eastAsia="宋体" w:hint="default"/>
        </w:rPr>
        <w:t>1,000</w:t>
      </w:r>
      <w:r>
        <w:rPr/>
        <w:t>万元增至</w:t>
      </w:r>
      <w:r>
        <w:rPr>
          <w:rFonts w:ascii="宋体" w:hAnsi="宋体" w:cs="宋体" w:eastAsia="宋体" w:hint="default"/>
        </w:rPr>
        <w:t>1,373</w:t>
      </w:r>
      <w:r>
        <w:rPr/>
        <w:t>万元的工商变更登记手续，公司持有聚联网</w:t>
      </w:r>
    </w:p>
    <w:p>
      <w:pPr>
        <w:pStyle w:val="BodyText"/>
        <w:spacing w:line="357" w:lineRule="auto"/>
        <w:ind w:left="514" w:right="1122" w:hanging="360"/>
        <w:jc w:val="left"/>
      </w:pPr>
      <w:r>
        <w:rPr/>
        <w:t>络的股权比例由</w:t>
      </w:r>
      <w:r>
        <w:rPr>
          <w:rFonts w:ascii="宋体" w:hAnsi="宋体" w:cs="宋体" w:eastAsia="宋体" w:hint="default"/>
        </w:rPr>
        <w:t>70%</w:t>
      </w:r>
      <w:r>
        <w:rPr/>
        <w:t>降至</w:t>
      </w:r>
      <w:r>
        <w:rPr>
          <w:rFonts w:ascii="宋体" w:hAnsi="宋体" w:cs="宋体" w:eastAsia="宋体" w:hint="default"/>
        </w:rPr>
        <w:t>51%</w:t>
      </w:r>
      <w:r>
        <w:rPr/>
        <w:t>，聚联网络仍为公司的控股子公司。 公司子公司天喻教育于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25</w:t>
      </w:r>
      <w:r>
        <w:rPr/>
        <w:t>日完成注册资本由</w:t>
      </w:r>
      <w:r>
        <w:rPr>
          <w:rFonts w:ascii="宋体" w:hAnsi="宋体" w:cs="宋体" w:eastAsia="宋体" w:hint="default"/>
        </w:rPr>
        <w:t>5,000</w:t>
      </w:r>
      <w:r>
        <w:rPr/>
        <w:t>万元增至</w:t>
      </w:r>
      <w:r>
        <w:rPr>
          <w:rFonts w:ascii="宋体" w:hAnsi="宋体" w:cs="宋体" w:eastAsia="宋体" w:hint="default"/>
        </w:rPr>
        <w:t>5,192.3077</w:t>
      </w:r>
      <w:r>
        <w:rPr/>
        <w:t>万元的工商变更登记手续，天喻教育</w:t>
      </w:r>
    </w:p>
    <w:p>
      <w:pPr>
        <w:pStyle w:val="BodyText"/>
        <w:spacing w:line="357" w:lineRule="auto"/>
        <w:ind w:left="514" w:right="0" w:hanging="360"/>
        <w:jc w:val="left"/>
      </w:pPr>
      <w:r>
        <w:rPr/>
        <w:t>仍为公司的控股子公司（详见公司于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30</w:t>
      </w:r>
      <w:r>
        <w:rPr/>
        <w:t>日在中国证监会指定信息披露网站披露的相关公告）。 </w:t>
      </w:r>
      <w:r>
        <w:rPr>
          <w:spacing w:val="-2"/>
        </w:rPr>
        <w:t>公司子公司天喻教育与自然人沈惠强于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月共同投资</w:t>
      </w:r>
      <w:r>
        <w:rPr>
          <w:rFonts w:ascii="宋体" w:hAnsi="宋体" w:cs="宋体" w:eastAsia="宋体" w:hint="default"/>
          <w:spacing w:val="-2"/>
        </w:rPr>
        <w:t>100</w:t>
      </w:r>
      <w:r>
        <w:rPr>
          <w:spacing w:val="-2"/>
        </w:rPr>
        <w:t>万元设立上海天喻云，从事上海地区智慧教育产品的销售</w:t>
      </w:r>
    </w:p>
    <w:p>
      <w:pPr>
        <w:pStyle w:val="BodyText"/>
        <w:spacing w:line="224" w:lineRule="exact"/>
        <w:ind w:right="0"/>
        <w:jc w:val="left"/>
      </w:pPr>
      <w:r>
        <w:rPr/>
        <w:t>及运营服务。鉴于相关市场开拓进展未达预期，股东双方亦未实缴出资，为降低管理运营成本，股东双方决定解散上海天喻</w:t>
      </w:r>
    </w:p>
    <w:p>
      <w:pPr>
        <w:pStyle w:val="BodyText"/>
        <w:spacing w:line="240" w:lineRule="auto" w:before="77"/>
        <w:ind w:right="0"/>
        <w:jc w:val="left"/>
      </w:pPr>
      <w:r>
        <w:rPr/>
        <w:t>云，后续以产品代理方式继续在上海市场进行业务合作。上海天喻云于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8</w:t>
      </w:r>
      <w:r>
        <w:rPr/>
        <w:t>日完成注销登记。</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066" w:right="1032"/>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54" w:right="1032"/>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4" w:right="1032"/>
        <w:jc w:val="left"/>
        <w:rPr>
          <w:b w:val="0"/>
          <w:bCs w:val="0"/>
        </w:rPr>
      </w:pPr>
      <w:bookmarkStart w:name="1、股份变动情况" w:id="109"/>
      <w:bookmarkEnd w:id="109"/>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985"/>
        <w:gridCol w:w="1134"/>
        <w:gridCol w:w="709"/>
        <w:gridCol w:w="850"/>
        <w:gridCol w:w="568"/>
        <w:gridCol w:w="1134"/>
        <w:gridCol w:w="924"/>
        <w:gridCol w:w="822"/>
        <w:gridCol w:w="1088"/>
        <w:gridCol w:w="709"/>
      </w:tblGrid>
      <w:tr>
        <w:trPr>
          <w:trHeight w:val="40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98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4,699,080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-631,868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-631,868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4,067,212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4,699,080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-631,868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-631,868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4,067,212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4,699,080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-631,868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-631,868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4,067,212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425,356,920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98.90%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631,868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631,868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425,988,788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99.05%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425,356,920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98.90%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631,868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631,868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425,988,788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99.05%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left="254" w:right="1032"/>
        <w:jc w:val="left"/>
      </w:pPr>
      <w:r>
        <w:rPr/>
        <w:t>股份变动的原因</w:t>
      </w:r>
    </w:p>
    <w:p>
      <w:pPr>
        <w:pStyle w:val="BodyText"/>
        <w:spacing w:line="357" w:lineRule="auto" w:before="117"/>
        <w:ind w:left="614" w:right="1032" w:hanging="360"/>
        <w:jc w:val="left"/>
      </w:pPr>
      <w:r>
        <w:rPr/>
        <w:t>√ 适用 □ 不适用 </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16</w:t>
      </w:r>
      <w:r>
        <w:rPr/>
        <w:t>日公司原高级管理人员江绥持有的</w:t>
      </w:r>
      <w:r>
        <w:rPr>
          <w:rFonts w:ascii="宋体" w:hAnsi="宋体" w:cs="宋体" w:eastAsia="宋体" w:hint="default"/>
        </w:rPr>
        <w:t>634,298</w:t>
      </w:r>
      <w:r>
        <w:rPr/>
        <w:t>股公司有限售条件股份因离任限售期满转为无限售条件流通股。</w:t>
      </w:r>
    </w:p>
    <w:p>
      <w:pPr>
        <w:pStyle w:val="BodyText"/>
        <w:spacing w:line="319" w:lineRule="auto" w:before="26"/>
        <w:ind w:left="254" w:right="1122" w:firstLine="360"/>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w:t>
      </w:r>
      <w:r>
        <w:rPr/>
        <w:t>日公司监事王彬持有的</w:t>
      </w:r>
      <w:r>
        <w:rPr>
          <w:rFonts w:ascii="宋体" w:hAnsi="宋体" w:cs="宋体" w:eastAsia="宋体" w:hint="default"/>
        </w:rPr>
        <w:t>2,430</w:t>
      </w:r>
      <w:r>
        <w:rPr/>
        <w:t>股公司无限售条件流通股转为有限售条件股份（根据中国证券登记结算有限责 任公司深圳分公司更新数据调整）。</w:t>
      </w:r>
    </w:p>
    <w:p>
      <w:pPr>
        <w:pStyle w:val="BodyText"/>
        <w:spacing w:line="240" w:lineRule="auto" w:before="137"/>
        <w:ind w:left="254" w:right="1032"/>
        <w:jc w:val="left"/>
      </w:pPr>
      <w:r>
        <w:rPr/>
        <w:t>股份变动的批准情况</w:t>
      </w:r>
    </w:p>
    <w:p>
      <w:pPr>
        <w:pStyle w:val="BodyText"/>
        <w:spacing w:line="439" w:lineRule="auto" w:before="117"/>
        <w:ind w:left="254" w:right="9132"/>
        <w:jc w:val="left"/>
      </w:pPr>
      <w:r>
        <w:rPr/>
        <w:t>□ 适用 √ 不适用 股份变动的过户情况</w:t>
      </w:r>
    </w:p>
    <w:p>
      <w:pPr>
        <w:pStyle w:val="BodyText"/>
        <w:spacing w:line="203" w:lineRule="exact"/>
        <w:ind w:left="254" w:right="1032"/>
        <w:jc w:val="left"/>
      </w:pPr>
      <w:r>
        <w:rPr/>
        <w:t>□ 适用 √ 不适用</w:t>
      </w:r>
    </w:p>
    <w:p>
      <w:pPr>
        <w:spacing w:line="240" w:lineRule="auto" w:before="12"/>
        <w:rPr>
          <w:rFonts w:ascii="宋体" w:hAnsi="宋体" w:cs="宋体" w:eastAsia="宋体" w:hint="default"/>
          <w:sz w:val="14"/>
          <w:szCs w:val="14"/>
        </w:rPr>
      </w:pPr>
    </w:p>
    <w:p>
      <w:pPr>
        <w:pStyle w:val="BodyText"/>
        <w:spacing w:line="240" w:lineRule="auto"/>
        <w:ind w:left="254" w:right="1032"/>
        <w:jc w:val="left"/>
      </w:pPr>
      <w:r>
        <w:rPr/>
        <w:t>股份回购的实施进展情况</w:t>
      </w:r>
    </w:p>
    <w:p>
      <w:pPr>
        <w:pStyle w:val="BodyText"/>
        <w:spacing w:line="240" w:lineRule="auto" w:before="117"/>
        <w:ind w:left="254" w:right="1032"/>
        <w:jc w:val="left"/>
      </w:pPr>
      <w:r>
        <w:rPr/>
        <w:t>□ 适用 √ 不适用</w:t>
      </w:r>
    </w:p>
    <w:p>
      <w:pPr>
        <w:spacing w:after="0" w:line="240" w:lineRule="auto"/>
        <w:jc w:val="left"/>
        <w:sectPr>
          <w:pgSz w:w="11910" w:h="16840"/>
          <w:pgMar w:header="877" w:footer="1187" w:top="1100" w:bottom="1380" w:left="880" w:right="0"/>
        </w:sectPr>
      </w:pPr>
    </w:p>
    <w:p>
      <w:pPr>
        <w:spacing w:line="240" w:lineRule="auto" w:before="12"/>
        <w:rPr>
          <w:rFonts w:ascii="宋体" w:hAnsi="宋体" w:cs="宋体" w:eastAsia="宋体" w:hint="default"/>
          <w:sz w:val="21"/>
          <w:szCs w:val="21"/>
        </w:rPr>
      </w:pPr>
    </w:p>
    <w:p>
      <w:pPr>
        <w:pStyle w:val="BodyText"/>
        <w:spacing w:line="240" w:lineRule="auto" w:before="44"/>
        <w:ind w:left="394" w:right="1392"/>
        <w:jc w:val="left"/>
      </w:pPr>
      <w:r>
        <w:rPr/>
        <w:t>采用集中竞价方式减持回购股份的实施进展情况</w:t>
      </w:r>
    </w:p>
    <w:p>
      <w:pPr>
        <w:pStyle w:val="BodyText"/>
        <w:spacing w:line="439" w:lineRule="auto" w:before="117"/>
        <w:ind w:left="394" w:right="1392"/>
        <w:jc w:val="left"/>
      </w:pPr>
      <w:r>
        <w:rPr/>
        <w:t>□ 适用 √ 不适用 股份变动对最近一年和最近一期基本每股收益和稀释每股收益、归属于公司普通股股东的每股净资产等财务指标的影响</w:t>
      </w:r>
    </w:p>
    <w:p>
      <w:pPr>
        <w:pStyle w:val="BodyText"/>
        <w:spacing w:line="203" w:lineRule="exact"/>
        <w:ind w:left="394" w:right="1392"/>
        <w:jc w:val="left"/>
      </w:pPr>
      <w:r>
        <w:rPr/>
        <w:t>□ 适用 √ 不适用</w:t>
      </w:r>
    </w:p>
    <w:p>
      <w:pPr>
        <w:spacing w:line="240" w:lineRule="auto" w:before="12"/>
        <w:rPr>
          <w:rFonts w:ascii="宋体" w:hAnsi="宋体" w:cs="宋体" w:eastAsia="宋体" w:hint="default"/>
          <w:sz w:val="14"/>
          <w:szCs w:val="14"/>
        </w:rPr>
      </w:pPr>
    </w:p>
    <w:p>
      <w:pPr>
        <w:pStyle w:val="BodyText"/>
        <w:spacing w:line="240" w:lineRule="auto"/>
        <w:ind w:left="394" w:right="1392"/>
        <w:jc w:val="left"/>
      </w:pPr>
      <w:r>
        <w:rPr/>
        <w:t>公司认为必要或证券监管机构要求披露的其他内容</w:t>
      </w:r>
    </w:p>
    <w:p>
      <w:pPr>
        <w:pStyle w:val="BodyText"/>
        <w:spacing w:line="240" w:lineRule="auto" w:before="117"/>
        <w:ind w:left="394" w:right="139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394" w:right="1392"/>
        <w:jc w:val="left"/>
        <w:rPr>
          <w:b w:val="0"/>
          <w:bCs w:val="0"/>
        </w:rPr>
      </w:pPr>
      <w:bookmarkStart w:name="2、限售股份变动情况" w:id="110"/>
      <w:bookmarkEnd w:id="110"/>
      <w:r>
        <w:rPr>
          <w:b w:val="0"/>
          <w:bCs w:val="0"/>
        </w:rPr>
      </w:r>
      <w:r>
        <w:rPr>
          <w:rFonts w:ascii="宋体" w:hAnsi="宋体" w:cs="宋体" w:eastAsia="宋体" w:hint="default"/>
        </w:rPr>
        <w:t>2</w:t>
      </w:r>
      <w:r>
        <w:rPr/>
        <w:t>、限售股份变动情况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394" w:right="1392"/>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994"/>
        <w:gridCol w:w="1274"/>
        <w:gridCol w:w="1560"/>
        <w:gridCol w:w="1642"/>
        <w:gridCol w:w="1368"/>
        <w:gridCol w:w="1527"/>
        <w:gridCol w:w="1417"/>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4,064,782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4,064,782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董监高限售</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董监高限售</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634,298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离任高管解除限售</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4,699,080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634,298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4,067,212</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2"/>
          <w:szCs w:val="22"/>
        </w:rPr>
      </w:pPr>
    </w:p>
    <w:p>
      <w:pPr>
        <w:pStyle w:val="Heading2"/>
        <w:spacing w:line="240" w:lineRule="auto" w:before="26"/>
        <w:ind w:left="394" w:right="1392"/>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3"/>
        <w:rPr>
          <w:rFonts w:ascii="宋体" w:hAnsi="宋体" w:cs="宋体" w:eastAsia="宋体" w:hint="default"/>
          <w:b/>
          <w:bCs/>
          <w:sz w:val="29"/>
          <w:szCs w:val="29"/>
        </w:rPr>
      </w:pPr>
    </w:p>
    <w:p>
      <w:pPr>
        <w:pStyle w:val="Heading3"/>
        <w:spacing w:line="240" w:lineRule="auto"/>
        <w:ind w:left="394" w:right="1392"/>
        <w:jc w:val="left"/>
        <w:rPr>
          <w:b w:val="0"/>
          <w:bCs w:val="0"/>
        </w:rPr>
      </w:pPr>
      <w:bookmarkStart w:name="1、报告期内证券发行（不含优先股）情况" w:id="112"/>
      <w:bookmarkEnd w:id="112"/>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94" w:right="139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394" w:right="1392"/>
        <w:jc w:val="left"/>
        <w:rPr>
          <w:b w:val="0"/>
          <w:bCs w:val="0"/>
        </w:rPr>
      </w:pPr>
      <w:bookmarkStart w:name="2、公司股份总数及股东结构的变动、公司资产和负债结构的变动情况说明" w:id="113"/>
      <w:bookmarkEnd w:id="113"/>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94" w:right="139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394" w:right="1392"/>
        <w:jc w:val="left"/>
        <w:rPr>
          <w:b w:val="0"/>
          <w:bCs w:val="0"/>
        </w:rPr>
      </w:pPr>
      <w:bookmarkStart w:name="3、现存的内部职工股情况" w:id="114"/>
      <w:bookmarkEnd w:id="114"/>
      <w:r>
        <w:rPr>
          <w:b w:val="0"/>
          <w:bCs w:val="0"/>
        </w:rPr>
      </w:r>
      <w:r>
        <w:rPr>
          <w:rFonts w:ascii="宋体" w:hAnsi="宋体" w:cs="宋体" w:eastAsia="宋体" w:hint="default"/>
        </w:rPr>
        <w:t>3</w:t>
      </w:r>
      <w:r>
        <w:rPr/>
        <w:t>、现存的内部职工股情况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94" w:right="1392"/>
        <w:jc w:val="left"/>
      </w:pPr>
      <w:r>
        <w:rPr/>
        <w:t>□ 适用 √ 不适用</w:t>
      </w:r>
    </w:p>
    <w:p>
      <w:pPr>
        <w:spacing w:line="240" w:lineRule="auto" w:before="0"/>
        <w:rPr>
          <w:rFonts w:ascii="宋体" w:hAnsi="宋体" w:cs="宋体" w:eastAsia="宋体" w:hint="default"/>
          <w:sz w:val="18"/>
          <w:szCs w:val="18"/>
        </w:rPr>
      </w:pPr>
    </w:p>
    <w:p>
      <w:pPr>
        <w:pStyle w:val="Heading2"/>
        <w:spacing w:line="240" w:lineRule="auto" w:before="152"/>
        <w:ind w:left="394" w:right="1392"/>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3"/>
        <w:rPr>
          <w:rFonts w:ascii="宋体" w:hAnsi="宋体" w:cs="宋体" w:eastAsia="宋体" w:hint="default"/>
          <w:b/>
          <w:bCs/>
          <w:sz w:val="29"/>
          <w:szCs w:val="29"/>
        </w:rPr>
      </w:pPr>
    </w:p>
    <w:p>
      <w:pPr>
        <w:pStyle w:val="Heading3"/>
        <w:spacing w:line="240" w:lineRule="auto"/>
        <w:ind w:left="394" w:right="1392"/>
        <w:jc w:val="left"/>
        <w:rPr>
          <w:b w:val="0"/>
          <w:bCs w:val="0"/>
        </w:rPr>
      </w:pPr>
      <w:bookmarkStart w:name="1、公司股东数量及持股情况" w:id="116"/>
      <w:bookmarkEnd w:id="116"/>
      <w:r>
        <w:rPr>
          <w:b w:val="0"/>
          <w:bCs w:val="0"/>
        </w:rPr>
      </w:r>
      <w:r>
        <w:rPr>
          <w:rFonts w:ascii="宋体" w:hAnsi="宋体" w:cs="宋体" w:eastAsia="宋体" w:hint="default"/>
        </w:rPr>
        <w:t>1</w:t>
      </w:r>
      <w:r>
        <w:rPr/>
        <w:t>、公司股东数量及持股情况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562"/>
        <w:gridCol w:w="990"/>
        <w:gridCol w:w="1462"/>
        <w:gridCol w:w="1196"/>
        <w:gridCol w:w="1328"/>
        <w:gridCol w:w="1064"/>
        <w:gridCol w:w="1330"/>
        <w:gridCol w:w="1278"/>
      </w:tblGrid>
      <w:tr>
        <w:trPr>
          <w:trHeight w:val="133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87"/>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22,442</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21,405</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9"/>
              <w:jc w:val="center"/>
              <w:rPr>
                <w:rFonts w:ascii="宋体" w:hAnsi="宋体" w:cs="宋体" w:eastAsia="宋体" w:hint="default"/>
                <w:sz w:val="18"/>
                <w:szCs w:val="18"/>
              </w:rPr>
            </w:pPr>
            <w:r>
              <w:rPr>
                <w:rFonts w:ascii="宋体" w:hAnsi="宋体" w:cs="宋体" w:eastAsia="宋体" w:hint="default"/>
                <w:sz w:val="18"/>
                <w:szCs w:val="18"/>
              </w:rPr>
              <w:t>报告期末表决权 恢复的优先股股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877" w:footer="1187" w:top="1100" w:bottom="138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562"/>
        <w:gridCol w:w="1560"/>
        <w:gridCol w:w="180"/>
        <w:gridCol w:w="671"/>
        <w:gridCol w:w="1134"/>
        <w:gridCol w:w="986"/>
        <w:gridCol w:w="1238"/>
        <w:gridCol w:w="1315"/>
        <w:gridCol w:w="144"/>
        <w:gridCol w:w="710"/>
        <w:gridCol w:w="708"/>
      </w:tblGrid>
      <w:tr>
        <w:trPr>
          <w:trHeight w:val="402" w:hRule="exact"/>
        </w:trPr>
        <w:tc>
          <w:tcPr>
            <w:tcW w:w="102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97"/>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86" w:type="dxa"/>
            <w:vMerge w:val="restart"/>
            <w:tcBorders>
              <w:top w:val="single" w:sz="4" w:space="0" w:color="000000"/>
              <w:left w:val="single" w:sz="4" w:space="0" w:color="000000"/>
              <w:right w:val="single" w:sz="4" w:space="0" w:color="000000"/>
            </w:tcBorders>
          </w:tcPr>
          <w:p>
            <w:pPr>
              <w:pStyle w:val="TableParagraph"/>
              <w:spacing w:line="316" w:lineRule="auto" w:before="97"/>
              <w:ind w:left="38" w:right="3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38" w:type="dxa"/>
            <w:vMerge w:val="restart"/>
            <w:tcBorders>
              <w:top w:val="single" w:sz="4" w:space="0" w:color="000000"/>
              <w:left w:val="single" w:sz="4" w:space="0" w:color="000000"/>
              <w:right w:val="single" w:sz="4" w:space="0" w:color="000000"/>
            </w:tcBorders>
          </w:tcPr>
          <w:p>
            <w:pPr>
              <w:pStyle w:val="TableParagraph"/>
              <w:spacing w:line="316" w:lineRule="auto" w:before="97"/>
              <w:ind w:left="92" w:right="53"/>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315" w:type="dxa"/>
            <w:vMerge w:val="restart"/>
            <w:tcBorders>
              <w:top w:val="single" w:sz="4" w:space="0" w:color="000000"/>
              <w:left w:val="single" w:sz="4" w:space="0" w:color="000000"/>
              <w:right w:val="single" w:sz="4" w:space="0" w:color="000000"/>
            </w:tcBorders>
          </w:tcPr>
          <w:p>
            <w:pPr>
              <w:pStyle w:val="TableParagraph"/>
              <w:spacing w:line="316" w:lineRule="auto" w:before="97"/>
              <w:ind w:left="131"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56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1" w:type="dxa"/>
            <w:gridSpan w:val="2"/>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sz w:val="18"/>
              </w:rPr>
              <w:t>26.14%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112,401,129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112,401,129</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武汉光谷创业投资 基金有限公司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sz w:val="18"/>
              </w:rPr>
              <w:t>16.81%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72,287,710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72,287,710</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武汉华中科技大产 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sz w:val="18"/>
              </w:rPr>
              <w:t>5.68%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24,431,582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24,431,582</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5,419,710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4,064,782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1,354,928</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余建隆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5,012,400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-1,254,800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5,012,400</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陈一帆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3,337,000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84,399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3,337,000</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7"/>
              <w:jc w:val="both"/>
              <w:rPr>
                <w:rFonts w:ascii="宋体" w:hAnsi="宋体" w:cs="宋体" w:eastAsia="宋体" w:hint="default"/>
                <w:sz w:val="18"/>
                <w:szCs w:val="18"/>
              </w:rPr>
            </w:pPr>
            <w:r>
              <w:rPr>
                <w:rFonts w:ascii="宋体" w:hAnsi="宋体" w:cs="宋体" w:eastAsia="宋体" w:hint="default"/>
                <w:sz w:val="18"/>
                <w:szCs w:val="18"/>
              </w:rPr>
              <w:t>中国工商银行股份 有限公司－南方大 数据</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指数证券 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68" w:right="0"/>
              <w:jc w:val="left"/>
              <w:rPr>
                <w:rFonts w:ascii="宋体" w:hAnsi="宋体" w:cs="宋体" w:eastAsia="宋体" w:hint="default"/>
                <w:sz w:val="18"/>
                <w:szCs w:val="18"/>
              </w:rPr>
            </w:pPr>
            <w:r>
              <w:rPr>
                <w:rFonts w:ascii="宋体"/>
                <w:sz w:val="18"/>
              </w:rPr>
              <w:t>0.72%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3,082,664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3,082,664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3,082,664</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吴明智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2,705,900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2,705,900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2,705,900</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吴宏斌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2,700,043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800,043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2,700,043</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王成华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sz w:val="18"/>
              </w:rPr>
              <w:t>0.56%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2,390,500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2,390,500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2,390,500</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402" w:hRule="exact"/>
        </w:trPr>
        <w:tc>
          <w:tcPr>
            <w:tcW w:w="102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3302" w:type="dxa"/>
            <w:gridSpan w:val="3"/>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9" w:type="dxa"/>
            <w:gridSpan w:val="4"/>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302" w:type="dxa"/>
            <w:gridSpan w:val="3"/>
            <w:vMerge/>
            <w:tcBorders>
              <w:left w:val="single" w:sz="4" w:space="0" w:color="000000"/>
              <w:bottom w:val="single" w:sz="4" w:space="0" w:color="000000"/>
              <w:right w:val="single" w:sz="4" w:space="0" w:color="000000"/>
            </w:tcBorders>
          </w:tcPr>
          <w:p>
            <w:pPr/>
          </w:p>
        </w:tc>
        <w:tc>
          <w:tcPr>
            <w:tcW w:w="4029" w:type="dxa"/>
            <w:gridSpan w:val="4"/>
            <w:vMerge/>
            <w:tcBorders>
              <w:left w:val="single" w:sz="4" w:space="0" w:color="000000"/>
              <w:bottom w:val="single" w:sz="4" w:space="0" w:color="000000"/>
              <w:right w:val="single" w:sz="4" w:space="0" w:color="000000"/>
            </w:tcBorders>
          </w:tcPr>
          <w:p>
            <w:pP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112,401,129</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5" w:right="0"/>
              <w:jc w:val="left"/>
              <w:rPr>
                <w:rFonts w:ascii="宋体" w:hAnsi="宋体" w:cs="宋体" w:eastAsia="宋体" w:hint="default"/>
                <w:sz w:val="18"/>
                <w:szCs w:val="18"/>
              </w:rPr>
            </w:pPr>
            <w:r>
              <w:rPr>
                <w:rFonts w:ascii="宋体"/>
                <w:sz w:val="18"/>
              </w:rPr>
              <w:t>112,401,129</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72,287,710</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72,287,710</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24,431,582</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24,431,582</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余建隆</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5,012,400</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sz w:val="18"/>
              </w:rPr>
              <w:t>5,012,400</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陈一帆</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3,337,000</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sz w:val="18"/>
              </w:rPr>
              <w:t>3,337,000</w:t>
            </w:r>
          </w:p>
        </w:tc>
      </w:tr>
      <w:tr>
        <w:trPr>
          <w:trHeight w:val="714"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中国工商银行股份有限公司－南方大数据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指数证券投资基金</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3"/>
              <w:jc w:val="right"/>
              <w:rPr>
                <w:rFonts w:ascii="宋体" w:hAnsi="宋体" w:cs="宋体" w:eastAsia="宋体" w:hint="default"/>
                <w:sz w:val="18"/>
                <w:szCs w:val="18"/>
              </w:rPr>
            </w:pPr>
            <w:r>
              <w:rPr>
                <w:rFonts w:ascii="宋体"/>
                <w:sz w:val="18"/>
              </w:rPr>
              <w:t>3,082,664</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5" w:right="0"/>
              <w:jc w:val="left"/>
              <w:rPr>
                <w:rFonts w:ascii="宋体" w:hAnsi="宋体" w:cs="宋体" w:eastAsia="宋体" w:hint="default"/>
                <w:sz w:val="18"/>
                <w:szCs w:val="18"/>
              </w:rPr>
            </w:pPr>
            <w:r>
              <w:rPr>
                <w:rFonts w:ascii="宋体"/>
                <w:sz w:val="18"/>
              </w:rPr>
              <w:t>3,082,664</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吴明智</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2,705,900</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sz w:val="18"/>
              </w:rPr>
              <w:t>2,705,900</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吴宏斌</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2,700,043</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sz w:val="18"/>
              </w:rPr>
              <w:t>2,700,043</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王成华</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2,390,500</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sz w:val="18"/>
              </w:rPr>
              <w:t>2,390,500</w:t>
            </w:r>
          </w:p>
        </w:tc>
      </w:tr>
      <w:tr>
        <w:trPr>
          <w:trHeight w:val="402" w:hRule="exact"/>
        </w:trPr>
        <w:tc>
          <w:tcPr>
            <w:tcW w:w="3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z w:val="18"/>
              </w:rPr>
              <w:t>1,942,200</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sz w:val="18"/>
              </w:rPr>
              <w:t>1,942,200</w:t>
            </w:r>
          </w:p>
        </w:tc>
      </w:tr>
    </w:tbl>
    <w:p>
      <w:pPr>
        <w:spacing w:after="0" w:line="240" w:lineRule="auto"/>
        <w:jc w:val="left"/>
        <w:rPr>
          <w:rFonts w:ascii="宋体" w:hAnsi="宋体" w:cs="宋体" w:eastAsia="宋体" w:hint="default"/>
          <w:sz w:val="18"/>
          <w:szCs w:val="18"/>
        </w:rPr>
        <w:sectPr>
          <w:pgSz w:w="11910" w:h="16840"/>
          <w:pgMar w:header="877" w:footer="1187" w:top="1100" w:bottom="138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0" w:right="786"/>
        <w:jc w:val="right"/>
      </w:pPr>
      <w:r>
        <w:rPr/>
        <w:pict>
          <v:shape style="position:absolute;margin-left:42.18pt;margin-top:-85.568253pt;width:511.15pt;height:181.1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2"/>
                    <w:gridCol w:w="6907"/>
                  </w:tblGrid>
                  <w:tr>
                    <w:trPr>
                      <w:trHeight w:val="1026"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名无限售流通股股东之间，以及前</w:t>
                        </w:r>
                      </w:p>
                      <w:p>
                        <w:pPr>
                          <w:pStyle w:val="TableParagraph"/>
                          <w:spacing w:line="319" w:lineRule="auto" w:before="76"/>
                          <w:ind w:left="24" w:right="72"/>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 间关联关系或一致行动的说明</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2586"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公司股东余建隆通过招商证券股份有限公司客户信用交易担保证券账户持有</w:t>
                        </w:r>
                        <w:r>
                          <w:rPr>
                            <w:rFonts w:ascii="宋体" w:hAnsi="宋体" w:cs="宋体" w:eastAsia="宋体" w:hint="default"/>
                            <w:spacing w:val="-45"/>
                            <w:sz w:val="18"/>
                            <w:szCs w:val="18"/>
                          </w:rPr>
                          <w:t> </w:t>
                        </w:r>
                        <w:r>
                          <w:rPr>
                            <w:rFonts w:ascii="宋体" w:hAnsi="宋体" w:cs="宋体" w:eastAsia="宋体" w:hint="default"/>
                            <w:sz w:val="18"/>
                            <w:szCs w:val="18"/>
                          </w:rPr>
                          <w:t>5,012,400 </w:t>
                        </w:r>
                        <w:r>
                          <w:rPr>
                            <w:rFonts w:ascii="宋体" w:hAnsi="宋体" w:cs="宋体" w:eastAsia="宋体" w:hint="default"/>
                            <w:sz w:val="18"/>
                            <w:szCs w:val="18"/>
                          </w:rPr>
                          <w:t>股公司股票。公司股东陈一帆通过长江证券股份有限公司客户信用交易担保证券账户持 有</w:t>
                        </w:r>
                        <w:r>
                          <w:rPr>
                            <w:rFonts w:ascii="宋体" w:hAnsi="宋体" w:cs="宋体" w:eastAsia="宋体" w:hint="default"/>
                            <w:spacing w:val="-43"/>
                            <w:sz w:val="18"/>
                            <w:szCs w:val="18"/>
                          </w:rPr>
                          <w:t> </w:t>
                        </w:r>
                        <w:r>
                          <w:rPr>
                            <w:rFonts w:ascii="宋体" w:hAnsi="宋体" w:cs="宋体" w:eastAsia="宋体" w:hint="default"/>
                            <w:sz w:val="18"/>
                            <w:szCs w:val="18"/>
                          </w:rPr>
                          <w:t>3,337,000</w:t>
                        </w:r>
                        <w:r>
                          <w:rPr>
                            <w:rFonts w:ascii="宋体" w:hAnsi="宋体" w:cs="宋体" w:eastAsia="宋体" w:hint="default"/>
                            <w:spacing w:val="-40"/>
                            <w:sz w:val="18"/>
                            <w:szCs w:val="18"/>
                          </w:rPr>
                          <w:t> </w:t>
                        </w:r>
                        <w:r>
                          <w:rPr>
                            <w:rFonts w:ascii="宋体" w:hAnsi="宋体" w:cs="宋体" w:eastAsia="宋体" w:hint="default"/>
                            <w:spacing w:val="-4"/>
                            <w:sz w:val="18"/>
                            <w:szCs w:val="18"/>
                          </w:rPr>
                          <w:t>股公司股票。公司股东吴明智除通过普通证券账户持有</w:t>
                        </w:r>
                        <w:r>
                          <w:rPr>
                            <w:rFonts w:ascii="宋体" w:hAnsi="宋体" w:cs="宋体" w:eastAsia="宋体" w:hint="default"/>
                            <w:spacing w:val="-43"/>
                            <w:sz w:val="18"/>
                            <w:szCs w:val="18"/>
                          </w:rPr>
                          <w:t> </w:t>
                        </w:r>
                        <w:r>
                          <w:rPr>
                            <w:rFonts w:ascii="宋体" w:hAnsi="宋体" w:cs="宋体" w:eastAsia="宋体" w:hint="default"/>
                            <w:sz w:val="18"/>
                            <w:szCs w:val="18"/>
                          </w:rPr>
                          <w:t>200</w:t>
                        </w:r>
                        <w:r>
                          <w:rPr>
                            <w:rFonts w:ascii="宋体" w:hAnsi="宋体" w:cs="宋体" w:eastAsia="宋体" w:hint="default"/>
                            <w:spacing w:val="-43"/>
                            <w:sz w:val="18"/>
                            <w:szCs w:val="18"/>
                          </w:rPr>
                          <w:t> </w:t>
                        </w:r>
                        <w:r>
                          <w:rPr>
                            <w:rFonts w:ascii="宋体" w:hAnsi="宋体" w:cs="宋体" w:eastAsia="宋体" w:hint="default"/>
                            <w:sz w:val="18"/>
                            <w:szCs w:val="18"/>
                          </w:rPr>
                          <w:t>股公司股票外</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还通过中天证券股份有限公司客户信用交易担保证券账户持有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2,705,700</w:t>
                        </w:r>
                        <w:r>
                          <w:rPr>
                            <w:rFonts w:ascii="宋体" w:hAnsi="宋体" w:cs="宋体" w:eastAsia="宋体" w:hint="default"/>
                            <w:spacing w:val="-46"/>
                            <w:sz w:val="18"/>
                            <w:szCs w:val="18"/>
                          </w:rPr>
                          <w:t> </w:t>
                        </w:r>
                        <w:r>
                          <w:rPr>
                            <w:rFonts w:ascii="宋体" w:hAnsi="宋体" w:cs="宋体" w:eastAsia="宋体" w:hint="default"/>
                            <w:sz w:val="18"/>
                            <w:szCs w:val="18"/>
                          </w:rPr>
                          <w:t>股公司股票，</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宋体" w:hAnsi="宋体" w:cs="宋体" w:eastAsia="宋体" w:hint="default"/>
                            <w:sz w:val="18"/>
                            <w:szCs w:val="18"/>
                          </w:rPr>
                          <w:t>2,705,900</w:t>
                        </w:r>
                        <w:r>
                          <w:rPr>
                            <w:rFonts w:ascii="宋体" w:hAnsi="宋体" w:cs="宋体" w:eastAsia="宋体" w:hint="default"/>
                            <w:spacing w:val="-46"/>
                            <w:sz w:val="18"/>
                            <w:szCs w:val="18"/>
                          </w:rPr>
                          <w:t> </w:t>
                        </w:r>
                        <w:r>
                          <w:rPr>
                            <w:rFonts w:ascii="宋体" w:hAnsi="宋体" w:cs="宋体" w:eastAsia="宋体" w:hint="default"/>
                            <w:sz w:val="18"/>
                            <w:szCs w:val="18"/>
                          </w:rPr>
                          <w:t>股公司股票。公司股东王成华通过东吴证券股份有限公司客户</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2,390,500</w:t>
                        </w:r>
                        <w:r>
                          <w:rPr>
                            <w:rFonts w:ascii="宋体" w:hAnsi="宋体" w:cs="宋体" w:eastAsia="宋体" w:hint="default"/>
                            <w:spacing w:val="-46"/>
                            <w:sz w:val="18"/>
                            <w:szCs w:val="18"/>
                          </w:rPr>
                          <w:t> </w:t>
                        </w:r>
                        <w:r>
                          <w:rPr>
                            <w:rFonts w:ascii="宋体" w:hAnsi="宋体" w:cs="宋体" w:eastAsia="宋体" w:hint="default"/>
                            <w:sz w:val="18"/>
                            <w:szCs w:val="18"/>
                          </w:rPr>
                          <w:t>股公司股票。公司股东向文除通过普通证券账户</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宋体" w:hAnsi="宋体" w:cs="宋体" w:eastAsia="宋体" w:hint="default"/>
                            <w:sz w:val="18"/>
                            <w:szCs w:val="18"/>
                          </w:rPr>
                          <w:t>1,904,200</w:t>
                        </w:r>
                        <w:r>
                          <w:rPr>
                            <w:rFonts w:ascii="宋体" w:hAnsi="宋体" w:cs="宋体" w:eastAsia="宋体" w:hint="default"/>
                            <w:spacing w:val="-46"/>
                            <w:sz w:val="18"/>
                            <w:szCs w:val="18"/>
                          </w:rPr>
                          <w:t> </w:t>
                        </w:r>
                        <w:r>
                          <w:rPr>
                            <w:rFonts w:ascii="宋体" w:hAnsi="宋体" w:cs="宋体" w:eastAsia="宋体" w:hint="default"/>
                            <w:sz w:val="18"/>
                            <w:szCs w:val="18"/>
                          </w:rPr>
                          <w:t>股公司股票外，还通过长江证券股份有限公司客户信用交易担保证券账</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6"/>
                            <w:sz w:val="18"/>
                            <w:szCs w:val="18"/>
                          </w:rPr>
                          <w:t> </w:t>
                        </w:r>
                        <w:r>
                          <w:rPr>
                            <w:rFonts w:ascii="宋体" w:hAnsi="宋体" w:cs="宋体" w:eastAsia="宋体" w:hint="default"/>
                            <w:sz w:val="18"/>
                            <w:szCs w:val="18"/>
                          </w:rPr>
                          <w:t>38,000</w:t>
                        </w:r>
                        <w:r>
                          <w:rPr>
                            <w:rFonts w:ascii="宋体" w:hAnsi="宋体" w:cs="宋体" w:eastAsia="宋体" w:hint="default"/>
                            <w:spacing w:val="-44"/>
                            <w:sz w:val="18"/>
                            <w:szCs w:val="18"/>
                          </w:rPr>
                          <w:t> </w:t>
                        </w:r>
                        <w:r>
                          <w:rPr>
                            <w:rFonts w:ascii="宋体" w:hAnsi="宋体" w:cs="宋体" w:eastAsia="宋体" w:hint="default"/>
                            <w:sz w:val="18"/>
                            <w:szCs w:val="18"/>
                          </w:rPr>
                          <w:t>股公司股票，实际合计持有</w:t>
                        </w:r>
                        <w:r>
                          <w:rPr>
                            <w:rFonts w:ascii="宋体" w:hAnsi="宋体" w:cs="宋体" w:eastAsia="宋体" w:hint="default"/>
                            <w:spacing w:val="-46"/>
                            <w:sz w:val="18"/>
                            <w:szCs w:val="18"/>
                          </w:rPr>
                          <w:t> </w:t>
                        </w:r>
                        <w:r>
                          <w:rPr>
                            <w:rFonts w:ascii="宋体" w:hAnsi="宋体" w:cs="宋体" w:eastAsia="宋体" w:hint="default"/>
                            <w:sz w:val="18"/>
                            <w:szCs w:val="18"/>
                          </w:rPr>
                          <w:t>1,942,200</w:t>
                        </w:r>
                        <w:r>
                          <w:rPr>
                            <w:rFonts w:ascii="宋体" w:hAnsi="宋体" w:cs="宋体" w:eastAsia="宋体" w:hint="default"/>
                            <w:spacing w:val="-46"/>
                            <w:sz w:val="18"/>
                            <w:szCs w:val="18"/>
                          </w:rPr>
                          <w:t> </w:t>
                        </w:r>
                        <w:r>
                          <w:rPr>
                            <w:rFonts w:ascii="宋体" w:hAnsi="宋体" w:cs="宋体" w:eastAsia="宋体" w:hint="default"/>
                            <w:sz w:val="18"/>
                            <w:szCs w:val="18"/>
                          </w:rPr>
                          <w:t>股公司股票。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394" w:right="1392"/>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7"/>
        <w:ind w:left="394" w:right="1392"/>
        <w:jc w:val="left"/>
      </w:pPr>
      <w:r>
        <w:rPr/>
        <w:t>□ 是 √ 否</w:t>
      </w:r>
    </w:p>
    <w:p>
      <w:pPr>
        <w:pStyle w:val="BodyText"/>
        <w:spacing w:line="240" w:lineRule="auto" w:before="116"/>
        <w:ind w:left="754" w:right="1392"/>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0"/>
        <w:rPr>
          <w:rFonts w:ascii="宋体" w:hAnsi="宋体" w:cs="宋体" w:eastAsia="宋体" w:hint="default"/>
          <w:sz w:val="26"/>
          <w:szCs w:val="26"/>
        </w:rPr>
      </w:pPr>
    </w:p>
    <w:p>
      <w:pPr>
        <w:pStyle w:val="Heading3"/>
        <w:spacing w:line="240" w:lineRule="auto"/>
        <w:ind w:left="394" w:right="1392"/>
        <w:jc w:val="left"/>
        <w:rPr>
          <w:b w:val="0"/>
          <w:bCs w:val="0"/>
        </w:rPr>
      </w:pPr>
      <w:bookmarkStart w:name="2、公司控股股东情况" w:id="117"/>
      <w:bookmarkEnd w:id="117"/>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394" w:right="8412"/>
        <w:jc w:val="left"/>
      </w:pPr>
      <w:r>
        <w:rPr/>
        <w:t>控股股东性质：中央国有控股 控股股东类型：法人</w:t>
      </w:r>
    </w:p>
    <w:tbl>
      <w:tblPr>
        <w:tblW w:w="0" w:type="auto"/>
        <w:jc w:val="left"/>
        <w:tblInd w:w="282" w:type="dxa"/>
        <w:tblLayout w:type="fixed"/>
        <w:tblCellMar>
          <w:top w:w="0" w:type="dxa"/>
          <w:left w:w="0" w:type="dxa"/>
          <w:bottom w:w="0" w:type="dxa"/>
          <w:right w:w="0" w:type="dxa"/>
        </w:tblCellMar>
        <w:tblLook w:val="01E0"/>
      </w:tblPr>
      <w:tblGrid>
        <w:gridCol w:w="1526"/>
        <w:gridCol w:w="1984"/>
        <w:gridCol w:w="1595"/>
        <w:gridCol w:w="1702"/>
        <w:gridCol w:w="3047"/>
      </w:tblGrid>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sz w:val="18"/>
              </w:rPr>
              <w:t>914201007246709317</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5"/>
                <w:sz w:val="18"/>
                <w:szCs w:val="18"/>
              </w:rPr>
              <w:t>创业投资业务；代理其他创业投资企业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等机构或个人的创业投资业务；创业投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资咨询业务；为创业企业提供创业管理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服务业务；参与设立创业投资企业与创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业投资管理顾问机构。</w:t>
            </w:r>
          </w:p>
        </w:tc>
      </w:tr>
      <w:tr>
        <w:trPr>
          <w:trHeight w:val="133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控股股东报告期内 控股和参股的其他 境内外上市公司的 股权情况</w:t>
            </w:r>
          </w:p>
        </w:tc>
        <w:tc>
          <w:tcPr>
            <w:tcW w:w="83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1"/>
                <w:sz w:val="18"/>
                <w:szCs w:val="18"/>
              </w:rPr>
              <w:t>截至报告期末，华工创投参股的其他上市公司有海波重型工程科技股份有限公司，华工创投持有海波重型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工程科技股份有限公司股份</w:t>
            </w:r>
            <w:r>
              <w:rPr>
                <w:rFonts w:ascii="宋体" w:hAnsi="宋体" w:cs="宋体" w:eastAsia="宋体" w:hint="default"/>
                <w:spacing w:val="-46"/>
                <w:sz w:val="18"/>
                <w:szCs w:val="18"/>
              </w:rPr>
              <w:t> </w:t>
            </w:r>
            <w:r>
              <w:rPr>
                <w:rFonts w:ascii="宋体" w:hAnsi="宋体" w:cs="宋体" w:eastAsia="宋体" w:hint="default"/>
                <w:sz w:val="18"/>
                <w:szCs w:val="18"/>
              </w:rPr>
              <w:t>350,400</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pacing w:val="-26"/>
                <w:sz w:val="18"/>
                <w:szCs w:val="18"/>
              </w:rPr>
              <w:t>0.34%</w:t>
            </w:r>
            <w:r>
              <w:rPr>
                <w:rFonts w:ascii="宋体" w:hAnsi="宋体" w:cs="宋体" w:eastAsia="宋体" w:hint="default"/>
                <w:spacing w:val="-26"/>
                <w:sz w:val="18"/>
                <w:szCs w:val="18"/>
              </w:rPr>
              <w:t>）。</w:t>
            </w:r>
            <w:r>
              <w:rPr>
                <w:rFonts w:ascii="宋体" w:hAnsi="宋体" w:cs="宋体" w:eastAsia="宋体" w:hint="default"/>
                <w:sz w:val="18"/>
                <w:szCs w:val="18"/>
              </w:rPr>
            </w:r>
          </w:p>
        </w:tc>
      </w:tr>
    </w:tbl>
    <w:p>
      <w:pPr>
        <w:spacing w:line="240" w:lineRule="auto" w:before="13"/>
        <w:rPr>
          <w:rFonts w:ascii="宋体" w:hAnsi="宋体" w:cs="宋体" w:eastAsia="宋体" w:hint="default"/>
          <w:sz w:val="7"/>
          <w:szCs w:val="7"/>
        </w:rPr>
      </w:pPr>
    </w:p>
    <w:p>
      <w:pPr>
        <w:pStyle w:val="BodyText"/>
        <w:spacing w:line="240" w:lineRule="auto" w:before="44"/>
        <w:ind w:left="394" w:right="1392"/>
        <w:jc w:val="left"/>
      </w:pPr>
      <w:r>
        <w:rPr/>
        <w:t>控股股东报告期内变更</w:t>
      </w:r>
    </w:p>
    <w:p>
      <w:pPr>
        <w:pStyle w:val="BodyText"/>
        <w:spacing w:line="360" w:lineRule="auto" w:before="116"/>
        <w:ind w:left="754" w:right="7692" w:hanging="360"/>
        <w:jc w:val="left"/>
      </w:pPr>
      <w:r>
        <w:rPr/>
        <w:t>□ 适用 √ 不适用 公司报告期控股股东未发生变更。</w:t>
      </w:r>
    </w:p>
    <w:p>
      <w:pPr>
        <w:spacing w:line="240" w:lineRule="auto" w:before="11"/>
        <w:rPr>
          <w:rFonts w:ascii="宋体" w:hAnsi="宋体" w:cs="宋体" w:eastAsia="宋体" w:hint="default"/>
          <w:sz w:val="19"/>
          <w:szCs w:val="19"/>
        </w:rPr>
      </w:pPr>
    </w:p>
    <w:p>
      <w:pPr>
        <w:pStyle w:val="Heading3"/>
        <w:spacing w:line="240" w:lineRule="auto"/>
        <w:ind w:left="394" w:right="1392"/>
        <w:jc w:val="left"/>
        <w:rPr>
          <w:b w:val="0"/>
          <w:bCs w:val="0"/>
        </w:rPr>
      </w:pPr>
      <w:bookmarkStart w:name="3、公司实际控制人及其一致行动人" w:id="118"/>
      <w:bookmarkEnd w:id="118"/>
      <w:r>
        <w:rPr>
          <w:b w:val="0"/>
          <w:bCs w:val="0"/>
        </w:rPr>
      </w:r>
      <w:r>
        <w:rPr>
          <w:rFonts w:ascii="宋体" w:hAnsi="宋体" w:cs="宋体" w:eastAsia="宋体" w:hint="default"/>
        </w:rPr>
        <w:t>3</w:t>
      </w:r>
      <w:r>
        <w:rPr/>
        <w:t>、公司实际控制人及其一致行动人</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394" w:right="8592"/>
        <w:jc w:val="left"/>
      </w:pPr>
      <w:r>
        <w:rPr/>
        <w:t>实际控制人性质：高等学校 实际控制人类型：法人</w:t>
      </w:r>
    </w:p>
    <w:tbl>
      <w:tblPr>
        <w:tblW w:w="0" w:type="auto"/>
        <w:jc w:val="left"/>
        <w:tblInd w:w="424" w:type="dxa"/>
        <w:tblLayout w:type="fixed"/>
        <w:tblCellMar>
          <w:top w:w="0" w:type="dxa"/>
          <w:left w:w="0" w:type="dxa"/>
          <w:bottom w:w="0" w:type="dxa"/>
          <w:right w:w="0" w:type="dxa"/>
        </w:tblCellMar>
        <w:tblLook w:val="01E0"/>
      </w:tblPr>
      <w:tblGrid>
        <w:gridCol w:w="1809"/>
        <w:gridCol w:w="1134"/>
        <w:gridCol w:w="1559"/>
        <w:gridCol w:w="1702"/>
        <w:gridCol w:w="3366"/>
      </w:tblGrid>
      <w:tr>
        <w:trPr>
          <w:trHeight w:val="714" w:hRule="exact"/>
        </w:trPr>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11" w:right="66"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74" w:hRule="exact"/>
        </w:trPr>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华中科技大学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李元元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12100000441626842D</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培养高等学历人才，促进科技文化发展。 理学类、工学类、医学类、文学类、管理</w:t>
            </w:r>
          </w:p>
        </w:tc>
      </w:tr>
    </w:tbl>
    <w:p>
      <w:pPr>
        <w:spacing w:after="0" w:line="316" w:lineRule="auto"/>
        <w:jc w:val="left"/>
        <w:rPr>
          <w:rFonts w:ascii="宋体" w:hAnsi="宋体" w:cs="宋体" w:eastAsia="宋体" w:hint="default"/>
          <w:sz w:val="18"/>
          <w:szCs w:val="18"/>
        </w:rPr>
        <w:sectPr>
          <w:pgSz w:w="11910" w:h="16840"/>
          <w:pgMar w:header="877" w:footer="1187" w:top="1100" w:bottom="1380" w:left="740" w:right="0"/>
        </w:sectPr>
      </w:pPr>
    </w:p>
    <w:p>
      <w:pPr>
        <w:spacing w:line="240" w:lineRule="auto" w:before="6"/>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1809"/>
        <w:gridCol w:w="1134"/>
        <w:gridCol w:w="1559"/>
        <w:gridCol w:w="1702"/>
        <w:gridCol w:w="3366"/>
      </w:tblGrid>
      <w:tr>
        <w:trPr>
          <w:trHeight w:val="1611" w:hRule="exact"/>
        </w:trPr>
        <w:tc>
          <w:tcPr>
            <w:tcW w:w="18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3"/>
              <w:jc w:val="both"/>
              <w:rPr>
                <w:rFonts w:ascii="宋体" w:hAnsi="宋体" w:cs="宋体" w:eastAsia="宋体" w:hint="default"/>
                <w:sz w:val="18"/>
                <w:szCs w:val="18"/>
              </w:rPr>
            </w:pPr>
            <w:r>
              <w:rPr>
                <w:rFonts w:ascii="宋体" w:hAnsi="宋体" w:cs="宋体" w:eastAsia="宋体" w:hint="default"/>
                <w:sz w:val="18"/>
                <w:szCs w:val="18"/>
              </w:rPr>
              <w:t>学类、经济学类、教育学类、法学类、哲 学类学科高等专科、本科、硕士研究生和 博士研究生学历教育、博士后培养、相关 科学研究、继续教育、专业培训、学术交 流与科技咨询。</w:t>
            </w:r>
          </w:p>
        </w:tc>
      </w:tr>
      <w:tr>
        <w:trPr>
          <w:trHeight w:val="1026" w:hRule="exact"/>
        </w:trPr>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截至报告期末，华中科技大学控制的其他上市公司有华工科技产业股份有限公司和武汉华中数控股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份有限公司。华中科技大学通过产业集团持有华工科技产业股份有限公司股份</w:t>
            </w:r>
            <w:r>
              <w:rPr>
                <w:rFonts w:ascii="宋体" w:hAnsi="宋体" w:cs="宋体" w:eastAsia="宋体" w:hint="default"/>
                <w:spacing w:val="-53"/>
                <w:sz w:val="18"/>
                <w:szCs w:val="18"/>
              </w:rPr>
              <w:t> </w:t>
            </w:r>
            <w:r>
              <w:rPr>
                <w:rFonts w:ascii="宋体" w:hAnsi="宋体" w:cs="宋体" w:eastAsia="宋体" w:hint="default"/>
                <w:sz w:val="18"/>
                <w:szCs w:val="18"/>
              </w:rPr>
              <w:t>288,342,668</w:t>
            </w:r>
            <w:r>
              <w:rPr>
                <w:rFonts w:ascii="宋体" w:hAnsi="宋体" w:cs="宋体" w:eastAsia="宋体" w:hint="default"/>
                <w:spacing w:val="-54"/>
                <w:sz w:val="18"/>
                <w:szCs w:val="18"/>
              </w:rPr>
              <w:t> </w:t>
            </w:r>
            <w:r>
              <w:rPr>
                <w:rFonts w:ascii="宋体" w:hAnsi="宋体" w:cs="宋体" w:eastAsia="宋体" w:hint="default"/>
                <w:spacing w:val="-6"/>
                <w:sz w:val="18"/>
                <w:szCs w:val="18"/>
              </w:rPr>
              <w:t>股（持</w:t>
            </w:r>
            <w:r>
              <w:rPr>
                <w:rFonts w:ascii="宋体" w:hAnsi="宋体" w:cs="宋体" w:eastAsia="宋体" w:hint="default"/>
                <w:sz w:val="18"/>
                <w:szCs w:val="18"/>
              </w:rPr>
              <w:t> 股比例为</w:t>
            </w:r>
            <w:r>
              <w:rPr>
                <w:rFonts w:ascii="宋体" w:hAnsi="宋体" w:cs="宋体" w:eastAsia="宋体" w:hint="default"/>
                <w:spacing w:val="-44"/>
                <w:sz w:val="18"/>
                <w:szCs w:val="18"/>
              </w:rPr>
              <w:t> </w:t>
            </w:r>
            <w:r>
              <w:rPr>
                <w:rFonts w:ascii="宋体" w:hAnsi="宋体" w:cs="宋体" w:eastAsia="宋体" w:hint="default"/>
                <w:spacing w:val="-4"/>
                <w:sz w:val="18"/>
                <w:szCs w:val="18"/>
              </w:rPr>
              <w:t>28.68%</w:t>
            </w:r>
            <w:r>
              <w:rPr>
                <w:rFonts w:ascii="宋体" w:hAnsi="宋体" w:cs="宋体" w:eastAsia="宋体" w:hint="default"/>
                <w:spacing w:val="-4"/>
                <w:sz w:val="18"/>
                <w:szCs w:val="18"/>
              </w:rPr>
              <w:t>）、持有武汉华中数控股份有限公司股份</w:t>
            </w:r>
            <w:r>
              <w:rPr>
                <w:rFonts w:ascii="宋体" w:hAnsi="宋体" w:cs="宋体" w:eastAsia="宋体" w:hint="default"/>
                <w:spacing w:val="-44"/>
                <w:sz w:val="18"/>
                <w:szCs w:val="18"/>
              </w:rPr>
              <w:t> </w:t>
            </w:r>
            <w:r>
              <w:rPr>
                <w:rFonts w:ascii="宋体" w:hAnsi="宋体" w:cs="宋体" w:eastAsia="宋体" w:hint="default"/>
                <w:sz w:val="18"/>
                <w:szCs w:val="18"/>
              </w:rPr>
              <w:t>32,924,765</w:t>
            </w:r>
            <w:r>
              <w:rPr>
                <w:rFonts w:ascii="宋体" w:hAnsi="宋体" w:cs="宋体" w:eastAsia="宋体" w:hint="default"/>
                <w:spacing w:val="-44"/>
                <w:sz w:val="18"/>
                <w:szCs w:val="18"/>
              </w:rPr>
              <w:t> </w:t>
            </w:r>
            <w:r>
              <w:rPr>
                <w:rFonts w:ascii="宋体" w:hAnsi="宋体" w:cs="宋体" w:eastAsia="宋体" w:hint="default"/>
                <w:sz w:val="18"/>
                <w:szCs w:val="18"/>
              </w:rPr>
              <w:t>股（持股比例为</w:t>
            </w:r>
            <w:r>
              <w:rPr>
                <w:rFonts w:ascii="宋体" w:hAnsi="宋体" w:cs="宋体" w:eastAsia="宋体" w:hint="default"/>
                <w:spacing w:val="-44"/>
                <w:sz w:val="18"/>
                <w:szCs w:val="18"/>
              </w:rPr>
              <w:t> </w:t>
            </w:r>
            <w:r>
              <w:rPr>
                <w:rFonts w:ascii="宋体" w:hAnsi="宋体" w:cs="宋体" w:eastAsia="宋体" w:hint="default"/>
                <w:spacing w:val="-23"/>
                <w:sz w:val="18"/>
                <w:szCs w:val="18"/>
              </w:rPr>
              <w:t>19.05%</w:t>
            </w:r>
            <w:r>
              <w:rPr>
                <w:rFonts w:ascii="宋体" w:hAnsi="宋体" w:cs="宋体" w:eastAsia="宋体" w:hint="default"/>
                <w:spacing w:val="-23"/>
                <w:sz w:val="18"/>
                <w:szCs w:val="18"/>
              </w:rPr>
              <w:t>）。</w:t>
            </w:r>
            <w:r>
              <w:rPr>
                <w:rFonts w:ascii="宋体" w:hAnsi="宋体" w:cs="宋体" w:eastAsia="宋体" w:hint="default"/>
                <w:sz w:val="18"/>
                <w:szCs w:val="18"/>
              </w:rPr>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实际控制人报告期内变更</w:t>
      </w:r>
    </w:p>
    <w:p>
      <w:pPr>
        <w:pStyle w:val="BodyText"/>
        <w:spacing w:line="360" w:lineRule="auto" w:before="116"/>
        <w:ind w:left="514" w:right="7512" w:hanging="360"/>
        <w:jc w:val="left"/>
      </w:pPr>
      <w:r>
        <w:rPr/>
        <w:t>□ 适用 √ 不适用 公司报告期实际控制人未发生变更。</w:t>
      </w:r>
    </w:p>
    <w:p>
      <w:pPr>
        <w:pStyle w:val="BodyText"/>
        <w:spacing w:line="240" w:lineRule="auto" w:before="105"/>
        <w:ind w:right="0"/>
        <w:jc w:val="left"/>
      </w:pPr>
      <w:r>
        <w:rPr/>
        <w:t>公司与实际控制人之间的产权及控制关系的方框图</w:t>
      </w:r>
    </w:p>
    <w:p>
      <w:pPr>
        <w:spacing w:line="240" w:lineRule="auto" w:before="7"/>
        <w:rPr>
          <w:rFonts w:ascii="宋体" w:hAnsi="宋体" w:cs="宋体" w:eastAsia="宋体" w:hint="default"/>
          <w:sz w:val="21"/>
          <w:szCs w:val="21"/>
        </w:rPr>
      </w:pPr>
    </w:p>
    <w:p>
      <w:pPr>
        <w:spacing w:line="4075" w:lineRule="exact"/>
        <w:ind w:left="1583"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361408" cy="25879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9" cstate="print"/>
                    <a:stretch>
                      <a:fillRect/>
                    </a:stretch>
                  </pic:blipFill>
                  <pic:spPr>
                    <a:xfrm>
                      <a:off x="0" y="0"/>
                      <a:ext cx="4361408" cy="2587942"/>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7"/>
        <w:rPr>
          <w:rFonts w:ascii="宋体" w:hAnsi="宋体" w:cs="宋体" w:eastAsia="宋体" w:hint="default"/>
          <w:sz w:val="13"/>
          <w:szCs w:val="13"/>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950"/>
        <w:gridCol w:w="1134"/>
        <w:gridCol w:w="1559"/>
        <w:gridCol w:w="1277"/>
        <w:gridCol w:w="3650"/>
      </w:tblGrid>
      <w:tr>
        <w:trPr>
          <w:trHeight w:val="71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1" w:right="66"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9"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8"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0" w:right="69" w:hanging="541"/>
              <w:jc w:val="left"/>
              <w:rPr>
                <w:rFonts w:ascii="宋体" w:hAnsi="宋体" w:cs="宋体" w:eastAsia="宋体" w:hint="default"/>
                <w:sz w:val="18"/>
                <w:szCs w:val="18"/>
              </w:rPr>
            </w:pPr>
            <w:r>
              <w:rPr>
                <w:rFonts w:ascii="宋体" w:hAnsi="宋体" w:cs="宋体" w:eastAsia="宋体" w:hint="default"/>
                <w:sz w:val="18"/>
                <w:szCs w:val="18"/>
              </w:rPr>
              <w:t>武汉光谷创业投资基金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
              <w:jc w:val="both"/>
              <w:rPr>
                <w:rFonts w:ascii="宋体" w:hAnsi="宋体" w:cs="宋体" w:eastAsia="宋体" w:hint="default"/>
                <w:sz w:val="18"/>
                <w:szCs w:val="18"/>
              </w:rPr>
            </w:pPr>
            <w:r>
              <w:rPr>
                <w:rFonts w:ascii="宋体" w:hAnsi="宋体" w:cs="宋体" w:eastAsia="宋体" w:hint="default"/>
                <w:sz w:val="18"/>
                <w:szCs w:val="18"/>
              </w:rPr>
              <w:t>创业投资业务；代理其他创业投资企业等机构 或个人的创业投资业务；创业投资咨询业务； 为创业企业提供创业管理服务业务；参与设立 创业投资企业与创业投资管理顾问机构。</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20"/>
      <w:bookmarkEnd w:id="120"/>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left="514" w:right="8232" w:hanging="360"/>
        <w:jc w:val="left"/>
      </w:pPr>
      <w:r>
        <w:rPr/>
        <w:t>□ 适用 √ 不适用 报告期公司不存在优先股。</w:t>
      </w:r>
    </w:p>
    <w:p>
      <w:pPr>
        <w:spacing w:after="0" w:line="357" w:lineRule="auto"/>
        <w:jc w:val="left"/>
        <w:sectPr>
          <w:pgSz w:w="11910" w:h="16840"/>
          <w:pgMar w:header="877" w:footer="1187" w:top="1100" w:bottom="1380" w:left="980" w:right="0"/>
        </w:sectPr>
      </w:pPr>
    </w:p>
    <w:p>
      <w:pPr>
        <w:pStyle w:val="BodyText"/>
        <w:spacing w:line="240" w:lineRule="auto" w:before="15"/>
        <w:ind w:left="0" w:right="136"/>
        <w:jc w:val="righ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1"/>
        <w:spacing w:line="240" w:lineRule="auto"/>
        <w:ind w:left="3778" w:right="0"/>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140"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1"/>
        <w:rPr>
          <w:rFonts w:ascii="宋体" w:hAnsi="宋体" w:cs="宋体" w:eastAsia="宋体" w:hint="default"/>
          <w:b/>
          <w:bCs/>
          <w:sz w:val="21"/>
          <w:szCs w:val="21"/>
        </w:rPr>
      </w:pPr>
    </w:p>
    <w:tbl>
      <w:tblPr>
        <w:tblW w:w="0" w:type="auto"/>
        <w:jc w:val="left"/>
        <w:tblInd w:w="135" w:type="dxa"/>
        <w:tblLayout w:type="fixed"/>
        <w:tblCellMar>
          <w:top w:w="0" w:type="dxa"/>
          <w:left w:w="0" w:type="dxa"/>
          <w:bottom w:w="0" w:type="dxa"/>
          <w:right w:w="0" w:type="dxa"/>
        </w:tblCellMar>
        <w:tblLook w:val="01E0"/>
      </w:tblPr>
      <w:tblGrid>
        <w:gridCol w:w="798"/>
        <w:gridCol w:w="1896"/>
        <w:gridCol w:w="850"/>
        <w:gridCol w:w="709"/>
        <w:gridCol w:w="709"/>
        <w:gridCol w:w="1559"/>
        <w:gridCol w:w="1559"/>
        <w:gridCol w:w="992"/>
        <w:gridCol w:w="1276"/>
        <w:gridCol w:w="1277"/>
        <w:gridCol w:w="1134"/>
        <w:gridCol w:w="1134"/>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1" w:right="11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5,419,710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5,419,710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熊赟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颜佐辉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代恒</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9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5,422,950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5,422,950</w:t>
            </w:r>
          </w:p>
        </w:tc>
      </w:tr>
    </w:tbl>
    <w:p>
      <w:pPr>
        <w:pStyle w:val="BodyText"/>
        <w:spacing w:line="240" w:lineRule="auto" w:before="87"/>
        <w:ind w:left="6964" w:right="6964"/>
        <w:jc w:val="center"/>
        <w:rPr>
          <w:rFonts w:ascii="Times New Roman" w:hAnsi="Times New Roman" w:cs="Times New Roman" w:eastAsia="Times New Roman" w:hint="default"/>
        </w:rPr>
      </w:pPr>
      <w:r>
        <w:rPr>
          <w:rFonts w:ascii="Times New Roman"/>
        </w:rPr>
        <w:t>46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3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30"/>
          <w:footerReference w:type="default" r:id="rId31"/>
          <w:pgSz w:w="16840" w:h="11910" w:orient="landscape"/>
          <w:pgMar w:header="0" w:footer="0" w:top="800" w:bottom="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2390"/>
        <w:gridCol w:w="318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工作原因主动离职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、公司现任董事、监事、高级管理人员专业背景、主要工作经历以及目前在公司的主要职责</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）董事</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0" w:firstLine="360"/>
        <w:jc w:val="both"/>
      </w:pPr>
      <w:r>
        <w:rPr/>
        <w:t>张新访，男，中国国籍，无境外居留权，</w:t>
      </w:r>
      <w:r>
        <w:rPr>
          <w:rFonts w:ascii="宋体" w:hAnsi="宋体" w:cs="宋体" w:eastAsia="宋体" w:hint="default"/>
        </w:rPr>
        <w:t>1965</w:t>
      </w:r>
      <w:r>
        <w:rPr/>
        <w:t>年</w:t>
      </w:r>
      <w:r>
        <w:rPr>
          <w:rFonts w:ascii="宋体" w:hAnsi="宋体" w:cs="宋体" w:eastAsia="宋体" w:hint="default"/>
        </w:rPr>
        <w:t>1</w:t>
      </w:r>
      <w:r>
        <w:rPr/>
        <w:t>月出生，中共党员，工学博士学位，教授，博士生导师。曾任武汉华 </w:t>
      </w:r>
      <w:r>
        <w:rPr>
          <w:spacing w:val="-2"/>
        </w:rPr>
        <w:t>中科技大产业集团有限公司董事长、总经理，武汉华工创业投资有限责任公司董事、董事长，华工科技产业股份有限公司董</w:t>
      </w:r>
      <w:r>
        <w:rPr>
          <w:spacing w:val="-66"/>
        </w:rPr>
        <w:t> </w:t>
      </w:r>
      <w:r>
        <w:rPr>
          <w:spacing w:val="-66"/>
        </w:rPr>
      </w:r>
      <w:r>
        <w:rPr/>
        <w:t>事，武汉华中数控股份有限公司董事。现任公司董事长，武汉华中科技大产业集团有限公司董事。</w:t>
      </w:r>
    </w:p>
    <w:p>
      <w:pPr>
        <w:pStyle w:val="BodyText"/>
        <w:spacing w:line="319" w:lineRule="auto" w:before="55"/>
        <w:ind w:right="1131" w:firstLine="360"/>
        <w:jc w:val="both"/>
      </w:pPr>
      <w:r>
        <w:rPr>
          <w:spacing w:val="-2"/>
        </w:rPr>
        <w:t>朱松青，男，中国国籍，无境外居留权，</w:t>
      </w:r>
      <w:r>
        <w:rPr>
          <w:rFonts w:ascii="宋体" w:hAnsi="宋体" w:cs="宋体" w:eastAsia="宋体" w:hint="default"/>
          <w:spacing w:val="-2"/>
        </w:rPr>
        <w:t>1971</w:t>
      </w:r>
      <w:r>
        <w:rPr>
          <w:spacing w:val="-2"/>
        </w:rPr>
        <w:t>年</w:t>
      </w:r>
      <w:r>
        <w:rPr>
          <w:rFonts w:ascii="宋体" w:hAnsi="宋体" w:cs="宋体" w:eastAsia="宋体" w:hint="default"/>
          <w:spacing w:val="-2"/>
        </w:rPr>
        <w:t>11</w:t>
      </w:r>
      <w:r>
        <w:rPr>
          <w:spacing w:val="-2"/>
        </w:rPr>
        <w:t>月出生，中共党员，经济学硕士学位，副教授。曾任华中科技大学产</w:t>
      </w:r>
      <w:r>
        <w:rPr/>
        <w:t> </w:t>
      </w:r>
      <w:r>
        <w:rPr>
          <w:spacing w:val="-2"/>
        </w:rPr>
        <w:t>业集团党委副书记，武汉华中科技大产业集团有限公司副总经理，武汉华工创业投资有限责任公司董事，武汉华工科技企业</w:t>
      </w:r>
      <w:r>
        <w:rPr>
          <w:spacing w:val="-66"/>
        </w:rPr>
        <w:t> </w:t>
      </w:r>
      <w:r>
        <w:rPr>
          <w:spacing w:val="-66"/>
        </w:rPr>
      </w:r>
      <w:r>
        <w:rPr>
          <w:spacing w:val="-2"/>
        </w:rPr>
        <w:t>孵化器有限责任公司执行董事，武汉华胜工程建设科技有限公司董事，科华银赛创业投资有限公司董事，武汉华中数控股份</w:t>
      </w:r>
      <w:r>
        <w:rPr>
          <w:spacing w:val="-66"/>
        </w:rPr>
        <w:t> </w:t>
      </w:r>
      <w:r>
        <w:rPr>
          <w:spacing w:val="-66"/>
        </w:rPr>
      </w:r>
      <w:r>
        <w:rPr>
          <w:spacing w:val="-2"/>
        </w:rPr>
        <w:t>有限公司监事会主席。现任公司董事，武汉华中科技大产业集团有限公司董事、总经理，武汉华工创业投资有限责任公司董</w:t>
      </w:r>
      <w:r>
        <w:rPr>
          <w:spacing w:val="-66"/>
        </w:rPr>
        <w:t> </w:t>
      </w:r>
      <w:r>
        <w:rPr>
          <w:spacing w:val="-66"/>
        </w:rPr>
      </w:r>
      <w:r>
        <w:rPr/>
        <w:t>事长、总经理，华工科技产业股份有限公司董事。</w:t>
      </w:r>
    </w:p>
    <w:p>
      <w:pPr>
        <w:pStyle w:val="BodyText"/>
        <w:spacing w:line="319" w:lineRule="auto" w:before="55"/>
        <w:ind w:right="1032" w:firstLine="360"/>
        <w:jc w:val="left"/>
      </w:pPr>
      <w:r>
        <w:rPr/>
        <w:t>熊赟，男，中国国籍，无境外居留权，</w:t>
      </w:r>
      <w:r>
        <w:rPr>
          <w:rFonts w:ascii="宋体" w:hAnsi="宋体" w:cs="宋体" w:eastAsia="宋体" w:hint="default"/>
        </w:rPr>
        <w:t>1980</w:t>
      </w:r>
      <w:r>
        <w:rPr/>
        <w:t>年</w:t>
      </w:r>
      <w:r>
        <w:rPr>
          <w:rFonts w:ascii="宋体" w:hAnsi="宋体" w:cs="宋体" w:eastAsia="宋体" w:hint="default"/>
        </w:rPr>
        <w:t>1</w:t>
      </w:r>
      <w:r>
        <w:rPr/>
        <w:t>月出生，中共党员，华中科技大学经济学院金融专业和计算机学院计算 </w:t>
      </w:r>
      <w:r>
        <w:rPr>
          <w:spacing w:val="-2"/>
        </w:rPr>
        <w:t>机科学与技术专业毕业，双学士学位。曾任华中科技大学学校办公室综合科副科长、学校办公室主任助理，武汉华中华昌能</w:t>
      </w:r>
      <w:r>
        <w:rPr>
          <w:spacing w:val="-66"/>
        </w:rPr>
        <w:t> </w:t>
      </w:r>
      <w:r>
        <w:rPr>
          <w:spacing w:val="-66"/>
        </w:rPr>
      </w:r>
      <w:r>
        <w:rPr/>
        <w:t>源电气科技有限公司董事。现任公司董事，武汉华中科技大产业集团有限公司副总经理，武汉同济科技集团有限公司董事，</w:t>
      </w:r>
      <w:r>
        <w:rPr>
          <w:spacing w:val="-84"/>
        </w:rPr>
        <w:t> </w:t>
      </w:r>
      <w:r>
        <w:rPr>
          <w:spacing w:val="-84"/>
        </w:rPr>
      </w:r>
      <w:r>
        <w:rPr/>
        <w:t>华中科技大学出版社有限责任公司董事。</w:t>
      </w:r>
    </w:p>
    <w:p>
      <w:pPr>
        <w:pStyle w:val="BodyText"/>
        <w:spacing w:line="319" w:lineRule="auto" w:before="56"/>
        <w:ind w:right="1130" w:firstLine="360"/>
        <w:jc w:val="both"/>
      </w:pPr>
      <w:r>
        <w:rPr/>
        <w:t>程哲，男，中国国籍，无境外居留权，</w:t>
      </w:r>
      <w:r>
        <w:rPr>
          <w:rFonts w:ascii="宋体" w:hAnsi="宋体" w:cs="宋体" w:eastAsia="宋体" w:hint="default"/>
        </w:rPr>
        <w:t>1980</w:t>
      </w:r>
      <w:r>
        <w:rPr/>
        <w:t>年</w:t>
      </w:r>
      <w:r>
        <w:rPr>
          <w:rFonts w:ascii="宋体" w:hAnsi="宋体" w:cs="宋体" w:eastAsia="宋体" w:hint="default"/>
        </w:rPr>
        <w:t>1</w:t>
      </w:r>
      <w:r>
        <w:rPr/>
        <w:t>月出生，中共党员，华中科技大学西方经济学和电磁场与微波技术专业 </w:t>
      </w:r>
      <w:r>
        <w:rPr>
          <w:spacing w:val="-5"/>
        </w:rPr>
        <w:t>研究生，双学位硕士，华中科技大学新制度经济学方向博士在读。曾任武汉东湖新技术开发区管理委员会项目工作组副组长，</w:t>
      </w:r>
      <w:r>
        <w:rPr>
          <w:spacing w:val="-79"/>
        </w:rPr>
        <w:t> </w:t>
      </w:r>
      <w:r>
        <w:rPr>
          <w:spacing w:val="-79"/>
        </w:rPr>
      </w:r>
      <w:r>
        <w:rPr>
          <w:spacing w:val="-2"/>
        </w:rPr>
        <w:t>艾格太阳能（武汉）有限公司副董事长，武汉光谷金融控股集团有限公司总经理助理，武汉科融成长创业投资管理有限公司</w:t>
      </w:r>
      <w:r>
        <w:rPr>
          <w:spacing w:val="-66"/>
        </w:rPr>
        <w:t> </w:t>
      </w:r>
      <w:r>
        <w:rPr>
          <w:spacing w:val="-66"/>
        </w:rPr>
      </w:r>
      <w:r>
        <w:rPr>
          <w:spacing w:val="-2"/>
        </w:rPr>
        <w:t>总经理。现任公司董事，武汉光谷金融控股集团有限公司副总经济师，武汉光谷创业投资基金有限公司董事长，武汉光谷产</w:t>
      </w:r>
      <w:r>
        <w:rPr>
          <w:spacing w:val="-66"/>
        </w:rPr>
        <w:t> </w:t>
      </w:r>
      <w:r>
        <w:rPr>
          <w:spacing w:val="-66"/>
        </w:rPr>
      </w:r>
      <w:r>
        <w:rPr>
          <w:spacing w:val="-2"/>
        </w:rPr>
        <w:t>业发展基金管理有限公司常务副总经理，武汉光谷人才创业投资基金有限公司董事长、总经理，武汉光谷人才投资管理有限</w:t>
      </w:r>
      <w:r>
        <w:rPr>
          <w:spacing w:val="-66"/>
        </w:rPr>
        <w:t> </w:t>
      </w:r>
      <w:r>
        <w:rPr>
          <w:spacing w:val="-66"/>
        </w:rPr>
      </w:r>
      <w:r>
        <w:rPr/>
        <w:t>公司董事长，武汉光谷征信管理有限公司董事、总经理，武汉光谷成长创业投资管理有限公司董事。</w:t>
      </w:r>
    </w:p>
    <w:p>
      <w:pPr>
        <w:pStyle w:val="BodyText"/>
        <w:spacing w:line="319" w:lineRule="auto" w:before="55"/>
        <w:ind w:right="0" w:firstLine="360"/>
        <w:jc w:val="left"/>
      </w:pPr>
      <w:r>
        <w:rPr>
          <w:spacing w:val="-4"/>
        </w:rPr>
        <w:t>颜佐辉，男，中国国籍，无境外居留权，</w:t>
      </w:r>
      <w:r>
        <w:rPr>
          <w:rFonts w:ascii="宋体" w:hAnsi="宋体" w:cs="宋体" w:eastAsia="宋体" w:hint="default"/>
          <w:spacing w:val="-4"/>
        </w:rPr>
        <w:t>1970</w:t>
      </w:r>
      <w:r>
        <w:rPr>
          <w:spacing w:val="-4"/>
        </w:rPr>
        <w:t>年</w:t>
      </w:r>
      <w:r>
        <w:rPr>
          <w:rFonts w:ascii="宋体" w:hAnsi="宋体" w:cs="宋体" w:eastAsia="宋体" w:hint="default"/>
          <w:spacing w:val="-4"/>
        </w:rPr>
        <w:t>7</w:t>
      </w:r>
      <w:r>
        <w:rPr>
          <w:spacing w:val="-4"/>
        </w:rPr>
        <w:t>月出生，本科学历。曾任中国扬子江轮船股份有限公司财务部副部长，</w:t>
      </w:r>
      <w:r>
        <w:rPr/>
        <w:t> </w:t>
      </w:r>
      <w:r>
        <w:rPr>
          <w:spacing w:val="-4"/>
        </w:rPr>
        <w:t>武汉东湖高新进出口有限公司财务部部长，武汉光谷进出口有限公司财务部部长，武汉光谷投资担保有限公司常务副总经理。</w:t>
      </w:r>
      <w:r>
        <w:rPr>
          <w:spacing w:val="-44"/>
        </w:rPr>
        <w:t> </w:t>
      </w:r>
      <w:r>
        <w:rPr>
          <w:spacing w:val="-44"/>
        </w:rPr>
      </w:r>
      <w:r>
        <w:rPr/>
        <w:t>现任公司董事，武汉光谷金融控股集团有限公司财务管理部（融资部）（筹）负责人，武汉东湖企业信用促进会理事长。</w:t>
      </w:r>
    </w:p>
    <w:p>
      <w:pPr>
        <w:pStyle w:val="BodyText"/>
        <w:spacing w:line="319" w:lineRule="auto" w:before="55"/>
        <w:ind w:right="1129" w:firstLine="360"/>
        <w:jc w:val="both"/>
      </w:pPr>
      <w:r>
        <w:rPr/>
        <w:t>吴俊军，男，中国国籍，无境外居留权，</w:t>
      </w:r>
      <w:r>
        <w:rPr>
          <w:rFonts w:ascii="宋体" w:hAnsi="宋体" w:cs="宋体" w:eastAsia="宋体" w:hint="default"/>
        </w:rPr>
        <w:t>1972</w:t>
      </w:r>
      <w:r>
        <w:rPr/>
        <w:t>年</w:t>
      </w:r>
      <w:r>
        <w:rPr>
          <w:rFonts w:ascii="宋体" w:hAnsi="宋体" w:cs="宋体" w:eastAsia="宋体" w:hint="default"/>
        </w:rPr>
        <w:t>3</w:t>
      </w:r>
      <w:r>
        <w:rPr/>
        <w:t>月出生，中共党员，原华中理工大学</w:t>
      </w:r>
      <w:r>
        <w:rPr>
          <w:rFonts w:ascii="宋体" w:hAnsi="宋体" w:cs="宋体" w:eastAsia="宋体" w:hint="default"/>
        </w:rPr>
        <w:t>CAD</w:t>
      </w:r>
      <w:r>
        <w:rPr/>
        <w:t>中心智能</w:t>
      </w:r>
      <w:r>
        <w:rPr>
          <w:rFonts w:ascii="宋体" w:hAnsi="宋体" w:cs="宋体" w:eastAsia="宋体" w:hint="default"/>
        </w:rPr>
        <w:t>CAD</w:t>
      </w:r>
      <w:r>
        <w:rPr/>
        <w:t>专业毕业，研究 生学历，工学博士学位，副教授。曾任公司研发中心总经理、公司总经理助理。现任公司董事、总经理。</w:t>
      </w:r>
    </w:p>
    <w:p>
      <w:pPr>
        <w:pStyle w:val="BodyText"/>
        <w:spacing w:line="319" w:lineRule="auto" w:before="56"/>
        <w:ind w:right="1032" w:firstLine="360"/>
        <w:jc w:val="left"/>
      </w:pPr>
      <w:r>
        <w:rPr>
          <w:spacing w:val="-2"/>
        </w:rPr>
        <w:t>余明桂，男，中国国籍，无境外居留权，</w:t>
      </w:r>
      <w:r>
        <w:rPr>
          <w:rFonts w:ascii="宋体" w:hAnsi="宋体" w:cs="宋体" w:eastAsia="宋体" w:hint="default"/>
          <w:spacing w:val="-2"/>
        </w:rPr>
        <w:t>1974</w:t>
      </w:r>
      <w:r>
        <w:rPr>
          <w:spacing w:val="-2"/>
        </w:rPr>
        <w:t>年</w:t>
      </w:r>
      <w:r>
        <w:rPr>
          <w:rFonts w:ascii="宋体" w:hAnsi="宋体" w:cs="宋体" w:eastAsia="宋体" w:hint="default"/>
          <w:spacing w:val="-2"/>
        </w:rPr>
        <w:t>11</w:t>
      </w:r>
      <w:r>
        <w:rPr>
          <w:spacing w:val="-2"/>
        </w:rPr>
        <w:t>月出生，中共党员，中国人民解放军军事经济学院经济学硕士，华中</w:t>
      </w:r>
      <w:r>
        <w:rPr/>
        <w:t> </w:t>
      </w:r>
      <w:r>
        <w:rPr>
          <w:spacing w:val="-2"/>
        </w:rPr>
        <w:t>科技大学管理学院管理学博士，教育部新世纪优秀人才，武汉大学人文社科“70后”学术团队带头人，美国印第安纳大学访</w:t>
      </w:r>
      <w:r>
        <w:rPr>
          <w:spacing w:val="-64"/>
        </w:rPr>
        <w:t> </w:t>
      </w:r>
      <w:r>
        <w:rPr>
          <w:spacing w:val="-64"/>
        </w:rPr>
      </w:r>
      <w:r>
        <w:rPr/>
        <w:t>问学者。曾任华中科技大学控制科学与工程学科博士后，武汉大学经济与管理学院会计学专业副教授。现任公司独立董事，</w:t>
      </w:r>
      <w:r>
        <w:rPr>
          <w:spacing w:val="-84"/>
        </w:rPr>
        <w:t> </w:t>
      </w:r>
      <w:r>
        <w:rPr>
          <w:spacing w:val="-84"/>
        </w:rPr>
      </w:r>
      <w:r>
        <w:rPr>
          <w:spacing w:val="-2"/>
        </w:rPr>
        <w:t>烽火通信科技股份有限公司独立董事，湖北回天新材料股份有限公司独立董事，湖北鼎龙控股股份有限公司独立董事，银亿</w:t>
      </w:r>
      <w:r>
        <w:rPr>
          <w:spacing w:val="-66"/>
        </w:rPr>
        <w:t> </w:t>
      </w:r>
      <w:r>
        <w:rPr>
          <w:spacing w:val="-66"/>
        </w:rPr>
      </w:r>
      <w:r>
        <w:rPr/>
        <w:t>股份有限公司独立董事，武汉大学经济与管理学院会计学专业教授、博士生导师。</w:t>
      </w:r>
    </w:p>
    <w:p>
      <w:pPr>
        <w:pStyle w:val="BodyText"/>
        <w:spacing w:line="316" w:lineRule="auto" w:before="55"/>
        <w:ind w:right="1129" w:firstLine="360"/>
        <w:jc w:val="both"/>
      </w:pPr>
      <w:r>
        <w:rPr/>
        <w:t>孙震，男，中国国籍，无境外居留权，</w:t>
      </w:r>
      <w:r>
        <w:rPr>
          <w:rFonts w:ascii="宋体" w:hAnsi="宋体" w:cs="宋体" w:eastAsia="宋体" w:hint="default"/>
        </w:rPr>
        <w:t>1972</w:t>
      </w:r>
      <w:r>
        <w:rPr/>
        <w:t>年</w:t>
      </w:r>
      <w:r>
        <w:rPr>
          <w:rFonts w:ascii="宋体" w:hAnsi="宋体" w:cs="宋体" w:eastAsia="宋体" w:hint="default"/>
        </w:rPr>
        <w:t>3</w:t>
      </w:r>
      <w:r>
        <w:rPr/>
        <w:t>月出生，北京航空航天大学工学学士，清华大学工商管理硕士，高级国 </w:t>
      </w:r>
      <w:r>
        <w:rPr>
          <w:spacing w:val="-2"/>
        </w:rPr>
        <w:t>际财务管理师。曾任北京七星华创电子股份有限公司战略发展部部长，北京联合智业管理咨询公司咨询总监，北京瑞友科技</w:t>
      </w:r>
      <w:r>
        <w:rPr>
          <w:spacing w:val="-66"/>
        </w:rPr>
        <w:t> </w:t>
      </w:r>
      <w:r>
        <w:rPr>
          <w:spacing w:val="-66"/>
        </w:rPr>
      </w:r>
      <w:r>
        <w:rPr>
          <w:spacing w:val="-5"/>
        </w:rPr>
        <w:t>股份有限公司副总经理、董事会秘书。现任公司独立董事，华夏芯（北京）通用处理器技术有限公司副总经理、董事会秘书，</w:t>
      </w:r>
    </w:p>
    <w:p>
      <w:pPr>
        <w:spacing w:after="0" w:line="316" w:lineRule="auto"/>
        <w:jc w:val="both"/>
        <w:sectPr>
          <w:footerReference w:type="default" r:id="rId33"/>
          <w:pgSz w:w="11910" w:h="16840"/>
          <w:pgMar w:footer="1187" w:header="0" w:top="1100" w:bottom="1380" w:left="980" w:right="0"/>
          <w:pgNumType w:start="47"/>
        </w:sectPr>
      </w:pPr>
    </w:p>
    <w:p>
      <w:pPr>
        <w:spacing w:line="240" w:lineRule="auto" w:before="13"/>
        <w:rPr>
          <w:rFonts w:ascii="宋体" w:hAnsi="宋体" w:cs="宋体" w:eastAsia="宋体" w:hint="default"/>
          <w:sz w:val="21"/>
          <w:szCs w:val="21"/>
        </w:rPr>
      </w:pPr>
    </w:p>
    <w:p>
      <w:pPr>
        <w:pStyle w:val="BodyText"/>
        <w:spacing w:line="357" w:lineRule="auto" w:before="44"/>
        <w:ind w:left="514" w:right="1122" w:hanging="360"/>
        <w:jc w:val="left"/>
      </w:pPr>
      <w:r>
        <w:rPr/>
        <w:t>国际财务管理协会中国区专家委员会委员。 孙颉，男，中国国籍，无境外居留权，</w:t>
      </w:r>
      <w:r>
        <w:rPr>
          <w:rFonts w:ascii="宋体" w:hAnsi="宋体" w:cs="宋体" w:eastAsia="宋体" w:hint="default"/>
        </w:rPr>
        <w:t>1970</w:t>
      </w:r>
      <w:r>
        <w:rPr/>
        <w:t>年</w:t>
      </w:r>
      <w:r>
        <w:rPr>
          <w:rFonts w:ascii="宋体" w:hAnsi="宋体" w:cs="宋体" w:eastAsia="宋体" w:hint="default"/>
        </w:rPr>
        <w:t>3</w:t>
      </w:r>
      <w:r>
        <w:rPr/>
        <w:t>月出生，天津理工大学计算机与数学系计算机软件专业工学学士，工程</w:t>
      </w:r>
    </w:p>
    <w:p>
      <w:pPr>
        <w:pStyle w:val="BodyText"/>
        <w:spacing w:line="224" w:lineRule="exact"/>
        <w:ind w:right="0"/>
        <w:jc w:val="left"/>
      </w:pPr>
      <w:r>
        <w:rPr/>
        <w:t>师。曾任北京世纪汇金科技有限公司副总经理，上海同鱼科技发展有限公司副总经理。现任公司独立董事，北京建广资产管</w:t>
      </w:r>
    </w:p>
    <w:p>
      <w:pPr>
        <w:pStyle w:val="BodyText"/>
        <w:spacing w:line="240" w:lineRule="auto" w:before="77"/>
        <w:ind w:right="0"/>
        <w:jc w:val="left"/>
      </w:pPr>
      <w:r>
        <w:rPr/>
        <w:t>理有限公司监事、董事会办公室副总监，北京华通芯电科技有限公司董事长，北京瑧果芯能科技有限公司监事。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）监事</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0" w:firstLine="360"/>
        <w:jc w:val="left"/>
      </w:pPr>
      <w:r>
        <w:rPr/>
        <w:t>李士训，男，中国国籍，无境外居留权，</w:t>
      </w:r>
      <w:r>
        <w:rPr>
          <w:rFonts w:ascii="宋体" w:hAnsi="宋体" w:cs="宋体" w:eastAsia="宋体" w:hint="default"/>
        </w:rPr>
        <w:t>1963</w:t>
      </w:r>
      <w:r>
        <w:rPr/>
        <w:t>年</w:t>
      </w:r>
      <w:r>
        <w:rPr>
          <w:rFonts w:ascii="宋体" w:hAnsi="宋体" w:cs="宋体" w:eastAsia="宋体" w:hint="default"/>
        </w:rPr>
        <w:t>7</w:t>
      </w:r>
      <w:r>
        <w:rPr/>
        <w:t>月出生，本科学历，学士学位，会计师。曾任华中科技大学机械厂财 </w:t>
      </w:r>
      <w:r>
        <w:rPr>
          <w:spacing w:val="-2"/>
        </w:rPr>
        <w:t>务主管、财务经理，华工科技产业股份有限公司财务主管、财务副经理、财务经理，武汉华工正源光子技术有限公司财务总</w:t>
      </w:r>
      <w:r>
        <w:rPr>
          <w:spacing w:val="-66"/>
        </w:rPr>
        <w:t> </w:t>
      </w:r>
      <w:r>
        <w:rPr>
          <w:spacing w:val="-66"/>
        </w:rPr>
      </w:r>
      <w:r>
        <w:rPr>
          <w:spacing w:val="-5"/>
        </w:rPr>
        <w:t>监、副总经理，武汉城苑监理工程有限公司董事，武汉开目信息技术有限责任公司监事，武汉同济科技集团有限公司监事长，</w:t>
      </w:r>
      <w:r>
        <w:rPr>
          <w:spacing w:val="-81"/>
        </w:rPr>
        <w:t> </w:t>
      </w:r>
      <w:r>
        <w:rPr>
          <w:spacing w:val="-81"/>
        </w:rPr>
      </w:r>
      <w:r>
        <w:rPr>
          <w:spacing w:val="-2"/>
        </w:rPr>
        <w:t>武汉华工创业投资有限责任公司董事、董事长、总经理，北京华工天一科技有限公司监事，武汉华科机电工程技术有限公司</w:t>
      </w:r>
      <w:r>
        <w:rPr>
          <w:spacing w:val="-66"/>
        </w:rPr>
        <w:t> </w:t>
      </w:r>
      <w:r>
        <w:rPr>
          <w:spacing w:val="-66"/>
        </w:rPr>
      </w:r>
      <w:r>
        <w:rPr>
          <w:spacing w:val="-2"/>
        </w:rPr>
        <w:t>董事长，武汉鸿象信息技术有限公司董事长，武汉城苑监理工程有限公司执行董事、总经理，武汉数字化设计与制造创新中</w:t>
      </w:r>
      <w:r>
        <w:rPr>
          <w:spacing w:val="-66"/>
        </w:rPr>
        <w:t> </w:t>
      </w:r>
      <w:r>
        <w:rPr>
          <w:spacing w:val="-66"/>
        </w:rPr>
      </w:r>
      <w:r>
        <w:rPr>
          <w:spacing w:val="-5"/>
        </w:rPr>
        <w:t>心有限公司监事长。现任公司监事会主席，武汉华中科技大产业集团有限公司财务总监，温州华中科技发展有限公司董事长、</w:t>
      </w:r>
      <w:r>
        <w:rPr>
          <w:spacing w:val="-79"/>
        </w:rPr>
        <w:t> </w:t>
      </w:r>
      <w:r>
        <w:rPr>
          <w:spacing w:val="-79"/>
        </w:rPr>
      </w:r>
      <w:r>
        <w:rPr>
          <w:spacing w:val="-2"/>
        </w:rPr>
        <w:t>总经理，武汉华大机械工程有限公司董事长、总经理，武汉神阳饮品有限公司执行董事，武汉华工建设发展有限公司执行董</w:t>
      </w:r>
      <w:r>
        <w:rPr>
          <w:spacing w:val="-66"/>
        </w:rPr>
        <w:t> </w:t>
      </w:r>
      <w:r>
        <w:rPr>
          <w:spacing w:val="-66"/>
        </w:rPr>
      </w:r>
      <w:r>
        <w:rPr>
          <w:spacing w:val="-2"/>
        </w:rPr>
        <w:t>事、总经理，武汉华科大机电开发有限公司执行董事，武汉华胜工程建设科技有限公司董事，武汉开目信息技术股份有限公</w:t>
      </w:r>
      <w:r>
        <w:rPr>
          <w:spacing w:val="-66"/>
        </w:rPr>
        <w:t> </w:t>
      </w:r>
      <w:r>
        <w:rPr>
          <w:spacing w:val="-66"/>
        </w:rPr>
      </w:r>
      <w:r>
        <w:rPr>
          <w:spacing w:val="-2"/>
        </w:rPr>
        <w:t>司董事，武汉精典风景园林有限公司董事，武汉智能装备工业技术研究院有限公司董事，武汉鑫昶文化有限公司董事，深圳</w:t>
      </w:r>
      <w:r>
        <w:rPr>
          <w:spacing w:val="-66"/>
        </w:rPr>
        <w:t> </w:t>
      </w:r>
      <w:r>
        <w:rPr>
          <w:spacing w:val="-66"/>
        </w:rPr>
      </w:r>
      <w:r>
        <w:rPr>
          <w:spacing w:val="-2"/>
        </w:rPr>
        <w:t>市华科兆恒科技有限公司董事，华工制造装备数字化国家工程中心有限公司董事，武汉华科大生命科技有限公司董事，武汉</w:t>
      </w:r>
      <w:r>
        <w:rPr>
          <w:spacing w:val="-65"/>
        </w:rPr>
        <w:t> </w:t>
      </w:r>
      <w:r>
        <w:rPr>
          <w:spacing w:val="-65"/>
        </w:rPr>
      </w:r>
      <w:r>
        <w:rPr>
          <w:spacing w:val="-4"/>
        </w:rPr>
        <w:t>华中科大建筑规划设计研究院有限公司董事，华工科技产业股份有限公司监事长，华中科技大学出版社有限责任公司监事长，</w:t>
      </w:r>
      <w:r>
        <w:rPr>
          <w:spacing w:val="-44"/>
        </w:rPr>
        <w:t> </w:t>
      </w:r>
      <w:r>
        <w:rPr>
          <w:spacing w:val="-44"/>
        </w:rPr>
      </w:r>
      <w:r>
        <w:rPr/>
        <w:t>武汉同济科技集团有限公司监事会主席，武汉华宏资产经营管理有限公司监事长。</w:t>
      </w:r>
    </w:p>
    <w:p>
      <w:pPr>
        <w:pStyle w:val="BodyText"/>
        <w:spacing w:line="319" w:lineRule="auto" w:before="56"/>
        <w:ind w:right="1130" w:firstLine="360"/>
        <w:jc w:val="both"/>
      </w:pPr>
      <w:r>
        <w:rPr/>
        <w:t>岳蓉，女，中国国籍，无境外居留权，</w:t>
      </w:r>
      <w:r>
        <w:rPr>
          <w:rFonts w:ascii="宋体" w:hAnsi="宋体" w:cs="宋体" w:eastAsia="宋体" w:hint="default"/>
        </w:rPr>
        <w:t>1974</w:t>
      </w:r>
      <w:r>
        <w:rPr/>
        <w:t>年</w:t>
      </w:r>
      <w:r>
        <w:rPr>
          <w:rFonts w:ascii="宋体" w:hAnsi="宋体" w:cs="宋体" w:eastAsia="宋体" w:hint="default"/>
        </w:rPr>
        <w:t>7</w:t>
      </w:r>
      <w:r>
        <w:rPr/>
        <w:t>月出生，经济学博士学位。曾任武汉华工创业投资有限责任公司总经理 </w:t>
      </w:r>
      <w:r>
        <w:rPr>
          <w:spacing w:val="-2"/>
        </w:rPr>
        <w:t>助理，湖北富邦科技股份有限公司董事，武汉四海一家传媒股份有限公司董事。现任公司监事，武汉华工创业投资有限责任</w:t>
      </w:r>
      <w:r>
        <w:rPr>
          <w:spacing w:val="-66"/>
        </w:rPr>
        <w:t> </w:t>
      </w:r>
      <w:r>
        <w:rPr>
          <w:spacing w:val="-66"/>
        </w:rPr>
      </w:r>
      <w:r>
        <w:rPr>
          <w:spacing w:val="-2"/>
        </w:rPr>
        <w:t>公司副总经理，武汉华科大生命科技有限公司董事长，天津市灏洋生物制品科技有限责任公司董事长，天津灏洋华科生物科</w:t>
      </w:r>
      <w:r>
        <w:rPr>
          <w:spacing w:val="-65"/>
        </w:rPr>
        <w:t> </w:t>
      </w:r>
      <w:r>
        <w:rPr>
          <w:spacing w:val="-65"/>
        </w:rPr>
      </w:r>
      <w:r>
        <w:rPr>
          <w:spacing w:val="-2"/>
        </w:rPr>
        <w:t>技有限公司董事长，武汉固德银赛创业投资管理有限公司董事、总经理，科华银赛创业投资有限公司董事、总经理，武汉东</w:t>
      </w:r>
      <w:r>
        <w:rPr>
          <w:spacing w:val="-66"/>
        </w:rPr>
        <w:t> </w:t>
      </w:r>
      <w:r>
        <w:rPr>
          <w:spacing w:val="-66"/>
        </w:rPr>
      </w:r>
      <w:r>
        <w:rPr>
          <w:spacing w:val="-2"/>
        </w:rPr>
        <w:t>湖华珈投资管理有限公司董事、总经理，武汉华创欣网科技有限公司董事，湖北科华炎帝创业投资有限公司董事，湖北菲利</w:t>
      </w:r>
      <w:r>
        <w:rPr>
          <w:spacing w:val="-66"/>
        </w:rPr>
        <w:t> </w:t>
      </w:r>
      <w:r>
        <w:rPr>
          <w:spacing w:val="-66"/>
        </w:rPr>
      </w:r>
      <w:r>
        <w:rPr/>
        <w:t>华石英玻璃股份有限公司独立董事，视觉</w:t>
      </w:r>
      <w:r>
        <w:rPr>
          <w:rFonts w:ascii="宋体" w:hAnsi="宋体" w:cs="宋体" w:eastAsia="宋体" w:hint="default"/>
        </w:rPr>
        <w:t>(</w:t>
      </w:r>
      <w:r>
        <w:rPr/>
        <w:t>中国</w:t>
      </w:r>
      <w:r>
        <w:rPr>
          <w:rFonts w:ascii="宋体" w:hAnsi="宋体" w:cs="宋体" w:eastAsia="宋体" w:hint="default"/>
        </w:rPr>
        <w:t>)</w:t>
      </w:r>
      <w:r>
        <w:rPr/>
        <w:t>文化发展股份有限公司监事。</w:t>
      </w:r>
    </w:p>
    <w:p>
      <w:pPr>
        <w:pStyle w:val="BodyText"/>
        <w:spacing w:line="319" w:lineRule="auto" w:before="55"/>
        <w:ind w:right="0" w:firstLine="360"/>
        <w:jc w:val="left"/>
      </w:pPr>
      <w:r>
        <w:rPr>
          <w:spacing w:val="-4"/>
        </w:rPr>
        <w:t>王彬，女，中国国籍，无境外居留权，</w:t>
      </w:r>
      <w:r>
        <w:rPr>
          <w:rFonts w:ascii="宋体" w:hAnsi="宋体" w:cs="宋体" w:eastAsia="宋体" w:hint="default"/>
          <w:spacing w:val="-4"/>
        </w:rPr>
        <w:t>1966</w:t>
      </w:r>
      <w:r>
        <w:rPr>
          <w:spacing w:val="-4"/>
        </w:rPr>
        <w:t>年</w:t>
      </w:r>
      <w:r>
        <w:rPr>
          <w:rFonts w:ascii="宋体" w:hAnsi="宋体" w:cs="宋体" w:eastAsia="宋体" w:hint="default"/>
          <w:spacing w:val="-4"/>
        </w:rPr>
        <w:t>6</w:t>
      </w:r>
      <w:r>
        <w:rPr>
          <w:spacing w:val="-4"/>
        </w:rPr>
        <w:t>月出生，中共党员，本科学历，高级经济师。曾任公司综合管理部部长、</w:t>
      </w:r>
      <w:r>
        <w:rPr/>
        <w:t> 企业管理部部长、审计部部长。现任公司职工代表监事、总经理助理、采购二部部长。</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3</w:t>
      </w:r>
      <w:r>
        <w:rPr/>
        <w:t>）高级管理人员</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0"/>
        <w:jc w:val="left"/>
      </w:pPr>
      <w:r>
        <w:rPr/>
        <w:t>吴俊军，见董事简历。 </w:t>
      </w:r>
      <w:r>
        <w:rPr>
          <w:spacing w:val="-2"/>
        </w:rPr>
        <w:t>孙静，女，中国国籍，无境外居留权，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10</w:t>
      </w:r>
      <w:r>
        <w:rPr>
          <w:spacing w:val="-2"/>
        </w:rPr>
        <w:t>月出生，中南财经大学工业会计系毕业，本科学历。曾任公司财务部部</w:t>
      </w:r>
    </w:p>
    <w:p>
      <w:pPr>
        <w:pStyle w:val="BodyText"/>
        <w:spacing w:line="357" w:lineRule="auto"/>
        <w:ind w:left="514" w:right="1122" w:hanging="360"/>
        <w:jc w:val="left"/>
      </w:pPr>
      <w:r>
        <w:rPr/>
        <w:t>长、总经理助理。现任公司副总经理、财务负责人。 代恒，女，中国国籍，无境外居留权，</w:t>
      </w:r>
      <w:r>
        <w:rPr>
          <w:rFonts w:ascii="宋体" w:hAnsi="宋体" w:cs="宋体" w:eastAsia="宋体" w:hint="default"/>
        </w:rPr>
        <w:t>1982</w:t>
      </w:r>
      <w:r>
        <w:rPr/>
        <w:t>年</w:t>
      </w:r>
      <w:r>
        <w:rPr>
          <w:rFonts w:ascii="宋体" w:hAnsi="宋体" w:cs="宋体" w:eastAsia="宋体" w:hint="default"/>
        </w:rPr>
        <w:t>4</w:t>
      </w:r>
      <w:r>
        <w:rPr/>
        <w:t>月出生，本科学历，英语语言文学学士，英语专业八级，取得深圳证券</w:t>
      </w:r>
    </w:p>
    <w:p>
      <w:pPr>
        <w:pStyle w:val="BodyText"/>
        <w:spacing w:line="224" w:lineRule="exact"/>
        <w:ind w:right="0"/>
        <w:jc w:val="left"/>
      </w:pPr>
      <w:r>
        <w:rPr/>
        <w:t>交易所董事会秘书资格证书、厦门国家会计学院企业内部控制构建与营运资金管理培训班结业证书。曾任公司审计部部长、</w:t>
      </w:r>
    </w:p>
    <w:p>
      <w:pPr>
        <w:pStyle w:val="BodyText"/>
        <w:spacing w:line="240" w:lineRule="auto" w:before="77"/>
        <w:ind w:right="0"/>
        <w:jc w:val="left"/>
      </w:pPr>
      <w:r>
        <w:rPr/>
        <w:t>董事会办公室主任。现任公司副总经理、董事会秘书。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、在股东单位任职情况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1187" w:top="1100" w:bottom="1380" w:left="980" w:right="0"/>
        </w:sectPr>
      </w:pPr>
    </w:p>
    <w:p>
      <w:pPr>
        <w:spacing w:line="240" w:lineRule="auto" w:before="6"/>
        <w:rPr>
          <w:rFonts w:ascii="宋体" w:hAnsi="宋体" w:cs="宋体" w:eastAsia="宋体" w:hint="default"/>
          <w:sz w:val="24"/>
          <w:szCs w:val="24"/>
        </w:rPr>
      </w:pPr>
      <w:r>
        <w:rPr/>
        <w:pict>
          <v:group style="position:absolute;margin-left:320.799988pt;margin-top:529.23999pt;width:80.650pt;height:28pt;mso-position-horizontal-relative:page;mso-position-vertical-relative:page;z-index:-788056" coordorigin="6416,10585" coordsize="1613,560">
            <v:group style="position:absolute;left:6416;top:10585;width:1613;height:156" coordorigin="6416,10585" coordsize="1613,156">
              <v:shape style="position:absolute;left:6416;top:10585;width:1613;height:156" coordorigin="6416,10585" coordsize="1613,156" path="m6416,10741l8029,10741,8029,10585,6416,10585,6416,10741xe" filled="true" fillcolor="#ffffff" stroked="false">
                <v:path arrowok="t"/>
                <v:fill type="solid"/>
              </v:shape>
            </v:group>
            <v:group style="position:absolute;left:6427;top:10741;width:2;height:393" coordorigin="6427,10741" coordsize="2,393">
              <v:shape style="position:absolute;left:6427;top:10741;width:2;height:393" coordorigin="6427,10741" coordsize="0,393" path="m6427,10741l6427,11133e" filled="false" stroked="true" strokeweight="1.140pt" strokecolor="#ffffff">
                <v:path arrowok="t"/>
              </v:shape>
            </v:group>
            <v:group style="position:absolute;left:6439;top:10741;width:1568;height:393" coordorigin="6439,10741" coordsize="1568,393">
              <v:shape style="position:absolute;left:6439;top:10741;width:1568;height:393" coordorigin="6439,10741" coordsize="1568,393" path="m6439,11133l8006,11133,8006,10741,6439,10741,6439,11133xe" filled="true" fillcolor="#ffffff" stroked="false">
                <v:path arrowok="t"/>
                <v:fill type="solid"/>
              </v:shape>
            </v:group>
            <w10:wrap type="none"/>
          </v:group>
        </w:pict>
      </w:r>
    </w:p>
    <w:tbl>
      <w:tblPr>
        <w:tblW w:w="0" w:type="auto"/>
        <w:jc w:val="left"/>
        <w:tblInd w:w="329" w:type="dxa"/>
        <w:tblLayout w:type="fixed"/>
        <w:tblCellMar>
          <w:top w:w="0" w:type="dxa"/>
          <w:left w:w="0" w:type="dxa"/>
          <w:bottom w:w="0" w:type="dxa"/>
          <w:right w:w="0" w:type="dxa"/>
        </w:tblCellMar>
        <w:tblLook w:val="01E0"/>
      </w:tblPr>
      <w:tblGrid>
        <w:gridCol w:w="1202"/>
        <w:gridCol w:w="2910"/>
        <w:gridCol w:w="1343"/>
        <w:gridCol w:w="1196"/>
        <w:gridCol w:w="1330"/>
        <w:gridCol w:w="1588"/>
      </w:tblGrid>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朱松青</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熊赟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9"/>
          <w:szCs w:val="19"/>
        </w:rPr>
      </w:pPr>
    </w:p>
    <w:p>
      <w:pPr>
        <w:pStyle w:val="Heading3"/>
        <w:spacing w:line="240" w:lineRule="auto" w:before="35"/>
        <w:ind w:left="334" w:right="0"/>
        <w:jc w:val="left"/>
        <w:rPr>
          <w:b w:val="0"/>
          <w:bCs w:val="0"/>
        </w:rPr>
      </w:pPr>
      <w:r>
        <w:rPr>
          <w:rFonts w:ascii="宋体" w:hAnsi="宋体" w:cs="宋体" w:eastAsia="宋体" w:hint="default"/>
        </w:rPr>
        <w:t>3</w:t>
      </w:r>
      <w:r>
        <w:rPr/>
        <w:t>、在其他单位任职情况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3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57"/>
        <w:gridCol w:w="3220"/>
        <w:gridCol w:w="1412"/>
        <w:gridCol w:w="1622"/>
        <w:gridCol w:w="1571"/>
        <w:gridCol w:w="1380"/>
      </w:tblGrid>
      <w:tr>
        <w:trPr>
          <w:trHeight w:val="71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3" w:right="63"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0"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4" w:right="5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朱松青</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熊赟</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武汉同济科技集团有限公司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华中科技大学出版社有限责任公司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程哲</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武汉光谷金融控股集团有限公司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副总经济师</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武汉光谷产业发展基金管理有限公司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武汉光谷人才创业投资基金有限公司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武汉光谷人才投资管理有限公司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武汉光谷征信管理有限公司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武汉光谷成长创业投资管理有限公司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颜佐辉</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武汉光谷金融控股集团有限公司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 w:right="22" w:hanging="3"/>
              <w:jc w:val="left"/>
              <w:rPr>
                <w:rFonts w:ascii="宋体" w:hAnsi="宋体" w:cs="宋体" w:eastAsia="宋体" w:hint="default"/>
                <w:sz w:val="18"/>
                <w:szCs w:val="18"/>
              </w:rPr>
            </w:pPr>
            <w:r>
              <w:rPr>
                <w:rFonts w:ascii="宋体" w:hAnsi="宋体" w:cs="宋体" w:eastAsia="宋体" w:hint="default"/>
                <w:sz w:val="18"/>
                <w:szCs w:val="18"/>
              </w:rPr>
              <w:t>财务管理</w:t>
            </w:r>
            <w:r>
              <w:rPr>
                <w:rFonts w:ascii="宋体" w:hAnsi="宋体" w:cs="宋体" w:eastAsia="宋体" w:hint="default"/>
                <w:spacing w:val="-85"/>
                <w:sz w:val="18"/>
                <w:szCs w:val="18"/>
              </w:rPr>
              <w:t>部</w:t>
            </w:r>
            <w:r>
              <w:rPr>
                <w:rFonts w:ascii="宋体" w:hAnsi="宋体" w:cs="宋体" w:eastAsia="宋体" w:hint="default"/>
                <w:sz w:val="18"/>
                <w:szCs w:val="18"/>
              </w:rPr>
              <w:t>（融资</w:t>
            </w:r>
            <w:r>
              <w:rPr>
                <w:rFonts w:ascii="宋体" w:hAnsi="宋体" w:cs="宋体" w:eastAsia="宋体" w:hint="default"/>
                <w:sz w:val="18"/>
                <w:szCs w:val="18"/>
              </w:rPr>
              <w:t> 部</w:t>
            </w:r>
            <w:r>
              <w:rPr>
                <w:rFonts w:ascii="宋体" w:hAnsi="宋体" w:cs="宋体" w:eastAsia="宋体" w:hint="default"/>
                <w:spacing w:val="-90"/>
                <w:sz w:val="18"/>
                <w:szCs w:val="18"/>
              </w:rPr>
              <w:t>）</w:t>
            </w:r>
            <w:r>
              <w:rPr>
                <w:rFonts w:ascii="宋体" w:hAnsi="宋体" w:cs="宋体" w:eastAsia="宋体" w:hint="default"/>
                <w:sz w:val="18"/>
                <w:szCs w:val="18"/>
              </w:rPr>
              <w:t>（筹）负责人</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武汉东湖企业信用促进会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余明桂</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武汉大学经济与管理学院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0" w:right="119" w:hanging="228"/>
              <w:jc w:val="left"/>
              <w:rPr>
                <w:rFonts w:ascii="宋体" w:hAnsi="宋体" w:cs="宋体" w:eastAsia="宋体" w:hint="default"/>
                <w:sz w:val="18"/>
                <w:szCs w:val="18"/>
              </w:rPr>
            </w:pPr>
            <w:r>
              <w:rPr>
                <w:rFonts w:ascii="宋体" w:hAnsi="宋体" w:cs="宋体" w:eastAsia="宋体" w:hint="default"/>
                <w:sz w:val="18"/>
                <w:szCs w:val="18"/>
              </w:rPr>
              <w:t>会计学专业教授 博士生导师</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湖北回天新材料股份有限公司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湖北鼎龙控股股份有限公司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银亿股份有限公司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孙震</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华夏芯（北京）通用处理器技术有限公司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20" w:right="22" w:hanging="498"/>
              <w:jc w:val="left"/>
              <w:rPr>
                <w:rFonts w:ascii="宋体" w:hAnsi="宋体" w:cs="宋体" w:eastAsia="宋体" w:hint="default"/>
                <w:sz w:val="18"/>
                <w:szCs w:val="18"/>
              </w:rPr>
            </w:pPr>
            <w:r>
              <w:rPr>
                <w:rFonts w:ascii="宋体" w:hAnsi="宋体" w:cs="宋体" w:eastAsia="宋体" w:hint="default"/>
                <w:spacing w:val="-11"/>
                <w:sz w:val="18"/>
                <w:szCs w:val="18"/>
              </w:rPr>
              <w:t>副总经理、董事会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秘书</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3" w:right="0"/>
              <w:jc w:val="left"/>
              <w:rPr>
                <w:rFonts w:ascii="宋体" w:hAnsi="宋体" w:cs="宋体" w:eastAsia="宋体" w:hint="default"/>
                <w:sz w:val="18"/>
                <w:szCs w:val="18"/>
              </w:rPr>
            </w:pPr>
            <w:r>
              <w:rPr>
                <w:rFonts w:ascii="宋体" w:hAnsi="宋体" w:cs="宋体" w:eastAsia="宋体" w:hint="default"/>
                <w:sz w:val="18"/>
                <w:szCs w:val="18"/>
              </w:rPr>
              <w:t>孙颉</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北京建广资产管理有限公司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0" w:right="23" w:hanging="318"/>
              <w:jc w:val="left"/>
              <w:rPr>
                <w:rFonts w:ascii="宋体" w:hAnsi="宋体" w:cs="宋体" w:eastAsia="宋体" w:hint="default"/>
                <w:sz w:val="18"/>
                <w:szCs w:val="18"/>
              </w:rPr>
            </w:pPr>
            <w:r>
              <w:rPr>
                <w:rFonts w:ascii="宋体" w:hAnsi="宋体" w:cs="宋体" w:eastAsia="宋体" w:hint="default"/>
                <w:spacing w:val="-11"/>
                <w:sz w:val="18"/>
                <w:szCs w:val="18"/>
              </w:rPr>
              <w:t>监事、董事会办公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室副总监</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北京华通芯电科技有限公司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北京瑧果芯能科技有限公司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1187" w:top="1100" w:bottom="1380" w:left="800" w:right="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857"/>
        <w:gridCol w:w="3220"/>
        <w:gridCol w:w="1412"/>
        <w:gridCol w:w="1622"/>
        <w:gridCol w:w="1571"/>
        <w:gridCol w:w="1380"/>
      </w:tblGrid>
      <w:tr>
        <w:trPr>
          <w:trHeight w:val="402"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温州华中科技发展有限公司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武汉华大机械工程有限公司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5"/>
                <w:sz w:val="18"/>
                <w:szCs w:val="18"/>
              </w:rPr>
              <w:t>、</w:t>
            </w:r>
            <w:r>
              <w:rPr>
                <w:rFonts w:ascii="宋体" w:hAnsi="宋体" w:cs="宋体" w:eastAsia="宋体" w:hint="default"/>
                <w:sz w:val="18"/>
                <w:szCs w:val="18"/>
              </w:rPr>
              <w:t>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武汉华科大机电开发有限公司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武汉华胜工程建设科技有限公司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武汉开目信息技术股份有限公司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武汉精典风景园林有限公司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武汉智能装备工业技术研究院有限公司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武汉鑫昶文化有限公司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深圳市华科兆恒科技有限公司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华工制造装备数字化国家工程中心有限 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武汉华中科大建筑规划设计研究院有限 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华中科技大学出版社有限责任公司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武汉同济科技集团有限公司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武汉华宏资产经营管理有限公司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天津市灏洋生物制品科技有限责任公司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天津灏洋华科生物科技有限公司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武汉东湖华珈投资管理有限公司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武汉华创欣网科技有限公司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湖北科华炎帝创业投资有限公司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7" w:type="dxa"/>
            <w:vMerge/>
            <w:tcBorders>
              <w:left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湖北菲利华石英玻璃股份有限公司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7" w:type="dxa"/>
            <w:vMerge/>
            <w:tcBorders>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文化发展股份有限公司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22"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9"/>
          <w:szCs w:val="19"/>
        </w:rPr>
      </w:pPr>
    </w:p>
    <w:p>
      <w:pPr>
        <w:pStyle w:val="Heading3"/>
        <w:spacing w:line="240" w:lineRule="auto" w:before="35"/>
        <w:ind w:left="334" w:right="0"/>
        <w:jc w:val="left"/>
        <w:rPr>
          <w:b w:val="0"/>
          <w:bCs w:val="0"/>
        </w:rPr>
      </w:pPr>
      <w:r>
        <w:rPr>
          <w:rFonts w:ascii="宋体" w:hAnsi="宋体" w:cs="宋体" w:eastAsia="宋体" w:hint="default"/>
        </w:rPr>
        <w:t>4</w:t>
      </w:r>
      <w:r>
        <w:rPr/>
        <w:t>、公司现任及报告期内离任董事、监事和高级管理人员近三年证券监管机构处罚的情况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34" w:right="0"/>
        <w:jc w:val="left"/>
      </w:pPr>
      <w:r>
        <w:rPr/>
        <w:t>□ 适用 √ 不适用</w:t>
      </w:r>
    </w:p>
    <w:p>
      <w:pPr>
        <w:spacing w:after="0" w:line="240" w:lineRule="auto"/>
        <w:jc w:val="left"/>
        <w:sectPr>
          <w:pgSz w:w="11910" w:h="16840"/>
          <w:pgMar w:header="0" w:footer="1187" w:top="1100" w:bottom="1380" w:left="80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384"/>
        <w:gridCol w:w="6184"/>
      </w:tblGrid>
      <w:tr>
        <w:trPr>
          <w:trHeight w:val="740"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
                <w:sz w:val="18"/>
                <w:szCs w:val="18"/>
              </w:rPr>
              <w:t>董事、监事、高级管理人员报酬的决策程序</w:t>
            </w:r>
          </w:p>
        </w:tc>
        <w:tc>
          <w:tcPr>
            <w:tcW w:w="61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公司第七届董事会第七次会议审议通过《</w:t>
            </w:r>
            <w:r>
              <w:rPr>
                <w:rFonts w:ascii="宋体" w:hAnsi="宋体" w:cs="宋体" w:eastAsia="宋体" w:hint="default"/>
                <w:sz w:val="18"/>
                <w:szCs w:val="18"/>
              </w:rPr>
              <w:t>2018</w:t>
            </w:r>
            <w:r>
              <w:rPr>
                <w:rFonts w:ascii="宋体" w:hAnsi="宋体" w:cs="宋体" w:eastAsia="宋体" w:hint="default"/>
                <w:sz w:val="18"/>
                <w:szCs w:val="18"/>
              </w:rPr>
              <w:t>年度经营层薪酬考核方案》，公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司</w:t>
            </w:r>
            <w:r>
              <w:rPr>
                <w:rFonts w:ascii="宋体" w:hAnsi="宋体" w:cs="宋体" w:eastAsia="宋体" w:hint="default"/>
                <w:sz w:val="18"/>
                <w:szCs w:val="18"/>
              </w:rPr>
              <w:t>2017</w:t>
            </w:r>
            <w:r>
              <w:rPr>
                <w:rFonts w:ascii="宋体" w:hAnsi="宋体" w:cs="宋体" w:eastAsia="宋体" w:hint="default"/>
                <w:sz w:val="18"/>
                <w:szCs w:val="18"/>
              </w:rPr>
              <w:t>年年度股东大会审议通过《</w:t>
            </w:r>
            <w:r>
              <w:rPr>
                <w:rFonts w:ascii="宋体" w:hAnsi="宋体" w:cs="宋体" w:eastAsia="宋体" w:hint="default"/>
                <w:sz w:val="18"/>
                <w:szCs w:val="18"/>
              </w:rPr>
              <w:t>2018</w:t>
            </w:r>
            <w:r>
              <w:rPr>
                <w:rFonts w:ascii="宋体" w:hAnsi="宋体" w:cs="宋体" w:eastAsia="宋体" w:hint="default"/>
                <w:sz w:val="18"/>
                <w:szCs w:val="18"/>
              </w:rPr>
              <w:t>年度董事长薪酬考核方案》。</w:t>
            </w:r>
          </w:p>
        </w:tc>
      </w:tr>
      <w:tr>
        <w:trPr>
          <w:trHeight w:val="1051"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23"/>
              <w:jc w:val="center"/>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6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both"/>
              <w:rPr>
                <w:rFonts w:ascii="宋体" w:hAnsi="宋体" w:cs="宋体" w:eastAsia="宋体" w:hint="default"/>
                <w:sz w:val="18"/>
                <w:szCs w:val="18"/>
              </w:rPr>
            </w:pPr>
            <w:r>
              <w:rPr>
                <w:rFonts w:ascii="宋体" w:hAnsi="宋体" w:cs="宋体" w:eastAsia="宋体" w:hint="default"/>
                <w:sz w:val="18"/>
                <w:szCs w:val="18"/>
              </w:rPr>
              <w:t>公司董事和高级管理人员的报酬按照年度薪酬考核方案，结合其履职情况、工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作业绩、忠实与勤勉义务的履行情况等考核确定并发放。公司职工代表监事的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报酬根据公司人力资源部相关规定经考核后发放。</w:t>
            </w:r>
          </w:p>
        </w:tc>
      </w:tr>
      <w:tr>
        <w:trPr>
          <w:trHeight w:val="739"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w:t>
            </w:r>
            <w:r>
              <w:rPr>
                <w:rFonts w:ascii="宋体" w:hAnsi="宋体" w:cs="宋体" w:eastAsia="宋体" w:hint="default"/>
                <w:sz w:val="18"/>
                <w:szCs w:val="18"/>
              </w:rPr>
              <w:t> 情况</w:t>
            </w:r>
          </w:p>
        </w:tc>
        <w:tc>
          <w:tcPr>
            <w:tcW w:w="6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报告期内，公司实际支付董事、监事、高级管理人员（含报告期内离任董事、</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监事、高级管理人员）报酬合计</w:t>
            </w:r>
            <w:r>
              <w:rPr>
                <w:rFonts w:ascii="宋体" w:hAnsi="宋体" w:cs="宋体" w:eastAsia="宋体" w:hint="default"/>
                <w:sz w:val="18"/>
                <w:szCs w:val="18"/>
              </w:rPr>
              <w:t>302.03</w:t>
            </w:r>
            <w:r>
              <w:rPr>
                <w:rFonts w:ascii="宋体" w:hAnsi="宋体" w:cs="宋体" w:eastAsia="宋体" w:hint="default"/>
                <w:sz w:val="18"/>
                <w:szCs w:val="18"/>
              </w:rPr>
              <w:t>万元。</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985"/>
        <w:gridCol w:w="984"/>
        <w:gridCol w:w="1367"/>
        <w:gridCol w:w="1368"/>
        <w:gridCol w:w="1367"/>
        <w:gridCol w:w="1367"/>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熊赟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颜佐辉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302.03</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2"/>
        <w:rPr>
          <w:rFonts w:ascii="宋体" w:hAnsi="宋体" w:cs="宋体" w:eastAsia="宋体" w:hint="default"/>
          <w:b/>
          <w:bCs/>
          <w:sz w:val="20"/>
          <w:szCs w:val="20"/>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宋体" w:hAnsi="宋体" w:cs="宋体" w:eastAsia="宋体" w:hint="default"/>
        </w:rPr>
        <w:t>1</w:t>
      </w:r>
      <w:r>
        <w:rPr/>
        <w:t>、员工数量、专业构成及教育程度</w:t>
      </w:r>
      <w:r>
        <w:rPr>
          <w:b w:val="0"/>
          <w:bCs w:val="0"/>
        </w:rPr>
      </w:r>
    </w:p>
    <w:p>
      <w:pPr>
        <w:spacing w:line="240" w:lineRule="auto" w:before="2"/>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3544"/>
        <w:gridCol w:w="354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1,308</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354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2,780</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 工人数（人）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7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2,780</w:t>
            </w:r>
          </w:p>
        </w:tc>
      </w:tr>
      <w:tr>
        <w:trPr>
          <w:trHeight w:val="402" w:hRule="exact"/>
        </w:trPr>
        <w:tc>
          <w:tcPr>
            <w:tcW w:w="7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1,441</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681</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宋体" w:hAnsi="宋体" w:cs="宋体" w:eastAsia="宋体" w:hint="default"/>
        </w:rPr>
        <w:t>2</w:t>
      </w:r>
      <w:r>
        <w:rPr/>
        <w:t>、薪酬政策</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3" w:firstLine="360"/>
        <w:jc w:val="both"/>
      </w:pPr>
      <w:r>
        <w:rPr>
          <w:spacing w:val="-2"/>
        </w:rPr>
        <w:t>公司建立了较完善的薪酬体系，根据有关法律法规并结合公司实际情况制定并持续完善员工薪酬、绩效考核、员工福利</w:t>
      </w:r>
      <w:r>
        <w:rPr/>
        <w:t> 等制度。在控股子公司制定了股权激励</w:t>
      </w:r>
      <w:r>
        <w:rPr>
          <w:rFonts w:ascii="宋体" w:hAnsi="宋体" w:cs="宋体" w:eastAsia="宋体" w:hint="default"/>
        </w:rPr>
        <w:t>+</w:t>
      </w:r>
      <w:r>
        <w:rPr/>
        <w:t>业绩奖励相结合的激励制度。</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培训计划" w:id="132"/>
      <w:bookmarkEnd w:id="132"/>
      <w:r>
        <w:rPr>
          <w:b w:val="0"/>
          <w:bCs w:val="0"/>
        </w:rPr>
      </w:r>
      <w:r>
        <w:rPr>
          <w:rFonts w:ascii="宋体" w:hAnsi="宋体" w:cs="宋体" w:eastAsia="宋体" w:hint="default"/>
        </w:rPr>
        <w:t>3</w:t>
      </w:r>
      <w:r>
        <w:rPr/>
        <w:t>、培训计划</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公司贯彻落实“建设学习型组织、培育学习型员工”精神，持续优化培训体系，提高培训质量，在对上年度培训效果分</w:t>
      </w:r>
      <w:r>
        <w:rPr/>
        <w:t> </w:t>
      </w:r>
      <w:r>
        <w:rPr>
          <w:spacing w:val="-2"/>
        </w:rPr>
        <w:t>析、评估和总结的基础上，根据公司业务发展需要和员工多样化培训需求制订年度员工培训计划。在师资体系建设方面，完</w:t>
      </w:r>
      <w:r>
        <w:rPr>
          <w:spacing w:val="-66"/>
        </w:rPr>
        <w:t> </w:t>
      </w:r>
      <w:r>
        <w:rPr>
          <w:spacing w:val="-66"/>
        </w:rPr>
      </w:r>
      <w:r>
        <w:rPr>
          <w:spacing w:val="-2"/>
        </w:rPr>
        <w:t>善内部培训师管理与激励机制，调动内部培训师队伍积极性，同时提升讲师知识传递能力；在课程体系构建方面，围绕公司</w:t>
      </w:r>
      <w:r>
        <w:rPr>
          <w:spacing w:val="-66"/>
        </w:rPr>
        <w:t> </w:t>
      </w:r>
      <w:r>
        <w:rPr>
          <w:spacing w:val="-66"/>
        </w:rPr>
      </w:r>
      <w:r>
        <w:rPr>
          <w:spacing w:val="-2"/>
        </w:rPr>
        <w:t>战略制订年度课程计划，不定期更新课程库，为公司内部培训提供资源支撑；在培训实施方面，进一步丰富培训内容，创新</w:t>
      </w:r>
      <w:r>
        <w:rPr>
          <w:spacing w:val="-66"/>
        </w:rPr>
        <w:t> </w:t>
      </w:r>
      <w:r>
        <w:rPr>
          <w:spacing w:val="-66"/>
        </w:rPr>
      </w:r>
      <w:r>
        <w:rPr>
          <w:spacing w:val="-2"/>
        </w:rPr>
        <w:t>培训形式，在按计划推动常规培训的基础上，及时响应特定培训需求，组织开展专项培训，在聚焦提升员工综合能力的同时</w:t>
      </w:r>
      <w:r>
        <w:rPr>
          <w:spacing w:val="-66"/>
        </w:rPr>
        <w:t> </w:t>
      </w:r>
      <w:r>
        <w:rPr>
          <w:spacing w:val="-66"/>
        </w:rPr>
      </w:r>
      <w:r>
        <w:rPr/>
        <w:t>帮助员工明晰职业发展规划。</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3"/>
      <w:bookmarkEnd w:id="133"/>
      <w:r>
        <w:rPr>
          <w:b w:val="0"/>
          <w:bCs w:val="0"/>
        </w:rPr>
      </w:r>
      <w:r>
        <w:rPr>
          <w:rFonts w:ascii="宋体" w:hAnsi="宋体" w:cs="宋体" w:eastAsia="宋体" w:hint="default"/>
        </w:rPr>
        <w:t>4</w:t>
      </w:r>
      <w:r>
        <w:rPr/>
        <w:t>、劳务外包情况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473"/>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spacing w:val="-6"/>
        </w:rPr>
        <w:t>报告期内，公司严格按照《公司法》、《证券法》、《上市公司治理准则》、《深圳证券交易所创业板股票上市规则》、</w:t>
      </w:r>
    </w:p>
    <w:p>
      <w:pPr>
        <w:pStyle w:val="BodyText"/>
        <w:spacing w:line="319" w:lineRule="auto" w:before="76"/>
        <w:ind w:right="1132"/>
        <w:jc w:val="both"/>
      </w:pPr>
      <w:r>
        <w:rPr>
          <w:spacing w:val="-2"/>
        </w:rPr>
        <w:t>《深圳证券交易所创业板上市公司规范运作指引》和其他相关法律、行政法规、部门规章、规范性文件的要求，不断改善公</w:t>
      </w:r>
      <w:r>
        <w:rPr>
          <w:spacing w:val="-66"/>
        </w:rPr>
        <w:t> </w:t>
      </w:r>
      <w:r>
        <w:rPr>
          <w:spacing w:val="-66"/>
        </w:rPr>
      </w:r>
      <w:r>
        <w:rPr>
          <w:spacing w:val="-2"/>
        </w:rPr>
        <w:t>司治理结构，建立健全公司内部控制制度，规范公司内部管理，切实履行信息披露义务，积极开展投资者关系管理工作，提</w:t>
      </w:r>
      <w:r>
        <w:rPr>
          <w:spacing w:val="-66"/>
        </w:rPr>
        <w:t> </w:t>
      </w:r>
      <w:r>
        <w:rPr>
          <w:spacing w:val="-66"/>
        </w:rPr>
      </w:r>
      <w:r>
        <w:rPr>
          <w:spacing w:val="-2"/>
        </w:rPr>
        <w:t>升公司治理水平。截至报告期末，公司治理的实际状况符合中国证监会发布的有关上市公司治理的部门规章、规范性文件和</w:t>
      </w:r>
      <w:r>
        <w:rPr>
          <w:spacing w:val="-66"/>
        </w:rPr>
        <w:t> </w:t>
      </w:r>
      <w:r>
        <w:rPr>
          <w:spacing w:val="-66"/>
        </w:rPr>
      </w:r>
      <w:r>
        <w:rPr/>
        <w:t>深圳证券交易所发布的相关自律规则的要求。</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w:t>
      </w:r>
      <w:r>
        <w:rPr/>
        <w:t>、股东与股东大会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2" w:firstLine="360"/>
        <w:jc w:val="both"/>
      </w:pPr>
      <w:r>
        <w:rPr>
          <w:spacing w:val="-2"/>
        </w:rPr>
        <w:t>公司严格按照《公司章程》、公司《股东大会议事规则》、《中小投资者单独计票管理办法》的规定召集、召开股东大</w:t>
      </w:r>
      <w:r>
        <w:rPr/>
        <w:t> </w:t>
      </w:r>
      <w:r>
        <w:rPr>
          <w:spacing w:val="-2"/>
        </w:rPr>
        <w:t>会。公司召开股东大会全面采取现场投票与网络投票结合的方式，审议影响中小投资者利益的重大事项时对中小投资者表决</w:t>
      </w:r>
      <w:r>
        <w:rPr>
          <w:spacing w:val="-64"/>
        </w:rPr>
        <w:t> </w:t>
      </w:r>
      <w:r>
        <w:rPr>
          <w:spacing w:val="-64"/>
        </w:rPr>
      </w:r>
      <w:r>
        <w:rPr>
          <w:spacing w:val="-2"/>
        </w:rPr>
        <w:t>单独计票，并及时披露中小投资者的表决结果，确保全体股东特别是中小股东享有平等地位，保障股东对公司重大事项的知</w:t>
      </w:r>
      <w:r>
        <w:rPr>
          <w:spacing w:val="-66"/>
        </w:rPr>
        <w:t> </w:t>
      </w:r>
      <w:r>
        <w:rPr>
          <w:spacing w:val="-66"/>
        </w:rPr>
      </w:r>
      <w:r>
        <w:rPr/>
        <w:t>情、参与决策和监督等权利。</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w:t>
      </w:r>
      <w:r>
        <w:rPr/>
        <w:t>、董事与董事会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032" w:firstLine="360"/>
        <w:jc w:val="left"/>
      </w:pPr>
      <w:r>
        <w:rPr/>
        <w:t>公司董事会有</w:t>
      </w:r>
      <w:r>
        <w:rPr>
          <w:rFonts w:ascii="宋体" w:hAnsi="宋体" w:cs="宋体" w:eastAsia="宋体" w:hint="default"/>
        </w:rPr>
        <w:t>9</w:t>
      </w:r>
      <w:r>
        <w:rPr/>
        <w:t>名董事，其中</w:t>
      </w:r>
      <w:r>
        <w:rPr>
          <w:rFonts w:ascii="宋体" w:hAnsi="宋体" w:cs="宋体" w:eastAsia="宋体" w:hint="default"/>
        </w:rPr>
        <w:t>3</w:t>
      </w:r>
      <w:r>
        <w:rPr/>
        <w:t>名独立董事，董事的选举程序、董事会的人数及人员构成符合法律、法规和《公司章程》 </w:t>
      </w:r>
      <w:r>
        <w:rPr>
          <w:spacing w:val="-5"/>
        </w:rPr>
        <w:t>的要求。公司董事依据《深圳证券交易所创业板上市公司规范运作指引》、公司《董事会议事规则》、《独立董事工作制度》</w:t>
      </w:r>
      <w:r>
        <w:rPr>
          <w:spacing w:val="-81"/>
        </w:rPr>
        <w:t> </w:t>
      </w:r>
      <w:r>
        <w:rPr>
          <w:spacing w:val="-81"/>
        </w:rPr>
      </w:r>
      <w:r>
        <w:rPr>
          <w:spacing w:val="-2"/>
        </w:rPr>
        <w:t>等开展工作，出席公司董事会，列席公司股东大会，勤勉尽责地履行职责和义务，同时积极参加相关培训，熟悉相关法律法</w:t>
      </w:r>
      <w:r>
        <w:rPr>
          <w:spacing w:val="-66"/>
        </w:rPr>
        <w:t> </w:t>
      </w:r>
      <w:r>
        <w:rPr>
          <w:spacing w:val="-66"/>
        </w:rPr>
      </w:r>
      <w:r>
        <w:rPr/>
        <w:t>规。公司董事会的召集、召开符合法律、行政法规、部门规章、规范性文件和《公司章程》等制度的有关规定。</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3</w:t>
      </w:r>
      <w:r>
        <w:rPr/>
        <w:t>、监事与监事会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0" w:firstLine="360"/>
        <w:jc w:val="both"/>
      </w:pPr>
      <w:r>
        <w:rPr>
          <w:spacing w:val="-2"/>
        </w:rPr>
        <w:t>公司监事会有</w:t>
      </w:r>
      <w:r>
        <w:rPr>
          <w:rFonts w:ascii="宋体" w:hAnsi="宋体" w:cs="宋体" w:eastAsia="宋体" w:hint="default"/>
          <w:spacing w:val="-2"/>
        </w:rPr>
        <w:t>3</w:t>
      </w:r>
      <w:r>
        <w:rPr>
          <w:spacing w:val="-2"/>
        </w:rPr>
        <w:t>名监事，其中</w:t>
      </w:r>
      <w:r>
        <w:rPr>
          <w:rFonts w:ascii="宋体" w:hAnsi="宋体" w:cs="宋体" w:eastAsia="宋体" w:hint="default"/>
          <w:spacing w:val="-2"/>
        </w:rPr>
        <w:t>1</w:t>
      </w:r>
      <w:r>
        <w:rPr>
          <w:spacing w:val="-2"/>
        </w:rPr>
        <w:t>名职工代表监事，监事的选举程序、监事会的人数及人员构成符合法律、法规和《公司章</w:t>
      </w:r>
      <w:r>
        <w:rPr/>
        <w:t> </w:t>
      </w:r>
      <w:r>
        <w:rPr>
          <w:spacing w:val="-2"/>
        </w:rPr>
        <w:t>程》的要求。公司监事按照公司《监事会议事规则》的要求，认真履行监督职责，对公司重大事项、关联交易、财务状况以</w:t>
      </w:r>
      <w:r>
        <w:rPr>
          <w:spacing w:val="-67"/>
        </w:rPr>
        <w:t> </w:t>
      </w:r>
      <w:r>
        <w:rPr>
          <w:spacing w:val="-67"/>
        </w:rPr>
      </w:r>
      <w:r>
        <w:rPr>
          <w:spacing w:val="-2"/>
        </w:rPr>
        <w:t>及董事、高级管理人员履行职责的合法合规性进行监督。公司监事会的召集、召开符合法律、行政法规、部门规章、规范性</w:t>
      </w:r>
      <w:r>
        <w:rPr>
          <w:spacing w:val="-68"/>
        </w:rPr>
        <w:t> </w:t>
      </w:r>
      <w:r>
        <w:rPr>
          <w:spacing w:val="-68"/>
        </w:rPr>
      </w:r>
      <w:r>
        <w:rPr/>
        <w:t>文件和《公司章程》等制度的有关规定。</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4</w:t>
      </w:r>
      <w:r>
        <w:rPr/>
        <w:t>、关联交易</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2" w:firstLine="360"/>
        <w:jc w:val="both"/>
      </w:pPr>
      <w:r>
        <w:rPr>
          <w:spacing w:val="-2"/>
        </w:rPr>
        <w:t>公司严格按照有关法律、法规、《公司章程》、公司《关联交易管理制度》、《关联交易管理细则》的规定审核、披露</w:t>
      </w:r>
      <w:r>
        <w:rPr/>
        <w:t> 公司各项关联交易事项，公司关联交易价格公允，不存在损害公司利益、中小股东利益及违规操作的情况。</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5</w:t>
      </w:r>
      <w:r>
        <w:rPr/>
        <w:t>、绩效评价与激励约束机制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2" w:firstLine="360"/>
        <w:jc w:val="both"/>
      </w:pPr>
      <w:r>
        <w:rPr>
          <w:spacing w:val="-2"/>
        </w:rPr>
        <w:t>公司董事的薪酬由股东大会决定，高级管理人员的薪酬由董事会决定。公司经营层的薪酬与公司经营业绩、根据公司经</w:t>
      </w:r>
      <w:r>
        <w:rPr/>
        <w:t> 营目标制定的关键管理工作相关指标挂钩。</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6</w:t>
      </w:r>
      <w:r>
        <w:rPr/>
        <w:t>、信息披露与透明度</w:t>
      </w:r>
      <w:r>
        <w:rPr>
          <w:b w:val="0"/>
          <w:bCs w:val="0"/>
        </w:rPr>
      </w:r>
    </w:p>
    <w:p>
      <w:pPr>
        <w:spacing w:after="0" w:line="240" w:lineRule="auto"/>
        <w:jc w:val="both"/>
        <w:sectPr>
          <w:pgSz w:w="11910" w:h="16840"/>
          <w:pgMar w:header="0" w:footer="1187" w:top="1100" w:bottom="1380" w:left="980" w:right="0"/>
        </w:sectPr>
      </w:pPr>
    </w:p>
    <w:p>
      <w:pPr>
        <w:spacing w:line="240" w:lineRule="auto" w:before="12"/>
        <w:rPr>
          <w:rFonts w:ascii="宋体" w:hAnsi="宋体" w:cs="宋体" w:eastAsia="宋体" w:hint="default"/>
          <w:b/>
          <w:bCs/>
          <w:sz w:val="21"/>
          <w:szCs w:val="21"/>
        </w:rPr>
      </w:pPr>
    </w:p>
    <w:p>
      <w:pPr>
        <w:pStyle w:val="BodyText"/>
        <w:spacing w:line="319" w:lineRule="auto" w:before="44"/>
        <w:ind w:right="1032" w:firstLine="360"/>
        <w:jc w:val="left"/>
      </w:pPr>
      <w:r>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w:t>
      </w:r>
      <w:r>
        <w:rPr>
          <w:spacing w:val="-85"/>
        </w:rPr>
        <w:t> </w:t>
      </w:r>
      <w:r>
        <w:rPr>
          <w:spacing w:val="-85"/>
        </w:rPr>
      </w:r>
      <w:r>
        <w:rPr>
          <w:spacing w:val="-6"/>
        </w:rPr>
        <w:t>回答投资者咨询；指定《中国证券报》、《证券时报》、《上海证券报》、《证券日报》和巨潮资讯网（</w:t>
      </w:r>
      <w:hyperlink r:id="rId13">
        <w:r>
          <w:rPr>
            <w:rFonts w:ascii="宋体" w:hAnsi="宋体" w:cs="宋体" w:eastAsia="宋体" w:hint="default"/>
            <w:spacing w:val="-6"/>
          </w:rPr>
          <w:t>www.cninfo.com.cn</w:t>
        </w:r>
      </w:hyperlink>
      <w:r>
        <w:rPr>
          <w:spacing w:val="-6"/>
        </w:rPr>
        <w:t>）</w:t>
      </w:r>
      <w:r>
        <w:rPr>
          <w:spacing w:val="-64"/>
        </w:rPr>
        <w:t> </w:t>
      </w:r>
      <w:r>
        <w:rPr/>
        <w:t>为公司信息披露报纸和网站，确保公司所有股东能够以平等的机会获得信息。</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7</w:t>
      </w:r>
      <w:r>
        <w:rPr/>
        <w:t>、利益相关者</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right="3552" w:firstLine="360"/>
        <w:jc w:val="left"/>
      </w:pPr>
      <w:r>
        <w:rPr/>
        <w:t>公司尊重和维护利益相关者的合法权利，协调平衡股东、员工、社会等各方利益。 公司治理的实际状况与中国证监会发布的有关上市公司治理的规范性文件是否存在重大差异</w:t>
      </w:r>
    </w:p>
    <w:p>
      <w:pPr>
        <w:pStyle w:val="BodyText"/>
        <w:spacing w:line="203" w:lineRule="exact"/>
        <w:ind w:right="0"/>
        <w:jc w:val="left"/>
      </w:pPr>
      <w:r>
        <w:rPr/>
        <w:t>□ 是 √ 否</w:t>
      </w:r>
    </w:p>
    <w:p>
      <w:pPr>
        <w:pStyle w:val="BodyText"/>
        <w:spacing w:line="240" w:lineRule="auto" w:before="117"/>
        <w:ind w:left="514"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公司的重大决策由股东大会和董事会依法作出。公司控股股东严格规范其行为，未直接或间接干预公司的决策及依法开</w:t>
      </w:r>
      <w:r>
        <w:rPr/>
        <w:t> 展的生产经营活动。公司拥有自主经营能力，在业务、人员、资产、机构、财务上独立于控股股东。</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1702"/>
        <w:gridCol w:w="1560"/>
        <w:gridCol w:w="2903"/>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年年度股 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48.63%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年年度股东大会决议公告》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2018-022</w:t>
            </w:r>
            <w:r>
              <w:rPr>
                <w:rFonts w:ascii="宋体" w:hAnsi="宋体" w:cs="宋体" w:eastAsia="宋体" w:hint="default"/>
                <w:sz w:val="18"/>
                <w:szCs w:val="18"/>
              </w:rPr>
              <w:t>）</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49.89%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6"/>
              <w:ind w:left="22" w:right="1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2018-028</w:t>
            </w:r>
            <w:r>
              <w:rPr>
                <w:rFonts w:ascii="宋体" w:hAnsi="宋体" w:cs="宋体" w:eastAsia="宋体" w:hint="default"/>
                <w:spacing w:val="-5"/>
                <w:sz w:val="18"/>
                <w:szCs w:val="18"/>
              </w:rPr>
              <w:t>）</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48.63%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6"/>
              <w:ind w:left="22" w:right="1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2018-038</w:t>
            </w:r>
            <w:r>
              <w:rPr>
                <w:rFonts w:ascii="宋体" w:hAnsi="宋体" w:cs="宋体" w:eastAsia="宋体" w:hint="default"/>
                <w:spacing w:val="-5"/>
                <w:sz w:val="18"/>
                <w:szCs w:val="18"/>
              </w:rPr>
              <w:t>）</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49.89%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6"/>
              <w:ind w:left="22" w:right="1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2018-049</w:t>
            </w:r>
            <w:r>
              <w:rPr>
                <w:rFonts w:ascii="宋体" w:hAnsi="宋体" w:cs="宋体" w:eastAsia="宋体" w:hint="default"/>
                <w:spacing w:val="-5"/>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1"/>
      <w:bookmarkEnd w:id="141"/>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0"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864"/>
        <w:gridCol w:w="1560"/>
        <w:gridCol w:w="1064"/>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7" w:right="65"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r>
    </w:tbl>
    <w:p>
      <w:pPr>
        <w:spacing w:line="240" w:lineRule="auto" w:before="9"/>
        <w:rPr>
          <w:rFonts w:ascii="宋体" w:hAnsi="宋体" w:cs="宋体" w:eastAsia="宋体" w:hint="default"/>
          <w:b/>
          <w:bCs/>
          <w:sz w:val="6"/>
          <w:szCs w:val="6"/>
        </w:rPr>
      </w:pPr>
    </w:p>
    <w:p>
      <w:pPr>
        <w:pStyle w:val="BodyText"/>
        <w:spacing w:line="360" w:lineRule="auto" w:before="44"/>
        <w:ind w:left="514" w:right="5892" w:hanging="360"/>
        <w:jc w:val="left"/>
      </w:pPr>
      <w:r>
        <w:rPr/>
        <w:t>连续两次未亲自出席董事会的说明 公司独立董事不存在连续两次未亲自出席董事会的情况。</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独立董事对公司有关事项提出异议的情况" w:id="144"/>
      <w:bookmarkEnd w:id="144"/>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both"/>
      </w:pPr>
      <w:r>
        <w:rPr/>
        <w:t>独立董事对公司有关事项是否提出异议</w:t>
      </w:r>
    </w:p>
    <w:p>
      <w:pPr>
        <w:pStyle w:val="BodyText"/>
        <w:spacing w:line="240" w:lineRule="auto" w:before="116"/>
        <w:ind w:right="0"/>
        <w:jc w:val="both"/>
      </w:pPr>
      <w:r>
        <w:rPr/>
        <w:t>□ 是 √ 否</w:t>
      </w:r>
    </w:p>
    <w:p>
      <w:pPr>
        <w:pStyle w:val="BodyText"/>
        <w:spacing w:line="240" w:lineRule="auto" w:before="117"/>
        <w:ind w:left="514" w:right="0"/>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独立董事履行职责的其他说明" w:id="145"/>
      <w:bookmarkEnd w:id="145"/>
      <w:r>
        <w:rPr>
          <w:b w:val="0"/>
          <w:bCs w:val="0"/>
        </w:rPr>
      </w:r>
      <w:r>
        <w:rPr>
          <w:rFonts w:ascii="宋体" w:hAnsi="宋体" w:cs="宋体" w:eastAsia="宋体" w:hint="default"/>
        </w:rPr>
        <w:t>3</w:t>
      </w:r>
      <w:r>
        <w:rPr/>
        <w:t>、独立董事履行职责的其他说明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both"/>
      </w:pPr>
      <w:r>
        <w:rPr/>
        <w:t>独立董事对公司有关建议是否被采纳</w:t>
      </w:r>
    </w:p>
    <w:p>
      <w:pPr>
        <w:pStyle w:val="BodyText"/>
        <w:spacing w:line="439" w:lineRule="auto" w:before="116"/>
        <w:ind w:right="6792"/>
        <w:jc w:val="left"/>
      </w:pPr>
      <w:r>
        <w:rPr/>
        <w:t>√ 是 □ 否 独立董事对公司有关建议被采纳或未被采纳的说明</w:t>
      </w:r>
    </w:p>
    <w:p>
      <w:pPr>
        <w:pStyle w:val="BodyText"/>
        <w:spacing w:line="202" w:lineRule="exact"/>
        <w:ind w:right="0" w:firstLine="360"/>
        <w:jc w:val="both"/>
      </w:pPr>
      <w:r>
        <w:rPr/>
        <w:t>公司独立董事严格按照中国证监会和深圳证券交易所的有关规定及《公司章程》、《董事会议事规则》、《独立董事工</w:t>
      </w:r>
    </w:p>
    <w:p>
      <w:pPr>
        <w:pStyle w:val="BodyText"/>
        <w:spacing w:line="319" w:lineRule="auto" w:before="76"/>
        <w:ind w:right="1130"/>
        <w:jc w:val="both"/>
      </w:pPr>
      <w:r>
        <w:rPr>
          <w:spacing w:val="-2"/>
        </w:rPr>
        <w:t>作制度》履行职责，积极参加董事会会议，认真审议各项议案，对报告期内公司年度利润分配预案、续聘年度审计机构、年</w:t>
      </w:r>
      <w:r>
        <w:rPr>
          <w:spacing w:val="-67"/>
        </w:rPr>
        <w:t> </w:t>
      </w:r>
      <w:r>
        <w:rPr>
          <w:spacing w:val="-67"/>
        </w:rPr>
      </w:r>
      <w:r>
        <w:rPr>
          <w:spacing w:val="-2"/>
        </w:rPr>
        <w:t>度经营层薪酬考核方案、年度内部控制评价报告、计提资产减值准备、关联交易、委托理财、提名董事候选人、子公司天喻</w:t>
      </w:r>
      <w:r>
        <w:rPr>
          <w:spacing w:val="-67"/>
        </w:rPr>
        <w:t> </w:t>
      </w:r>
      <w:r>
        <w:rPr>
          <w:spacing w:val="-67"/>
        </w:rPr>
      </w:r>
      <w:r>
        <w:rPr>
          <w:spacing w:val="-2"/>
        </w:rPr>
        <w:t>教育股权收购暨股权质押等事项发表了独立意见；同时密切关注公司经营情况，结合自身专业特长在公司业务发展、财务管</w:t>
      </w:r>
      <w:r>
        <w:rPr>
          <w:spacing w:val="-66"/>
        </w:rPr>
        <w:t> </w:t>
      </w:r>
      <w:r>
        <w:rPr>
          <w:spacing w:val="-66"/>
        </w:rPr>
      </w:r>
      <w:r>
        <w:rPr>
          <w:spacing w:val="-2"/>
        </w:rPr>
        <w:t>理、投资决策、资本运作等方面提出了专业性建议，为完善公司监督机制，维护公司和全体股东的合法权益发挥了重要的作</w:t>
      </w:r>
      <w:r>
        <w:rPr>
          <w:spacing w:val="-66"/>
        </w:rPr>
        <w:t> </w:t>
      </w:r>
      <w:r>
        <w:rPr>
          <w:spacing w:val="-66"/>
        </w:rPr>
      </w:r>
      <w:r>
        <w:rPr/>
        <w:t>用。</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报告期内，公司董事会下设审计委员会共召开四次会议，审议通过了公司关联交易情况报告、内部控制评价报告、财务</w:t>
      </w:r>
      <w:r>
        <w:rPr/>
        <w:t> </w:t>
      </w:r>
      <w:r>
        <w:rPr>
          <w:spacing w:val="-2"/>
        </w:rPr>
        <w:t>报告、续聘年度审计机构、内部审计工作报告及计划等事项。审计委员会围绕年报编制及财务报表审计，按照公司《董事会</w:t>
      </w:r>
      <w:r>
        <w:rPr>
          <w:spacing w:val="-66"/>
        </w:rPr>
        <w:t> </w:t>
      </w:r>
      <w:r>
        <w:rPr>
          <w:spacing w:val="-66"/>
        </w:rPr>
      </w:r>
      <w:r>
        <w:rPr>
          <w:spacing w:val="-2"/>
        </w:rPr>
        <w:t>审计委员会年度报告工作制度》的要求，认真听取经营层对公司生产经营情况及重大事项进展情况的汇报，并与年审注册会</w:t>
      </w:r>
      <w:r>
        <w:rPr>
          <w:spacing w:val="-66"/>
        </w:rPr>
        <w:t> </w:t>
      </w:r>
      <w:r>
        <w:rPr>
          <w:spacing w:val="-66"/>
        </w:rPr>
      </w:r>
      <w:r>
        <w:rPr/>
        <w:t>计师就关键审计事项进行了事前、事中、事后沟通，督促年审注册会计师按时完成审计工作。</w:t>
      </w:r>
    </w:p>
    <w:p>
      <w:pPr>
        <w:spacing w:after="0" w:line="319" w:lineRule="auto"/>
        <w:jc w:val="both"/>
        <w:sectPr>
          <w:pgSz w:w="11910" w:h="16840"/>
          <w:pgMar w:header="0" w:footer="1187" w:top="1100" w:bottom="13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6"/>
        <w:ind w:right="0"/>
        <w:jc w:val="left"/>
      </w:pPr>
      <w:r>
        <w:rPr/>
        <w:t>□ 是 √ 否</w:t>
      </w:r>
    </w:p>
    <w:p>
      <w:pPr>
        <w:pStyle w:val="BodyText"/>
        <w:spacing w:line="240" w:lineRule="auto" w:before="117"/>
        <w:ind w:left="495" w:right="6971"/>
        <w:jc w:val="center"/>
      </w:pPr>
      <w:r>
        <w:rPr/>
        <w:t>公司监事会对报告期内的监督事项无异议。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公司高级管理人员的薪酬由基本年薪和年终业绩奖励组成。其中，基本年薪主要与岗位、资历经验、任职年限挂钩，年</w:t>
      </w:r>
      <w:r>
        <w:rPr/>
        <w:t> </w:t>
      </w:r>
      <w:r>
        <w:rPr>
          <w:spacing w:val="-2"/>
        </w:rPr>
        <w:t>终业绩奖励与公司经营业绩、重要经营管理指标挂钩。公司根据年度经营目标完成情况以及高级管理人员的工作业绩对高级</w:t>
      </w:r>
      <w:r>
        <w:rPr>
          <w:spacing w:val="-64"/>
        </w:rPr>
        <w:t> </w:t>
      </w:r>
      <w:r>
        <w:rPr>
          <w:spacing w:val="-64"/>
        </w:rPr>
      </w:r>
      <w:r>
        <w:rPr/>
        <w:t>管理人员进行年度绩效考核并确定年终业绩奖励。</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0"/>
      <w:bookmarkEnd w:id="150"/>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51"/>
      <w:bookmarkEnd w:id="151"/>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年度内部控制评价报告》</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 表资产总额的比例</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99.89%</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 表营业收入的比例</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缺陷认定标准" w:id="152"/>
      <w:bookmarkEnd w:id="152"/>
      <w:r>
        <w:rPr>
          <w:b w:val="0"/>
          <w:bCs w:val="0"/>
        </w:rPr>
      </w:r>
      <w:r>
        <w:rPr>
          <w:rFonts w:ascii="宋体" w:hAnsi="宋体" w:cs="宋体" w:eastAsia="宋体" w:hint="default"/>
        </w:rPr>
        <w:t>3</w:t>
      </w:r>
      <w:r>
        <w:rPr/>
        <w:t>、缺陷认定标准</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4"/>
        <w:ind w:right="0"/>
        <w:jc w:val="left"/>
        <w:rPr>
          <w:b w:val="0"/>
          <w:bCs w:val="0"/>
        </w:rPr>
      </w:pPr>
      <w:bookmarkStart w:name="（1）财务报告内部控制缺陷认定标准" w:id="153"/>
      <w:bookmarkEnd w:id="153"/>
      <w:r>
        <w:rPr>
          <w:b w:val="0"/>
          <w:bCs w:val="0"/>
        </w:rPr>
      </w:r>
      <w:r>
        <w:rPr/>
        <w:t>（</w:t>
      </w:r>
      <w:r>
        <w:rPr>
          <w:rFonts w:ascii="宋体" w:hAnsi="宋体" w:cs="宋体" w:eastAsia="宋体" w:hint="default"/>
        </w:rPr>
        <w:t>1</w:t>
      </w:r>
      <w:r>
        <w:rPr/>
        <w:t>）财务报告内部控制缺陷认定标准</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ind w:right="0"/>
        <w:jc w:val="left"/>
      </w:pPr>
      <w:r>
        <w:rPr/>
        <w:t>财务报告内部控制缺陷评价的定量标准</w:t>
      </w:r>
    </w:p>
    <w:p>
      <w:pPr>
        <w:spacing w:line="240" w:lineRule="auto" w:before="0"/>
        <w:rPr>
          <w:rFonts w:ascii="宋体" w:hAnsi="宋体" w:cs="宋体" w:eastAsia="宋体" w:hint="default"/>
          <w:sz w:val="14"/>
          <w:szCs w:val="14"/>
        </w:rPr>
      </w:pPr>
    </w:p>
    <w:tbl>
      <w:tblPr>
        <w:tblW w:w="0" w:type="auto"/>
        <w:jc w:val="left"/>
        <w:tblInd w:w="216" w:type="dxa"/>
        <w:tblLayout w:type="fixed"/>
        <w:tblCellMar>
          <w:top w:w="0" w:type="dxa"/>
          <w:left w:w="0" w:type="dxa"/>
          <w:bottom w:w="0" w:type="dxa"/>
          <w:right w:w="0" w:type="dxa"/>
        </w:tblCellMar>
        <w:tblLook w:val="01E0"/>
      </w:tblPr>
      <w:tblGrid>
        <w:gridCol w:w="992"/>
        <w:gridCol w:w="1219"/>
        <w:gridCol w:w="3038"/>
        <w:gridCol w:w="1276"/>
        <w:gridCol w:w="2980"/>
      </w:tblGrid>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5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40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9" w:lineRule="auto"/>
              <w:ind w:left="-1" w:right="127"/>
              <w:jc w:val="left"/>
              <w:rPr>
                <w:rFonts w:ascii="宋体" w:hAnsi="宋体" w:cs="宋体" w:eastAsia="宋体" w:hint="default"/>
                <w:sz w:val="18"/>
                <w:szCs w:val="18"/>
              </w:rPr>
            </w:pPr>
            <w:r>
              <w:rPr>
                <w:rFonts w:ascii="宋体" w:hAnsi="宋体" w:cs="宋体" w:eastAsia="宋体" w:hint="default"/>
                <w:sz w:val="18"/>
                <w:szCs w:val="18"/>
              </w:rPr>
              <w:t>财务报告错报 金额大于等于</w:t>
            </w: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2,500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8"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1" w:right="127"/>
              <w:jc w:val="left"/>
              <w:rPr>
                <w:rFonts w:ascii="宋体" w:hAnsi="宋体" w:cs="宋体" w:eastAsia="宋体" w:hint="default"/>
                <w:sz w:val="18"/>
                <w:szCs w:val="18"/>
              </w:rPr>
            </w:pPr>
            <w:r>
              <w:rPr>
                <w:rFonts w:ascii="宋体" w:hAnsi="宋体" w:cs="宋体" w:eastAsia="宋体" w:hint="default"/>
                <w:sz w:val="18"/>
                <w:szCs w:val="18"/>
              </w:rPr>
              <w:t>财务报告错报 金额小于</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55"/>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500 </w:t>
            </w:r>
            <w:r>
              <w:rPr>
                <w:rFonts w:ascii="宋体" w:hAnsi="宋体" w:cs="宋体" w:eastAsia="宋体" w:hint="default"/>
                <w:sz w:val="18"/>
                <w:szCs w:val="18"/>
              </w:rPr>
              <w:t>万元</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且大于等于</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3"/>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，且绝对金额大于等于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45"/>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2,500 </w:t>
            </w:r>
            <w:r>
              <w:rPr>
                <w:rFonts w:ascii="宋体" w:hAnsi="宋体" w:cs="宋体" w:eastAsia="宋体" w:hint="default"/>
                <w:sz w:val="18"/>
                <w:szCs w:val="18"/>
              </w:rPr>
              <w:t>万元</w:t>
            </w:r>
          </w:p>
        </w:tc>
        <w:tc>
          <w:tcPr>
            <w:tcW w:w="1276" w:type="dxa"/>
            <w:vMerge/>
            <w:tcBorders>
              <w:left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3"/>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，且绝对金额大于等于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01"/>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，且绝对金额小于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vMerge/>
            <w:tcBorders>
              <w:left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3"/>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，且绝对金额大 于等于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714" w:hRule="exact"/>
        </w:trPr>
        <w:tc>
          <w:tcPr>
            <w:tcW w:w="99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，且绝对金额小于</w:t>
            </w:r>
            <w:r>
              <w:rPr>
                <w:rFonts w:ascii="宋体" w:hAnsi="宋体" w:cs="宋体" w:eastAsia="宋体" w:hint="default"/>
                <w:spacing w:val="-44"/>
                <w:sz w:val="18"/>
                <w:szCs w:val="18"/>
              </w:rPr>
              <w:t> </w:t>
            </w:r>
            <w:r>
              <w:rPr>
                <w:rFonts w:ascii="宋体" w:hAnsi="宋体" w:cs="宋体" w:eastAsia="宋体" w:hint="default"/>
                <w:sz w:val="18"/>
                <w:szCs w:val="18"/>
              </w:rPr>
              <w:t>3,000 </w:t>
            </w:r>
            <w:r>
              <w:rPr>
                <w:rFonts w:ascii="宋体" w:hAnsi="宋体" w:cs="宋体" w:eastAsia="宋体" w:hint="default"/>
                <w:sz w:val="18"/>
                <w:szCs w:val="18"/>
              </w:rPr>
              <w:t>万元</w:t>
            </w:r>
          </w:p>
        </w:tc>
        <w:tc>
          <w:tcPr>
            <w:tcW w:w="1276" w:type="dxa"/>
            <w:vMerge/>
            <w:tcBorders>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3"/>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，且绝对金额大于等于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 w:right="127"/>
              <w:jc w:val="left"/>
              <w:rPr>
                <w:rFonts w:ascii="宋体" w:hAnsi="宋体" w:cs="宋体" w:eastAsia="宋体" w:hint="default"/>
                <w:sz w:val="18"/>
                <w:szCs w:val="18"/>
              </w:rPr>
            </w:pPr>
            <w:r>
              <w:rPr>
                <w:rFonts w:ascii="宋体" w:hAnsi="宋体" w:cs="宋体" w:eastAsia="宋体" w:hint="default"/>
                <w:sz w:val="18"/>
                <w:szCs w:val="18"/>
              </w:rPr>
              <w:t>财务报告错报 金额小于</w:t>
            </w: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8" w:hRule="exact"/>
        </w:trPr>
        <w:tc>
          <w:tcPr>
            <w:tcW w:w="99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BodyText"/>
        <w:spacing w:line="316" w:lineRule="auto" w:before="51"/>
        <w:ind w:right="1032"/>
        <w:jc w:val="left"/>
      </w:pPr>
      <w:r>
        <w:rPr/>
        <w:t>注：如同属上述四个指标的缺陷衡量范围，采用孰低原则；上述指标均采用最近一个会计年度经审计的合并财务报表数据，</w:t>
      </w:r>
      <w:r>
        <w:rPr>
          <w:spacing w:val="-85"/>
        </w:rPr>
        <w:t> </w:t>
      </w:r>
      <w:r>
        <w:rPr>
          <w:spacing w:val="-85"/>
        </w:rPr>
      </w:r>
      <w:r>
        <w:rPr/>
        <w:t>如数据为负值，取其绝对值计算。</w:t>
      </w:r>
    </w:p>
    <w:p>
      <w:pPr>
        <w:pStyle w:val="BodyText"/>
        <w:spacing w:line="240" w:lineRule="auto" w:before="136"/>
        <w:ind w:right="0"/>
        <w:jc w:val="left"/>
      </w:pPr>
      <w:r>
        <w:rPr/>
        <w:t>财务报告内部控制缺陷评价的定性标准</w:t>
      </w:r>
    </w:p>
    <w:p>
      <w:pPr>
        <w:spacing w:line="240" w:lineRule="auto" w:before="1"/>
        <w:rPr>
          <w:rFonts w:ascii="宋体" w:hAnsi="宋体" w:cs="宋体" w:eastAsia="宋体" w:hint="default"/>
          <w:sz w:val="14"/>
          <w:szCs w:val="14"/>
        </w:rPr>
      </w:pPr>
    </w:p>
    <w:tbl>
      <w:tblPr>
        <w:tblW w:w="0" w:type="auto"/>
        <w:jc w:val="left"/>
        <w:tblInd w:w="203" w:type="dxa"/>
        <w:tblLayout w:type="fixed"/>
        <w:tblCellMar>
          <w:top w:w="0" w:type="dxa"/>
          <w:left w:w="0" w:type="dxa"/>
          <w:bottom w:w="0" w:type="dxa"/>
          <w:right w:w="0" w:type="dxa"/>
        </w:tblCellMar>
        <w:tblLook w:val="01E0"/>
      </w:tblPr>
      <w:tblGrid>
        <w:gridCol w:w="1018"/>
        <w:gridCol w:w="8512"/>
      </w:tblGrid>
      <w:tr>
        <w:trPr>
          <w:trHeight w:val="40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141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302" w:lineRule="auto" w:before="51"/>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外部审计机构、上市公司监管机构或其他外部机构发现公司董事、监事和高级管理人员在经营管理活动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中舞弊；</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对已经公告的财务报表进行重大差错更正；</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外部审计机构发现当期财务报表存在重大错报，而内部控制在运行过程中未能发现该错报。</w:t>
            </w:r>
          </w:p>
        </w:tc>
      </w:tr>
      <w:tr>
        <w:trPr>
          <w:trHeight w:val="110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2"/>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未依照公认的会计准则选择和应用会计政策；</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未建立经营管理活动相关的反舞弊程序和控制措施；</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对于非常规或特殊交易的账务处理没有建立相应的控制机制或没有实施且没有相应的补偿性控制。</w:t>
            </w:r>
          </w:p>
        </w:tc>
      </w:tr>
      <w:tr>
        <w:trPr>
          <w:trHeight w:val="40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不构成重大缺陷和重要缺陷的内部控制缺陷，认定为一般缺陷。</w:t>
            </w:r>
          </w:p>
        </w:tc>
      </w:tr>
    </w:tbl>
    <w:p>
      <w:pPr>
        <w:spacing w:after="0" w:line="240" w:lineRule="auto"/>
        <w:jc w:val="left"/>
        <w:rPr>
          <w:rFonts w:ascii="宋体" w:hAnsi="宋体" w:cs="宋体" w:eastAsia="宋体" w:hint="default"/>
          <w:sz w:val="18"/>
          <w:szCs w:val="18"/>
        </w:rPr>
        <w:sectPr>
          <w:pgSz w:w="11910" w:h="16840"/>
          <w:pgMar w:header="0" w:footer="1187" w:top="1100" w:bottom="1380" w:left="980" w:right="0"/>
        </w:sectPr>
      </w:pPr>
    </w:p>
    <w:p>
      <w:pPr>
        <w:spacing w:line="240" w:lineRule="auto" w:before="9"/>
        <w:rPr>
          <w:rFonts w:ascii="宋体" w:hAnsi="宋体" w:cs="宋体" w:eastAsia="宋体" w:hint="default"/>
          <w:sz w:val="26"/>
          <w:szCs w:val="26"/>
        </w:rPr>
      </w:pPr>
    </w:p>
    <w:p>
      <w:pPr>
        <w:pStyle w:val="Heading3"/>
        <w:spacing w:line="240" w:lineRule="auto" w:before="35"/>
        <w:ind w:right="0"/>
        <w:jc w:val="left"/>
        <w:rPr>
          <w:b w:val="0"/>
          <w:bCs w:val="0"/>
        </w:rPr>
      </w:pPr>
      <w:bookmarkStart w:name="（2）非财务报告内部控制缺陷认定标准" w:id="154"/>
      <w:bookmarkEnd w:id="154"/>
      <w:r>
        <w:rPr>
          <w:b w:val="0"/>
          <w:bCs w:val="0"/>
        </w:rPr>
      </w:r>
      <w:r>
        <w:rPr/>
        <w:t>（</w:t>
      </w:r>
      <w:r>
        <w:rPr>
          <w:rFonts w:ascii="宋体" w:hAnsi="宋体" w:cs="宋体" w:eastAsia="宋体" w:hint="default"/>
        </w:rPr>
        <w:t>2</w:t>
      </w:r>
      <w:r>
        <w:rPr/>
        <w:t>）非财务报告内部控制缺陷认定标准</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ind w:right="0"/>
        <w:jc w:val="left"/>
      </w:pPr>
      <w:r>
        <w:rPr/>
        <w:t>非财务报告内部控制缺陷评价的定量标准</w:t>
      </w:r>
    </w:p>
    <w:p>
      <w:pPr>
        <w:spacing w:line="240" w:lineRule="auto" w:before="1"/>
        <w:rPr>
          <w:rFonts w:ascii="宋体" w:hAnsi="宋体" w:cs="宋体" w:eastAsia="宋体" w:hint="default"/>
          <w:sz w:val="14"/>
          <w:szCs w:val="14"/>
        </w:rPr>
      </w:pPr>
    </w:p>
    <w:tbl>
      <w:tblPr>
        <w:tblW w:w="0" w:type="auto"/>
        <w:jc w:val="left"/>
        <w:tblInd w:w="230" w:type="dxa"/>
        <w:tblLayout w:type="fixed"/>
        <w:tblCellMar>
          <w:top w:w="0" w:type="dxa"/>
          <w:left w:w="0" w:type="dxa"/>
          <w:bottom w:w="0" w:type="dxa"/>
          <w:right w:w="0" w:type="dxa"/>
        </w:tblCellMar>
        <w:tblLook w:val="01E0"/>
      </w:tblPr>
      <w:tblGrid>
        <w:gridCol w:w="987"/>
        <w:gridCol w:w="8491"/>
      </w:tblGrid>
      <w:tr>
        <w:trPr>
          <w:trHeight w:val="407"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407"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直接财产损失或影响程度大于等于利润总额的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直接财产损失或影响程度小于利润总额的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且大于等于</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大于等于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8"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直接财产损失或影响程度小于利润总额的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BodyText"/>
        <w:spacing w:line="436" w:lineRule="auto" w:before="51"/>
        <w:ind w:right="2832"/>
        <w:jc w:val="left"/>
      </w:pPr>
      <w:r>
        <w:rPr/>
        <w:t>注：上述指标采用最近一个会计年度经审计的合并财务报表数据，如数据为负值，取其绝对值计算。 非财务报告内部控制缺陷评价的定性标准</w:t>
      </w:r>
    </w:p>
    <w:p>
      <w:pPr>
        <w:spacing w:line="240" w:lineRule="auto" w:before="10"/>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1002"/>
        <w:gridCol w:w="8472"/>
      </w:tblGrid>
      <w:tr>
        <w:trPr>
          <w:trHeight w:val="402"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2435"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2"/>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公司重要业务事项、环节和高风险领域缺乏制度控制或制度体系失效，对公司经营造成重大影响；</w:t>
            </w:r>
          </w:p>
          <w:p>
            <w:pPr>
              <w:pStyle w:val="TableParagraph"/>
              <w:tabs>
                <w:tab w:pos="419" w:val="left" w:leader="none"/>
              </w:tabs>
              <w:spacing w:line="302" w:lineRule="auto" w:before="102"/>
              <w:ind w:left="419" w:right="-2"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公司缺乏对重大决策、重大事项、重要人事任免事项及大额资金支付业务的决策程序，导致公司出现重</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大损失；</w:t>
            </w:r>
          </w:p>
          <w:p>
            <w:pPr>
              <w:pStyle w:val="TableParagraph"/>
              <w:tabs>
                <w:tab w:pos="419" w:val="left" w:leader="none"/>
              </w:tabs>
              <w:spacing w:line="302" w:lineRule="auto" w:before="69"/>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公司严重违犯国家法律、法规或规范性文件，受到政府部门责令停产停业、暂扣或吊销许可证及执照的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行政处罚，对公司造成严重的负面影响或重大损失；</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公司受到中国证监会处罚、证券交易所公开谴责；</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公司核心管理人员和高级技术人员流失严重，造成经营活动难以正常进行。</w:t>
            </w:r>
          </w:p>
        </w:tc>
      </w:tr>
      <w:tr>
        <w:trPr>
          <w:trHeight w:val="243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1"/>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公司重要业务事项、环节和高风险领域相关的制度控制或系统存在缺陷，对公司经营造成重要影响；</w:t>
            </w:r>
          </w:p>
          <w:p>
            <w:pPr>
              <w:pStyle w:val="TableParagraph"/>
              <w:tabs>
                <w:tab w:pos="419" w:val="left" w:leader="none"/>
              </w:tabs>
              <w:spacing w:line="302" w:lineRule="auto" w:before="103"/>
              <w:ind w:left="419" w:right="0"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公司重大决策、重大事项、重要人事任免事项及大额资金支付业务决策程序不完善或不规范，导致公司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出现重要损失；</w:t>
            </w:r>
          </w:p>
          <w:p>
            <w:pPr>
              <w:pStyle w:val="TableParagraph"/>
              <w:tabs>
                <w:tab w:pos="419" w:val="left" w:leader="none"/>
              </w:tabs>
              <w:spacing w:line="302" w:lineRule="auto" w:before="68"/>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公司违犯国家法律、法规或规范性文件，受到除责令停产停业、暂扣或吊销许可证及执照以外的行政处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罚；</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公司受到注册地中国证监会派出机构处罚、证券交易所通报批评；</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公司关键岗位业务人员流失严重。</w:t>
            </w:r>
          </w:p>
        </w:tc>
      </w:tr>
      <w:tr>
        <w:trPr>
          <w:trHeight w:val="402"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不构成重大缺陷和重要缺陷的内部控制缺陷，认定为一般缺陷。</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公司是否存在公开发行并在证券交易所上市，且在年度报告批准报出日未到期或到期未能全额兑付的公司债券</w:t>
      </w:r>
    </w:p>
    <w:p>
      <w:pPr>
        <w:pStyle w:val="BodyText"/>
        <w:spacing w:line="240" w:lineRule="auto" w:before="116"/>
        <w:ind w:right="0"/>
        <w:jc w:val="left"/>
      </w:pPr>
      <w:r>
        <w:rPr/>
        <w:t>□ 是 √ 否</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58"/>
      <w:bookmarkEnd w:id="158"/>
      <w:r>
        <w:rPr>
          <w:b w:val="0"/>
          <w:bCs w:val="0"/>
        </w:rPr>
      </w:r>
      <w:bookmarkStart w:name="_bookmark10"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010236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吴杰、聂慧蓉</w:t>
            </w:r>
          </w:p>
        </w:tc>
      </w:tr>
    </w:tbl>
    <w:p>
      <w:pPr>
        <w:pStyle w:val="BodyText"/>
        <w:spacing w:line="240" w:lineRule="auto" w:before="51"/>
        <w:ind w:left="495" w:right="1471"/>
        <w:jc w:val="center"/>
      </w:pPr>
      <w:r>
        <w:rPr/>
        <w:t>审计报告正文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495" w:right="1474"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ind w:left="0" w:right="1130"/>
        <w:jc w:val="right"/>
      </w:pPr>
      <w:r>
        <w:rPr/>
        <w:t>众环审字（</w:t>
      </w:r>
      <w:r>
        <w:rPr>
          <w:rFonts w:ascii="宋体" w:hAnsi="宋体" w:cs="宋体" w:eastAsia="宋体" w:hint="default"/>
        </w:rPr>
        <w:t>2019</w:t>
      </w:r>
      <w:r>
        <w:rPr/>
        <w:t>）</w:t>
      </w:r>
      <w:r>
        <w:rPr>
          <w:rFonts w:ascii="宋体" w:hAnsi="宋体" w:cs="宋体" w:eastAsia="宋体" w:hint="default"/>
        </w:rPr>
        <w:t>010236</w:t>
      </w:r>
      <w:r>
        <w:rPr/>
        <w:t>号</w:t>
      </w:r>
    </w:p>
    <w:p>
      <w:pPr>
        <w:spacing w:line="240" w:lineRule="auto" w:before="5"/>
        <w:rPr>
          <w:rFonts w:ascii="宋体" w:hAnsi="宋体" w:cs="宋体" w:eastAsia="宋体" w:hint="default"/>
          <w:sz w:val="14"/>
          <w:szCs w:val="14"/>
        </w:rPr>
      </w:pPr>
    </w:p>
    <w:p>
      <w:pPr>
        <w:spacing w:line="441" w:lineRule="auto" w:before="44"/>
        <w:ind w:left="515" w:right="7333" w:hanging="362"/>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01" w:lineRule="exact"/>
        <w:ind w:right="0" w:firstLine="360"/>
        <w:jc w:val="left"/>
      </w:pPr>
      <w:r>
        <w:rPr/>
        <w:t>我们审计了后附的武汉天喻信息产业股份有限公司（以下简称“天喻信息”）财务报表，包括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w:t>
      </w:r>
    </w:p>
    <w:p>
      <w:pPr>
        <w:pStyle w:val="BodyText"/>
        <w:spacing w:line="319" w:lineRule="auto" w:before="76"/>
        <w:ind w:right="1123"/>
        <w:jc w:val="left"/>
      </w:pPr>
      <w:r>
        <w:rPr>
          <w:spacing w:val="-2"/>
        </w:rPr>
        <w:t>母公司资产负债表，</w:t>
      </w:r>
      <w:r>
        <w:rPr>
          <w:rFonts w:ascii="宋体" w:hAnsi="宋体" w:cs="宋体" w:eastAsia="宋体" w:hint="default"/>
          <w:spacing w:val="-2"/>
        </w:rPr>
        <w:t>2018</w:t>
      </w:r>
      <w:r>
        <w:rPr>
          <w:spacing w:val="-2"/>
        </w:rPr>
        <w:t>年度的合并及母公司利润表、合并及母公司现金流量表、合并及母公司股东权益变动表以及财务报</w:t>
      </w:r>
      <w:r>
        <w:rPr>
          <w:spacing w:val="-62"/>
        </w:rPr>
        <w:t> </w:t>
      </w:r>
      <w:r>
        <w:rPr>
          <w:spacing w:val="-62"/>
        </w:rPr>
      </w:r>
      <w:r>
        <w:rPr/>
        <w:t>表附注。</w:t>
      </w:r>
    </w:p>
    <w:p>
      <w:pPr>
        <w:pStyle w:val="BodyText"/>
        <w:spacing w:line="319" w:lineRule="auto" w:before="55"/>
        <w:ind w:right="0" w:firstLine="360"/>
        <w:jc w:val="left"/>
      </w:pPr>
      <w:r>
        <w:rPr>
          <w:spacing w:val="-2"/>
        </w:rPr>
        <w:t>我们认为，后附的财务报表在所有重大方面按照企业会计准则的规定编制，公允反映了天喻信息</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及母公司财务状况以及</w:t>
      </w:r>
      <w:r>
        <w:rPr>
          <w:rFonts w:ascii="宋体" w:hAnsi="宋体" w:cs="宋体" w:eastAsia="宋体" w:hint="default"/>
        </w:rPr>
        <w:t>2018</w:t>
      </w:r>
      <w:r>
        <w:rPr/>
        <w:t>年度的合并及母公司经营成果和现金流量。</w:t>
      </w:r>
    </w:p>
    <w:p>
      <w:pPr>
        <w:pStyle w:val="BodyText"/>
        <w:spacing w:line="357" w:lineRule="auto" w:before="136"/>
        <w:ind w:left="514"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224" w:lineRule="exact"/>
        <w:ind w:right="0"/>
        <w:jc w:val="left"/>
      </w:pPr>
      <w:r>
        <w:rPr/>
        <w:t>步阐述了我们在这些准则下的责任。按照中国注册会计师职业道德守则，我们独立于天喻信息，并履行了职业道德方面的其</w:t>
      </w:r>
    </w:p>
    <w:p>
      <w:pPr>
        <w:pStyle w:val="BodyText"/>
        <w:spacing w:line="439" w:lineRule="auto" w:before="77"/>
        <w:ind w:left="515" w:right="3733" w:hanging="362"/>
        <w:jc w:val="left"/>
        <w:rPr>
          <w:rFonts w:ascii="宋体" w:hAnsi="宋体" w:cs="宋体" w:eastAsia="宋体" w:hint="default"/>
        </w:rPr>
      </w:pPr>
      <w:r>
        <w:rPr/>
        <w:t>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202" w:lineRule="exact"/>
        <w:ind w:left="514" w:right="0"/>
        <w:jc w:val="left"/>
      </w:pPr>
      <w:r>
        <w:rPr/>
        <w:t>关键审计事项是我们根据职业判断，认为对本期财务报表审计最为重要的事项。这些事项的应对以对财务报表整体进行</w:t>
      </w:r>
    </w:p>
    <w:p>
      <w:pPr>
        <w:pStyle w:val="BodyText"/>
        <w:spacing w:line="240" w:lineRule="auto" w:before="77"/>
        <w:ind w:right="0"/>
        <w:jc w:val="left"/>
      </w:pPr>
      <w:r>
        <w:rPr/>
        <w:t>审计并形成审计意见为背景，我们不对这些事项单独报表意见。</w:t>
      </w:r>
    </w:p>
    <w:p>
      <w:pPr>
        <w:pStyle w:val="BodyText"/>
        <w:spacing w:line="357" w:lineRule="auto" w:before="116"/>
        <w:ind w:left="514" w:right="0"/>
        <w:jc w:val="left"/>
      </w:pPr>
      <w:r>
        <w:rPr/>
        <w:t>（一）存货跌价准备计提 </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日，天喻信息存货账面余额为</w:t>
      </w:r>
      <w:r>
        <w:rPr>
          <w:rFonts w:ascii="宋体" w:hAnsi="宋体" w:cs="宋体" w:eastAsia="宋体" w:hint="default"/>
          <w:spacing w:val="-2"/>
        </w:rPr>
        <w:t>39,424.72</w:t>
      </w:r>
      <w:r>
        <w:rPr>
          <w:spacing w:val="-2"/>
        </w:rPr>
        <w:t>万元，跌价准备余额为</w:t>
      </w:r>
      <w:r>
        <w:rPr>
          <w:rFonts w:ascii="宋体" w:hAnsi="宋体" w:cs="宋体" w:eastAsia="宋体" w:hint="default"/>
          <w:spacing w:val="-2"/>
        </w:rPr>
        <w:t>13,204.10</w:t>
      </w:r>
      <w:r>
        <w:rPr>
          <w:spacing w:val="-2"/>
        </w:rPr>
        <w:t>万元，相关信息请见财务报</w:t>
      </w:r>
    </w:p>
    <w:p>
      <w:pPr>
        <w:pStyle w:val="BodyText"/>
        <w:spacing w:line="357" w:lineRule="auto"/>
        <w:ind w:left="514" w:right="0" w:hanging="360"/>
        <w:jc w:val="left"/>
      </w:pPr>
      <w:r>
        <w:rPr/>
        <w:t>表附注七、</w:t>
      </w:r>
      <w:r>
        <w:rPr>
          <w:rFonts w:ascii="宋体" w:hAnsi="宋体" w:cs="宋体" w:eastAsia="宋体" w:hint="default"/>
        </w:rPr>
        <w:t>5</w:t>
      </w:r>
      <w:r>
        <w:rPr/>
        <w:t>“存货”。 </w:t>
      </w:r>
      <w:r>
        <w:rPr>
          <w:spacing w:val="-2"/>
        </w:rPr>
        <w:t>存货账面价值重大，占合并财务报表资产总额的</w:t>
      </w:r>
      <w:r>
        <w:rPr>
          <w:rFonts w:ascii="宋体" w:hAnsi="宋体" w:cs="宋体" w:eastAsia="宋体" w:hint="default"/>
          <w:spacing w:val="-2"/>
        </w:rPr>
        <w:t>12.51%</w:t>
      </w:r>
      <w:r>
        <w:rPr>
          <w:spacing w:val="-2"/>
        </w:rPr>
        <w:t>。由于存货金额重大且存货跌价准备的计提涉及管理层作出重大</w:t>
      </w:r>
    </w:p>
    <w:p>
      <w:pPr>
        <w:pStyle w:val="BodyText"/>
        <w:spacing w:line="357" w:lineRule="auto"/>
        <w:ind w:left="514" w:right="6612" w:hanging="360"/>
        <w:jc w:val="left"/>
      </w:pPr>
      <w:r>
        <w:rPr/>
        <w:t>判断，我们将存货跌价准备计提作为关键审计事项。 在审计中如何应对该事项：</w:t>
      </w:r>
    </w:p>
    <w:p>
      <w:pPr>
        <w:pStyle w:val="BodyText"/>
        <w:spacing w:line="240" w:lineRule="auto" w:before="28"/>
        <w:ind w:left="514" w:right="0"/>
        <w:jc w:val="left"/>
      </w:pPr>
      <w:r>
        <w:rPr>
          <w:rFonts w:ascii="宋体" w:hAnsi="宋体" w:cs="宋体" w:eastAsia="宋体" w:hint="default"/>
        </w:rPr>
        <w:t>1.</w:t>
      </w:r>
      <w:r>
        <w:rPr/>
        <w:t>评价管理层与计提存货跌价准备相关的关键财务报告内部控制设计和运行有效性；</w:t>
      </w:r>
    </w:p>
    <w:p>
      <w:pPr>
        <w:pStyle w:val="BodyText"/>
        <w:spacing w:line="240" w:lineRule="auto" w:before="116"/>
        <w:ind w:left="514" w:right="0"/>
        <w:jc w:val="left"/>
      </w:pPr>
      <w:r>
        <w:rPr>
          <w:rFonts w:ascii="宋体" w:hAnsi="宋体" w:cs="宋体" w:eastAsia="宋体" w:hint="default"/>
        </w:rPr>
        <w:t>2.</w:t>
      </w:r>
      <w:r>
        <w:rPr/>
        <w:t>执行存货监盘，检查存货的数量和状况，关注残次冷背等存在减值迹象的存货是否被正确识别；</w:t>
      </w:r>
    </w:p>
    <w:p>
      <w:pPr>
        <w:spacing w:after="0" w:line="240" w:lineRule="auto"/>
        <w:jc w:val="left"/>
        <w:sectPr>
          <w:pgSz w:w="11910" w:h="16840"/>
          <w:pgMar w:header="0"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rFonts w:ascii="宋体" w:hAnsi="宋体" w:cs="宋体" w:eastAsia="宋体" w:hint="default"/>
        </w:rPr>
        <w:t>3.</w:t>
      </w:r>
      <w:r>
        <w:rPr/>
        <w:t>对存货可变现净值所涉及的重要假设进行评价</w:t>
      </w:r>
      <w:r>
        <w:rPr>
          <w:spacing w:val="-87"/>
        </w:rPr>
        <w:t>，</w:t>
      </w:r>
      <w:r>
        <w:rPr/>
        <w:t>例如检查销售价格和至完工时发生的成本</w:t>
      </w:r>
      <w:r>
        <w:rPr>
          <w:spacing w:val="-87"/>
        </w:rPr>
        <w:t>、</w:t>
      </w:r>
      <w:r>
        <w:rPr/>
        <w:t>销售费用以及相关税金等；</w:t>
      </w:r>
    </w:p>
    <w:p>
      <w:pPr>
        <w:pStyle w:val="BodyText"/>
        <w:spacing w:line="240" w:lineRule="auto" w:before="116"/>
        <w:ind w:left="514" w:right="0"/>
        <w:jc w:val="left"/>
      </w:pPr>
      <w:r>
        <w:rPr>
          <w:rFonts w:ascii="宋体" w:hAnsi="宋体" w:cs="宋体" w:eastAsia="宋体" w:hint="default"/>
        </w:rPr>
        <w:t>4.</w:t>
      </w:r>
      <w:r>
        <w:rPr/>
        <w:t>重新计算存货跌价准备的计提金额；</w:t>
      </w:r>
    </w:p>
    <w:p>
      <w:pPr>
        <w:pStyle w:val="BodyText"/>
        <w:spacing w:line="240" w:lineRule="auto" w:before="117"/>
        <w:ind w:left="514" w:right="0"/>
        <w:jc w:val="left"/>
      </w:pPr>
      <w:r>
        <w:rPr>
          <w:rFonts w:ascii="宋体" w:hAnsi="宋体" w:cs="宋体" w:eastAsia="宋体" w:hint="default"/>
        </w:rPr>
        <w:t>5.</w:t>
      </w:r>
      <w:r>
        <w:rPr/>
        <w:t>检查在财务报表中有关存货跌价准备的披露是否符合企业会计准则的要求。</w:t>
      </w:r>
    </w:p>
    <w:p>
      <w:pPr>
        <w:pStyle w:val="BodyText"/>
        <w:spacing w:line="357" w:lineRule="auto" w:before="116"/>
        <w:ind w:left="514" w:right="0"/>
        <w:jc w:val="left"/>
      </w:pPr>
      <w:r>
        <w:rPr/>
        <w:t>（二）应收账款坏账准备计提 </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日，天喻信息应收账款账面余额为</w:t>
      </w:r>
      <w:r>
        <w:rPr>
          <w:rFonts w:ascii="宋体" w:hAnsi="宋体" w:cs="宋体" w:eastAsia="宋体" w:hint="default"/>
          <w:spacing w:val="-2"/>
        </w:rPr>
        <w:t>87,404.27</w:t>
      </w:r>
      <w:r>
        <w:rPr>
          <w:spacing w:val="-2"/>
        </w:rPr>
        <w:t>万元，坏账准备余额为</w:t>
      </w:r>
      <w:r>
        <w:rPr>
          <w:rFonts w:ascii="宋体" w:hAnsi="宋体" w:cs="宋体" w:eastAsia="宋体" w:hint="default"/>
          <w:spacing w:val="-2"/>
        </w:rPr>
        <w:t>14,114.19</w:t>
      </w:r>
      <w:r>
        <w:rPr>
          <w:spacing w:val="-2"/>
        </w:rPr>
        <w:t>万元，相关信息请见财</w:t>
      </w:r>
    </w:p>
    <w:p>
      <w:pPr>
        <w:pStyle w:val="BodyText"/>
        <w:spacing w:line="357" w:lineRule="auto"/>
        <w:ind w:left="514" w:right="0" w:hanging="360"/>
        <w:jc w:val="left"/>
      </w:pPr>
      <w:r>
        <w:rPr/>
        <w:t>务报表附注七、</w:t>
      </w:r>
      <w:r>
        <w:rPr>
          <w:rFonts w:ascii="宋体" w:hAnsi="宋体" w:cs="宋体" w:eastAsia="宋体" w:hint="default"/>
        </w:rPr>
        <w:t>2</w:t>
      </w:r>
      <w:r>
        <w:rPr/>
        <w:t>“应收票据及应收账款”。 </w:t>
      </w:r>
      <w:r>
        <w:rPr>
          <w:spacing w:val="-2"/>
        </w:rPr>
        <w:t>应收账款账面价值重大，占合并财务报表资产总额的</w:t>
      </w:r>
      <w:r>
        <w:rPr>
          <w:rFonts w:ascii="宋体" w:hAnsi="宋体" w:cs="宋体" w:eastAsia="宋体" w:hint="default"/>
          <w:spacing w:val="-2"/>
        </w:rPr>
        <w:t>34.96%</w:t>
      </w:r>
      <w:r>
        <w:rPr>
          <w:spacing w:val="-2"/>
        </w:rPr>
        <w:t>。由于应收账款金额重大且应收账款可收回金额的确定涉及</w:t>
      </w:r>
    </w:p>
    <w:p>
      <w:pPr>
        <w:pStyle w:val="BodyText"/>
        <w:spacing w:line="357" w:lineRule="auto"/>
        <w:ind w:left="514" w:right="4092" w:hanging="360"/>
        <w:jc w:val="left"/>
      </w:pPr>
      <w:r>
        <w:rPr/>
        <w:t>管理层作出重大判断，我们将应收账款坏账准备的计提作为关键审计事项。 在审计中如何应对该事项： </w:t>
      </w:r>
      <w:r>
        <w:rPr>
          <w:rFonts w:ascii="宋体" w:hAnsi="宋体" w:cs="宋体" w:eastAsia="宋体" w:hint="default"/>
        </w:rPr>
        <w:t>1.</w:t>
      </w:r>
      <w:r>
        <w:rPr/>
        <w:t>评价管理层对确定应收账款坏账准备相关的关键内部控制设计和运行有效性；</w:t>
      </w:r>
    </w:p>
    <w:p>
      <w:pPr>
        <w:pStyle w:val="BodyText"/>
        <w:spacing w:line="319" w:lineRule="auto" w:before="28"/>
        <w:ind w:right="0" w:firstLine="360"/>
        <w:jc w:val="left"/>
      </w:pPr>
      <w:r>
        <w:rPr>
          <w:rFonts w:ascii="宋体" w:hAnsi="宋体" w:cs="宋体" w:eastAsia="宋体" w:hint="default"/>
          <w:spacing w:val="-2"/>
        </w:rPr>
        <w:t>2.</w:t>
      </w:r>
      <w:r>
        <w:rPr>
          <w:spacing w:val="-2"/>
        </w:rPr>
        <w:t>对于单项金额重大的应收账款，抽样并复核了管理层计算可收回金额的依据，包括管理层结合客户经营情况、市场环</w:t>
      </w:r>
      <w:r>
        <w:rPr/>
        <w:t> 境、历史还款情况等对客户信用风险作出的评估；</w:t>
      </w:r>
    </w:p>
    <w:p>
      <w:pPr>
        <w:pStyle w:val="BodyText"/>
        <w:spacing w:line="240" w:lineRule="auto" w:before="56"/>
        <w:ind w:left="514" w:right="0"/>
        <w:jc w:val="left"/>
      </w:pPr>
      <w:r>
        <w:rPr>
          <w:rFonts w:ascii="宋体" w:hAnsi="宋体" w:cs="宋体" w:eastAsia="宋体" w:hint="default"/>
        </w:rPr>
        <w:t>3.</w:t>
      </w:r>
      <w:r>
        <w:rPr/>
        <w:t>重新计算坏账准备计提金额是否准确；</w:t>
      </w:r>
    </w:p>
    <w:p>
      <w:pPr>
        <w:pStyle w:val="BodyText"/>
        <w:spacing w:line="439" w:lineRule="auto" w:before="116"/>
        <w:ind w:left="515" w:right="3913" w:hanging="2"/>
        <w:jc w:val="left"/>
        <w:rPr>
          <w:rFonts w:ascii="宋体" w:hAnsi="宋体" w:cs="宋体" w:eastAsia="宋体" w:hint="default"/>
        </w:rPr>
      </w:pPr>
      <w:r>
        <w:rPr>
          <w:rFonts w:ascii="宋体" w:hAnsi="宋体" w:cs="宋体" w:eastAsia="宋体" w:hint="default"/>
        </w:rPr>
        <w:t>4.</w:t>
      </w:r>
      <w:r>
        <w:rPr/>
        <w:t>检查在财务报表中有关应收账款坏账准备的披露是否符合企业会计准则的要求。 </w:t>
      </w:r>
      <w:r>
        <w:rPr>
          <w:rFonts w:ascii="宋体" w:hAnsi="宋体" w:cs="宋体" w:eastAsia="宋体" w:hint="default"/>
          <w:b/>
          <w:bCs/>
        </w:rPr>
        <w:t>四、其他信息</w:t>
      </w:r>
      <w:r>
        <w:rPr>
          <w:rFonts w:ascii="宋体" w:hAnsi="宋体" w:cs="宋体" w:eastAsia="宋体" w:hint="default"/>
        </w:rPr>
      </w:r>
    </w:p>
    <w:p>
      <w:pPr>
        <w:pStyle w:val="BodyText"/>
        <w:spacing w:line="202" w:lineRule="exact"/>
        <w:ind w:left="514" w:right="0"/>
        <w:jc w:val="left"/>
      </w:pPr>
      <w:r>
        <w:rPr/>
        <w:t>天喻信息管理层对其他信息负责。其他信息包括天喻信息</w:t>
      </w:r>
      <w:r>
        <w:rPr>
          <w:rFonts w:ascii="宋体" w:hAnsi="宋体" w:cs="宋体" w:eastAsia="宋体" w:hint="default"/>
        </w:rPr>
        <w:t>2018</w:t>
      </w:r>
      <w:r>
        <w:rPr/>
        <w:t>年年度报告中涵盖的信息，但不包括财务报表和我们审计</w:t>
      </w:r>
    </w:p>
    <w:p>
      <w:pPr>
        <w:pStyle w:val="BodyText"/>
        <w:spacing w:line="240" w:lineRule="auto" w:before="77"/>
        <w:ind w:right="0"/>
        <w:jc w:val="left"/>
      </w:pPr>
      <w:r>
        <w:rPr/>
        <w:t>的审计报告。</w:t>
      </w:r>
    </w:p>
    <w:p>
      <w:pPr>
        <w:pStyle w:val="BodyText"/>
        <w:spacing w:line="357" w:lineRule="auto" w:before="116"/>
        <w:ind w:left="51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0"/>
        <w:jc w:val="left"/>
      </w:pPr>
      <w:r>
        <w:rPr/>
        <w:t>报告。</w:t>
      </w:r>
    </w:p>
    <w:p>
      <w:pPr>
        <w:spacing w:line="240" w:lineRule="auto" w:before="12"/>
        <w:rPr>
          <w:rFonts w:ascii="宋体" w:hAnsi="宋体" w:cs="宋体" w:eastAsia="宋体" w:hint="default"/>
          <w:sz w:val="14"/>
          <w:szCs w:val="14"/>
        </w:rPr>
      </w:pPr>
    </w:p>
    <w:p>
      <w:pPr>
        <w:spacing w:line="357" w:lineRule="auto" w:before="0"/>
        <w:ind w:left="604" w:right="1122" w:hanging="89"/>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天喻信息管理层负责按照企业会计准则的规定编制财务报表，使其实现公允反映，并设计、执行和维护必要的内部控</w:t>
      </w:r>
    </w:p>
    <w:p>
      <w:pPr>
        <w:pStyle w:val="BodyText"/>
        <w:spacing w:line="357" w:lineRule="auto"/>
        <w:ind w:left="604" w:right="1122" w:hanging="450"/>
        <w:jc w:val="left"/>
      </w:pPr>
      <w:r>
        <w:rPr/>
        <w:t>制，以使财务报表不存在由于舞弊或错误导致的重大错报。 在编制财务报表时，管理层负责评估天喻信息的持续经营能力，披露与持续经营相关的事项（如适用），并运用持续</w:t>
      </w:r>
    </w:p>
    <w:p>
      <w:pPr>
        <w:pStyle w:val="BodyText"/>
        <w:spacing w:line="360" w:lineRule="auto"/>
        <w:ind w:left="514" w:right="5172" w:hanging="360"/>
        <w:jc w:val="left"/>
      </w:pPr>
      <w:r>
        <w:rPr/>
        <w:t>经营假设，除非计划清算天喻信息、终止运营或别无其他现实的选择。 治理层负责监督天喻信息的财务报告过程。</w:t>
      </w:r>
    </w:p>
    <w:p>
      <w:pPr>
        <w:spacing w:line="357" w:lineRule="auto" w:before="105"/>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24" w:lineRule="exact"/>
        <w:ind w:right="0"/>
        <w:jc w:val="left"/>
      </w:pPr>
      <w:r>
        <w:rPr/>
        <w:t>告。合理保证是高水平的保证，但并不能保证按照审计准则执行的审计在某一重大错报存在时总能发现。错报可能由于舞弊</w:t>
      </w:r>
    </w:p>
    <w:p>
      <w:pPr>
        <w:pStyle w:val="BodyText"/>
        <w:spacing w:line="319" w:lineRule="auto" w:before="76"/>
        <w:ind w:right="1123"/>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514" w:right="0"/>
        <w:jc w:val="left"/>
      </w:pPr>
      <w:r>
        <w:rPr/>
        <w:t>在按照审计准则执行审计工作的过程中，我们运用职业判断，并保持职业怀疑。同时，我们也执行以下工作：</w:t>
      </w:r>
    </w:p>
    <w:p>
      <w:pPr>
        <w:pStyle w:val="BodyText"/>
        <w:spacing w:line="319" w:lineRule="auto" w:before="116"/>
        <w:ind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56"/>
        <w:ind w:left="514"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116"/>
        <w:ind w:left="51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40" w:lineRule="auto" w:before="116"/>
        <w:ind w:left="514" w:right="0"/>
        <w:jc w:val="left"/>
      </w:pPr>
      <w:r>
        <w:rPr/>
        <w:t>（</w:t>
      </w:r>
      <w:r>
        <w:rPr>
          <w:rFonts w:ascii="宋体" w:hAnsi="宋体" w:cs="宋体" w:eastAsia="宋体" w:hint="default"/>
        </w:rPr>
        <w:t>4</w:t>
      </w:r>
      <w:r>
        <w:rPr/>
        <w:t>）对管理层使用持续经营假设的恰当性得出结论。同时，根据获取的审计证据，就可能导致对天喻信息持续经营能</w:t>
      </w:r>
    </w:p>
    <w:p>
      <w:pPr>
        <w:spacing w:after="0" w:line="240" w:lineRule="auto"/>
        <w:jc w:val="left"/>
        <w:sectPr>
          <w:pgSz w:w="11910" w:h="16840"/>
          <w:pgMar w:header="0"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2"/>
        <w:jc w:val="both"/>
      </w:pP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于截至审计报告日可获得的信息。然而，未来的事项或情况可能导致天喻信息不能持续经营。</w:t>
      </w:r>
    </w:p>
    <w:p>
      <w:pPr>
        <w:pStyle w:val="BodyText"/>
        <w:spacing w:line="240" w:lineRule="auto" w:before="56"/>
        <w:ind w:left="514"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9" w:lineRule="auto" w:before="116"/>
        <w:ind w:right="1130" w:firstLine="360"/>
        <w:jc w:val="both"/>
      </w:pPr>
      <w:r>
        <w:rPr/>
        <w:t>（</w:t>
      </w:r>
      <w:r>
        <w:rPr>
          <w:rFonts w:ascii="宋体" w:hAnsi="宋体" w:cs="宋体" w:eastAsia="宋体" w:hint="default"/>
        </w:rPr>
        <w:t>6</w:t>
      </w:r>
      <w:r>
        <w:rPr/>
        <w:t>）就天喻信息中实体或业务活动的财务信息获取充分、适当的审计证据，以对财务报表发表审计意见。我们负责指 导、监督和执行集团审计，并对审计意见承担全部责任。</w:t>
      </w:r>
    </w:p>
    <w:p>
      <w:pPr>
        <w:pStyle w:val="BodyText"/>
        <w:spacing w:line="319" w:lineRule="auto" w:before="55"/>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56"/>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tabs>
          <w:tab w:pos="6274" w:val="left" w:leader="none"/>
        </w:tabs>
        <w:spacing w:line="360" w:lineRule="auto"/>
        <w:ind w:left="6274" w:right="1679" w:hanging="6121"/>
        <w:jc w:val="left"/>
      </w:pPr>
      <w:r>
        <w:rPr/>
        <w:t>中审众环会计师事务所（特殊普通合伙）</w:t>
        <w:tab/>
        <w:t>中国注册会计师 吴杰（项目合伙人） 中国注册会计师 聂慧蓉</w:t>
      </w:r>
    </w:p>
    <w:p>
      <w:pPr>
        <w:pStyle w:val="BodyText"/>
        <w:tabs>
          <w:tab w:pos="2134" w:val="left" w:leader="none"/>
          <w:tab w:pos="6274" w:val="left" w:leader="none"/>
        </w:tabs>
        <w:spacing w:line="240" w:lineRule="auto" w:before="26"/>
        <w:ind w:left="694" w:right="0"/>
        <w:jc w:val="left"/>
      </w:pPr>
      <w:r>
        <w:rPr/>
        <w:t>中国</w:t>
        <w:tab/>
        <w:t>武汉</w:t>
        <w:tab/>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w:t>
      </w:r>
      <w:r>
        <w:rPr/>
        <w:t>日</w:t>
      </w:r>
    </w:p>
    <w:p>
      <w:pPr>
        <w:spacing w:after="0" w:line="240" w:lineRule="auto"/>
        <w:jc w:val="left"/>
        <w:sectPr>
          <w:pgSz w:w="11910" w:h="16840"/>
          <w:pgMar w:header="0" w:footer="1187" w:top="1100" w:bottom="13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2"/>
      <w:bookmarkEnd w:id="162"/>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187" w:top="1100" w:bottom="1380" w:left="980" w:right="0"/>
        </w:sectPr>
      </w:pPr>
    </w:p>
    <w:p>
      <w:pPr>
        <w:pStyle w:val="BodyText"/>
        <w:spacing w:line="240" w:lineRule="auto" w:before="44"/>
        <w:ind w:right="-20"/>
        <w:jc w:val="left"/>
      </w:pPr>
      <w:r>
        <w:rPr/>
        <w:t>编制单位：武汉天喻信息产业股份有限公司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452,372,720.29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384,869,771.51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840,713,916.30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514,820,932.15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107,813,149.59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732,900,766.71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514,420,932.15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5,293,582.75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16,646,992.86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21,638,247.94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14,499,667.80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262,206,102.60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358,312,958.06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77,841.74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3,866,466.03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84,543,742.38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1,586,091,035.91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1,373,771,906.50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105,853,064.80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72,035,686.11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8,866,860.76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181,733,226.62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194,066,073.15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41,804,640.42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44,558,955.98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22,819,891.75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21,114,822.81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6,224,135.44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14,984,177.53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20,659,060.00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49,416,783.68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35,520,071.51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545,792.89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776,275.03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510,308,086.61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461,446,338.27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2,096,399,122.52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1,835,218,244.77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8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80"/>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491,841,652.24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407,907,578.60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51,327,014.51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44,776,183.72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8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85,229,908.37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56,719,078.31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33,164,324.45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15,145,530.91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37,861,495.54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52,368,883.37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121,041.67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774,424,395.11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597,007,254.91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22,464,000.00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13,854,207.94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20,301,435.96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36,518,207.94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26,901,435.96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810,942,603.05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623,908,690.87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407,904,873.06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412,857,560.19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76,857,905.08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115,041,470.44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69,946,804.54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62,426,948.52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286,918,901.26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206,317,721.77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1,271,684,483.94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1,226,699,700.92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13,772,035.53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-15,390,147.02</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1,285,456,519.47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1,211,309,553.90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2,096,399,122.52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1,835,218,244.77</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3"/>
      <w:bookmarkEnd w:id="163"/>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356,863,644.13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344,261,401.61</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785,818,811.27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493,949,156.86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107,813,149.59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678,005,661.68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493,549,156.86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2,043,086.47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15,447,218.04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242,737,410.85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174,991,190.10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226,764,554.29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330,875,517.86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77,841.74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1,651,758.21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82,646,773.44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1,615,879,265.22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1,442,249,099.65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105,453,064.80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150,374,906.40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259,008,318.21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172,685,273.05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171,207,201.16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184,374,351.43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41,050,134.71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43,615,701.43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7,091,902.91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12,726,801.09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49,079,343.07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35,390,586.42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545,792.89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776,275.03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633,435,757.75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599,943,894.85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2,249,315,022.97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2,042,192,994.50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523,862,263.27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428,535,235.92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45,824,538.11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39,384,994.23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53,598,998.69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42,309,605.59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19,385,450.20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8,567,660.79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24,508,278.98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31,800,091.08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121,041.67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742,179,529.25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570,687,587.61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22,464,000.00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13,854,207.94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20,301,435.96</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36,518,207.94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25,001,435.96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778,697,737.19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595,689,023.57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403,997,757.24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403,997,757.24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76,857,905.08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115,041,470.44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69,946,804.54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62,426,948.52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489,758,818.92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434,981,794.73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1,470,617,285.78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1,446,503,970.93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2,249,315,022.97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2,042,192,994.50</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合并利润表" w:id="164"/>
      <w:bookmarkEnd w:id="164"/>
      <w:r>
        <w:rPr>
          <w:b w:val="0"/>
          <w:bCs w:val="0"/>
        </w:rPr>
      </w:r>
      <w:r>
        <w:rPr>
          <w:rFonts w:ascii="宋体" w:hAnsi="宋体" w:cs="宋体" w:eastAsia="宋体" w:hint="default"/>
        </w:rPr>
        <w:t>3</w:t>
      </w:r>
      <w:r>
        <w:rPr/>
        <w:t>、合并利润表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2,396,986,879.64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1,936,070,390.59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2,396,986,879.64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1,936,070,390.59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2,350,706,294.17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1,964,923,685.45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1,736,984,308.65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1,460,387,870.67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05.339996pt;margin-top:451.449982pt;width:163.35pt;height:20.8pt;mso-position-horizontal-relative:page;mso-position-vertical-relative:page;z-index:-788032" coordorigin="4107,9029" coordsize="3267,416">
            <v:group style="position:absolute;left:4118;top:9040;width:2;height:393" coordorigin="4118,9040" coordsize="2,393">
              <v:shape style="position:absolute;left:4118;top:9040;width:2;height:393" coordorigin="4118,9040" coordsize="0,393" path="m4118,9040l4118,9433e" filled="false" stroked="true" strokeweight="1.140pt" strokecolor="#ffffff">
                <v:path arrowok="t"/>
              </v:shape>
            </v:group>
            <v:group style="position:absolute;left:4130;top:9040;width:3244;height:393" coordorigin="4130,9040" coordsize="3244,393">
              <v:shape style="position:absolute;left:4130;top:9040;width:3244;height:393" coordorigin="4130,9040" coordsize="3244,393" path="m4130,9433l7374,9433,7374,9040,4130,9040,4130,9433xe" filled="true" fillcolor="#ffffff" stroked="false">
                <v:path arrowok="t"/>
                <v:fill type="solid"/>
              </v:shape>
            </v:group>
            <w10:wrap type="none"/>
          </v:group>
        </w:pict>
      </w:r>
      <w:r>
        <w:rPr/>
        <w:pict>
          <v:group style="position:absolute;margin-left:205.339996pt;margin-top:567.549988pt;width:163.35pt;height:20.8pt;mso-position-horizontal-relative:page;mso-position-vertical-relative:page;z-index:-788008" coordorigin="4107,11351" coordsize="3267,416">
            <v:group style="position:absolute;left:4118;top:11362;width:2;height:393" coordorigin="4118,11362" coordsize="2,393">
              <v:shape style="position:absolute;left:4118;top:11362;width:2;height:393" coordorigin="4118,11362" coordsize="0,393" path="m4118,11362l4118,11755e" filled="false" stroked="true" strokeweight="1.140pt" strokecolor="#ffffff">
                <v:path arrowok="t"/>
              </v:shape>
            </v:group>
            <v:group style="position:absolute;left:4130;top:11362;width:3244;height:393" coordorigin="4130,11362" coordsize="3244,393">
              <v:shape style="position:absolute;left:4130;top:11362;width:3244;height:393" coordorigin="4130,11362" coordsize="3244,393" path="m4130,11755l7374,11755,7374,11362,4130,11362,4130,1175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8"/>
        <w:gridCol w:w="1036"/>
        <w:gridCol w:w="2264"/>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16,734,454.59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12,476,680.81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247,043,999.24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217,095,916.86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73,855,037.87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64,068,529.64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182,330,033.35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164,754,562.83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9,543,621.71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5,803,223.98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10,948,906.29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8,440,748.74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2,877,159.16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2,077,087.94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84,214,838.76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40,336,900.66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70,393,974.82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52,066,175.13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6" w:right="0"/>
              <w:jc w:val="left"/>
              <w:rPr>
                <w:rFonts w:ascii="宋体" w:hAnsi="宋体" w:cs="宋体" w:eastAsia="宋体" w:hint="default"/>
                <w:sz w:val="18"/>
                <w:szCs w:val="18"/>
              </w:rPr>
            </w:pPr>
            <w:r>
              <w:rPr>
                <w:rFonts w:ascii="宋体"/>
                <w:sz w:val="18"/>
              </w:rPr>
              <w:t>4,503,757.02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-1,490,877.49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6" w:right="0"/>
              <w:jc w:val="left"/>
              <w:rPr>
                <w:rFonts w:ascii="宋体" w:hAnsi="宋体" w:cs="宋体" w:eastAsia="宋体" w:hint="default"/>
                <w:sz w:val="18"/>
                <w:szCs w:val="18"/>
              </w:rPr>
            </w:pPr>
            <w:r>
              <w:rPr>
                <w:rFonts w:ascii="宋体"/>
                <w:sz w:val="18"/>
              </w:rPr>
              <w:t>-2,031,174.65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-3,272,957.49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5"/>
                <w:sz w:val="18"/>
                <w:szCs w:val="18"/>
              </w:rPr>
              <w:t>汇兑收益（损失以“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86" w:right="0"/>
              <w:jc w:val="left"/>
              <w:rPr>
                <w:rFonts w:ascii="宋体" w:hAnsi="宋体" w:cs="宋体" w:eastAsia="宋体" w:hint="default"/>
                <w:sz w:val="18"/>
                <w:szCs w:val="18"/>
              </w:rPr>
            </w:pPr>
            <w:r>
              <w:rPr>
                <w:rFonts w:ascii="宋体"/>
                <w:sz w:val="18"/>
              </w:rPr>
              <w:t>6,020,393.34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1,467,762.19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1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127,198,710.65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23,189,764.97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346,840.04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412,461.49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1,948,265.12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305,687.44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6" w:right="0"/>
              <w:jc w:val="left"/>
              <w:rPr>
                <w:rFonts w:ascii="宋体" w:hAnsi="宋体" w:cs="宋体" w:eastAsia="宋体" w:hint="default"/>
                <w:sz w:val="18"/>
                <w:szCs w:val="18"/>
              </w:rPr>
            </w:pPr>
            <w:r>
              <w:rPr>
                <w:rFonts w:ascii="宋体"/>
                <w:sz w:val="18"/>
              </w:rPr>
              <w:t>125,597,285.57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23,296,539.02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11,576,759.32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11,821,196.38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1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114,020,526.25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11,475,342.64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6" w:right="0"/>
              <w:jc w:val="left"/>
              <w:rPr>
                <w:rFonts w:ascii="宋体" w:hAnsi="宋体" w:cs="宋体" w:eastAsia="宋体" w:hint="default"/>
                <w:sz w:val="18"/>
                <w:szCs w:val="18"/>
              </w:rPr>
            </w:pPr>
            <w:r>
              <w:rPr>
                <w:rFonts w:ascii="宋体"/>
                <w:sz w:val="18"/>
              </w:rPr>
              <w:t>114,020,526.25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11,475,342.64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101,022,715.51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22,596,900.58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12,997,810.74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-11,121,557.94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110,966,638.44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6" w:right="0"/>
              <w:jc w:val="lef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110,966,638.44</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110,966,638.44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 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 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110,966,638.44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 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75,836,960.89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122,441,981.08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62,839,150.15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133,563,539.02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12,997,810.74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-11,121,557.94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0.0525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0.0525</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65"/>
      <w:bookmarkEnd w:id="165"/>
      <w:r>
        <w:rPr>
          <w:b w:val="0"/>
          <w:bCs w:val="0"/>
        </w:rPr>
      </w:r>
      <w:r>
        <w:rPr>
          <w:rFonts w:ascii="宋体" w:hAnsi="宋体" w:cs="宋体" w:eastAsia="宋体" w:hint="default"/>
        </w:rPr>
        <w:t>4</w:t>
      </w:r>
      <w:r>
        <w:rPr/>
        <w:t>、母公司利润表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2,131,931,755.74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1,834,965,339.95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1,707,161,242.99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1,461,294,837.42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3"/>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13,514,231.84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11,402,637.77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145,050,595.84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139,061,216.61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40,048,578.86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36,228,395.89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128,274,485.89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116,635,967.74</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05.279999pt;margin-top:315.22998pt;width:163.4pt;height:20.8pt;mso-position-horizontal-relative:page;mso-position-vertical-relative:page;z-index:-787984" coordorigin="4106,6305" coordsize="3268,416">
            <v:group style="position:absolute;left:4117;top:6316;width:2;height:393" coordorigin="4117,6316" coordsize="2,393">
              <v:shape style="position:absolute;left:4117;top:6316;width:2;height:393" coordorigin="4117,6316" coordsize="0,393" path="m4117,6316l4117,6708e" filled="false" stroked="true" strokeweight="1.140pt" strokecolor="#ffffff">
                <v:path arrowok="t"/>
              </v:shape>
            </v:group>
            <v:group style="position:absolute;left:4128;top:6316;width:3246;height:393" coordorigin="4128,6316" coordsize="3246,393">
              <v:shape style="position:absolute;left:4128;top:6316;width:3246;height:393" coordorigin="4128,6316" coordsize="3246,393" path="m4128,6708l7374,6708,7374,6316,4128,6316,4128,6708xe" filled="true" fillcolor="#ffffff" stroked="false">
                <v:path arrowok="t"/>
                <v:fill type="solid"/>
              </v:shape>
            </v:group>
            <w10:wrap type="none"/>
          </v:group>
        </w:pict>
      </w:r>
      <w:r>
        <w:rPr/>
        <w:pict>
          <v:group style="position:absolute;margin-left:205.279999pt;margin-top:431.349976pt;width:163.4pt;height:20.8pt;mso-position-horizontal-relative:page;mso-position-vertical-relative:page;z-index:-787960" coordorigin="4106,8627" coordsize="3268,416">
            <v:group style="position:absolute;left:4117;top:8638;width:2;height:393" coordorigin="4117,8638" coordsize="2,393">
              <v:shape style="position:absolute;left:4117;top:8638;width:2;height:393" coordorigin="4117,8638" coordsize="0,393" path="m4117,8638l4117,9031e" filled="false" stroked="true" strokeweight="1.140pt" strokecolor="#ffffff">
                <v:path arrowok="t"/>
              </v:shape>
            </v:group>
            <v:group style="position:absolute;left:4128;top:8638;width:3246;height:393" coordorigin="4128,8638" coordsize="3246,393">
              <v:shape style="position:absolute;left:4128;top:8638;width:3246;height:393" coordorigin="4128,8638" coordsize="3246,393" path="m4128,9031l7374,9031,7374,8638,4128,8638,4128,903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7"/>
        <w:gridCol w:w="1082"/>
        <w:gridCol w:w="2220"/>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2,673,637.71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881,559.71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10,987,943.20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9,092,643.40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9,458,632.80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7,373,901.25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87,062,365.51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38,558,813.54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60,285,718.23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47,595,419.32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11,236,405.86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-4,514,193.80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-1,936,954.84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-3,267,731.64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7" w:right="0"/>
              <w:jc w:val="left"/>
              <w:rPr>
                <w:rFonts w:ascii="宋体" w:hAnsi="宋体" w:cs="宋体" w:eastAsia="宋体" w:hint="default"/>
                <w:sz w:val="18"/>
                <w:szCs w:val="18"/>
              </w:rPr>
            </w:pPr>
            <w:r>
              <w:rPr>
                <w:rFonts w:ascii="宋体"/>
                <w:sz w:val="18"/>
              </w:rPr>
              <w:t>5,956,507.27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1,471,396.71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85,625,248.46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75,454,533.50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282,858.45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101,045.52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1,592,323.21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279,645.35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84,315,783.70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75,275,933.67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9,117,223.49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10,749,076.39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75,198,560.21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64,526,857.28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75,198,560.21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64,526,857.28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110,966,638.44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 合收益</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110,966,638.44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 收益</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 动损益</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-38,183,565.36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110,966,638.44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37,014,994.85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175,493,495.72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0.1500</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并现金流量表" w:id="166"/>
      <w:bookmarkEnd w:id="166"/>
      <w:r>
        <w:rPr>
          <w:b w:val="0"/>
          <w:bCs w:val="0"/>
        </w:rPr>
      </w:r>
      <w:r>
        <w:rPr>
          <w:rFonts w:ascii="宋体" w:hAnsi="宋体" w:cs="宋体" w:eastAsia="宋体" w:hint="default"/>
        </w:rPr>
        <w:t>5</w:t>
      </w:r>
      <w:r>
        <w:rPr/>
        <w:t>、合并现金流量表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2,126,273,595.48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2,019,127,863.15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49,766,607.79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45,239,027.51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54,618,552.89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56,463,428.52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2,230,658,756.16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2,120,830,319.18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1,451,345,470.61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1,228,421,657.14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342,272,386.65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330,990,827.70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145,631,731.39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124,784,855.21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302,603,458.26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250,285,611.75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2,241,853,046.91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1,934,482,951.80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-11,194,290.75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186,347,367.38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532,400,000.00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6,534,931.67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1,782,080.00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6,694,927.54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1,856,547.29</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545,629,859.21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3,638,627.29</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21,016,443.59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43,666,857.86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80,250,000.00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19,810,918.89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556,027,362.48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123,916,857.86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-10,397,503.27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-120,278,230.57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4,001,600.00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 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4,001,600.00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360,966,750.00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364,968,350.00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307,326,500.00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24,546,769.62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21,589,470.41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2,252,000.00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44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36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利、利润</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331,873,269.62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463,179,470.41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33,095,080.38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-83,179,470.41</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 响</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-117,363.20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-841,908.90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11,385,923.16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-17,952,242.50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365,907,692.65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383,859,935.15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377,293,615.81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365,907,692.65</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母公司现金流量表" w:id="167"/>
      <w:bookmarkEnd w:id="167"/>
      <w:r>
        <w:rPr>
          <w:b w:val="0"/>
          <w:bCs w:val="0"/>
        </w:rPr>
      </w:r>
      <w:r>
        <w:rPr>
          <w:rFonts w:ascii="宋体" w:hAnsi="宋体" w:cs="宋体" w:eastAsia="宋体" w:hint="default"/>
        </w:rPr>
        <w:t>6</w:t>
      </w:r>
      <w:r>
        <w:rPr/>
        <w:t>、母公司现金流量表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1,865,798,919.55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1,911,413,041.73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46,442,198.02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45,176,891.27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36,688,391.65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85,625,773.08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1,948,929,509.22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2,042,215,706.08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1,422,843,781.86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1,251,916,397.50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190,284,242.98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196,796,178.87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120,786,620.95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118,616,712.09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300,878,296.89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270,839,261.88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2,034,792,942.68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1,838,168,550.34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-85,863,433.46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204,047,155.74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1,445,785.96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11,919,760.70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82,080.00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6,594,197.70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1,634,696.60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548,513,958.40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3,162,562.56</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
              <w:jc w:val="right"/>
              <w:rPr>
                <w:rFonts w:ascii="宋体" w:hAnsi="宋体" w:cs="宋体" w:eastAsia="宋体" w:hint="default"/>
                <w:sz w:val="18"/>
                <w:szCs w:val="18"/>
              </w:rPr>
            </w:pPr>
            <w:r>
              <w:rPr>
                <w:rFonts w:ascii="宋体" w:hAnsi="宋体" w:cs="宋体" w:eastAsia="宋体" w:hint="default"/>
                <w:sz w:val="18"/>
                <w:szCs w:val="18"/>
              </w:rPr>
              <w:t>购建固定资产、无形资产和其他长</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15,137,025.22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39,001,122.94</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36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期资产支付的现金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522,406,400.00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537,543,425.22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119,001,122.94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10,970,533.18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-115,838,560.38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360,966,750.00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360,966,750.00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307,326,500.00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22,294,769.62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21,589,470.41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329,621,269.62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461,589,470.41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31,345,480.38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-101,589,470.41</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 响</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-117,363.20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-841,908.90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-43,664,783.10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-14,222,783.95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325,451,322.75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339,674,106.70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281,786,539.65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325,451,322.75</w:t>
            </w:r>
          </w:p>
        </w:tc>
      </w:tr>
    </w:tbl>
    <w:p>
      <w:pPr>
        <w:spacing w:line="240" w:lineRule="auto" w:before="9"/>
        <w:rPr>
          <w:rFonts w:ascii="宋体" w:hAnsi="宋体" w:cs="宋体" w:eastAsia="宋体" w:hint="default"/>
          <w:sz w:val="6"/>
          <w:szCs w:val="6"/>
        </w:rPr>
      </w:pPr>
    </w:p>
    <w:p>
      <w:pPr>
        <w:pStyle w:val="BodyText"/>
        <w:tabs>
          <w:tab w:pos="3664" w:val="left" w:leader="none"/>
          <w:tab w:pos="7715" w:val="left" w:leader="none"/>
        </w:tabs>
        <w:spacing w:line="240" w:lineRule="auto" w:before="44"/>
        <w:ind w:right="0"/>
        <w:jc w:val="left"/>
      </w:pPr>
      <w:r>
        <w:rPr/>
        <w:t>法定代表人：张新访</w:t>
        <w:tab/>
        <w:t>主管会计工作负责人：孙静</w:t>
        <w:tab/>
        <w:t>会计机构负责人：张艳菊</w:t>
      </w:r>
    </w:p>
    <w:p>
      <w:pPr>
        <w:spacing w:after="0" w:line="240" w:lineRule="auto"/>
        <w:jc w:val="left"/>
        <w:sectPr>
          <w:pgSz w:w="11910" w:h="16840"/>
          <w:pgMar w:header="0" w:footer="1187" w:top="1100" w:bottom="1380" w:left="980" w:right="0"/>
        </w:sectPr>
      </w:pPr>
    </w:p>
    <w:p>
      <w:pPr>
        <w:spacing w:line="240" w:lineRule="auto" w:before="12"/>
        <w:rPr>
          <w:rFonts w:ascii="宋体" w:hAnsi="宋体" w:cs="宋体" w:eastAsia="宋体" w:hint="default"/>
          <w:sz w:val="2"/>
          <w:szCs w:val="2"/>
        </w:rPr>
      </w:pPr>
    </w:p>
    <w:p>
      <w:pPr>
        <w:spacing w:line="20" w:lineRule="exact"/>
        <w:ind w:left="9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1000" w:right="0"/>
        <w:jc w:val="left"/>
        <w:rPr>
          <w:b w:val="0"/>
          <w:bCs w:val="0"/>
        </w:rPr>
      </w:pPr>
      <w:bookmarkStart w:name="7、合并所有者权益变动表" w:id="168"/>
      <w:bookmarkEnd w:id="168"/>
      <w:r>
        <w:rPr>
          <w:b w:val="0"/>
          <w:bCs w:val="0"/>
        </w:rPr>
      </w:r>
      <w:r>
        <w:rPr>
          <w:rFonts w:ascii="宋体" w:hAnsi="宋体" w:cs="宋体" w:eastAsia="宋体" w:hint="default"/>
        </w:rPr>
        <w:t>7</w:t>
      </w:r>
      <w:r>
        <w:rPr/>
        <w:t>、合并所有者权益变动表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000" w:right="0"/>
        <w:jc w:val="left"/>
      </w:pPr>
      <w:r>
        <w:rPr/>
        <w:t>本期金额</w:t>
      </w:r>
    </w:p>
    <w:p>
      <w:pPr>
        <w:pStyle w:val="BodyText"/>
        <w:spacing w:line="240" w:lineRule="auto" w:before="116"/>
        <w:ind w:left="0" w:right="1095"/>
        <w:jc w:val="right"/>
      </w:pPr>
      <w:r>
        <w:rPr/>
        <w:t>单位：元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836"/>
        <w:gridCol w:w="1434"/>
        <w:gridCol w:w="643"/>
        <w:gridCol w:w="475"/>
        <w:gridCol w:w="478"/>
        <w:gridCol w:w="1318"/>
        <w:gridCol w:w="434"/>
        <w:gridCol w:w="1370"/>
        <w:gridCol w:w="479"/>
        <w:gridCol w:w="1229"/>
        <w:gridCol w:w="672"/>
        <w:gridCol w:w="1393"/>
        <w:gridCol w:w="1354"/>
        <w:gridCol w:w="1596"/>
      </w:tblGrid>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836" w:type="dxa"/>
            <w:vMerge/>
            <w:tcBorders>
              <w:left w:val="single" w:sz="4" w:space="0" w:color="000000"/>
              <w:right w:val="single" w:sz="4" w:space="0" w:color="000000"/>
            </w:tcBorders>
          </w:tcPr>
          <w:p>
            <w:pPr/>
          </w:p>
        </w:tc>
        <w:tc>
          <w:tcPr>
            <w:tcW w:w="99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36" w:type="dxa"/>
            <w:vMerge/>
            <w:tcBorders>
              <w:left w:val="single" w:sz="4" w:space="0" w:color="000000"/>
              <w:right w:val="single" w:sz="4" w:space="0" w:color="000000"/>
            </w:tcBorders>
          </w:tcPr>
          <w:p>
            <w:pP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4" w:type="dxa"/>
            <w:vMerge w:val="restart"/>
            <w:tcBorders>
              <w:top w:val="single" w:sz="4" w:space="0" w:color="000000"/>
              <w:left w:val="single" w:sz="4" w:space="0" w:color="000000"/>
              <w:right w:val="single" w:sz="4" w:space="0" w:color="000000"/>
            </w:tcBorders>
          </w:tcPr>
          <w:p>
            <w:pPr>
              <w:pStyle w:val="TableParagraph"/>
              <w:spacing w:line="319" w:lineRule="auto" w:before="119"/>
              <w:ind w:left="31" w:right="3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19" w:lineRule="auto"/>
              <w:ind w:left="54" w:right="5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19" w:lineRule="auto"/>
              <w:ind w:left="59" w:right="6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5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r>
      <w:tr>
        <w:trPr>
          <w:trHeight w:val="761" w:hRule="exact"/>
        </w:trPr>
        <w:tc>
          <w:tcPr>
            <w:tcW w:w="2836" w:type="dxa"/>
            <w:vMerge/>
            <w:tcBorders>
              <w:left w:val="single" w:sz="4" w:space="0" w:color="000000"/>
              <w:bottom w:val="single" w:sz="4" w:space="0" w:color="000000"/>
              <w:right w:val="single" w:sz="4" w:space="0" w:color="000000"/>
            </w:tcBorders>
          </w:tcPr>
          <w:p>
            <w:pPr/>
          </w:p>
        </w:tc>
        <w:tc>
          <w:tcPr>
            <w:tcW w:w="1434" w:type="dxa"/>
            <w:vMerge/>
            <w:tcBorders>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5"/>
              <w:ind w:left="142" w:right="5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479"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412,857,560.19</w:t>
            </w: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115,041,470.44</w:t>
            </w: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62,426,948.52</w:t>
            </w: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206,317,721.77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-15,390,147.02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1,211,309,553.90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412,857,560.19</w:t>
            </w: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115,041,470.44</w:t>
            </w: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62,426,948.52</w:t>
            </w: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206,317,721.77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-15,390,147.02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1,211,309,553.90</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1"/>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-4,952,687.13</w:t>
            </w: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-38,183,565.36</w:t>
            </w: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7,519,856.02</w:t>
            </w: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center"/>
              <w:rPr>
                <w:rFonts w:ascii="宋体" w:hAnsi="宋体" w:cs="宋体" w:eastAsia="宋体" w:hint="default"/>
                <w:sz w:val="18"/>
                <w:szCs w:val="18"/>
              </w:rPr>
            </w:pPr>
            <w:r>
              <w:rPr>
                <w:rFonts w:ascii="宋体"/>
                <w:sz w:val="18"/>
              </w:rPr>
              <w:t>80,601,179.49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29,162,182.55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74,146,965.57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-38,183,565.36</w:t>
            </w: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101,022,715.51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12,997,810.74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75,836,960.89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4,001,600.00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4,001,600.00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4,001,600.00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4,001,600.00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footerReference w:type="default" r:id="rId35"/>
          <w:pgSz w:w="16840" w:h="11910" w:orient="landscape"/>
          <w:pgMar w:header="867" w:footer="1187" w:top="1060" w:bottom="1380" w:left="440" w:right="440"/>
          <w:pgNumType w:start="76"/>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836"/>
        <w:gridCol w:w="1434"/>
        <w:gridCol w:w="643"/>
        <w:gridCol w:w="475"/>
        <w:gridCol w:w="478"/>
        <w:gridCol w:w="1318"/>
        <w:gridCol w:w="434"/>
        <w:gridCol w:w="1370"/>
        <w:gridCol w:w="479"/>
        <w:gridCol w:w="1229"/>
        <w:gridCol w:w="672"/>
        <w:gridCol w:w="1393"/>
        <w:gridCol w:w="1354"/>
        <w:gridCol w:w="1596"/>
      </w:tblGrid>
      <w:tr>
        <w:trPr>
          <w:trHeight w:val="416"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34"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475" w:type="dxa"/>
            <w:tcBorders>
              <w:top w:val="single" w:sz="15" w:space="0" w:color="000000"/>
              <w:left w:val="single" w:sz="4" w:space="0" w:color="000000"/>
              <w:bottom w:val="single" w:sz="4" w:space="0" w:color="000000"/>
              <w:right w:val="single" w:sz="4" w:space="0" w:color="000000"/>
            </w:tcBorders>
          </w:tcPr>
          <w:p>
            <w:pPr/>
          </w:p>
        </w:tc>
        <w:tc>
          <w:tcPr>
            <w:tcW w:w="478"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1370" w:type="dxa"/>
            <w:tcBorders>
              <w:top w:val="single" w:sz="15" w:space="0" w:color="000000"/>
              <w:left w:val="single" w:sz="4" w:space="0" w:color="000000"/>
              <w:bottom w:val="single" w:sz="4" w:space="0" w:color="000000"/>
              <w:right w:val="single" w:sz="4" w:space="0" w:color="000000"/>
            </w:tcBorders>
          </w:tcPr>
          <w:p>
            <w:pPr/>
          </w:p>
        </w:tc>
        <w:tc>
          <w:tcPr>
            <w:tcW w:w="479"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7,519,856.02</w:t>
            </w:r>
          </w:p>
        </w:tc>
        <w:tc>
          <w:tcPr>
            <w:tcW w:w="672" w:type="dxa"/>
            <w:tcBorders>
              <w:top w:val="single" w:sz="15" w:space="0" w:color="000000"/>
              <w:left w:val="single" w:sz="4" w:space="0" w:color="000000"/>
              <w:bottom w:val="single" w:sz="4" w:space="0" w:color="000000"/>
              <w:right w:val="single" w:sz="4" w:space="0" w:color="000000"/>
            </w:tcBorders>
          </w:tcPr>
          <w:p>
            <w:pPr/>
          </w:p>
        </w:tc>
        <w:tc>
          <w:tcPr>
            <w:tcW w:w="13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-20,421,536.02</w:t>
            </w:r>
          </w:p>
        </w:tc>
        <w:tc>
          <w:tcPr>
            <w:tcW w:w="13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-2,252,000.00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-15,153,680.00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7,519,856.02</w:t>
            </w: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center"/>
              <w:rPr>
                <w:rFonts w:ascii="宋体" w:hAnsi="宋体" w:cs="宋体" w:eastAsia="宋体" w:hint="default"/>
                <w:sz w:val="18"/>
                <w:szCs w:val="18"/>
              </w:rPr>
            </w:pPr>
            <w:r>
              <w:rPr>
                <w:rFonts w:ascii="宋体"/>
                <w:sz w:val="18"/>
              </w:rPr>
              <w:t>-7,519,856.02</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-12,901,680.00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-15,153,680.00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．设定受益计划变动额结转留存收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-4,952,687.13</w:t>
            </w: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14,414,771.81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9,462,084.68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sz w:val="18"/>
              </w:rPr>
              <w:t>430,056,000.00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407,904,873.06</w:t>
            </w:r>
          </w:p>
        </w:tc>
        <w:tc>
          <w:tcPr>
            <w:tcW w:w="43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宋体" w:hAnsi="宋体" w:cs="宋体" w:eastAsia="宋体" w:hint="default"/>
                <w:sz w:val="18"/>
                <w:szCs w:val="18"/>
              </w:rPr>
            </w:pPr>
            <w:r>
              <w:rPr>
                <w:rFonts w:ascii="宋体"/>
                <w:sz w:val="18"/>
              </w:rPr>
              <w:t>76,857,905.08</w:t>
            </w:r>
          </w:p>
        </w:tc>
        <w:tc>
          <w:tcPr>
            <w:tcW w:w="47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69,946,804.54</w:t>
            </w:r>
          </w:p>
        </w:tc>
        <w:tc>
          <w:tcPr>
            <w:tcW w:w="67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286,918,901.26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13,772,035.53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1,285,456,519.47</w:t>
            </w:r>
          </w:p>
        </w:tc>
      </w:tr>
    </w:tbl>
    <w:p>
      <w:pPr>
        <w:spacing w:after="0" w:line="240" w:lineRule="auto"/>
        <w:jc w:val="right"/>
        <w:rPr>
          <w:rFonts w:ascii="宋体" w:hAnsi="宋体" w:cs="宋体" w:eastAsia="宋体" w:hint="default"/>
          <w:sz w:val="18"/>
          <w:szCs w:val="18"/>
        </w:rPr>
        <w:sectPr>
          <w:pgSz w:w="16840" w:h="11910" w:orient="landscape"/>
          <w:pgMar w:header="867" w:footer="1187" w:top="1060" w:bottom="1380" w:left="440" w:right="440"/>
        </w:sectPr>
      </w:pPr>
    </w:p>
    <w:p>
      <w:pPr>
        <w:spacing w:line="240" w:lineRule="auto" w:before="4"/>
        <w:rPr>
          <w:rFonts w:ascii="Times New Roman" w:hAnsi="Times New Roman" w:cs="Times New Roman" w:eastAsia="Times New Roman" w:hint="default"/>
          <w:sz w:val="3"/>
          <w:szCs w:val="3"/>
        </w:rPr>
      </w:pPr>
    </w:p>
    <w:p>
      <w:pPr>
        <w:spacing w:line="20" w:lineRule="exact"/>
        <w:ind w:left="9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9"/>
        <w:ind w:left="940" w:right="0"/>
        <w:jc w:val="left"/>
      </w:pPr>
      <w:r>
        <w:rPr/>
        <w:t>上期金额</w:t>
      </w:r>
    </w:p>
    <w:p>
      <w:pPr>
        <w:pStyle w:val="BodyText"/>
        <w:spacing w:line="240" w:lineRule="auto" w:before="117"/>
        <w:ind w:left="0" w:right="1035"/>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430"/>
        <w:gridCol w:w="1366"/>
        <w:gridCol w:w="709"/>
        <w:gridCol w:w="742"/>
        <w:gridCol w:w="451"/>
        <w:gridCol w:w="1392"/>
        <w:gridCol w:w="518"/>
        <w:gridCol w:w="1400"/>
        <w:gridCol w:w="568"/>
        <w:gridCol w:w="1246"/>
        <w:gridCol w:w="420"/>
        <w:gridCol w:w="1378"/>
        <w:gridCol w:w="1416"/>
        <w:gridCol w:w="1560"/>
      </w:tblGrid>
      <w:tr>
        <w:trPr>
          <w:trHeight w:val="402" w:hRule="exact"/>
        </w:trPr>
        <w:tc>
          <w:tcPr>
            <w:tcW w:w="2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6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430" w:type="dxa"/>
            <w:vMerge/>
            <w:tcBorders>
              <w:left w:val="single" w:sz="4" w:space="0" w:color="000000"/>
              <w:right w:val="single" w:sz="4" w:space="0" w:color="000000"/>
            </w:tcBorders>
          </w:tcPr>
          <w:p>
            <w:pPr/>
          </w:p>
        </w:tc>
        <w:tc>
          <w:tcPr>
            <w:tcW w:w="101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430" w:type="dxa"/>
            <w:vMerge/>
            <w:tcBorders>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21" w:hanging="51"/>
              <w:jc w:val="left"/>
              <w:rPr>
                <w:rFonts w:ascii="宋体" w:hAnsi="宋体" w:cs="宋体" w:eastAsia="宋体" w:hint="default"/>
                <w:sz w:val="18"/>
                <w:szCs w:val="18"/>
              </w:rPr>
            </w:pPr>
            <w:r>
              <w:rPr>
                <w:rFonts w:ascii="宋体" w:hAnsi="宋体" w:cs="宋体" w:eastAsia="宋体" w:hint="default"/>
                <w:spacing w:val="-26"/>
                <w:sz w:val="18"/>
                <w:szCs w:val="18"/>
              </w:rPr>
              <w:t>减：库</w:t>
            </w:r>
            <w:r>
              <w:rPr>
                <w:rFonts w:ascii="宋体" w:hAnsi="宋体" w:cs="宋体" w:eastAsia="宋体" w:hint="default"/>
                <w:sz w:val="18"/>
                <w:szCs w:val="18"/>
              </w:rPr>
              <w:t> 存股</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624" w:hRule="exact"/>
        </w:trPr>
        <w:tc>
          <w:tcPr>
            <w:tcW w:w="2430"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2"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140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415,473,632.74</w:t>
            </w: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4,074,832.00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55,974,262.79</w:t>
            </w: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203,075,186.92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-5,294,661.63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1,103,359,252.82</w:t>
            </w: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415,473,632.74</w:t>
            </w: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4,074,832.00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55,974,262.79</w:t>
            </w: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203,075,186.92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-5,294,661.63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1,103,359,252.82</w:t>
            </w:r>
          </w:p>
        </w:tc>
      </w:tr>
      <w:tr>
        <w:trPr>
          <w:trHeight w:val="714"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4"/>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-2,616,072.55</w:t>
            </w: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110,966,638.44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6,452,685.73</w:t>
            </w: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3,242,534.85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-10,095,485.39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107,950,301.08</w:t>
            </w: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110,966,638.44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22,596,900.58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-11,121,557.94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122,441,981.08</w:t>
            </w: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．其他权益工具持有者投入资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．股份支付计入所有者权益的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6,452,685.73</w:t>
            </w: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-19,354,365.73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bl>
    <w:p>
      <w:pPr>
        <w:spacing w:after="0" w:line="240" w:lineRule="auto"/>
        <w:jc w:val="right"/>
        <w:rPr>
          <w:rFonts w:ascii="宋体" w:hAnsi="宋体" w:cs="宋体" w:eastAsia="宋体" w:hint="default"/>
          <w:sz w:val="18"/>
          <w:szCs w:val="18"/>
        </w:rPr>
        <w:sectPr>
          <w:pgSz w:w="16840" w:h="11910" w:orient="landscape"/>
          <w:pgMar w:header="867" w:footer="1187" w:top="1060" w:bottom="1380" w:left="500" w:right="500"/>
        </w:sectPr>
      </w:pPr>
    </w:p>
    <w:p>
      <w:pPr>
        <w:spacing w:line="240" w:lineRule="auto" w:before="12"/>
        <w:rPr>
          <w:rFonts w:ascii="宋体" w:hAnsi="宋体" w:cs="宋体" w:eastAsia="宋体" w:hint="default"/>
          <w:sz w:val="2"/>
          <w:szCs w:val="2"/>
        </w:rPr>
      </w:pPr>
      <w:r>
        <w:rPr/>
        <w:pict>
          <v:group style="position:absolute;margin-left:152.899994pt;margin-top:157.130005pt;width:66.55pt;height:40.9pt;mso-position-horizontal-relative:page;mso-position-vertical-relative:page;z-index:-787888" coordorigin="3058,3143" coordsize="1331,818">
            <v:group style="position:absolute;left:3069;top:3154;width:2;height:393" coordorigin="3069,3154" coordsize="2,393">
              <v:shape style="position:absolute;left:3069;top:3154;width:2;height:393" coordorigin="3069,3154" coordsize="0,393" path="m3069,3154l3069,3546e" filled="false" stroked="true" strokeweight="1.140pt" strokecolor="#ffffff">
                <v:path arrowok="t"/>
              </v:shape>
            </v:group>
            <v:group style="position:absolute;left:3081;top:3154;width:1308;height:393" coordorigin="3081,3154" coordsize="1308,393">
              <v:shape style="position:absolute;left:3081;top:3154;width:1308;height:393" coordorigin="3081,3154" coordsize="1308,393" path="m3081,3546l4389,3546,4389,3154,3081,3154,3081,3546xe" filled="true" fillcolor="#ffffff" stroked="false">
                <v:path arrowok="t"/>
                <v:fill type="solid"/>
              </v:shape>
            </v:group>
            <v:group style="position:absolute;left:3069;top:3556;width:2;height:393" coordorigin="3069,3556" coordsize="2,393">
              <v:shape style="position:absolute;left:3069;top:3556;width:2;height:393" coordorigin="3069,3556" coordsize="0,393" path="m3069,3556l3069,3948e" filled="false" stroked="true" strokeweight="1.140pt" strokecolor="#ffffff">
                <v:path arrowok="t"/>
              </v:shape>
            </v:group>
            <v:group style="position:absolute;left:3081;top:3556;width:1308;height:393" coordorigin="3081,3556" coordsize="1308,393">
              <v:shape style="position:absolute;left:3081;top:3556;width:1308;height:393" coordorigin="3081,3556" coordsize="1308,393" path="m3081,3948l4389,3948,4389,3556,3081,3556,3081,3948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2430"/>
        <w:gridCol w:w="1366"/>
        <w:gridCol w:w="709"/>
        <w:gridCol w:w="742"/>
        <w:gridCol w:w="451"/>
        <w:gridCol w:w="1392"/>
        <w:gridCol w:w="518"/>
        <w:gridCol w:w="1400"/>
        <w:gridCol w:w="568"/>
        <w:gridCol w:w="1246"/>
        <w:gridCol w:w="420"/>
        <w:gridCol w:w="1378"/>
        <w:gridCol w:w="1416"/>
        <w:gridCol w:w="1560"/>
      </w:tblGrid>
      <w:tr>
        <w:trPr>
          <w:trHeight w:val="416" w:hRule="exact"/>
        </w:trPr>
        <w:tc>
          <w:tcPr>
            <w:tcW w:w="24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66"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42" w:type="dxa"/>
            <w:tcBorders>
              <w:top w:val="single" w:sz="15" w:space="0" w:color="000000"/>
              <w:left w:val="single" w:sz="4" w:space="0" w:color="000000"/>
              <w:bottom w:val="single" w:sz="4" w:space="0" w:color="000000"/>
              <w:right w:val="single" w:sz="4" w:space="0" w:color="000000"/>
            </w:tcBorders>
          </w:tcPr>
          <w:p>
            <w:pPr/>
          </w:p>
        </w:tc>
        <w:tc>
          <w:tcPr>
            <w:tcW w:w="451" w:type="dxa"/>
            <w:tcBorders>
              <w:top w:val="single" w:sz="15" w:space="0" w:color="000000"/>
              <w:left w:val="single" w:sz="4" w:space="0" w:color="000000"/>
              <w:bottom w:val="single" w:sz="4" w:space="0" w:color="000000"/>
              <w:right w:val="single" w:sz="4" w:space="0" w:color="000000"/>
            </w:tcBorders>
          </w:tcPr>
          <w:p>
            <w:pPr/>
          </w:p>
        </w:tc>
        <w:tc>
          <w:tcPr>
            <w:tcW w:w="1392" w:type="dxa"/>
            <w:tcBorders>
              <w:top w:val="single" w:sz="15" w:space="0" w:color="000000"/>
              <w:left w:val="single" w:sz="4" w:space="0" w:color="000000"/>
              <w:bottom w:val="single" w:sz="4" w:space="0" w:color="000000"/>
              <w:right w:val="single" w:sz="4" w:space="0" w:color="000000"/>
            </w:tcBorders>
          </w:tcPr>
          <w:p>
            <w:pPr/>
          </w:p>
        </w:tc>
        <w:tc>
          <w:tcPr>
            <w:tcW w:w="518" w:type="dxa"/>
            <w:tcBorders>
              <w:top w:val="single" w:sz="15" w:space="0" w:color="000000"/>
              <w:left w:val="single" w:sz="4" w:space="0" w:color="000000"/>
              <w:bottom w:val="single" w:sz="4" w:space="0" w:color="000000"/>
              <w:right w:val="single" w:sz="4" w:space="0" w:color="000000"/>
            </w:tcBorders>
          </w:tcPr>
          <w:p>
            <w:pPr/>
          </w:p>
        </w:tc>
        <w:tc>
          <w:tcPr>
            <w:tcW w:w="140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6,452,685.73</w:t>
            </w:r>
          </w:p>
        </w:tc>
        <w:tc>
          <w:tcPr>
            <w:tcW w:w="420" w:type="dxa"/>
            <w:tcBorders>
              <w:top w:val="single" w:sz="15" w:space="0" w:color="000000"/>
              <w:left w:val="single" w:sz="4" w:space="0" w:color="000000"/>
              <w:bottom w:val="single" w:sz="4" w:space="0" w:color="000000"/>
              <w:right w:val="single" w:sz="4" w:space="0" w:color="000000"/>
            </w:tcBorders>
          </w:tcPr>
          <w:p>
            <w:pPr/>
          </w:p>
        </w:tc>
        <w:tc>
          <w:tcPr>
            <w:tcW w:w="13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49" w:right="0"/>
              <w:jc w:val="center"/>
              <w:rPr>
                <w:rFonts w:ascii="宋体" w:hAnsi="宋体" w:cs="宋体" w:eastAsia="宋体" w:hint="default"/>
                <w:sz w:val="18"/>
                <w:szCs w:val="18"/>
              </w:rPr>
            </w:pPr>
            <w:r>
              <w:rPr>
                <w:rFonts w:ascii="宋体"/>
                <w:sz w:val="18"/>
              </w:rPr>
              <w:t>-6,452,685.73</w:t>
            </w:r>
          </w:p>
        </w:tc>
        <w:tc>
          <w:tcPr>
            <w:tcW w:w="1416"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．对所有者（或股东）的分配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-12,901,680.00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4"/>
                <w:sz w:val="18"/>
                <w:szCs w:val="18"/>
              </w:rPr>
              <w:t>．</w:t>
            </w:r>
            <w:r>
              <w:rPr>
                <w:rFonts w:ascii="宋体" w:hAnsi="宋体" w:cs="宋体" w:eastAsia="宋体" w:hint="default"/>
                <w:sz w:val="18"/>
                <w:szCs w:val="18"/>
              </w:rPr>
              <w:t>资本公积转增资</w:t>
            </w:r>
            <w:r>
              <w:rPr>
                <w:rFonts w:ascii="宋体" w:hAnsi="宋体" w:cs="宋体" w:eastAsia="宋体" w:hint="default"/>
                <w:spacing w:val="-74"/>
                <w:sz w:val="18"/>
                <w:szCs w:val="18"/>
              </w:rPr>
              <w:t>本</w:t>
            </w:r>
            <w:r>
              <w:rPr>
                <w:rFonts w:ascii="宋体" w:hAnsi="宋体" w:cs="宋体" w:eastAsia="宋体" w:hint="default"/>
                <w:sz w:val="18"/>
                <w:szCs w:val="18"/>
              </w:rPr>
              <w:t>（或股本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4"/>
                <w:sz w:val="18"/>
                <w:szCs w:val="18"/>
              </w:rPr>
              <w:t>．</w:t>
            </w:r>
            <w:r>
              <w:rPr>
                <w:rFonts w:ascii="宋体" w:hAnsi="宋体" w:cs="宋体" w:eastAsia="宋体" w:hint="default"/>
                <w:sz w:val="18"/>
                <w:szCs w:val="18"/>
              </w:rPr>
              <w:t>盈余公积转增资</w:t>
            </w:r>
            <w:r>
              <w:rPr>
                <w:rFonts w:ascii="宋体" w:hAnsi="宋体" w:cs="宋体" w:eastAsia="宋体" w:hint="default"/>
                <w:spacing w:val="-74"/>
                <w:sz w:val="18"/>
                <w:szCs w:val="18"/>
              </w:rPr>
              <w:t>本</w:t>
            </w:r>
            <w:r>
              <w:rPr>
                <w:rFonts w:ascii="宋体" w:hAnsi="宋体" w:cs="宋体" w:eastAsia="宋体" w:hint="default"/>
                <w:sz w:val="18"/>
                <w:szCs w:val="18"/>
              </w:rPr>
              <w:t>（或股本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．设定受益计划变动额结转留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存收益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-2,616,072.55</w:t>
            </w: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1,026,072.55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-1,590,000.00</w:t>
            </w: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412,857,560.19</w:t>
            </w:r>
          </w:p>
        </w:tc>
        <w:tc>
          <w:tcPr>
            <w:tcW w:w="5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sz w:val="18"/>
              </w:rPr>
              <w:t>115,041,470.44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62,426,948.52</w:t>
            </w:r>
          </w:p>
        </w:tc>
        <w:tc>
          <w:tcPr>
            <w:tcW w:w="42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206,317,721.77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-15,390,147.02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1,211,309,553.90</w:t>
            </w:r>
          </w:p>
        </w:tc>
      </w:tr>
    </w:tbl>
    <w:p>
      <w:pPr>
        <w:spacing w:line="240" w:lineRule="auto" w:before="9"/>
        <w:rPr>
          <w:rFonts w:ascii="宋体" w:hAnsi="宋体" w:cs="宋体" w:eastAsia="宋体" w:hint="default"/>
          <w:sz w:val="6"/>
          <w:szCs w:val="6"/>
        </w:rPr>
      </w:pPr>
    </w:p>
    <w:p>
      <w:pPr>
        <w:pStyle w:val="BodyText"/>
        <w:tabs>
          <w:tab w:pos="6580" w:val="left" w:leader="none"/>
          <w:tab w:pos="12850" w:val="left" w:leader="none"/>
        </w:tabs>
        <w:spacing w:line="240" w:lineRule="auto" w:before="44"/>
        <w:ind w:left="940" w:right="0"/>
        <w:jc w:val="left"/>
      </w:pPr>
      <w:r>
        <w:rPr>
          <w:spacing w:val="-4"/>
        </w:rPr>
        <w:t>法定代表人：张新访</w:t>
        <w:tab/>
      </w:r>
      <w:r>
        <w:rPr>
          <w:spacing w:val="-3"/>
        </w:rPr>
        <w:t>主管会计工作负责人：孙静</w:t>
        <w:tab/>
        <w:t>会计机构负责人：张艳菊</w:t>
      </w:r>
    </w:p>
    <w:p>
      <w:pPr>
        <w:spacing w:after="0" w:line="240" w:lineRule="auto"/>
        <w:jc w:val="left"/>
        <w:sectPr>
          <w:pgSz w:w="16840" w:h="11910" w:orient="landscape"/>
          <w:pgMar w:header="867" w:footer="1187" w:top="1060" w:bottom="1380" w:left="500" w:right="500"/>
        </w:sectPr>
      </w:pPr>
    </w:p>
    <w:p>
      <w:pPr>
        <w:spacing w:line="240" w:lineRule="auto" w:before="12"/>
        <w:rPr>
          <w:rFonts w:ascii="宋体" w:hAnsi="宋体" w:cs="宋体" w:eastAsia="宋体" w:hint="default"/>
          <w:sz w:val="2"/>
          <w:szCs w:val="2"/>
        </w:rPr>
      </w:pPr>
    </w:p>
    <w:p>
      <w:pPr>
        <w:spacing w:line="20" w:lineRule="exact"/>
        <w:ind w:left="4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440" w:right="0"/>
        <w:jc w:val="left"/>
        <w:rPr>
          <w:b w:val="0"/>
          <w:bCs w:val="0"/>
        </w:rPr>
      </w:pPr>
      <w:bookmarkStart w:name="8、母公司所有者权益变动表" w:id="169"/>
      <w:bookmarkEnd w:id="169"/>
      <w:r>
        <w:rPr>
          <w:b w:val="0"/>
          <w:bCs w:val="0"/>
        </w:rPr>
      </w:r>
      <w:r>
        <w:rPr>
          <w:rFonts w:ascii="宋体" w:hAnsi="宋体" w:cs="宋体" w:eastAsia="宋体" w:hint="default"/>
        </w:rPr>
        <w:t>8</w:t>
      </w:r>
      <w:r>
        <w:rPr/>
        <w:t>、母公司所有者权益变动表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440" w:right="0"/>
        <w:jc w:val="left"/>
      </w:pPr>
      <w:r>
        <w:rPr/>
        <w:t>本期金额</w:t>
      </w:r>
    </w:p>
    <w:p>
      <w:pPr>
        <w:pStyle w:val="BodyText"/>
        <w:spacing w:line="240" w:lineRule="auto" w:before="116"/>
        <w:ind w:left="0" w:right="535"/>
        <w:jc w:val="right"/>
      </w:pPr>
      <w:r>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978"/>
        <w:gridCol w:w="1456"/>
        <w:gridCol w:w="851"/>
        <w:gridCol w:w="708"/>
        <w:gridCol w:w="530"/>
        <w:gridCol w:w="1418"/>
        <w:gridCol w:w="566"/>
        <w:gridCol w:w="1418"/>
        <w:gridCol w:w="463"/>
        <w:gridCol w:w="1343"/>
        <w:gridCol w:w="1372"/>
        <w:gridCol w:w="1498"/>
      </w:tblGrid>
      <w:tr>
        <w:trPr>
          <w:trHeight w:val="402" w:hRule="exact"/>
        </w:trPr>
        <w:tc>
          <w:tcPr>
            <w:tcW w:w="29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978" w:type="dxa"/>
            <w:vMerge/>
            <w:tcBorders>
              <w:left w:val="single" w:sz="4" w:space="0" w:color="000000"/>
              <w:right w:val="single" w:sz="4" w:space="0" w:color="000000"/>
            </w:tcBorders>
          </w:tcPr>
          <w:p>
            <w:pP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97"/>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63" w:type="dxa"/>
            <w:vMerge w:val="restart"/>
            <w:tcBorders>
              <w:top w:val="single" w:sz="4" w:space="0" w:color="000000"/>
              <w:left w:val="single" w:sz="4" w:space="0" w:color="000000"/>
              <w:right w:val="single" w:sz="4" w:space="0" w:color="000000"/>
            </w:tcBorders>
          </w:tcPr>
          <w:p>
            <w:pPr>
              <w:pStyle w:val="TableParagraph"/>
              <w:spacing w:line="316" w:lineRule="auto" w:before="97"/>
              <w:ind w:left="45" w:right="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4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978" w:type="dxa"/>
            <w:vMerge/>
            <w:tcBorders>
              <w:left w:val="single" w:sz="4" w:space="0" w:color="000000"/>
              <w:bottom w:val="single" w:sz="4" w:space="0" w:color="000000"/>
              <w:right w:val="single" w:sz="4" w:space="0" w:color="000000"/>
            </w:tcBorders>
          </w:tcPr>
          <w:p>
            <w:pPr/>
          </w:p>
        </w:tc>
        <w:tc>
          <w:tcPr>
            <w:tcW w:w="1456"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1343"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115,041,470.44</w:t>
            </w: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62,426,948.52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434,981,794.73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1,446,503,970.93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115,041,470.44</w:t>
            </w: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62,426,948.52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434,981,794.73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1,446,503,970.93</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三、本期增减变动金额（减少以“－”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号填列）</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-38,183,565.36</w:t>
            </w: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7,519,856.02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5" w:right="0"/>
              <w:jc w:val="center"/>
              <w:rPr>
                <w:rFonts w:ascii="宋体" w:hAnsi="宋体" w:cs="宋体" w:eastAsia="宋体" w:hint="default"/>
                <w:sz w:val="18"/>
                <w:szCs w:val="18"/>
              </w:rPr>
            </w:pPr>
            <w:r>
              <w:rPr>
                <w:rFonts w:ascii="宋体"/>
                <w:sz w:val="18"/>
              </w:rPr>
              <w:t>54,777,024.19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24,113,314.85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-38,183,565.36</w:t>
            </w: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center"/>
              <w:rPr>
                <w:rFonts w:ascii="宋体" w:hAnsi="宋体" w:cs="宋体" w:eastAsia="宋体" w:hint="default"/>
                <w:sz w:val="18"/>
                <w:szCs w:val="18"/>
              </w:rPr>
            </w:pPr>
            <w:r>
              <w:rPr>
                <w:rFonts w:ascii="宋体"/>
                <w:sz w:val="18"/>
              </w:rPr>
              <w:t>75,198,560.21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37,014,994.85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7,519,856.02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-20,421,536.02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7,519,856.02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center"/>
              <w:rPr>
                <w:rFonts w:ascii="宋体" w:hAnsi="宋体" w:cs="宋体" w:eastAsia="宋体" w:hint="default"/>
                <w:sz w:val="18"/>
                <w:szCs w:val="18"/>
              </w:rPr>
            </w:pPr>
            <w:r>
              <w:rPr>
                <w:rFonts w:ascii="宋体"/>
                <w:sz w:val="18"/>
              </w:rPr>
              <w:t>-7,519,856.02</w:t>
            </w: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-12,901,680.00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7" w:top="1060" w:bottom="1380" w:left="1000" w:right="1000"/>
        </w:sectPr>
      </w:pP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78"/>
        <w:gridCol w:w="1456"/>
        <w:gridCol w:w="851"/>
        <w:gridCol w:w="708"/>
        <w:gridCol w:w="530"/>
        <w:gridCol w:w="1418"/>
        <w:gridCol w:w="566"/>
        <w:gridCol w:w="1418"/>
        <w:gridCol w:w="463"/>
        <w:gridCol w:w="1343"/>
        <w:gridCol w:w="1372"/>
        <w:gridCol w:w="1498"/>
      </w:tblGrid>
      <w:tr>
        <w:trPr>
          <w:trHeight w:val="416" w:hRule="exact"/>
        </w:trPr>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56"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63" w:type="dxa"/>
            <w:tcBorders>
              <w:top w:val="single" w:sz="15" w:space="0" w:color="000000"/>
              <w:left w:val="single" w:sz="4" w:space="0" w:color="000000"/>
              <w:bottom w:val="single" w:sz="4" w:space="0" w:color="000000"/>
              <w:right w:val="single" w:sz="4" w:space="0" w:color="000000"/>
            </w:tcBorders>
          </w:tcPr>
          <w:p>
            <w:pPr/>
          </w:p>
        </w:tc>
        <w:tc>
          <w:tcPr>
            <w:tcW w:w="1343" w:type="dxa"/>
            <w:tcBorders>
              <w:top w:val="single" w:sz="15" w:space="0" w:color="000000"/>
              <w:left w:val="single" w:sz="4" w:space="0" w:color="000000"/>
              <w:bottom w:val="single" w:sz="4" w:space="0" w:color="000000"/>
              <w:right w:val="single" w:sz="4" w:space="0" w:color="000000"/>
            </w:tcBorders>
          </w:tcPr>
          <w:p>
            <w:pPr/>
          </w:p>
        </w:tc>
        <w:tc>
          <w:tcPr>
            <w:tcW w:w="1372"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．设定受益计划变动额结转留存收益</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5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430,056,000.00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403,997,757.24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宋体" w:hAnsi="宋体" w:cs="宋体" w:eastAsia="宋体" w:hint="default"/>
                <w:sz w:val="18"/>
                <w:szCs w:val="18"/>
              </w:rPr>
            </w:pPr>
            <w:r>
              <w:rPr>
                <w:rFonts w:ascii="宋体"/>
                <w:sz w:val="18"/>
              </w:rPr>
              <w:t>76,857,905.08</w:t>
            </w:r>
          </w:p>
        </w:tc>
        <w:tc>
          <w:tcPr>
            <w:tcW w:w="46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sz w:val="18"/>
              </w:rPr>
              <w:t>69,946,804.54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489,758,818.92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sz w:val="18"/>
              </w:rPr>
              <w:t>1,470,617,285.78</w:t>
            </w:r>
          </w:p>
        </w:tc>
      </w:tr>
    </w:tbl>
    <w:p>
      <w:pPr>
        <w:spacing w:line="240" w:lineRule="auto" w:before="9"/>
        <w:rPr>
          <w:rFonts w:ascii="宋体" w:hAnsi="宋体" w:cs="宋体" w:eastAsia="宋体" w:hint="default"/>
          <w:sz w:val="6"/>
          <w:szCs w:val="6"/>
        </w:rPr>
      </w:pPr>
    </w:p>
    <w:p>
      <w:pPr>
        <w:pStyle w:val="BodyText"/>
        <w:spacing w:line="240" w:lineRule="auto" w:before="44"/>
        <w:ind w:left="460" w:right="0"/>
        <w:jc w:val="left"/>
      </w:pPr>
      <w:r>
        <w:rPr/>
        <w:t>上期金额</w:t>
      </w:r>
    </w:p>
    <w:p>
      <w:pPr>
        <w:pStyle w:val="BodyText"/>
        <w:spacing w:line="240" w:lineRule="auto" w:before="117"/>
        <w:ind w:left="0" w:right="555"/>
        <w:jc w:val="right"/>
      </w:pPr>
      <w:r>
        <w:rPr/>
        <w:t>单位：元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978"/>
        <w:gridCol w:w="1843"/>
        <w:gridCol w:w="709"/>
        <w:gridCol w:w="479"/>
        <w:gridCol w:w="514"/>
        <w:gridCol w:w="1416"/>
        <w:gridCol w:w="568"/>
        <w:gridCol w:w="1418"/>
        <w:gridCol w:w="466"/>
        <w:gridCol w:w="1357"/>
        <w:gridCol w:w="1372"/>
        <w:gridCol w:w="1516"/>
      </w:tblGrid>
      <w:tr>
        <w:trPr>
          <w:trHeight w:val="402" w:hRule="exact"/>
        </w:trPr>
        <w:tc>
          <w:tcPr>
            <w:tcW w:w="29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978" w:type="dxa"/>
            <w:vMerge/>
            <w:tcBorders>
              <w:left w:val="single" w:sz="4" w:space="0" w:color="000000"/>
              <w:right w:val="single" w:sz="4" w:space="0" w:color="000000"/>
            </w:tcBorders>
          </w:tcPr>
          <w:p>
            <w:pP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99"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2978"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3" w:right="5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1516" w:type="dxa"/>
            <w:vMerge/>
            <w:tcBorders>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403,997,757.24</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4,074,832.00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55,974,262.79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389,809,303.18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1,283,912,155.21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403,997,757.24</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4,074,832.00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55,974,262.79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389,809,303.18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1,283,912,155.21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三、本期增减变动金额（减少以“－”</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110,966,638.44</w:t>
            </w: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center"/>
              <w:rPr>
                <w:rFonts w:ascii="宋体" w:hAnsi="宋体" w:cs="宋体" w:eastAsia="宋体" w:hint="default"/>
                <w:sz w:val="18"/>
                <w:szCs w:val="18"/>
              </w:rPr>
            </w:pPr>
            <w:r>
              <w:rPr>
                <w:rFonts w:ascii="宋体"/>
                <w:sz w:val="18"/>
              </w:rPr>
              <w:t>45,172,491.55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162,591,815.72</w:t>
            </w:r>
          </w:p>
        </w:tc>
      </w:tr>
    </w:tbl>
    <w:p>
      <w:pPr>
        <w:spacing w:after="0" w:line="240" w:lineRule="auto"/>
        <w:jc w:val="right"/>
        <w:rPr>
          <w:rFonts w:ascii="宋体" w:hAnsi="宋体" w:cs="宋体" w:eastAsia="宋体" w:hint="default"/>
          <w:sz w:val="18"/>
          <w:szCs w:val="18"/>
        </w:rPr>
        <w:sectPr>
          <w:pgSz w:w="16840" w:h="11910" w:orient="landscape"/>
          <w:pgMar w:header="867" w:footer="1187" w:top="1060" w:bottom="1380" w:left="980" w:right="98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78"/>
        <w:gridCol w:w="1843"/>
        <w:gridCol w:w="709"/>
        <w:gridCol w:w="479"/>
        <w:gridCol w:w="514"/>
        <w:gridCol w:w="1416"/>
        <w:gridCol w:w="568"/>
        <w:gridCol w:w="1418"/>
        <w:gridCol w:w="466"/>
        <w:gridCol w:w="1357"/>
        <w:gridCol w:w="1372"/>
        <w:gridCol w:w="1516"/>
      </w:tblGrid>
      <w:tr>
        <w:trPr>
          <w:trHeight w:val="377" w:hRule="exact"/>
        </w:trPr>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43"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479" w:type="dxa"/>
            <w:tcBorders>
              <w:top w:val="single" w:sz="15" w:space="0" w:color="000000"/>
              <w:left w:val="single" w:sz="4" w:space="0" w:color="000000"/>
              <w:bottom w:val="single" w:sz="4" w:space="0" w:color="000000"/>
              <w:right w:val="single" w:sz="4" w:space="0" w:color="000000"/>
            </w:tcBorders>
          </w:tcPr>
          <w:p>
            <w:pPr/>
          </w:p>
        </w:tc>
        <w:tc>
          <w:tcPr>
            <w:tcW w:w="51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1357" w:type="dxa"/>
            <w:tcBorders>
              <w:top w:val="single" w:sz="15" w:space="0" w:color="000000"/>
              <w:left w:val="single" w:sz="4" w:space="0" w:color="000000"/>
              <w:bottom w:val="single" w:sz="4" w:space="0" w:color="000000"/>
              <w:right w:val="single" w:sz="4" w:space="0" w:color="000000"/>
            </w:tcBorders>
          </w:tcPr>
          <w:p>
            <w:pPr/>
          </w:p>
        </w:tc>
        <w:tc>
          <w:tcPr>
            <w:tcW w:w="1372" w:type="dxa"/>
            <w:tcBorders>
              <w:top w:val="single" w:sz="15" w:space="0" w:color="000000"/>
              <w:left w:val="single" w:sz="4" w:space="0" w:color="000000"/>
              <w:bottom w:val="single" w:sz="4" w:space="0" w:color="000000"/>
              <w:right w:val="single" w:sz="4" w:space="0" w:color="000000"/>
            </w:tcBorders>
          </w:tcPr>
          <w:p>
            <w:pPr/>
          </w:p>
        </w:tc>
        <w:tc>
          <w:tcPr>
            <w:tcW w:w="15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110,966,638.44</w:t>
            </w: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center"/>
              <w:rPr>
                <w:rFonts w:ascii="宋体" w:hAnsi="宋体" w:cs="宋体" w:eastAsia="宋体" w:hint="default"/>
                <w:sz w:val="18"/>
                <w:szCs w:val="18"/>
              </w:rPr>
            </w:pPr>
            <w:r>
              <w:rPr>
                <w:rFonts w:ascii="宋体"/>
                <w:sz w:val="18"/>
              </w:rPr>
              <w:t>64,526,857.28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175,493,495.72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-19,354,365.73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center"/>
              <w:rPr>
                <w:rFonts w:ascii="宋体" w:hAnsi="宋体" w:cs="宋体" w:eastAsia="宋体" w:hint="default"/>
                <w:sz w:val="18"/>
                <w:szCs w:val="18"/>
              </w:rPr>
            </w:pPr>
            <w:r>
              <w:rPr>
                <w:rFonts w:ascii="宋体"/>
                <w:sz w:val="18"/>
              </w:rPr>
              <w:t>-6,452,685.73</w:t>
            </w: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-12,901,680.00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．设定受益计划变动额结转留存收益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9" w:right="0"/>
              <w:jc w:val="lef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403,997,757.24</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115,041,470.44</w:t>
            </w:r>
          </w:p>
        </w:tc>
        <w:tc>
          <w:tcPr>
            <w:tcW w:w="4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62,426,948.52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434,981,794.73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1,446,503,970.93</w:t>
            </w:r>
          </w:p>
        </w:tc>
      </w:tr>
    </w:tbl>
    <w:p>
      <w:pPr>
        <w:spacing w:line="240" w:lineRule="auto" w:before="9"/>
        <w:rPr>
          <w:rFonts w:ascii="宋体" w:hAnsi="宋体" w:cs="宋体" w:eastAsia="宋体" w:hint="default"/>
          <w:sz w:val="6"/>
          <w:szCs w:val="6"/>
        </w:rPr>
      </w:pPr>
    </w:p>
    <w:p>
      <w:pPr>
        <w:pStyle w:val="BodyText"/>
        <w:tabs>
          <w:tab w:pos="6100" w:val="left" w:leader="none"/>
          <w:tab w:pos="12370" w:val="left" w:leader="none"/>
        </w:tabs>
        <w:spacing w:line="240" w:lineRule="auto" w:before="44"/>
        <w:ind w:left="460" w:right="0"/>
        <w:jc w:val="left"/>
      </w:pPr>
      <w:r>
        <w:rPr>
          <w:spacing w:val="-4"/>
        </w:rPr>
        <w:t>法定代表人：张新访</w:t>
        <w:tab/>
      </w:r>
      <w:r>
        <w:rPr>
          <w:spacing w:val="-3"/>
        </w:rPr>
        <w:t>主管会计工作负责人：孙静</w:t>
        <w:tab/>
        <w:t>会计机构负责人：张艳菊</w:t>
      </w:r>
    </w:p>
    <w:p>
      <w:pPr>
        <w:spacing w:after="0" w:line="240" w:lineRule="auto"/>
        <w:jc w:val="left"/>
        <w:sectPr>
          <w:pgSz w:w="16840" w:h="11910" w:orient="landscape"/>
          <w:pgMar w:header="867" w:footer="1187" w:top="1060" w:bottom="13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公司基本情况" w:id="170"/>
      <w:bookmarkEnd w:id="170"/>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w:t>
      </w:r>
      <w:r>
        <w:rPr/>
        <w:t>、本公司历史沿革及注册资本 </w:t>
      </w:r>
      <w:r>
        <w:rPr>
          <w:spacing w:val="-2"/>
        </w:rPr>
        <w:t>公司是于</w:t>
      </w:r>
      <w:r>
        <w:rPr>
          <w:rFonts w:ascii="宋体" w:hAnsi="宋体" w:cs="宋体" w:eastAsia="宋体" w:hint="default"/>
          <w:spacing w:val="-2"/>
        </w:rPr>
        <w:t>2000</w:t>
      </w:r>
      <w:r>
        <w:rPr>
          <w:spacing w:val="-2"/>
        </w:rPr>
        <w:t>年</w:t>
      </w:r>
      <w:r>
        <w:rPr>
          <w:rFonts w:ascii="宋体" w:hAnsi="宋体" w:cs="宋体" w:eastAsia="宋体" w:hint="default"/>
          <w:spacing w:val="-2"/>
        </w:rPr>
        <w:t>11</w:t>
      </w:r>
      <w:r>
        <w:rPr>
          <w:spacing w:val="-2"/>
        </w:rPr>
        <w:t>月由武汉天喻信息产业有限责任公司整体变更设立的股份有限公司。</w:t>
      </w:r>
      <w:r>
        <w:rPr>
          <w:rFonts w:ascii="宋体" w:hAnsi="宋体" w:cs="宋体" w:eastAsia="宋体" w:hint="default"/>
          <w:spacing w:val="-2"/>
        </w:rPr>
        <w:t>2011</w:t>
      </w:r>
      <w:r>
        <w:rPr>
          <w:spacing w:val="-2"/>
        </w:rPr>
        <w:t>年，经中国证券监督管理委</w:t>
      </w:r>
    </w:p>
    <w:p>
      <w:pPr>
        <w:pStyle w:val="BodyText"/>
        <w:spacing w:line="224" w:lineRule="exact"/>
        <w:ind w:right="0"/>
        <w:jc w:val="left"/>
      </w:pPr>
      <w:r>
        <w:rPr/>
        <w:t>员会核准，公司首次公开发行人民币普通股（</w:t>
      </w:r>
      <w:r>
        <w:rPr>
          <w:rFonts w:ascii="宋体" w:hAnsi="宋体" w:cs="宋体" w:eastAsia="宋体" w:hint="default"/>
        </w:rPr>
        <w:t>A</w:t>
      </w:r>
      <w:r>
        <w:rPr/>
        <w:t>股）股票</w:t>
      </w:r>
      <w:r>
        <w:rPr>
          <w:rFonts w:ascii="宋体" w:hAnsi="宋体" w:cs="宋体" w:eastAsia="宋体" w:hint="default"/>
        </w:rPr>
        <w:t>1,991</w:t>
      </w:r>
      <w:r>
        <w:rPr/>
        <w:t>万股（每股面值人民币</w:t>
      </w:r>
      <w:r>
        <w:rPr>
          <w:rFonts w:ascii="宋体" w:hAnsi="宋体" w:cs="宋体" w:eastAsia="宋体" w:hint="default"/>
        </w:rPr>
        <w:t>1</w:t>
      </w:r>
      <w:r>
        <w:rPr/>
        <w:t>元），每股发行价格为人民币</w:t>
      </w:r>
      <w:r>
        <w:rPr>
          <w:rFonts w:ascii="宋体" w:hAnsi="宋体" w:cs="宋体" w:eastAsia="宋体" w:hint="default"/>
        </w:rPr>
        <w:t>40</w:t>
      </w:r>
      <w:r>
        <w:rPr/>
        <w:t>元，</w:t>
      </w:r>
    </w:p>
    <w:p>
      <w:pPr>
        <w:pStyle w:val="BodyText"/>
        <w:spacing w:line="357" w:lineRule="auto" w:before="77"/>
        <w:ind w:left="514" w:right="1212" w:hanging="360"/>
        <w:jc w:val="left"/>
        <w:rPr>
          <w:rFonts w:ascii="宋体" w:hAnsi="宋体" w:cs="宋体" w:eastAsia="宋体" w:hint="default"/>
        </w:rPr>
      </w:pPr>
      <w:r>
        <w:rPr/>
        <w:t>并于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日在深圳证券交易所创业板上市，发行后公司注册资本为</w:t>
      </w:r>
      <w:r>
        <w:rPr>
          <w:rFonts w:ascii="宋体" w:hAnsi="宋体" w:cs="宋体" w:eastAsia="宋体" w:hint="default"/>
        </w:rPr>
        <w:t>7,964</w:t>
      </w:r>
      <w:r>
        <w:rPr/>
        <w:t>万元。 </w:t>
      </w:r>
      <w:r>
        <w:rPr>
          <w:rFonts w:ascii="宋体" w:hAnsi="宋体" w:cs="宋体" w:eastAsia="宋体" w:hint="default"/>
        </w:rPr>
        <w:t>2012</w:t>
      </w:r>
      <w:r>
        <w:rPr/>
        <w:t>年</w:t>
      </w:r>
      <w:r>
        <w:rPr>
          <w:rFonts w:ascii="宋体" w:hAnsi="宋体" w:cs="宋体" w:eastAsia="宋体" w:hint="default"/>
        </w:rPr>
        <w:t>5</w:t>
      </w:r>
      <w:r>
        <w:rPr/>
        <w:t>月，经</w:t>
      </w:r>
      <w:r>
        <w:rPr>
          <w:rFonts w:ascii="宋体" w:hAnsi="宋体" w:cs="宋体" w:eastAsia="宋体" w:hint="default"/>
        </w:rPr>
        <w:t>2011</w:t>
      </w:r>
      <w:r>
        <w:rPr/>
        <w:t>年年度股东大会决议通过，公司以</w:t>
      </w:r>
      <w:r>
        <w:rPr>
          <w:rFonts w:ascii="宋体" w:hAnsi="宋体" w:cs="宋体" w:eastAsia="宋体" w:hint="default"/>
        </w:rPr>
        <w:t>2011</w:t>
      </w:r>
      <w:r>
        <w:rPr/>
        <w:t>年末总股本</w:t>
      </w:r>
      <w:r>
        <w:rPr>
          <w:rFonts w:ascii="宋体" w:hAnsi="宋体" w:cs="宋体" w:eastAsia="宋体" w:hint="default"/>
        </w:rPr>
        <w:t>7,964</w:t>
      </w:r>
      <w:r>
        <w:rPr/>
        <w:t>万股为基数，以资本公积向全体股东每</w:t>
      </w:r>
      <w:r>
        <w:rPr>
          <w:rFonts w:ascii="宋体" w:hAnsi="宋体" w:cs="宋体" w:eastAsia="宋体" w:hint="default"/>
        </w:rPr>
        <w:t>10</w:t>
      </w:r>
    </w:p>
    <w:p>
      <w:pPr>
        <w:pStyle w:val="BodyText"/>
        <w:spacing w:line="224" w:lineRule="exact"/>
        <w:ind w:right="0"/>
        <w:jc w:val="left"/>
      </w:pPr>
      <w:r>
        <w:rPr/>
        <w:t>股转增</w:t>
      </w:r>
      <w:r>
        <w:rPr>
          <w:rFonts w:ascii="宋体" w:hAnsi="宋体" w:cs="宋体" w:eastAsia="宋体" w:hint="default"/>
        </w:rPr>
        <w:t>8</w:t>
      </w:r>
      <w:r>
        <w:rPr/>
        <w:t>股，变更后注册资本为人民币</w:t>
      </w:r>
      <w:r>
        <w:rPr>
          <w:rFonts w:ascii="宋体" w:hAnsi="宋体" w:cs="宋体" w:eastAsia="宋体" w:hint="default"/>
        </w:rPr>
        <w:t>14,335.20</w:t>
      </w:r>
      <w:r>
        <w:rPr/>
        <w:t>万元；</w:t>
      </w:r>
      <w:r>
        <w:rPr>
          <w:rFonts w:ascii="宋体" w:hAnsi="宋体" w:cs="宋体" w:eastAsia="宋体" w:hint="default"/>
        </w:rPr>
        <w:t>2013</w:t>
      </w:r>
      <w:r>
        <w:rPr/>
        <w:t>年</w:t>
      </w:r>
      <w:r>
        <w:rPr>
          <w:rFonts w:ascii="宋体" w:hAnsi="宋体" w:cs="宋体" w:eastAsia="宋体" w:hint="default"/>
        </w:rPr>
        <w:t>5</w:t>
      </w:r>
      <w:r>
        <w:rPr/>
        <w:t>月，经</w:t>
      </w:r>
      <w:r>
        <w:rPr>
          <w:rFonts w:ascii="宋体" w:hAnsi="宋体" w:cs="宋体" w:eastAsia="宋体" w:hint="default"/>
        </w:rPr>
        <w:t>2012</w:t>
      </w:r>
      <w:r>
        <w:rPr/>
        <w:t>年年度股东大会决议通过，公司以</w:t>
      </w:r>
      <w:r>
        <w:rPr>
          <w:rFonts w:ascii="宋体" w:hAnsi="宋体" w:cs="宋体" w:eastAsia="宋体" w:hint="default"/>
        </w:rPr>
        <w:t>2012</w:t>
      </w:r>
      <w:r>
        <w:rPr/>
        <w:t>年末总股</w:t>
      </w:r>
    </w:p>
    <w:p>
      <w:pPr>
        <w:pStyle w:val="BodyText"/>
        <w:spacing w:line="319" w:lineRule="auto" w:before="76"/>
        <w:ind w:right="1130"/>
        <w:jc w:val="both"/>
      </w:pPr>
      <w:r>
        <w:rPr>
          <w:spacing w:val="-2"/>
        </w:rPr>
        <w:t>本</w:t>
      </w:r>
      <w:r>
        <w:rPr>
          <w:rFonts w:ascii="宋体" w:hAnsi="宋体" w:cs="宋体" w:eastAsia="宋体" w:hint="default"/>
          <w:spacing w:val="-2"/>
        </w:rPr>
        <w:t>14,335.20</w:t>
      </w:r>
      <w:r>
        <w:rPr>
          <w:spacing w:val="-2"/>
        </w:rPr>
        <w:t>万股为基数，以资本公积向全体股东每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股，变更后注册资本为人民币</w:t>
      </w:r>
      <w:r>
        <w:rPr>
          <w:rFonts w:ascii="宋体" w:hAnsi="宋体" w:cs="宋体" w:eastAsia="宋体" w:hint="default"/>
          <w:spacing w:val="-2"/>
        </w:rPr>
        <w:t>21,502.80</w:t>
      </w:r>
      <w:r>
        <w:rPr>
          <w:spacing w:val="-2"/>
        </w:rPr>
        <w:t>万元；</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月，经</w:t>
      </w:r>
      <w:r>
        <w:rPr>
          <w:spacing w:val="-40"/>
        </w:rPr>
        <w:t> </w:t>
      </w:r>
      <w:r>
        <w:rPr>
          <w:spacing w:val="-40"/>
        </w:rPr>
      </w:r>
      <w:r>
        <w:rPr>
          <w:rFonts w:ascii="宋体" w:hAnsi="宋体" w:cs="宋体" w:eastAsia="宋体" w:hint="default"/>
        </w:rPr>
        <w:t>2013</w:t>
      </w:r>
      <w:r>
        <w:rPr/>
        <w:t>年年度股东大会决议通过，公司以</w:t>
      </w:r>
      <w:r>
        <w:rPr>
          <w:rFonts w:ascii="宋体" w:hAnsi="宋体" w:cs="宋体" w:eastAsia="宋体" w:hint="default"/>
        </w:rPr>
        <w:t>2013</w:t>
      </w:r>
      <w:r>
        <w:rPr/>
        <w:t>年末总股本</w:t>
      </w:r>
      <w:r>
        <w:rPr>
          <w:rFonts w:ascii="宋体" w:hAnsi="宋体" w:cs="宋体" w:eastAsia="宋体" w:hint="default"/>
        </w:rPr>
        <w:t>21,502.80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股，变 更后注册资本为人民币</w:t>
      </w:r>
      <w:r>
        <w:rPr>
          <w:rFonts w:ascii="宋体" w:hAnsi="宋体" w:cs="宋体" w:eastAsia="宋体" w:hint="default"/>
        </w:rPr>
        <w:t>43,005.60</w:t>
      </w:r>
      <w:r>
        <w:rPr/>
        <w:t>万元。</w:t>
      </w:r>
    </w:p>
    <w:p>
      <w:pPr>
        <w:pStyle w:val="BodyText"/>
        <w:spacing w:line="240" w:lineRule="auto" w:before="56"/>
        <w:ind w:left="514" w:right="0"/>
        <w:jc w:val="left"/>
      </w:pPr>
      <w:r>
        <w:rPr>
          <w:rFonts w:ascii="宋体" w:hAnsi="宋体" w:cs="宋体" w:eastAsia="宋体" w:hint="default"/>
        </w:rPr>
        <w:t>2</w:t>
      </w:r>
      <w:r>
        <w:rPr/>
        <w:t>、本公司注册地：武汉市东湖新技术开发区华工大学科技园</w:t>
      </w:r>
    </w:p>
    <w:p>
      <w:pPr>
        <w:pStyle w:val="BodyText"/>
        <w:spacing w:line="240" w:lineRule="auto" w:before="116"/>
        <w:ind w:left="514" w:right="0"/>
        <w:jc w:val="left"/>
      </w:pPr>
      <w:r>
        <w:rPr>
          <w:rFonts w:ascii="宋体" w:hAnsi="宋体" w:cs="宋体" w:eastAsia="宋体" w:hint="default"/>
        </w:rPr>
        <w:t>3</w:t>
      </w:r>
      <w:r>
        <w:rPr/>
        <w:t>、组织形式：股份有限公司（上市）</w:t>
      </w:r>
    </w:p>
    <w:p>
      <w:pPr>
        <w:pStyle w:val="BodyText"/>
        <w:spacing w:line="240" w:lineRule="auto" w:before="117"/>
        <w:ind w:left="514" w:right="0"/>
        <w:jc w:val="left"/>
      </w:pPr>
      <w:r>
        <w:rPr>
          <w:rFonts w:ascii="宋体" w:hAnsi="宋体" w:cs="宋体" w:eastAsia="宋体" w:hint="default"/>
        </w:rPr>
        <w:t>4</w:t>
      </w:r>
      <w:r>
        <w:rPr/>
        <w:t>、总部地址：武汉市东湖新技术开发区华工大学科技园</w:t>
      </w:r>
    </w:p>
    <w:p>
      <w:pPr>
        <w:pStyle w:val="BodyText"/>
        <w:spacing w:line="357" w:lineRule="auto" w:before="116"/>
        <w:ind w:left="514" w:right="0"/>
        <w:jc w:val="left"/>
      </w:pPr>
      <w:r>
        <w:rPr>
          <w:rFonts w:ascii="宋体" w:hAnsi="宋体" w:cs="宋体" w:eastAsia="宋体" w:hint="default"/>
        </w:rPr>
        <w:t>5</w:t>
      </w:r>
      <w:r>
        <w:rPr/>
        <w:t>、本公司的主营业务： </w:t>
      </w:r>
      <w:r>
        <w:rPr>
          <w:spacing w:val="-2"/>
        </w:rPr>
        <w:t>本公司：主要从事与数据安全相关的智能卡、终端设备及系统解决方案等的设计、制造、销售和服务，商用密码产品的</w:t>
      </w:r>
    </w:p>
    <w:p>
      <w:pPr>
        <w:pStyle w:val="BodyText"/>
        <w:spacing w:line="224" w:lineRule="exact"/>
        <w:ind w:right="0"/>
        <w:jc w:val="left"/>
      </w:pPr>
      <w:r>
        <w:rPr/>
        <w:t>开发、生产，以及相关商品和技术的进出口，产品应用于金融、通信、交通、税控、社保、医疗卫生及工商等政务领域，满</w:t>
      </w:r>
    </w:p>
    <w:p>
      <w:pPr>
        <w:pStyle w:val="BodyText"/>
        <w:spacing w:line="357" w:lineRule="auto" w:before="77"/>
        <w:ind w:left="514" w:right="1212" w:hanging="360"/>
        <w:jc w:val="left"/>
        <w:rPr>
          <w:rFonts w:ascii="宋体" w:hAnsi="宋体" w:cs="宋体" w:eastAsia="宋体" w:hint="default"/>
        </w:rPr>
      </w:pPr>
      <w:r>
        <w:rPr/>
        <w:t>足不同客户群体的市场需求。 子公司天喻教育：主要从事以国家教育信息化建设为背景的</w:t>
      </w:r>
      <w:r>
        <w:rPr>
          <w:rFonts w:ascii="宋体" w:hAnsi="宋体" w:cs="宋体" w:eastAsia="宋体" w:hint="default"/>
        </w:rPr>
        <w:t>K12</w:t>
      </w:r>
      <w:r>
        <w:rPr/>
        <w:t>阶段教育云平台与应用的开发、销售、运营业务及</w:t>
      </w:r>
      <w:r>
        <w:rPr>
          <w:rFonts w:ascii="宋体" w:hAnsi="宋体" w:cs="宋体" w:eastAsia="宋体" w:hint="default"/>
        </w:rPr>
        <w:t>K12</w:t>
      </w:r>
    </w:p>
    <w:p>
      <w:pPr>
        <w:pStyle w:val="BodyText"/>
        <w:spacing w:line="224" w:lineRule="exact"/>
        <w:ind w:right="0"/>
        <w:jc w:val="left"/>
      </w:pPr>
      <w:r>
        <w:rPr/>
        <w:t>阶段学生在线学习服务平台运营服务。其子公司易考乐学主要从事基础教育领域考试测评产品的开发、销售及运营服务；子</w:t>
      </w:r>
    </w:p>
    <w:p>
      <w:pPr>
        <w:pStyle w:val="BodyText"/>
        <w:spacing w:line="319" w:lineRule="auto" w:before="76"/>
        <w:ind w:right="1131"/>
        <w:jc w:val="both"/>
      </w:pPr>
      <w:r>
        <w:rPr>
          <w:spacing w:val="-2"/>
        </w:rPr>
        <w:t>公司无锡尚蠡主要从事基础教育领域校园、校务信息化管理产品的开发、销售及运营服务；子公司上海天喻云主要从事上海</w:t>
      </w:r>
      <w:r>
        <w:rPr>
          <w:spacing w:val="-66"/>
        </w:rPr>
        <w:t> </w:t>
      </w:r>
      <w:r>
        <w:rPr>
          <w:spacing w:val="-66"/>
        </w:rPr>
      </w:r>
      <w:r>
        <w:rPr>
          <w:spacing w:val="-2"/>
        </w:rPr>
        <w:t>地区智慧教育产品的销售及运营服务；子公司贵州天喻通慧教育科技有限公司主要从事贵州地区智慧教育产品的销售及运营</w:t>
      </w:r>
      <w:r>
        <w:rPr>
          <w:spacing w:val="-64"/>
        </w:rPr>
        <w:t> </w:t>
      </w:r>
      <w:r>
        <w:rPr>
          <w:spacing w:val="-64"/>
        </w:rPr>
      </w:r>
      <w:r>
        <w:rPr/>
        <w:t>服务；子公司现代教育主要从事山东地区智慧教育产品的销售及运营服务；子公司鱼渔课堂主要从事</w:t>
      </w:r>
      <w:r>
        <w:rPr>
          <w:rFonts w:ascii="宋体" w:hAnsi="宋体" w:cs="宋体" w:eastAsia="宋体" w:hint="default"/>
        </w:rPr>
        <w:t>K12</w:t>
      </w:r>
      <w:r>
        <w:rPr/>
        <w:t>学生个性化学习系 统、资源的开发、销售和服务；子公司河南喻周主要从事河南周口地区的智慧教育市场开拓和智慧教育服务运营。</w:t>
      </w:r>
    </w:p>
    <w:p>
      <w:pPr>
        <w:pStyle w:val="BodyText"/>
        <w:spacing w:line="357" w:lineRule="auto" w:before="56"/>
        <w:ind w:left="514" w:right="0"/>
        <w:jc w:val="left"/>
      </w:pPr>
      <w:r>
        <w:rPr/>
        <w:t>子公司擎动网络：主要从事流通领域的供应链管理服务</w:t>
      </w:r>
      <w:r>
        <w:rPr>
          <w:rFonts w:ascii="宋体" w:hAnsi="宋体" w:cs="宋体" w:eastAsia="宋体" w:hint="default"/>
        </w:rPr>
        <w:t>+</w:t>
      </w:r>
      <w:r>
        <w:rPr/>
        <w:t>金融服务平台的开发与运营服务。 </w:t>
      </w:r>
      <w:r>
        <w:rPr>
          <w:spacing w:val="-2"/>
        </w:rPr>
        <w:t>子公司百望信息及其子公司湖北百旺：以税控产品及服务的技术开发、产品销售、技术服务为主营业务，致力于为增值</w:t>
      </w:r>
    </w:p>
    <w:p>
      <w:pPr>
        <w:pStyle w:val="BodyText"/>
        <w:spacing w:line="224" w:lineRule="exact"/>
        <w:ind w:right="0"/>
        <w:jc w:val="left"/>
      </w:pPr>
      <w:r>
        <w:rPr>
          <w:spacing w:val="-5"/>
        </w:rPr>
        <w:t>税纳税企业提供税控盘、税务专用打印机、税控开票软件、涉税业务培训、税务服务支持、税务综合解决方案等产品和服务，</w:t>
      </w:r>
    </w:p>
    <w:p>
      <w:pPr>
        <w:pStyle w:val="BodyText"/>
        <w:spacing w:line="357" w:lineRule="auto" w:before="77"/>
        <w:ind w:left="514" w:right="1122" w:hanging="360"/>
        <w:jc w:val="left"/>
      </w:pPr>
      <w:r>
        <w:rPr/>
        <w:t>并向政府提供税控行业信息系统、技术服务、技术培训等服务。 子公司聚联网络：面向银行、银行的个人和企业客户、商户提供基于移动互联网的产品和服务。构建</w:t>
      </w:r>
      <w:r>
        <w:rPr>
          <w:rFonts w:ascii="宋体" w:hAnsi="宋体" w:cs="宋体" w:eastAsia="宋体" w:hint="default"/>
        </w:rPr>
        <w:t>NFC</w:t>
      </w:r>
      <w:r>
        <w:rPr/>
        <w:t>支付服务生态</w:t>
      </w:r>
    </w:p>
    <w:p>
      <w:pPr>
        <w:pStyle w:val="BodyText"/>
        <w:spacing w:line="357" w:lineRule="auto"/>
        <w:ind w:left="514" w:right="0" w:hanging="360"/>
        <w:jc w:val="left"/>
      </w:pPr>
      <w:r>
        <w:rPr/>
        <w:t>体系，通过智能支付设备、支付管理平台、系统解决方案为用户提供支付应用服务。 子公司果核科技：主要从事基于</w:t>
      </w:r>
      <w:r>
        <w:rPr>
          <w:rFonts w:ascii="宋体" w:hAnsi="宋体" w:cs="宋体" w:eastAsia="宋体" w:hint="default"/>
        </w:rPr>
        <w:t>TEE</w:t>
      </w:r>
      <w:r>
        <w:rPr/>
        <w:t>的手机安全解决方案及相关安全应用的开发、运营、项目实施等技术服务。 </w:t>
      </w:r>
      <w:r>
        <w:rPr>
          <w:spacing w:val="-2"/>
        </w:rPr>
        <w:t>湖北天喻教育研究院：主要从事教育政策、理论、应用研究，基于云计算和大数据的教育管理、测量、评价方式和工具</w:t>
      </w:r>
    </w:p>
    <w:p>
      <w:pPr>
        <w:pStyle w:val="BodyText"/>
        <w:spacing w:line="360" w:lineRule="auto"/>
        <w:ind w:left="514" w:right="4992" w:hanging="360"/>
        <w:jc w:val="left"/>
      </w:pPr>
      <w:r>
        <w:rPr/>
        <w:t>的研发及推广，教育信息化解决方案咨询及培训服务等。 </w:t>
      </w:r>
      <w:r>
        <w:rPr>
          <w:rFonts w:ascii="宋体" w:hAnsi="宋体" w:cs="宋体" w:eastAsia="宋体" w:hint="default"/>
        </w:rPr>
        <w:t>6</w:t>
      </w:r>
      <w:r>
        <w:rPr/>
        <w:t>、本公司母公司及实际控制人的名称： 本公司的母公司为华工创投，实际控制人为华中科技大学。 </w:t>
      </w:r>
      <w:r>
        <w:rPr>
          <w:rFonts w:ascii="宋体" w:hAnsi="宋体" w:cs="宋体" w:eastAsia="宋体" w:hint="default"/>
        </w:rPr>
        <w:t>7</w:t>
      </w:r>
      <w:r>
        <w:rPr/>
        <w:t>、财务报告的批准报出者和财务报告批准报出日： 本报告于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w:t>
      </w:r>
      <w:r>
        <w:rPr/>
        <w:t>日经公司第七届董事会第十四次会议批准报出。</w:t>
      </w:r>
    </w:p>
    <w:p>
      <w:pPr>
        <w:pStyle w:val="BodyText"/>
        <w:spacing w:line="319" w:lineRule="auto" w:before="25"/>
        <w:ind w:right="1123" w:firstLine="360"/>
        <w:jc w:val="left"/>
      </w:pPr>
      <w:r>
        <w:rPr>
          <w:spacing w:val="-2"/>
        </w:rPr>
        <w:t>截至报告期末，纳入合并范围的子公司</w:t>
      </w:r>
      <w:r>
        <w:rPr>
          <w:rFonts w:ascii="宋体" w:hAnsi="宋体" w:cs="宋体" w:eastAsia="宋体" w:hint="default"/>
          <w:spacing w:val="-2"/>
        </w:rPr>
        <w:t>/</w:t>
      </w:r>
      <w:r>
        <w:rPr>
          <w:spacing w:val="-2"/>
        </w:rPr>
        <w:t>非营利组织共计</w:t>
      </w:r>
      <w:r>
        <w:rPr>
          <w:rFonts w:ascii="宋体" w:hAnsi="宋体" w:cs="宋体" w:eastAsia="宋体" w:hint="default"/>
          <w:spacing w:val="-2"/>
        </w:rPr>
        <w:t>14</w:t>
      </w:r>
      <w:r>
        <w:rPr>
          <w:spacing w:val="-2"/>
        </w:rPr>
        <w:t>家，详见本附注九、</w:t>
      </w:r>
      <w:r>
        <w:rPr>
          <w:rFonts w:ascii="宋体" w:hAnsi="宋体" w:cs="宋体" w:eastAsia="宋体" w:hint="default"/>
          <w:spacing w:val="-2"/>
        </w:rPr>
        <w:t>1</w:t>
      </w:r>
      <w:r>
        <w:rPr>
          <w:spacing w:val="-2"/>
        </w:rPr>
        <w:t>，本报告期合并范围变化情况详见本附</w:t>
      </w:r>
      <w:r>
        <w:rPr/>
        <w:t> 注八。</w:t>
      </w:r>
    </w:p>
    <w:p>
      <w:pPr>
        <w:spacing w:after="0" w:line="319" w:lineRule="auto"/>
        <w:jc w:val="left"/>
        <w:sectPr>
          <w:headerReference w:type="default" r:id="rId36"/>
          <w:footerReference w:type="default" r:id="rId37"/>
          <w:pgSz w:w="11910" w:h="16840"/>
          <w:pgMar w:header="877" w:footer="1187" w:top="1100" w:bottom="1380" w:left="980" w:right="0"/>
          <w:pgNumType w:start="83"/>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2"/>
      <w:bookmarkEnd w:id="172"/>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0" w:firstLine="360"/>
        <w:jc w:val="left"/>
      </w:pPr>
      <w:r>
        <w:rPr>
          <w:spacing w:val="-2"/>
        </w:rPr>
        <w:t>本财务报表以持续经营为基础编制，根据实际发生的交易和事项，按照《企业会计准则——基本准则》和其他各项会计</w:t>
      </w:r>
      <w:r>
        <w:rPr/>
        <w:t> 准则的规定进行确认和计量，在此基础上编制财务报表。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持续经营" w:id="173"/>
      <w:bookmarkEnd w:id="173"/>
      <w:r>
        <w:rPr>
          <w:b w:val="0"/>
          <w:bCs w:val="0"/>
        </w:rPr>
      </w:r>
      <w:r>
        <w:rPr>
          <w:rFonts w:ascii="宋体" w:hAnsi="宋体" w:cs="宋体" w:eastAsia="宋体" w:hint="default"/>
        </w:rPr>
        <w:t>2</w:t>
      </w:r>
      <w:r>
        <w:rPr/>
        <w:t>、持续经营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本报告自报告期末起</w:t>
      </w:r>
      <w:r>
        <w:rPr>
          <w:rFonts w:ascii="宋体" w:hAnsi="宋体" w:cs="宋体" w:eastAsia="宋体" w:hint="default"/>
        </w:rPr>
        <w:t>12</w:t>
      </w:r>
      <w:r>
        <w:rPr/>
        <w:t>个月内不存在对本公司持续经营能力产生重大疑虑的事项或情况。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7692" w:hanging="360"/>
        <w:jc w:val="left"/>
      </w:pPr>
      <w:r>
        <w:rPr/>
        <w:t>公司是否需要遵守特殊行业的披露要求 否</w:t>
      </w:r>
    </w:p>
    <w:p>
      <w:pPr>
        <w:pStyle w:val="BodyText"/>
        <w:spacing w:line="357" w:lineRule="auto" w:before="105"/>
        <w:ind w:left="514" w:right="0" w:hanging="360"/>
        <w:jc w:val="left"/>
      </w:pPr>
      <w:r>
        <w:rPr/>
        <w:t>具体会计政策和会计估计提示： </w:t>
      </w:r>
      <w:r>
        <w:rPr>
          <w:spacing w:val="-2"/>
        </w:rPr>
        <w:t>本公司根据实际经营特点，依据相关会计准则的规定，对应收款项、固定资产、无形资产、收入等交易和事项制定了具</w:t>
      </w:r>
    </w:p>
    <w:p>
      <w:pPr>
        <w:pStyle w:val="BodyText"/>
        <w:spacing w:line="225" w:lineRule="exact"/>
        <w:ind w:right="0"/>
        <w:jc w:val="left"/>
      </w:pPr>
      <w:r>
        <w:rPr/>
        <w:t>体会计政策和会计估计。</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75"/>
      <w:bookmarkEnd w:id="175"/>
      <w:r>
        <w:rPr>
          <w:b w:val="0"/>
          <w:bCs w:val="0"/>
        </w:rPr>
      </w:r>
      <w:r>
        <w:rPr>
          <w:rFonts w:ascii="宋体" w:hAnsi="宋体" w:cs="宋体" w:eastAsia="宋体" w:hint="default"/>
        </w:rPr>
        <w:t>1</w:t>
      </w:r>
      <w:r>
        <w:rPr/>
        <w:t>、遵循企业会计准则的声明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本财务报表符合企业会计准则的要求，真实、完整地反映了本公司的财务状况、经营成果和现金流量等有关信息。</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会计期间" w:id="176"/>
      <w:bookmarkEnd w:id="176"/>
      <w:r>
        <w:rPr>
          <w:b w:val="0"/>
          <w:bCs w:val="0"/>
        </w:rPr>
      </w:r>
      <w:r>
        <w:rPr>
          <w:rFonts w:ascii="宋体" w:hAnsi="宋体" w:cs="宋体" w:eastAsia="宋体" w:hint="default"/>
        </w:rPr>
        <w:t>2</w:t>
      </w:r>
      <w:r>
        <w:rPr/>
        <w:t>、会计期间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营业周期" w:id="177"/>
      <w:bookmarkEnd w:id="177"/>
      <w:r>
        <w:rPr>
          <w:b w:val="0"/>
          <w:bCs w:val="0"/>
        </w:rPr>
      </w:r>
      <w:r>
        <w:rPr>
          <w:rFonts w:ascii="宋体" w:hAnsi="宋体" w:cs="宋体" w:eastAsia="宋体" w:hint="default"/>
        </w:rPr>
        <w:t>3</w:t>
      </w:r>
      <w:r>
        <w:rPr/>
        <w:t>、营业周期</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正常营业周期，是指企业从购买用于加工的资产起至实现现金或现金等价物的期间。本公司正常营业周期短于一年。正</w:t>
      </w:r>
      <w:r>
        <w:rPr/>
        <w:t> </w:t>
      </w:r>
      <w:r>
        <w:rPr>
          <w:spacing w:val="-2"/>
        </w:rPr>
        <w:t>常营业周期短于一年的，自资产负债表日起一年内变现的资产或自资产负债表日起一年内到期应予以清偿的负债归类为流动</w:t>
      </w:r>
      <w:r>
        <w:rPr>
          <w:spacing w:val="-64"/>
        </w:rPr>
        <w:t> </w:t>
      </w:r>
      <w:r>
        <w:rPr>
          <w:spacing w:val="-64"/>
        </w:rPr>
      </w:r>
      <w:r>
        <w:rPr/>
        <w:t>资产或流动负债。</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记账本位币" w:id="178"/>
      <w:bookmarkEnd w:id="178"/>
      <w:r>
        <w:rPr>
          <w:b w:val="0"/>
          <w:bCs w:val="0"/>
        </w:rPr>
      </w:r>
      <w:r>
        <w:rPr>
          <w:rFonts w:ascii="宋体" w:hAnsi="宋体" w:cs="宋体" w:eastAsia="宋体" w:hint="default"/>
        </w:rPr>
        <w:t>4</w:t>
      </w:r>
      <w:r>
        <w:rPr/>
        <w:t>、记账本位币</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本公司以人民币为记账本位币。</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9"/>
      <w:bookmarkEnd w:id="179"/>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032" w:firstLine="360"/>
        <w:jc w:val="left"/>
      </w:pPr>
      <w:r>
        <w:rPr/>
        <w:t>（</w:t>
      </w:r>
      <w:r>
        <w:rPr>
          <w:rFonts w:ascii="宋体" w:hAnsi="宋体" w:cs="宋体" w:eastAsia="宋体" w:hint="default"/>
        </w:rPr>
        <w:t>1</w:t>
      </w:r>
      <w:r>
        <w:rPr/>
        <w:t>）本公司报告期内发生同一控制下企业合并的，采用权益结合法进行会计处理。合并方在企业合并中取得的资产和 </w:t>
      </w:r>
      <w:r>
        <w:rPr>
          <w:spacing w:val="-2"/>
        </w:rPr>
        <w:t>负债，于合并日按照被合并方在最终控制方合并财务报表中的账面价值计量。合并方取得的净资产账面价值与支付的合并对</w:t>
      </w:r>
      <w:r>
        <w:rPr>
          <w:spacing w:val="-64"/>
        </w:rPr>
        <w:t> </w:t>
      </w:r>
      <w:r>
        <w:rPr>
          <w:spacing w:val="-64"/>
        </w:rPr>
      </w:r>
      <w:r>
        <w:rPr>
          <w:spacing w:val="-2"/>
        </w:rPr>
        <w:t>价账面价值（或发行股份面值总额）的差额，调整资本公积；资本公积不足冲减的，调整留存收益。合并方为进行企业合并</w:t>
      </w:r>
      <w:r>
        <w:rPr>
          <w:spacing w:val="-68"/>
        </w:rPr>
        <w:t> </w:t>
      </w:r>
      <w:r>
        <w:rPr>
          <w:spacing w:val="-68"/>
        </w:rPr>
      </w:r>
      <w:r>
        <w:rPr/>
        <w:t>发生的各项直接相关费用，包括为进行企业合并而支付的审计费用、评估费用、法律服务费用等，于发生时计入当期损益。</w:t>
      </w:r>
      <w:r>
        <w:rPr>
          <w:spacing w:val="-85"/>
        </w:rPr>
        <w:t> </w:t>
      </w:r>
      <w:r>
        <w:rPr>
          <w:spacing w:val="-85"/>
        </w:rPr>
      </w:r>
      <w:r>
        <w:rPr>
          <w:spacing w:val="-2"/>
        </w:rPr>
        <w:t>为企业合并发行的债券或承担其他债务支付的手续费、佣金等，计入所发行债券及其他债务的初始计量金额。企业合并中发</w:t>
      </w:r>
    </w:p>
    <w:p>
      <w:pPr>
        <w:spacing w:after="0" w:line="319"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2"/>
        <w:jc w:val="both"/>
      </w:pPr>
      <w:r>
        <w:rPr>
          <w:spacing w:val="-2"/>
        </w:rPr>
        <w:t>行权益性证券发生的手续费、佣金等费用，抵减权益性证券溢价收入，溢价收入不足冲减的，冲减留存收益。企业合并形成</w:t>
      </w:r>
      <w:r>
        <w:rPr>
          <w:spacing w:val="-66"/>
        </w:rPr>
        <w:t> </w:t>
      </w:r>
      <w:r>
        <w:rPr>
          <w:spacing w:val="-66"/>
        </w:rPr>
      </w:r>
      <w:r>
        <w:rPr>
          <w:spacing w:val="-2"/>
        </w:rPr>
        <w:t>母子公司关系的，编制合并财务报表，按照本公司制定的“合并财务报表”会计政策执行；合并财务报表比较数据调整的期</w:t>
      </w:r>
      <w:r>
        <w:rPr>
          <w:spacing w:val="-66"/>
        </w:rPr>
        <w:t> </w:t>
      </w:r>
      <w:r>
        <w:rPr>
          <w:spacing w:val="-66"/>
        </w:rPr>
      </w:r>
      <w:r>
        <w:rPr/>
        <w:t>间应不早于合并方、被合并方处于最终控制方的控制之下孰晚的时间。</w:t>
      </w:r>
    </w:p>
    <w:p>
      <w:pPr>
        <w:pStyle w:val="BodyText"/>
        <w:spacing w:line="319" w:lineRule="auto" w:before="55"/>
        <w:ind w:right="1130" w:firstLine="360"/>
        <w:jc w:val="both"/>
      </w:pPr>
      <w:r>
        <w:rPr/>
        <w:t>（</w:t>
      </w:r>
      <w:r>
        <w:rPr>
          <w:rFonts w:ascii="宋体" w:hAnsi="宋体" w:cs="宋体" w:eastAsia="宋体" w:hint="default"/>
        </w:rPr>
        <w:t>2</w:t>
      </w:r>
      <w:r>
        <w:rPr/>
        <w:t>）本公司报告期内发生非同一控制下的企业合并的，采用购买法进行会计处理。区别下列情况确定合并成本：①一 </w:t>
      </w:r>
      <w:r>
        <w:rPr>
          <w:spacing w:val="-2"/>
        </w:rPr>
        <w:t>次交换交易实现的企业合并，合并成本为在购买日为取得对被购买方的控制权而付出的资产、发生或承担的负债以及发行的</w:t>
      </w:r>
      <w:r>
        <w:rPr>
          <w:spacing w:val="-64"/>
        </w:rPr>
        <w:t> </w:t>
      </w:r>
      <w:r>
        <w:rPr>
          <w:spacing w:val="-64"/>
        </w:rPr>
      </w:r>
      <w:r>
        <w:rPr>
          <w:spacing w:val="-2"/>
        </w:rPr>
        <w:t>权益性证券的公允价值。②通过多次交换交易分步实现的企业合并，对于购买日之前持有的被购买方的股权，区分个别财务</w:t>
      </w:r>
      <w:r>
        <w:rPr>
          <w:spacing w:val="-66"/>
        </w:rPr>
        <w:t> </w:t>
      </w:r>
      <w:r>
        <w:rPr>
          <w:spacing w:val="-66"/>
        </w:rPr>
      </w:r>
      <w:r>
        <w:rPr/>
        <w:t>报表和合并财务报表进行相关会计处理：</w:t>
      </w:r>
      <w:r>
        <w:rPr>
          <w:rFonts w:ascii="宋体" w:hAnsi="宋体" w:cs="宋体" w:eastAsia="宋体" w:hint="default"/>
        </w:rPr>
        <w:t>A</w:t>
      </w:r>
      <w:r>
        <w:rPr/>
        <w:t>、在个别财务报表中，按照原持有被购买方的股权投资的账面价值加上新增投资</w:t>
      </w:r>
      <w:r>
        <w:rPr>
          <w:spacing w:val="-83"/>
        </w:rPr>
        <w:t> </w:t>
      </w:r>
      <w:r>
        <w:rPr>
          <w:spacing w:val="-83"/>
        </w:rPr>
      </w:r>
      <w:r>
        <w:rPr>
          <w:spacing w:val="-2"/>
        </w:rPr>
        <w:t>成本之和，作为改按成本法核算的初始投资成本；购买日之前持有的股权投资因采用权益法核算而确认的其他综合收益，在</w:t>
      </w:r>
      <w:r>
        <w:rPr>
          <w:spacing w:val="-66"/>
        </w:rPr>
        <w:t> </w:t>
      </w:r>
      <w:r>
        <w:rPr>
          <w:spacing w:val="-66"/>
        </w:rPr>
      </w:r>
      <w:r>
        <w:rPr>
          <w:spacing w:val="-2"/>
        </w:rPr>
        <w:t>处置该项投资时采用与被购买方直接处置相关资产或负债相同的基础进行会计处理。购买日之前持有的股权投资按照《企业</w:t>
      </w:r>
      <w:r>
        <w:rPr>
          <w:spacing w:val="-64"/>
        </w:rPr>
        <w:t> </w:t>
      </w:r>
      <w:r>
        <w:rPr>
          <w:spacing w:val="-64"/>
        </w:rPr>
      </w:r>
      <w:r>
        <w:rPr>
          <w:spacing w:val="-2"/>
        </w:rPr>
        <w:t>会计准则第</w:t>
      </w:r>
      <w:r>
        <w:rPr>
          <w:rFonts w:ascii="宋体" w:hAnsi="宋体" w:cs="宋体" w:eastAsia="宋体" w:hint="default"/>
          <w:spacing w:val="-2"/>
        </w:rPr>
        <w:t>22</w:t>
      </w:r>
      <w:r>
        <w:rPr>
          <w:spacing w:val="-2"/>
        </w:rPr>
        <w:t>号——金融工具确认和计量》的有关规定进行会计处理的，原计入其他综合收益的累计公允价值变动在改按成</w:t>
      </w:r>
      <w:r>
        <w:rPr>
          <w:spacing w:val="-62"/>
        </w:rPr>
        <w:t> </w:t>
      </w:r>
      <w:r>
        <w:rPr>
          <w:spacing w:val="-62"/>
        </w:rPr>
      </w:r>
      <w:r>
        <w:rPr/>
        <w:t>本法核算时转入当期损益。</w:t>
      </w:r>
      <w:r>
        <w:rPr>
          <w:rFonts w:ascii="宋体" w:hAnsi="宋体" w:cs="宋体" w:eastAsia="宋体" w:hint="default"/>
        </w:rPr>
        <w:t>B</w:t>
      </w:r>
      <w:r>
        <w:rPr/>
        <w:t>、在合并财务报表中，对于购买日之前持有的被购买方的股权，按照该股权在购买日的公允价</w:t>
      </w:r>
      <w:r>
        <w:rPr>
          <w:spacing w:val="-83"/>
        </w:rPr>
        <w:t> </w:t>
      </w:r>
      <w:r>
        <w:rPr>
          <w:spacing w:val="-83"/>
        </w:rPr>
      </w:r>
      <w:r>
        <w:rPr>
          <w:spacing w:val="-2"/>
        </w:rPr>
        <w:t>值进行重新计量，公允价值与其账面价值的差额计入当期投资收益；购买日之前持有的被购买方的股权涉及权益法核算下的</w:t>
      </w:r>
      <w:r>
        <w:rPr>
          <w:spacing w:val="-64"/>
        </w:rPr>
        <w:t> </w:t>
      </w:r>
      <w:r>
        <w:rPr>
          <w:spacing w:val="-64"/>
        </w:rPr>
      </w:r>
      <w:r>
        <w:rPr>
          <w:spacing w:val="-2"/>
        </w:rPr>
        <w:t>其他综合收益等的，与其相关的其他综合收益等转为购买日所属当期投资收益。本公司在附注中披露其在购买日之前持有的</w:t>
      </w:r>
      <w:r>
        <w:rPr>
          <w:spacing w:val="-63"/>
        </w:rPr>
        <w:t> </w:t>
      </w:r>
      <w:r>
        <w:rPr>
          <w:spacing w:val="-63"/>
        </w:rPr>
      </w:r>
      <w:r>
        <w:rPr>
          <w:spacing w:val="-2"/>
        </w:rPr>
        <w:t>被购买方的股权在购买日的公允价值、按照公允价值重新计量产生的相关利得或损失的金额。③为企业合并发生的审计、法</w:t>
      </w:r>
      <w:r>
        <w:rPr>
          <w:spacing w:val="-66"/>
        </w:rPr>
        <w:t> </w:t>
      </w:r>
      <w:r>
        <w:rPr>
          <w:spacing w:val="-66"/>
        </w:rPr>
      </w:r>
      <w:r>
        <w:rPr>
          <w:spacing w:val="-2"/>
        </w:rPr>
        <w:t>律服务、评估咨询等中介费用以及其他相关管理费用，于发生时计入当期损益；作为合并对价发行的权益性证券或债务性证</w:t>
      </w:r>
      <w:r>
        <w:rPr>
          <w:spacing w:val="-66"/>
        </w:rPr>
        <w:t> </w:t>
      </w:r>
      <w:r>
        <w:rPr>
          <w:spacing w:val="-66"/>
        </w:rPr>
      </w:r>
      <w:r>
        <w:rPr>
          <w:spacing w:val="-2"/>
        </w:rPr>
        <w:t>券的交易费用，计入权益性证券或债务性证券的初始确认金额。④在合并合同或协议中对可能影响合并成本的未来事项作出</w:t>
      </w:r>
      <w:r>
        <w:rPr>
          <w:spacing w:val="-64"/>
        </w:rPr>
        <w:t> </w:t>
      </w:r>
      <w:r>
        <w:rPr>
          <w:spacing w:val="-64"/>
        </w:rPr>
      </w:r>
      <w:r>
        <w:rPr/>
        <w:t>约定的，购买日如果估计未来事项很可能发生并且对合并成本的影响金额能够可靠计量的，将其计入合并成本。</w:t>
      </w:r>
    </w:p>
    <w:p>
      <w:pPr>
        <w:pStyle w:val="BodyText"/>
        <w:spacing w:line="319" w:lineRule="auto" w:before="56"/>
        <w:ind w:right="1042" w:firstLine="360"/>
        <w:jc w:val="both"/>
      </w:pPr>
      <w:r>
        <w:rPr>
          <w:spacing w:val="-4"/>
        </w:rPr>
        <w:t>本公司在购买日对作为企业合并对价付出的资产、发生或承担的负债按照公允价值计量，公允价值与其账面价值的差额，</w:t>
      </w:r>
      <w:r>
        <w:rPr/>
        <w:t> 计入当期损益。</w:t>
      </w:r>
    </w:p>
    <w:p>
      <w:pPr>
        <w:pStyle w:val="BodyText"/>
        <w:spacing w:line="319" w:lineRule="auto" w:before="55"/>
        <w:ind w:right="1132" w:firstLine="360"/>
        <w:jc w:val="both"/>
      </w:pPr>
      <w:r>
        <w:rPr>
          <w:spacing w:val="-2"/>
        </w:rPr>
        <w:t>本公司在购买日对合并成本进行分配，按照规定确认所取得的被购买方各项可辨认资产、负债及或有负债。①对合并成</w:t>
      </w:r>
      <w:r>
        <w:rPr/>
        <w:t> </w:t>
      </w:r>
      <w:r>
        <w:rPr>
          <w:spacing w:val="-2"/>
        </w:rPr>
        <w:t>本大于合并中取得的被购买方可辨认净资产公允价值份额的差额，确认为商誉。②对合并成本小于合并中取得的被购买方可</w:t>
      </w:r>
      <w:r>
        <w:rPr>
          <w:spacing w:val="-64"/>
        </w:rPr>
        <w:t> </w:t>
      </w:r>
      <w:r>
        <w:rPr>
          <w:spacing w:val="-64"/>
        </w:rPr>
      </w:r>
      <w:r>
        <w:rPr>
          <w:spacing w:val="-2"/>
        </w:rPr>
        <w:t>辨认净资产公允价值份额的差额，则对取得的被购买方各项可辨认资产、负债及或有负债的公允价值以及合并成本的计量进</w:t>
      </w:r>
      <w:r>
        <w:rPr>
          <w:spacing w:val="-64"/>
        </w:rPr>
        <w:t> </w:t>
      </w:r>
      <w:r>
        <w:rPr>
          <w:spacing w:val="-64"/>
        </w:rPr>
      </w:r>
      <w:r>
        <w:rPr/>
        <w:t>行复核；经复核后合并成本仍小于合并中取得的被购买方可辨认净资产公允价值份额的，其差额计入当期损益。</w:t>
      </w:r>
    </w:p>
    <w:p>
      <w:pPr>
        <w:pStyle w:val="BodyText"/>
        <w:spacing w:line="319" w:lineRule="auto" w:before="55"/>
        <w:ind w:right="1132" w:firstLine="360"/>
        <w:jc w:val="both"/>
      </w:pPr>
      <w:r>
        <w:rPr>
          <w:spacing w:val="-2"/>
        </w:rPr>
        <w:t>企业合并形成母子公司关系的，母公司设置备查簿，记录企业合并中取得的子公司各项可辨认资产、负债及或有负债等</w:t>
      </w:r>
      <w:r>
        <w:rPr/>
        <w:t> </w:t>
      </w:r>
      <w:r>
        <w:rPr>
          <w:spacing w:val="-2"/>
        </w:rPr>
        <w:t>在购买日的公允价值。编制合并财务报表时，以购买日确定的各项可辨认资产、负债及或有负债的公允价值为基础对子公司</w:t>
      </w:r>
      <w:r>
        <w:rPr>
          <w:spacing w:val="-66"/>
        </w:rPr>
        <w:t> </w:t>
      </w:r>
      <w:r>
        <w:rPr>
          <w:spacing w:val="-66"/>
        </w:rPr>
      </w:r>
      <w:r>
        <w:rPr/>
        <w:t>的财务报表进行调整，按照本公司制定的“合并财务报表”会计政策执行。</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80"/>
      <w:bookmarkEnd w:id="180"/>
      <w:r>
        <w:rPr>
          <w:b w:val="0"/>
          <w:bCs w:val="0"/>
        </w:rPr>
      </w:r>
      <w:r>
        <w:rPr>
          <w:rFonts w:ascii="宋体" w:hAnsi="宋体" w:cs="宋体" w:eastAsia="宋体" w:hint="default"/>
        </w:rPr>
        <w:t>6</w:t>
      </w:r>
      <w:r>
        <w:rPr/>
        <w:t>、合并财务报表的编制方法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1123"/>
        <w:jc w:val="left"/>
      </w:pPr>
      <w:r>
        <w:rPr/>
        <w:t>（</w:t>
      </w:r>
      <w:r>
        <w:rPr>
          <w:rFonts w:ascii="宋体" w:hAnsi="宋体" w:cs="宋体" w:eastAsia="宋体" w:hint="default"/>
        </w:rPr>
        <w:t>1</w:t>
      </w:r>
      <w:r>
        <w:rPr/>
        <w:t>）合并范围 </w:t>
      </w:r>
      <w:r>
        <w:rPr>
          <w:spacing w:val="-2"/>
        </w:rPr>
        <w:t>合并财务报表的合并范围以控制为基础予以确定，包括本公司及全部子公司截至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日止的年度财务报表。子</w:t>
      </w:r>
    </w:p>
    <w:p>
      <w:pPr>
        <w:pStyle w:val="BodyText"/>
        <w:spacing w:line="224" w:lineRule="exact"/>
        <w:ind w:right="0"/>
        <w:jc w:val="both"/>
      </w:pPr>
      <w:r>
        <w:rPr/>
        <w:t>公司，是指被本公司控制的主体（含企业、被投资单位中可分割的部分，以及本公司所控制的结构化主体等）。控制，是指</w:t>
      </w:r>
    </w:p>
    <w:p>
      <w:pPr>
        <w:pStyle w:val="BodyText"/>
        <w:spacing w:line="319" w:lineRule="auto" w:before="76"/>
        <w:ind w:right="1132"/>
        <w:jc w:val="both"/>
      </w:pPr>
      <w:r>
        <w:rPr>
          <w:spacing w:val="-2"/>
        </w:rPr>
        <w:t>投资方拥有对被投资方的权力，通过参与被投资方的相关活动而享有可变回报，并且有能力运用对被投资方的权力影响其回</w:t>
      </w:r>
      <w:r>
        <w:rPr>
          <w:spacing w:val="-64"/>
        </w:rPr>
        <w:t> </w:t>
      </w:r>
      <w:r>
        <w:rPr>
          <w:spacing w:val="-64"/>
        </w:rPr>
      </w:r>
      <w:r>
        <w:rPr/>
        <w:t>报金额。</w:t>
      </w:r>
    </w:p>
    <w:p>
      <w:pPr>
        <w:pStyle w:val="BodyText"/>
        <w:spacing w:line="357" w:lineRule="auto" w:before="56"/>
        <w:ind w:left="514" w:right="3552"/>
        <w:jc w:val="left"/>
      </w:pPr>
      <w:r>
        <w:rPr/>
        <w:t>（</w:t>
      </w:r>
      <w:r>
        <w:rPr>
          <w:rFonts w:ascii="宋体" w:hAnsi="宋体" w:cs="宋体" w:eastAsia="宋体" w:hint="default"/>
        </w:rPr>
        <w:t>2</w:t>
      </w:r>
      <w:r>
        <w:rPr/>
        <w:t>）合并财务报表编制方法 本公司以自身和其子公司的财务报表为基础，根据其他有关资料，编制合并财务报表。</w:t>
      </w:r>
    </w:p>
    <w:p>
      <w:pPr>
        <w:pStyle w:val="BodyText"/>
        <w:spacing w:line="319" w:lineRule="auto" w:before="28"/>
        <w:ind w:right="1131" w:firstLine="360"/>
        <w:jc w:val="both"/>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319" w:lineRule="auto" w:before="55"/>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57" w:lineRule="auto" w:before="56"/>
        <w:ind w:left="514" w:right="0"/>
        <w:jc w:val="left"/>
      </w:pPr>
      <w:r>
        <w:rPr/>
        <w:t>（</w:t>
      </w:r>
      <w:r>
        <w:rPr>
          <w:rFonts w:ascii="宋体" w:hAnsi="宋体" w:cs="宋体" w:eastAsia="宋体" w:hint="default"/>
        </w:rPr>
        <w:t>3</w:t>
      </w:r>
      <w:r>
        <w:rPr/>
        <w:t>）少数股东权益和损益的列报 </w:t>
      </w:r>
      <w:r>
        <w:rPr>
          <w:spacing w:val="-2"/>
        </w:rPr>
        <w:t>子公司所有者权益中不属于母公司的份额，作为少数股东权益，在合并资产负债表中所有者权益项目下以“少数股东权</w:t>
      </w:r>
    </w:p>
    <w:p>
      <w:pPr>
        <w:spacing w:after="0" w:line="357"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1752" w:hanging="360"/>
        <w:jc w:val="left"/>
      </w:pPr>
      <w:r>
        <w:rPr/>
        <w:t>益”项目列示。 子公司当期净损益中属于少数股东权益的份额，在合并利润表中净利润项目下以“少数股东损益”项目列示。</w:t>
      </w:r>
    </w:p>
    <w:p>
      <w:pPr>
        <w:pStyle w:val="BodyText"/>
        <w:spacing w:line="357" w:lineRule="auto" w:before="29"/>
        <w:ind w:left="514" w:right="0"/>
        <w:jc w:val="left"/>
      </w:pPr>
      <w:r>
        <w:rPr/>
        <w:t>（</w:t>
      </w:r>
      <w:r>
        <w:rPr>
          <w:rFonts w:ascii="宋体" w:hAnsi="宋体" w:cs="宋体" w:eastAsia="宋体" w:hint="default"/>
        </w:rPr>
        <w:t>4</w:t>
      </w:r>
      <w:r>
        <w:rPr/>
        <w:t>）超额亏损的处理 </w:t>
      </w:r>
      <w:r>
        <w:rPr>
          <w:spacing w:val="-2"/>
        </w:rPr>
        <w:t>在合并财务报表中，子公司少数股东分担的当期亏损超过了少数股东在该子公司期初所有者权益中所享有的份额的，其</w:t>
      </w:r>
    </w:p>
    <w:p>
      <w:pPr>
        <w:pStyle w:val="BodyText"/>
        <w:spacing w:line="225" w:lineRule="exact"/>
        <w:ind w:right="0"/>
        <w:jc w:val="both"/>
      </w:pPr>
      <w:r>
        <w:rPr/>
        <w:t>余额仍冲减少数股东权益。</w:t>
      </w:r>
    </w:p>
    <w:p>
      <w:pPr>
        <w:pStyle w:val="BodyText"/>
        <w:spacing w:line="357" w:lineRule="auto" w:before="116"/>
        <w:ind w:left="514" w:right="0"/>
        <w:jc w:val="left"/>
      </w:pPr>
      <w:r>
        <w:rPr/>
        <w:t>（</w:t>
      </w:r>
      <w:r>
        <w:rPr>
          <w:rFonts w:ascii="宋体" w:hAnsi="宋体" w:cs="宋体" w:eastAsia="宋体" w:hint="default"/>
        </w:rPr>
        <w:t>5</w:t>
      </w:r>
      <w:r>
        <w:rPr/>
        <w:t>）当期增加减少子公司的合并报表处理 </w:t>
      </w:r>
      <w:r>
        <w:rPr>
          <w:spacing w:val="-2"/>
        </w:rPr>
        <w:t>在报告期内，因同一控制下企业合并增加的子公司，编制合并资产负债表时，调整合并资产负债表的年初余额。因非同</w:t>
      </w:r>
    </w:p>
    <w:p>
      <w:pPr>
        <w:pStyle w:val="BodyText"/>
        <w:spacing w:line="224" w:lineRule="exact"/>
        <w:ind w:right="0"/>
        <w:jc w:val="both"/>
      </w:pPr>
      <w:r>
        <w:rPr/>
        <w:t>一控制下企业合并增加的子公司，编制合并资产负债表时，不调整合并资产负债表的年初余额。在报告期内处置子公司，编</w:t>
      </w:r>
    </w:p>
    <w:p>
      <w:pPr>
        <w:pStyle w:val="BodyText"/>
        <w:spacing w:line="357" w:lineRule="auto" w:before="77"/>
        <w:ind w:left="514" w:right="0" w:hanging="360"/>
        <w:jc w:val="left"/>
      </w:pPr>
      <w:r>
        <w:rPr/>
        <w:t>制合并资产负债表时，不调整合并资产负债表的年初余额。 </w:t>
      </w:r>
      <w:r>
        <w:rPr>
          <w:spacing w:val="-2"/>
        </w:rPr>
        <w:t>在报告期内，因同一控制下企业合并增加的子公司，将该子公司在合并当期的期初至报告期末的收入、费用、利润纳入</w:t>
      </w:r>
    </w:p>
    <w:p>
      <w:pPr>
        <w:pStyle w:val="BodyText"/>
        <w:spacing w:line="224" w:lineRule="exact"/>
        <w:ind w:right="0"/>
        <w:jc w:val="both"/>
      </w:pPr>
      <w:r>
        <w:rPr/>
        <w:t>合并利润表</w:t>
      </w:r>
      <w:r>
        <w:rPr>
          <w:spacing w:val="-87"/>
        </w:rPr>
        <w:t>，</w:t>
      </w:r>
      <w:r>
        <w:rPr/>
        <w:t>将该子公司合并当期期初至报告期末的现金流量纳入合并现金流量表</w:t>
      </w:r>
      <w:r>
        <w:rPr>
          <w:spacing w:val="-87"/>
        </w:rPr>
        <w:t>。</w:t>
      </w:r>
      <w:r>
        <w:rPr/>
        <w:t>因非同一控制下企业合并增加的子公司，</w:t>
      </w:r>
    </w:p>
    <w:p>
      <w:pPr>
        <w:pStyle w:val="BodyText"/>
        <w:spacing w:line="319" w:lineRule="auto" w:before="76"/>
        <w:ind w:right="1133"/>
        <w:jc w:val="both"/>
      </w:pPr>
      <w:r>
        <w:rPr>
          <w:spacing w:val="-2"/>
        </w:rPr>
        <w:t>将该子公司自购买日至报告期末的收入、费用、利润纳入合并利润表，将该子公司购买日至报告期末的现金流量纳入合并现</w:t>
      </w:r>
      <w:r>
        <w:rPr>
          <w:spacing w:val="-66"/>
        </w:rPr>
        <w:t> </w:t>
      </w:r>
      <w:r>
        <w:rPr>
          <w:spacing w:val="-66"/>
        </w:rPr>
      </w:r>
      <w:r>
        <w:rPr>
          <w:spacing w:val="-2"/>
        </w:rPr>
        <w:t>金流量表。在报告期内处置子公司，将该子公司期初至处置日的收入、费用、利润纳入合并利润表，将该子公司期初至处置</w:t>
      </w:r>
      <w:r>
        <w:rPr>
          <w:spacing w:val="-66"/>
        </w:rPr>
        <w:t> </w:t>
      </w:r>
      <w:r>
        <w:rPr>
          <w:spacing w:val="-66"/>
        </w:rPr>
      </w:r>
      <w:r>
        <w:rPr/>
        <w:t>日的现金流量纳入合并现金流量表。</w:t>
      </w:r>
    </w:p>
    <w:p>
      <w:pPr>
        <w:pStyle w:val="BodyText"/>
        <w:spacing w:line="319" w:lineRule="auto" w:before="55"/>
        <w:ind w:right="1032" w:firstLine="360"/>
        <w:jc w:val="left"/>
      </w:pPr>
      <w:r>
        <w:rPr>
          <w:spacing w:val="-2"/>
        </w:rPr>
        <w:t>因处置部分股权投资或其他原因丧失了对原有子公司控制权时，对于处置后的剩余股权投资，按照其在丧失控制权日的</w:t>
      </w:r>
      <w:r>
        <w:rPr/>
        <w:t> </w:t>
      </w:r>
      <w:r>
        <w:rPr>
          <w:spacing w:val="-2"/>
        </w:rPr>
        <w:t>公允价值进行重新计量。处置股权取得的对价与剩余股权公允价值之和，减去按原持股比例计算应享有原有子公司自购买日</w:t>
      </w:r>
      <w:r>
        <w:rPr>
          <w:spacing w:val="-64"/>
        </w:rPr>
        <w:t> </w:t>
      </w:r>
      <w:r>
        <w:rPr>
          <w:spacing w:val="-64"/>
        </w:rPr>
      </w:r>
      <w:r>
        <w:rPr/>
        <w:t>开始持续计算的净资产的份额之间的差额，计入丧失控制权当期的投资收益。与原有子公司股权投资相关的其他综合收益，</w:t>
      </w:r>
      <w:r>
        <w:rPr>
          <w:spacing w:val="-85"/>
        </w:rPr>
        <w:t> </w:t>
      </w:r>
      <w:r>
        <w:rPr>
          <w:spacing w:val="-85"/>
        </w:rPr>
      </w:r>
      <w:r>
        <w:rPr/>
        <w:t>在丧失控制权时转为当期投资收益。</w:t>
      </w:r>
    </w:p>
    <w:p>
      <w:pPr>
        <w:pStyle w:val="BodyText"/>
        <w:spacing w:line="319" w:lineRule="auto" w:before="56"/>
        <w:ind w:right="1131" w:firstLine="360"/>
        <w:jc w:val="both"/>
      </w:pPr>
      <w:r>
        <w:rPr>
          <w:spacing w:val="-2"/>
        </w:rPr>
        <w:t>因购买少数股权新取得的长期股权投资与按照新增持股比例计算应享有子公司的可辨认净资产份额之间的差额，以及在</w:t>
      </w:r>
      <w:r>
        <w:rPr/>
        <w:t> 不丧失控制权的情况下因部分处置对子公司的股权投资而取得的处置价款与处置长期股权投资相对应享有子公司净资产份</w:t>
      </w:r>
      <w:r>
        <w:rPr>
          <w:spacing w:val="-9"/>
        </w:rPr>
        <w:t> </w:t>
      </w:r>
      <w:r>
        <w:rPr>
          <w:spacing w:val="-9"/>
        </w:rPr>
      </w:r>
      <w:r>
        <w:rPr/>
        <w:t>额的差额，均调整合并资产负债表中的资本公积中的股本溢价，资本公积中的股本溢价不足冲减的，调整留存收益。</w:t>
      </w:r>
    </w:p>
    <w:p>
      <w:pPr>
        <w:pStyle w:val="BodyText"/>
        <w:spacing w:line="357" w:lineRule="auto" w:before="57"/>
        <w:ind w:left="514" w:right="0"/>
        <w:jc w:val="left"/>
      </w:pPr>
      <w:r>
        <w:rPr/>
        <w:t>（</w:t>
      </w:r>
      <w:r>
        <w:rPr>
          <w:rFonts w:ascii="宋体" w:hAnsi="宋体" w:cs="宋体" w:eastAsia="宋体" w:hint="default"/>
        </w:rPr>
        <w:t>6</w:t>
      </w:r>
      <w:r>
        <w:rPr/>
        <w:t>）分步处置股权至丧失控制权的合并报表处理 </w:t>
      </w:r>
      <w:r>
        <w:rPr>
          <w:spacing w:val="-2"/>
        </w:rPr>
        <w:t>处置对子公司股权投资直至丧失控制权的各项交易属于一揽子交易的，将各项交易作为一项处置子公司并丧失控制权的</w:t>
      </w:r>
    </w:p>
    <w:p>
      <w:pPr>
        <w:pStyle w:val="BodyText"/>
        <w:spacing w:line="224" w:lineRule="exact"/>
        <w:ind w:right="0"/>
        <w:jc w:val="both"/>
      </w:pPr>
      <w:r>
        <w:rPr/>
        <w:t>交易进行会计处理；但是，在丧失控制权之前每一次处置价款与处置投资对应的享有该子公司净资产份额的差额，在合并财</w:t>
      </w:r>
    </w:p>
    <w:p>
      <w:pPr>
        <w:pStyle w:val="BodyText"/>
        <w:spacing w:line="319" w:lineRule="auto" w:before="76"/>
        <w:ind w:right="1131"/>
        <w:jc w:val="both"/>
      </w:pPr>
      <w:r>
        <w:rPr>
          <w:spacing w:val="-2"/>
        </w:rPr>
        <w:t>务报表中确认为其他综合收益，在丧失控制权时一并转入丧失控制权当期的损益。不属于一揽子交易的，在丧失控制权之前</w:t>
      </w:r>
      <w:r>
        <w:rPr>
          <w:spacing w:val="-66"/>
        </w:rPr>
        <w:t> </w:t>
      </w:r>
      <w:r>
        <w:rPr>
          <w:spacing w:val="-66"/>
        </w:rPr>
      </w:r>
      <w:r>
        <w:rPr>
          <w:spacing w:val="-2"/>
        </w:rPr>
        <w:t>与丧失控制权时，按照前述不丧失控制权的情况下部分处置对子公司的股权投资与丧失对原有子公司控制权时的会计政策实</w:t>
      </w:r>
      <w:r>
        <w:rPr>
          <w:spacing w:val="-64"/>
        </w:rPr>
        <w:t> </w:t>
      </w:r>
      <w:r>
        <w:rPr>
          <w:spacing w:val="-64"/>
        </w:rPr>
      </w:r>
      <w:r>
        <w:rPr/>
        <w:t>施会计处理。</w:t>
      </w:r>
    </w:p>
    <w:p>
      <w:pPr>
        <w:pStyle w:val="BodyText"/>
        <w:spacing w:line="319" w:lineRule="auto" w:before="56"/>
        <w:ind w:right="1132" w:firstLine="360"/>
        <w:jc w:val="both"/>
      </w:pPr>
      <w:r>
        <w:rPr>
          <w:spacing w:val="-2"/>
        </w:rPr>
        <w:t>处置对子公司股权投资的各项交易的条款、条件以及经济影响符合以下一种或多种情况，表明将多次交易事项作为一揽</w:t>
      </w:r>
      <w:r>
        <w:rPr/>
        <w:t> </w:t>
      </w:r>
      <w:r>
        <w:rPr>
          <w:spacing w:val="-2"/>
        </w:rPr>
        <w:t>子交易进行会计处理：①这些交易是同时或者在考虑了彼此影响的情况下订立的；②这些交易整体才能达成一项完整的商业</w:t>
      </w:r>
      <w:r>
        <w:rPr>
          <w:spacing w:val="-64"/>
        </w:rPr>
        <w:t> </w:t>
      </w:r>
      <w:r>
        <w:rPr>
          <w:spacing w:val="-64"/>
        </w:rPr>
      </w:r>
      <w:r>
        <w:rPr>
          <w:spacing w:val="-2"/>
        </w:rPr>
        <w:t>结果；③一项交易的发生取决于其他至少一项交易的发生；④一项交易单独看是不经济的，但是和其他交易一并考虑时是经</w:t>
      </w:r>
      <w:r>
        <w:rPr>
          <w:spacing w:val="-66"/>
        </w:rPr>
        <w:t> </w:t>
      </w:r>
      <w:r>
        <w:rPr>
          <w:spacing w:val="-66"/>
        </w:rPr>
      </w:r>
      <w:r>
        <w:rPr/>
        <w:t>济的。</w:t>
      </w:r>
    </w:p>
    <w:p>
      <w:pPr>
        <w:pStyle w:val="BodyText"/>
        <w:spacing w:line="240" w:lineRule="auto" w:before="56"/>
        <w:ind w:left="514" w:right="0"/>
        <w:jc w:val="left"/>
      </w:pPr>
      <w:r>
        <w:rPr/>
        <w:t>个别财务报表分步处置股权至丧失控制权按照处置长期股权投资的会计政策实施会计处理。</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7、合营安排分类及共同经营会计处理方法" w:id="181"/>
      <w:bookmarkEnd w:id="181"/>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0"/>
        <w:jc w:val="left"/>
      </w:pPr>
      <w:r>
        <w:rPr/>
        <w:t>（</w:t>
      </w:r>
      <w:r>
        <w:rPr>
          <w:rFonts w:ascii="宋体" w:hAnsi="宋体" w:cs="宋体" w:eastAsia="宋体" w:hint="default"/>
        </w:rPr>
        <w:t>1</w:t>
      </w:r>
      <w:r>
        <w:rPr/>
        <w:t>）合营安排的分类 </w:t>
      </w:r>
      <w:r>
        <w:rPr>
          <w:spacing w:val="-2"/>
        </w:rPr>
        <w:t>合营安排，是指一项由两个或两个以上的参与方共同控制的安排。本公司将合营安排分为共同经营和合营企业。共同经</w:t>
      </w:r>
    </w:p>
    <w:p>
      <w:pPr>
        <w:pStyle w:val="BodyText"/>
        <w:spacing w:line="224" w:lineRule="exact"/>
        <w:ind w:right="0"/>
        <w:jc w:val="both"/>
      </w:pPr>
      <w:r>
        <w:rPr/>
        <w:t>营，是指合营方享有该安排相关资产且承担该安排相关负债的合营安排。合营企业，是指合营方仅对该安排的净资产享有权</w:t>
      </w:r>
    </w:p>
    <w:p>
      <w:pPr>
        <w:pStyle w:val="BodyText"/>
        <w:spacing w:line="357" w:lineRule="auto" w:before="77"/>
        <w:ind w:left="514" w:right="1123" w:hanging="360"/>
        <w:jc w:val="left"/>
      </w:pPr>
      <w:r>
        <w:rPr/>
        <w:t>利的合营安排。 </w:t>
      </w:r>
      <w:r>
        <w:rPr>
          <w:spacing w:val="-2"/>
        </w:rPr>
        <w:t>未通过单独主体达成的合营安排，划分为共同经营。单独主体，是指具有单独可辨认的财务架构的主体，包括单独的法</w:t>
      </w:r>
    </w:p>
    <w:p>
      <w:pPr>
        <w:pStyle w:val="BodyText"/>
        <w:spacing w:line="224" w:lineRule="exact"/>
        <w:ind w:right="0"/>
        <w:jc w:val="both"/>
      </w:pPr>
      <w:r>
        <w:rPr/>
        <w:t>人主体和不具备法人主体资格但法律认可的主体。通过单独主体达成的合营安排，通常划分为合营企业，但有确凿证据表明</w:t>
      </w:r>
    </w:p>
    <w:p>
      <w:pPr>
        <w:pStyle w:val="BodyText"/>
        <w:spacing w:line="240" w:lineRule="auto" w:before="76"/>
        <w:ind w:right="0"/>
        <w:jc w:val="both"/>
      </w:pPr>
      <w:r>
        <w:rPr/>
        <w:t>满足下列任一条件并且符合相关法律法规规定的合营安排应当划分为共同经营：合营安排的法律形式表明，合营方对该安排</w:t>
      </w:r>
    </w:p>
    <w:p>
      <w:pPr>
        <w:spacing w:after="0" w:line="240" w:lineRule="auto"/>
        <w:jc w:val="both"/>
        <w:sectPr>
          <w:footerReference w:type="default" r:id="rId38"/>
          <w:pgSz w:w="11910" w:h="16840"/>
          <w:pgMar w:footer="1489" w:header="877" w:top="1100" w:bottom="1680" w:left="980" w:right="0"/>
          <w:pgNumType w:start="86"/>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t>利和承担义务；其他相关事实和情况表明，合营方对该安排中的相关资产和负债分别享有权利和承担义务，如合营方享有与 合营安排相关的几乎所有产出，并且该安排中负债的清偿持续依赖于合营方的支持。不能仅凭合营方对合营安排提供债务担 </w:t>
      </w:r>
      <w:r>
        <w:rPr>
          <w:spacing w:val="-4"/>
        </w:rPr>
        <w:t>保即将其视为合营方承担该安排相关负债。合营方承担向合营安排支付认缴出资义务的，不视为合营方承担该安排相关负债。</w:t>
      </w:r>
      <w:r>
        <w:rPr>
          <w:spacing w:val="-44"/>
        </w:rPr>
        <w:t> </w:t>
      </w:r>
      <w:r>
        <w:rPr>
          <w:spacing w:val="-44"/>
        </w:rPr>
      </w:r>
      <w:r>
        <w:rPr>
          <w:spacing w:val="-2"/>
        </w:rPr>
        <w:t>相关事实和情况变化导致合营方在合营安排中享有的权利和承担的义务发生变化的，本公司对合营安排的分类进行重新评估。</w:t>
      </w:r>
      <w:r>
        <w:rPr>
          <w:spacing w:val="-61"/>
        </w:rPr>
        <w:t> </w:t>
      </w:r>
      <w:r>
        <w:rPr>
          <w:spacing w:val="-61"/>
        </w:rPr>
      </w:r>
      <w:r>
        <w:rPr/>
        <w:t>对于为完成不同活动而设立多项合营安排的一个框架性协议，本公司分别确定各项合营安排的分类。</w:t>
      </w:r>
    </w:p>
    <w:p>
      <w:pPr>
        <w:pStyle w:val="BodyText"/>
        <w:spacing w:line="240" w:lineRule="auto" w:before="56"/>
        <w:ind w:left="514" w:right="0"/>
        <w:jc w:val="left"/>
      </w:pPr>
      <w:r>
        <w:rPr/>
        <w:t>确定共同控制的依据及对合营企业的计量的会计政策详见本附注五、</w:t>
      </w:r>
      <w:r>
        <w:rPr>
          <w:rFonts w:ascii="宋体" w:hAnsi="宋体" w:cs="宋体" w:eastAsia="宋体" w:hint="default"/>
        </w:rPr>
        <w:t>14</w:t>
      </w:r>
      <w:r>
        <w:rPr/>
        <w:t>。</w:t>
      </w:r>
    </w:p>
    <w:p>
      <w:pPr>
        <w:pStyle w:val="BodyText"/>
        <w:spacing w:line="357" w:lineRule="auto" w:before="117"/>
        <w:ind w:left="514" w:right="0"/>
        <w:jc w:val="left"/>
      </w:pPr>
      <w:r>
        <w:rPr/>
        <w:t>（</w:t>
      </w:r>
      <w:r>
        <w:rPr>
          <w:rFonts w:ascii="宋体" w:hAnsi="宋体" w:cs="宋体" w:eastAsia="宋体" w:hint="default"/>
        </w:rPr>
        <w:t>2</w:t>
      </w:r>
      <w:r>
        <w:rPr/>
        <w:t>）共同经营的会计处理方法 </w:t>
      </w:r>
      <w:r>
        <w:rPr>
          <w:spacing w:val="-2"/>
        </w:rPr>
        <w:t>本公司确认其与共同经营中利益份额相关的下列项目，并按照相关企业会计准则的规定进行会计处理：确认单独所持有</w:t>
      </w:r>
    </w:p>
    <w:p>
      <w:pPr>
        <w:pStyle w:val="BodyText"/>
        <w:spacing w:line="224" w:lineRule="exact"/>
        <w:ind w:right="0"/>
        <w:jc w:val="left"/>
      </w:pPr>
      <w:r>
        <w:rPr/>
        <w:t>的资产，以及按其份额确认共同持有的资产；确认单独所承担的负债，以及按其份额确认共同承担的负债；确认出售其享有</w:t>
      </w:r>
    </w:p>
    <w:p>
      <w:pPr>
        <w:pStyle w:val="BodyText"/>
        <w:spacing w:line="319" w:lineRule="auto" w:before="76"/>
        <w:ind w:right="0"/>
        <w:jc w:val="left"/>
      </w:pPr>
      <w:r>
        <w:rPr>
          <w:spacing w:val="-2"/>
        </w:rPr>
        <w:t>的共同经营产出份额所产生的收入；按其份额确认共同经营因出售产出所产生的收入；确认单独所发生的费用，以及按其份</w:t>
      </w:r>
      <w:r>
        <w:rPr>
          <w:spacing w:val="-66"/>
        </w:rPr>
        <w:t> </w:t>
      </w:r>
      <w:r>
        <w:rPr>
          <w:spacing w:val="-66"/>
        </w:rPr>
      </w:r>
      <w:r>
        <w:rPr/>
        <w:t>额确认共同经营发生的费用。</w:t>
      </w:r>
    </w:p>
    <w:p>
      <w:pPr>
        <w:pStyle w:val="BodyText"/>
        <w:spacing w:line="319" w:lineRule="auto" w:before="55"/>
        <w:ind w:right="1129" w:firstLine="360"/>
        <w:jc w:val="both"/>
      </w:pPr>
      <w:r>
        <w:rPr>
          <w:spacing w:val="-2"/>
        </w:rPr>
        <w:t>本公司向共同经营投出或出售资产等（该资产构成业务的除外），在该资产等由共同经营出售给第三方之前，仅确认因</w:t>
      </w:r>
      <w:r>
        <w:rPr/>
        <w:t> 该交易产生的损益中归属于共同经营其他参与方的部分。投出或出售的资产发生符合《企业会计准则第</w:t>
      </w:r>
      <w:r>
        <w:rPr>
          <w:rFonts w:ascii="宋体" w:hAnsi="宋体" w:cs="宋体" w:eastAsia="宋体" w:hint="default"/>
        </w:rPr>
        <w:t>8</w:t>
      </w:r>
      <w:r>
        <w:rPr/>
        <w:t>号——资产减值》</w:t>
      </w:r>
      <w:r>
        <w:rPr>
          <w:spacing w:val="-82"/>
        </w:rPr>
        <w:t> </w:t>
      </w:r>
      <w:r>
        <w:rPr>
          <w:spacing w:val="-82"/>
        </w:rPr>
      </w:r>
      <w:r>
        <w:rPr>
          <w:spacing w:val="-2"/>
        </w:rPr>
        <w:t>等规定的资产减值损失的，本公司全额确认该损失。本公司自共同经营购买资产等（该资产构成业务的除外），在将该资产</w:t>
      </w:r>
      <w:r>
        <w:rPr>
          <w:spacing w:val="-66"/>
        </w:rPr>
        <w:t> </w:t>
      </w:r>
      <w:r>
        <w:rPr>
          <w:spacing w:val="-66"/>
        </w:rPr>
      </w:r>
      <w:r>
        <w:rPr>
          <w:spacing w:val="-2"/>
        </w:rPr>
        <w:t>等出售给第三方之前，仅确认因该交易产生的损益中归属于共同经营其他参与方的部分。购入的资产发生符合《企业会计准</w:t>
      </w:r>
      <w:r>
        <w:rPr>
          <w:spacing w:val="-66"/>
        </w:rPr>
        <w:t> </w:t>
      </w:r>
      <w:r>
        <w:rPr>
          <w:spacing w:val="-66"/>
        </w:rPr>
      </w:r>
      <w:r>
        <w:rPr/>
        <w:t>则第</w:t>
      </w:r>
      <w:r>
        <w:rPr>
          <w:rFonts w:ascii="宋体" w:hAnsi="宋体" w:cs="宋体" w:eastAsia="宋体" w:hint="default"/>
        </w:rPr>
        <w:t>8</w:t>
      </w:r>
      <w:r>
        <w:rPr/>
        <w:t>号——资产减值》等规定的资产减值损失的，本公司按其承担的份额确认该部分损失。</w:t>
      </w:r>
    </w:p>
    <w:p>
      <w:pPr>
        <w:pStyle w:val="BodyText"/>
        <w:spacing w:line="319" w:lineRule="auto" w:before="56"/>
        <w:ind w:right="1132" w:firstLine="360"/>
        <w:jc w:val="both"/>
      </w:pPr>
      <w:r>
        <w:rPr>
          <w:spacing w:val="-2"/>
        </w:rPr>
        <w:t>本公司属于对共同经营不享有共同控制的参与方的，如果享有该共同经营相关资产且承担该共同经营相关负债的，按照</w:t>
      </w:r>
      <w:r>
        <w:rPr/>
        <w:t> 上述原则进行会计处理；否则，按照本公司制定的金融工具或长期股权投资计量的会计政策进行会计处理。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82"/>
      <w:bookmarkEnd w:id="182"/>
      <w:r>
        <w:rPr>
          <w:b w:val="0"/>
          <w:bCs w:val="0"/>
        </w:rPr>
      </w:r>
      <w:r>
        <w:rPr>
          <w:rFonts w:ascii="宋体" w:hAnsi="宋体" w:cs="宋体" w:eastAsia="宋体" w:hint="default"/>
        </w:rPr>
        <w:t>8</w:t>
      </w:r>
      <w:r>
        <w:rPr/>
        <w:t>、现金及现金等价物的确定标准</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3" w:firstLine="360"/>
        <w:jc w:val="both"/>
      </w:pPr>
      <w:r>
        <w:rPr>
          <w:spacing w:val="-2"/>
        </w:rPr>
        <w:t>本公司现金包括库存现金、可以随时用于支付的存款；现金等价物包括本公司持有的期限短（一般指从购买日起三个月</w:t>
      </w:r>
      <w:r>
        <w:rPr/>
        <w:t> 内到期）、流动性强、易于转换为已知金额现金、价值变动风险很小的投资。</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83"/>
      <w:bookmarkEnd w:id="183"/>
      <w:r>
        <w:rPr>
          <w:b w:val="0"/>
          <w:bCs w:val="0"/>
        </w:rPr>
      </w:r>
      <w:r>
        <w:rPr>
          <w:rFonts w:ascii="宋体" w:hAnsi="宋体" w:cs="宋体" w:eastAsia="宋体" w:hint="default"/>
        </w:rPr>
        <w:t>9</w:t>
      </w:r>
      <w:r>
        <w:rPr/>
        <w:t>、外币业务和外币报表折算</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本公司外币交易均按交易发生日的即期汇率或即期汇率的近似汇率折算为记账本位币。</w:t>
      </w:r>
    </w:p>
    <w:p>
      <w:pPr>
        <w:pStyle w:val="BodyText"/>
        <w:spacing w:line="357" w:lineRule="auto" w:before="116"/>
        <w:ind w:left="514" w:right="0"/>
        <w:jc w:val="left"/>
      </w:pPr>
      <w:r>
        <w:rPr/>
        <w:t>（</w:t>
      </w:r>
      <w:r>
        <w:rPr>
          <w:rFonts w:ascii="宋体" w:hAnsi="宋体" w:cs="宋体" w:eastAsia="宋体" w:hint="default"/>
        </w:rPr>
        <w:t>1</w:t>
      </w:r>
      <w:r>
        <w:rPr/>
        <w:t>）汇兑差额的处理 </w:t>
      </w:r>
      <w:r>
        <w:rPr>
          <w:spacing w:val="-2"/>
        </w:rPr>
        <w:t>在资产负债表日，按照下列规定对外币货币性项目和外币非货币性项目进行处理：外币货币性项目，采用资产负债表日</w:t>
      </w:r>
    </w:p>
    <w:p>
      <w:pPr>
        <w:pStyle w:val="BodyText"/>
        <w:spacing w:line="224" w:lineRule="exact"/>
        <w:ind w:right="0"/>
        <w:jc w:val="left"/>
      </w:pPr>
      <w:r>
        <w:rPr/>
        <w:t>即期汇率折算</w:t>
      </w:r>
      <w:r>
        <w:rPr>
          <w:spacing w:val="-82"/>
        </w:rPr>
        <w:t>。</w:t>
      </w:r>
      <w:r>
        <w:rPr/>
        <w:t>因资产负债表日即期汇率与初始确认时或前一资产负债表日即期汇率或即期汇率的近似汇率不同而产生的汇</w:t>
      </w:r>
    </w:p>
    <w:p>
      <w:pPr>
        <w:pStyle w:val="BodyText"/>
        <w:spacing w:line="319" w:lineRule="auto" w:before="76"/>
        <w:ind w:right="1032"/>
        <w:jc w:val="left"/>
      </w:pPr>
      <w:r>
        <w:rPr/>
        <w:t>兑差额，计入当期损益；以历史成本计量的外币非货币性项目，仍采用交易发生日的即期汇率或即期汇率的近似汇率折算，</w:t>
      </w:r>
      <w:r>
        <w:rPr>
          <w:spacing w:val="-85"/>
        </w:rPr>
        <w:t> </w:t>
      </w:r>
      <w:r>
        <w:rPr>
          <w:spacing w:val="-85"/>
        </w:rPr>
      </w:r>
      <w:r>
        <w:rPr>
          <w:spacing w:val="-2"/>
        </w:rPr>
        <w:t>不改变其记账本位币金额；以公允价值计量的外币非货币性项目，采用公允价值确定日的即期汇率或即期汇率的近似汇率折</w:t>
      </w:r>
      <w:r>
        <w:rPr>
          <w:spacing w:val="-64"/>
        </w:rPr>
        <w:t> </w:t>
      </w:r>
      <w:r>
        <w:rPr>
          <w:spacing w:val="-64"/>
        </w:rPr>
      </w:r>
      <w:r>
        <w:rPr>
          <w:spacing w:val="-2"/>
        </w:rPr>
        <w:t>算，折算后的记账本位币金额与原记账本位币金额的差额，作为公允价值变动（含汇率变动）处理，计入当期损益；在资本</w:t>
      </w:r>
      <w:r>
        <w:rPr>
          <w:spacing w:val="-68"/>
        </w:rPr>
        <w:t> </w:t>
      </w:r>
      <w:r>
        <w:rPr>
          <w:spacing w:val="-68"/>
        </w:rPr>
      </w:r>
      <w:r>
        <w:rPr/>
        <w:t>化期间内，外币专门借款本金及利息的汇兑差额，予以资本化，计入符合资本化条件的资产的成本。</w:t>
      </w:r>
    </w:p>
    <w:p>
      <w:pPr>
        <w:pStyle w:val="BodyText"/>
        <w:spacing w:line="357" w:lineRule="auto" w:before="58"/>
        <w:ind w:left="514" w:right="0"/>
        <w:jc w:val="left"/>
      </w:pPr>
      <w:r>
        <w:rPr/>
        <w:t>（</w:t>
      </w:r>
      <w:r>
        <w:rPr>
          <w:rFonts w:ascii="宋体" w:hAnsi="宋体" w:cs="宋体" w:eastAsia="宋体" w:hint="default"/>
        </w:rPr>
        <w:t>2</w:t>
      </w:r>
      <w:r>
        <w:rPr/>
        <w:t>）外币财务报表的折算 </w:t>
      </w:r>
      <w:r>
        <w:rPr>
          <w:spacing w:val="-2"/>
        </w:rPr>
        <w:t>本公司对境外经营的财务报表进行折算时，遵循下列规定：资产负债表中的资产和负债项目，采用资产负债表日的即期</w:t>
      </w:r>
    </w:p>
    <w:p>
      <w:pPr>
        <w:pStyle w:val="BodyText"/>
        <w:spacing w:line="224" w:lineRule="exact"/>
        <w:ind w:right="0"/>
        <w:jc w:val="left"/>
      </w:pPr>
      <w:r>
        <w:rPr/>
        <w:t>汇率折算，所有者权益项目除“未分配利润”项目外，其他项目采用发生时的即期汇率或即期汇率的近似汇率折算；利润表</w:t>
      </w:r>
    </w:p>
    <w:p>
      <w:pPr>
        <w:pStyle w:val="BodyText"/>
        <w:spacing w:line="319" w:lineRule="auto" w:before="76"/>
        <w:ind w:right="0"/>
        <w:jc w:val="left"/>
      </w:pPr>
      <w:r>
        <w:rPr>
          <w:spacing w:val="-4"/>
        </w:rPr>
        <w:t>中的收入和费用项目，采用交易发生日的即期汇率或即期汇率的近似汇率折算。按照上述折算产生的外币财务报表折算差额，</w:t>
      </w:r>
      <w:r>
        <w:rPr>
          <w:spacing w:val="-44"/>
        </w:rPr>
        <w:t> </w:t>
      </w:r>
      <w:r>
        <w:rPr>
          <w:spacing w:val="-44"/>
        </w:rPr>
      </w:r>
      <w:r>
        <w:rPr/>
        <w:t>确认为其他综合收益。比较财务报表的折算比照上述规定处理。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0、金融工具" w:id="184"/>
      <w:bookmarkEnd w:id="184"/>
      <w:r>
        <w:rPr>
          <w:b w:val="0"/>
          <w:bCs w:val="0"/>
        </w:rPr>
      </w:r>
      <w:r>
        <w:rPr>
          <w:rFonts w:ascii="宋体" w:hAnsi="宋体" w:cs="宋体" w:eastAsia="宋体" w:hint="default"/>
        </w:rPr>
        <w:t>10</w:t>
      </w:r>
      <w:r>
        <w:rPr/>
        <w:t>、金融工具</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w:t>
      </w:r>
      <w:r>
        <w:rPr>
          <w:rFonts w:ascii="宋体" w:hAnsi="宋体" w:cs="宋体" w:eastAsia="宋体" w:hint="default"/>
        </w:rPr>
        <w:t>1</w:t>
      </w:r>
      <w:r>
        <w:rPr/>
        <w:t>）金融工具的确认</w:t>
      </w:r>
    </w:p>
    <w:p>
      <w:pPr>
        <w:spacing w:after="0" w:line="240" w:lineRule="auto"/>
        <w:jc w:val="left"/>
        <w:sectPr>
          <w:footerReference w:type="default" r:id="rId39"/>
          <w:pgSz w:w="11910" w:h="16840"/>
          <w:pgMar w:footer="1489" w:header="877" w:top="1100" w:bottom="1680" w:left="980" w:right="0"/>
          <w:pgNumType w:start="87"/>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本公司成为金融工具合同的一方时，确认一项金融资产或金融负债。</w:t>
      </w:r>
    </w:p>
    <w:p>
      <w:pPr>
        <w:pStyle w:val="BodyText"/>
        <w:spacing w:line="240" w:lineRule="auto" w:before="116"/>
        <w:ind w:left="514" w:right="0"/>
        <w:jc w:val="left"/>
      </w:pPr>
      <w:r>
        <w:rPr/>
        <w:t>（</w:t>
      </w:r>
      <w:r>
        <w:rPr>
          <w:rFonts w:ascii="宋体" w:hAnsi="宋体" w:cs="宋体" w:eastAsia="宋体" w:hint="default"/>
        </w:rPr>
        <w:t>2</w:t>
      </w:r>
      <w:r>
        <w:rPr/>
        <w:t>）金融资产的分类和计量</w:t>
      </w:r>
    </w:p>
    <w:p>
      <w:pPr>
        <w:pStyle w:val="BodyText"/>
        <w:spacing w:line="319" w:lineRule="auto" w:before="116"/>
        <w:ind w:right="0" w:firstLine="360"/>
        <w:jc w:val="left"/>
      </w:pPr>
      <w:r>
        <w:rPr>
          <w:spacing w:val="-2"/>
        </w:rPr>
        <w:t>①本公司基于风险管理、投资策略及持有金融资产的目的等原因，将持有的金融资产划分为以公允价值计量且其变动计</w:t>
      </w:r>
      <w:r>
        <w:rPr/>
        <w:t> 入当期损益的金融资产、持有至到期投资、贷款和应收款项、可供出售金融资产。</w:t>
      </w:r>
    </w:p>
    <w:p>
      <w:pPr>
        <w:pStyle w:val="BodyText"/>
        <w:spacing w:line="357" w:lineRule="auto" w:before="57"/>
        <w:ind w:left="514" w:right="0"/>
        <w:jc w:val="left"/>
      </w:pPr>
      <w:r>
        <w:rPr>
          <w:rFonts w:ascii="宋体" w:hAnsi="宋体" w:cs="宋体" w:eastAsia="宋体" w:hint="default"/>
        </w:rPr>
        <w:t>A</w:t>
      </w: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57" w:lineRule="auto"/>
        <w:ind w:left="514" w:right="0" w:hanging="360"/>
        <w:jc w:val="left"/>
      </w:pPr>
      <w:r>
        <w:rPr/>
        <w:t>计入当期损益的金融资产。 </w:t>
      </w:r>
      <w:r>
        <w:rPr>
          <w:spacing w:val="-2"/>
        </w:rPr>
        <w:t>交易性金融资产是指满足下列条件之一的金融资产：取得该金融资产的目的是为了在短期内出售；属于进行集中管理的</w:t>
      </w:r>
    </w:p>
    <w:p>
      <w:pPr>
        <w:pStyle w:val="BodyText"/>
        <w:spacing w:line="224" w:lineRule="exact"/>
        <w:ind w:right="0"/>
        <w:jc w:val="left"/>
      </w:pPr>
      <w:r>
        <w:rPr/>
        <w:t>可辨认金融工具组合的一部分，且有客观证据表明企业近期采用短期获利方式对该组合进行管理；属于衍生工具，但是，被</w:t>
      </w:r>
    </w:p>
    <w:p>
      <w:pPr>
        <w:pStyle w:val="BodyText"/>
        <w:spacing w:line="319" w:lineRule="auto" w:before="76"/>
        <w:ind w:right="0"/>
        <w:jc w:val="left"/>
      </w:pP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9" w:lineRule="auto" w:before="55"/>
        <w:ind w:right="1131" w:firstLine="360"/>
        <w:jc w:val="both"/>
      </w:pPr>
      <w:r>
        <w:rPr>
          <w:spacing w:val="-2"/>
        </w:rPr>
        <w:t>只有符合以下条件之一，金融资产才可在初始计量时指定为以公允价值计量且变动计入当期损益的金融资产：该项指定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9" w:lineRule="auto" w:before="55"/>
        <w:ind w:right="1123" w:firstLine="360"/>
        <w:jc w:val="left"/>
      </w:pPr>
      <w:r>
        <w:rPr>
          <w:spacing w:val="-2"/>
        </w:rPr>
        <w:t>在活跃市场中没有报价、公允价值不能可靠计量的权益工具投资，不得指定为以公允价值计量且其变动计入当期损益的</w:t>
      </w:r>
      <w:r>
        <w:rPr/>
        <w:t> 金融资产。</w:t>
      </w:r>
    </w:p>
    <w:p>
      <w:pPr>
        <w:pStyle w:val="BodyText"/>
        <w:spacing w:line="357" w:lineRule="auto" w:before="58"/>
        <w:ind w:left="514" w:right="1117"/>
        <w:jc w:val="left"/>
      </w:pPr>
      <w:r>
        <w:rPr>
          <w:rFonts w:ascii="宋体" w:hAnsi="宋体" w:cs="宋体" w:eastAsia="宋体" w:hint="default"/>
        </w:rPr>
        <w:t>B</w:t>
      </w:r>
      <w:r>
        <w:rPr/>
        <w:t>、持有至到期投资 </w:t>
      </w:r>
      <w:r>
        <w:rPr>
          <w:spacing w:val="-5"/>
        </w:rPr>
        <w:t>持有至到期投资，是指到期日固定、回收金额固定或可确定，且本公司有明确意图和能力持有至到期的非衍生金融资产。</w:t>
      </w:r>
      <w:r>
        <w:rPr/>
        <w:t> </w:t>
      </w:r>
      <w:r>
        <w:rPr>
          <w:rFonts w:ascii="宋体" w:hAnsi="宋体" w:cs="宋体" w:eastAsia="宋体" w:hint="default"/>
        </w:rPr>
        <w:t>C</w:t>
      </w:r>
      <w:r>
        <w:rPr/>
        <w:t>、贷款和应收款项</w:t>
      </w:r>
    </w:p>
    <w:p>
      <w:pPr>
        <w:pStyle w:val="BodyText"/>
        <w:spacing w:line="357" w:lineRule="auto" w:before="29"/>
        <w:ind w:left="514" w:right="3192"/>
        <w:jc w:val="left"/>
      </w:pPr>
      <w:r>
        <w:rPr/>
        <w:t>贷款和应收款项，是指在活跃市场中没有报价、回收金额固定或可确定的非衍生金融资产。 </w:t>
      </w:r>
      <w:r>
        <w:rPr>
          <w:rFonts w:ascii="宋体" w:hAnsi="宋体" w:cs="宋体" w:eastAsia="宋体" w:hint="default"/>
        </w:rPr>
        <w:t>D</w:t>
      </w:r>
      <w:r>
        <w:rPr/>
        <w:t>、可供出售金融资产</w:t>
      </w:r>
    </w:p>
    <w:p>
      <w:pPr>
        <w:pStyle w:val="BodyText"/>
        <w:spacing w:line="357" w:lineRule="auto" w:before="28"/>
        <w:ind w:left="514" w:right="1032"/>
        <w:jc w:val="left"/>
      </w:pPr>
      <w:r>
        <w:rPr/>
        <w:t>可供出售金融资产，是指初始确认时即指定为可供出售的非衍生金融资产，以及除上述金融资产类别以外的金融资产。</w:t>
      </w:r>
      <w:r>
        <w:rPr>
          <w:spacing w:val="-85"/>
        </w:rPr>
        <w:t> </w:t>
      </w:r>
      <w:r>
        <w:rPr>
          <w:spacing w:val="-85"/>
        </w:rPr>
      </w:r>
      <w:r>
        <w:rPr>
          <w:spacing w:val="-2"/>
        </w:rPr>
        <w:t>本公司在初始确认时将某金融资产划分为以公允价值计量且其变动计入当期损益的金融资产后，不能重分类为其他类金</w:t>
      </w:r>
    </w:p>
    <w:p>
      <w:pPr>
        <w:pStyle w:val="BodyText"/>
        <w:spacing w:line="225" w:lineRule="exact"/>
        <w:ind w:right="0"/>
        <w:jc w:val="left"/>
      </w:pPr>
      <w:r>
        <w:rPr/>
        <w:t>融资产；其他类金融资产也不能重分类为以公允价值计量且其变动计入当期损益的金融资产。</w:t>
      </w:r>
    </w:p>
    <w:p>
      <w:pPr>
        <w:pStyle w:val="BodyText"/>
        <w:spacing w:line="319" w:lineRule="auto" w:before="115"/>
        <w:ind w:right="0" w:firstLine="360"/>
        <w:jc w:val="left"/>
      </w:pPr>
      <w:r>
        <w:rPr>
          <w:spacing w:val="-2"/>
        </w:rPr>
        <w:t>②金融资产在初始确认时以公允价值计量。对于以公允价值计量且其变动计入当期损益的金融资产，相关交易费用直接</w:t>
      </w:r>
      <w:r>
        <w:rPr/>
        <w:t> 计入当期损益；对于其他类别的金融资产，相关交易费用计入初始确认金额。</w:t>
      </w:r>
    </w:p>
    <w:p>
      <w:pPr>
        <w:pStyle w:val="BodyText"/>
        <w:spacing w:line="357" w:lineRule="auto" w:before="56"/>
        <w:ind w:left="514" w:right="0"/>
        <w:jc w:val="left"/>
      </w:pPr>
      <w:r>
        <w:rPr/>
        <w:t>③金融资产的后续计量 </w:t>
      </w:r>
      <w:r>
        <w:rPr>
          <w:rFonts w:ascii="宋体" w:hAnsi="宋体" w:cs="宋体" w:eastAsia="宋体" w:hint="default"/>
          <w:spacing w:val="-4"/>
        </w:rPr>
        <w:t>A</w:t>
      </w:r>
      <w:r>
        <w:rPr>
          <w:spacing w:val="-4"/>
        </w:rPr>
        <w:t>、以公允价值计量且其变动计入当期损益的金融资产，采用公允价值进行后续计量，公允价值变动形成的利得或损失，</w:t>
      </w:r>
    </w:p>
    <w:p>
      <w:pPr>
        <w:pStyle w:val="BodyText"/>
        <w:spacing w:line="357" w:lineRule="auto"/>
        <w:ind w:left="514" w:right="1122" w:hanging="360"/>
        <w:jc w:val="left"/>
      </w:pPr>
      <w:r>
        <w:rPr/>
        <w:t>计入当期损益。 </w:t>
      </w:r>
      <w:r>
        <w:rPr>
          <w:rFonts w:ascii="宋体" w:hAnsi="宋体" w:cs="宋体" w:eastAsia="宋体" w:hint="default"/>
        </w:rPr>
        <w:t>B</w:t>
      </w:r>
      <w:r>
        <w:rPr/>
        <w:t>、持有至到期投资，采用实际利率法，按摊余成本进行后续计量，终止确认、减值以及摊销形成的利得或损失，计入</w:t>
      </w:r>
    </w:p>
    <w:p>
      <w:pPr>
        <w:pStyle w:val="BodyText"/>
        <w:spacing w:line="225" w:lineRule="exact"/>
        <w:ind w:right="0"/>
        <w:jc w:val="left"/>
      </w:pPr>
      <w:r>
        <w:rPr/>
        <w:t>当期损益。</w:t>
      </w:r>
    </w:p>
    <w:p>
      <w:pPr>
        <w:pStyle w:val="BodyText"/>
        <w:spacing w:line="319" w:lineRule="auto" w:before="115"/>
        <w:ind w:right="1122" w:firstLine="360"/>
        <w:jc w:val="left"/>
      </w:pPr>
      <w:r>
        <w:rPr>
          <w:rFonts w:ascii="宋体" w:hAnsi="宋体" w:cs="宋体" w:eastAsia="宋体" w:hint="default"/>
        </w:rPr>
        <w:t>C</w:t>
      </w:r>
      <w:r>
        <w:rPr/>
        <w:t>、贷款和应收款项，采用实际利率法，按摊余成本进行后续计量，终止确认、减值以及摊销形成的利得或损失，计入 当期损益。</w:t>
      </w:r>
    </w:p>
    <w:p>
      <w:pPr>
        <w:pStyle w:val="BodyText"/>
        <w:spacing w:line="319" w:lineRule="auto" w:before="56"/>
        <w:ind w:right="1032" w:firstLine="360"/>
        <w:jc w:val="left"/>
      </w:pPr>
      <w:r>
        <w:rPr>
          <w:rFonts w:ascii="宋体" w:hAnsi="宋体" w:cs="宋体" w:eastAsia="宋体" w:hint="default"/>
        </w:rPr>
        <w:t>D</w:t>
      </w:r>
      <w:r>
        <w:rPr/>
        <w:t>、可供出售金融资产，采用公允价值进行后续计量，公允价值变动计入其他综合收益，在该可供出售金融资产发生减 </w:t>
      </w:r>
      <w:r>
        <w:rPr>
          <w:spacing w:val="-2"/>
        </w:rPr>
        <w:t>值或终止确认时转出，计入当期损益。可供出售金融资产持有期间实现的利息或现金股利，计入当期损益。在活跃市场中没</w:t>
      </w:r>
      <w:r>
        <w:rPr>
          <w:spacing w:val="-66"/>
        </w:rPr>
        <w:t> </w:t>
      </w:r>
      <w:r>
        <w:rPr>
          <w:spacing w:val="-66"/>
        </w:rPr>
      </w:r>
      <w:r>
        <w:rPr/>
        <w:t>有报价且其公允价值不能可靠计量的权益工具投资，以及与该权益工具挂钩并须通过交付该权益工具结算的衍生金融资产，</w:t>
      </w:r>
      <w:r>
        <w:rPr>
          <w:spacing w:val="-85"/>
        </w:rPr>
        <w:t> </w:t>
      </w:r>
      <w:r>
        <w:rPr>
          <w:spacing w:val="-85"/>
        </w:rPr>
      </w:r>
      <w:r>
        <w:rPr/>
        <w:t>按照成本计量。</w:t>
      </w:r>
    </w:p>
    <w:p>
      <w:pPr>
        <w:pStyle w:val="BodyText"/>
        <w:spacing w:line="357" w:lineRule="auto" w:before="56"/>
        <w:ind w:left="514" w:right="1122"/>
        <w:jc w:val="left"/>
      </w:pPr>
      <w:r>
        <w:rPr/>
        <w:t>④金融资产的减值准备 </w:t>
      </w:r>
      <w:r>
        <w:rPr>
          <w:rFonts w:ascii="宋体" w:hAnsi="宋体" w:cs="宋体" w:eastAsia="宋体" w:hint="default"/>
        </w:rPr>
        <w:t>A</w:t>
      </w:r>
      <w:r>
        <w:rPr/>
        <w:t>、本公司在期末对以公允价值计量且其变动计入当期损益的金融资产以外的金融资产的账面价值进行检查，有客观证</w:t>
      </w:r>
    </w:p>
    <w:p>
      <w:pPr>
        <w:pStyle w:val="BodyText"/>
        <w:spacing w:line="225" w:lineRule="exact"/>
        <w:ind w:right="0"/>
        <w:jc w:val="left"/>
      </w:pPr>
      <w:r>
        <w:rPr/>
        <w:t>据表明该金融资产发生减值的，确认减值损失，计提减值准备。</w:t>
      </w:r>
    </w:p>
    <w:p>
      <w:pPr>
        <w:spacing w:after="0" w:line="225" w:lineRule="exact"/>
        <w:jc w:val="left"/>
        <w:sectPr>
          <w:footerReference w:type="default" r:id="rId40"/>
          <w:pgSz w:w="11910" w:h="16840"/>
          <w:pgMar w:footer="1187" w:header="877" w:top="1100" w:bottom="1380" w:left="980" w:right="0"/>
          <w:pgNumType w:start="88"/>
        </w:sectPr>
      </w:pPr>
    </w:p>
    <w:p>
      <w:pPr>
        <w:spacing w:line="240" w:lineRule="auto" w:before="13"/>
        <w:rPr>
          <w:rFonts w:ascii="宋体" w:hAnsi="宋体" w:cs="宋体" w:eastAsia="宋体" w:hint="default"/>
          <w:sz w:val="21"/>
          <w:szCs w:val="21"/>
        </w:rPr>
      </w:pPr>
    </w:p>
    <w:p>
      <w:pPr>
        <w:pStyle w:val="BodyText"/>
        <w:spacing w:line="360" w:lineRule="auto" w:before="44"/>
        <w:ind w:left="514" w:right="3822"/>
        <w:jc w:val="left"/>
      </w:pPr>
      <w:r>
        <w:rPr>
          <w:rFonts w:ascii="宋体" w:hAnsi="宋体" w:cs="宋体" w:eastAsia="宋体" w:hint="default"/>
        </w:rPr>
        <w:t>B</w:t>
      </w:r>
      <w:r>
        <w:rPr/>
        <w:t>、本公司确定金融资产发生减值的客观证据包括下列各项： </w:t>
      </w: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 </w:t>
      </w:r>
      <w:r>
        <w:rPr>
          <w:rFonts w:ascii="宋体" w:hAnsi="宋体" w:cs="宋体" w:eastAsia="宋体" w:hint="default"/>
        </w:rPr>
        <w:t>c</w:t>
      </w:r>
      <w:r>
        <w:rPr/>
        <w:t>）债权人出于经济或法律等方面因素的考虑，对发生财务困难的债务人作出让步； </w:t>
      </w:r>
      <w:r>
        <w:rPr>
          <w:rFonts w:ascii="宋体" w:hAnsi="宋体" w:cs="宋体" w:eastAsia="宋体" w:hint="default"/>
        </w:rPr>
        <w:t>d</w:t>
      </w:r>
      <w:r>
        <w:rPr/>
        <w:t>）债务人很可能倒闭或进行其他财务重组； </w:t>
      </w:r>
      <w:r>
        <w:rPr>
          <w:rFonts w:ascii="宋体" w:hAnsi="宋体" w:cs="宋体" w:eastAsia="宋体" w:hint="default"/>
        </w:rPr>
        <w:t>e</w:t>
      </w:r>
      <w:r>
        <w:rPr/>
        <w:t>）因发行方发生重大财务困难，该金融资产无法在活跃市场继续交易；</w:t>
      </w:r>
    </w:p>
    <w:p>
      <w:pPr>
        <w:pStyle w:val="BodyText"/>
        <w:spacing w:line="319" w:lineRule="auto" w:before="25"/>
        <w:ind w:right="1131" w:firstLine="360"/>
        <w:jc w:val="both"/>
      </w:pPr>
      <w:r>
        <w:rPr>
          <w:rFonts w:ascii="宋体" w:hAnsi="宋体" w:cs="宋体" w:eastAsia="宋体" w:hint="default"/>
        </w:rPr>
        <w:t>f</w:t>
      </w:r>
      <w:r>
        <w:rPr/>
        <w:t>）无法辨认一组金融资产中的某项资产的现金流量是否已经减少，但根据公开的数据对其进行总体评价后发现，该组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60" w:lineRule="auto" w:before="56"/>
        <w:ind w:left="514" w:right="1122"/>
        <w:jc w:val="left"/>
      </w:pPr>
      <w:r>
        <w:rPr>
          <w:rFonts w:ascii="宋体" w:hAnsi="宋体" w:cs="宋体" w:eastAsia="宋体" w:hint="default"/>
        </w:rPr>
        <w:t>g</w:t>
      </w:r>
      <w:r>
        <w:rPr/>
        <w:t>）债务人经营所处的技术、市场、经济或法律环境等发生重大不利变化，使权益工具投资人可能无法收回投资成本； </w:t>
      </w:r>
      <w:r>
        <w:rPr>
          <w:rFonts w:ascii="宋体" w:hAnsi="宋体" w:cs="宋体" w:eastAsia="宋体" w:hint="default"/>
        </w:rPr>
        <w:t>h</w:t>
      </w:r>
      <w:r>
        <w:rPr/>
        <w:t>）权益工具投资的公允价值发生严重或非暂时性下跌；</w:t>
      </w:r>
    </w:p>
    <w:p>
      <w:pPr>
        <w:pStyle w:val="BodyText"/>
        <w:spacing w:line="360" w:lineRule="auto" w:before="26"/>
        <w:ind w:left="514" w:right="6162"/>
        <w:jc w:val="left"/>
      </w:pPr>
      <w:r>
        <w:rPr>
          <w:rFonts w:ascii="宋体" w:hAnsi="宋体" w:cs="宋体" w:eastAsia="宋体" w:hint="default"/>
        </w:rPr>
        <w:t>i</w:t>
      </w:r>
      <w:r>
        <w:rPr/>
        <w:t>）其他表明金融资产发生减值的客观证据。 </w:t>
      </w:r>
      <w:r>
        <w:rPr>
          <w:rFonts w:ascii="宋体" w:hAnsi="宋体" w:cs="宋体" w:eastAsia="宋体" w:hint="default"/>
        </w:rPr>
        <w:t>C</w:t>
      </w:r>
      <w:r>
        <w:rPr/>
        <w:t>、金融资产减值损失的计量 </w:t>
      </w:r>
      <w:r>
        <w:rPr>
          <w:rFonts w:ascii="宋体" w:hAnsi="宋体" w:cs="宋体" w:eastAsia="宋体" w:hint="default"/>
        </w:rPr>
        <w:t>a</w:t>
      </w:r>
      <w:r>
        <w:rPr/>
        <w:t>）持有至到期投资、贷款和应收款项减值损失的计量</w:t>
      </w:r>
    </w:p>
    <w:p>
      <w:pPr>
        <w:pStyle w:val="BodyText"/>
        <w:spacing w:line="319" w:lineRule="auto" w:before="25"/>
        <w:ind w:right="1131" w:firstLine="360"/>
        <w:jc w:val="both"/>
      </w:pPr>
      <w:r>
        <w:rPr>
          <w:spacing w:val="-2"/>
        </w:rPr>
        <w:t>持有至到期投资、贷款和应收款项（以摊余成本后续计量的金融资产）的减值准备，按该金融资产预计未来现金流量现</w:t>
      </w:r>
      <w:r>
        <w:rPr/>
        <w:t> 值低于其账面价值的差额计提，计入当期损益。</w:t>
      </w:r>
    </w:p>
    <w:p>
      <w:pPr>
        <w:pStyle w:val="BodyText"/>
        <w:spacing w:line="319" w:lineRule="auto" w:before="55"/>
        <w:ind w:right="1132" w:firstLine="360"/>
        <w:jc w:val="both"/>
      </w:pPr>
      <w:r>
        <w:rPr>
          <w:spacing w:val="-2"/>
        </w:rPr>
        <w:t>本公司对单项金额重大的金融资产单独进行减值测试，对单项金额不重大的金融资产，单独或包括在具有类似信用风险</w:t>
      </w:r>
      <w:r>
        <w:rPr/>
        <w:t> </w:t>
      </w:r>
      <w:r>
        <w:rPr>
          <w:spacing w:val="-2"/>
        </w:rPr>
        <w:t>特征的金融资产组合中进行减值测试。单独测试未发生减值的金融资产，无论单项金额重大与否，仍将包括在具有类似信用</w:t>
      </w:r>
      <w:r>
        <w:rPr>
          <w:spacing w:val="-66"/>
        </w:rPr>
        <w:t> </w:t>
      </w:r>
      <w:r>
        <w:rPr>
          <w:spacing w:val="-66"/>
        </w:rPr>
      </w:r>
      <w:r>
        <w:rPr>
          <w:spacing w:val="-2"/>
        </w:rPr>
        <w:t>风险特征的金融资产组合中再进行减值测试。已单独确认减值损失的金融资产，不包括在具有类似信用风险特征的金融资产</w:t>
      </w:r>
      <w:r>
        <w:rPr>
          <w:spacing w:val="-64"/>
        </w:rPr>
        <w:t> </w:t>
      </w:r>
      <w:r>
        <w:rPr>
          <w:spacing w:val="-64"/>
        </w:rPr>
      </w:r>
      <w:r>
        <w:rPr/>
        <w:t>组合中进行减值测试。</w:t>
      </w:r>
    </w:p>
    <w:p>
      <w:pPr>
        <w:pStyle w:val="BodyText"/>
        <w:spacing w:line="319" w:lineRule="auto" w:before="57"/>
        <w:ind w:right="1132" w:firstLine="360"/>
        <w:jc w:val="both"/>
      </w:pPr>
      <w:r>
        <w:rPr>
          <w:spacing w:val="-2"/>
        </w:rPr>
        <w:t>本公司对以摊余成本计量的金融资产确认资产减值损失后，如有客观证据表明该金融资产价值已经恢复，且客观上与确</w:t>
      </w:r>
      <w:r>
        <w:rPr/>
        <w:t> 认该损失后发生的事项有关，原确认的减值损失予以转回，计入当期损益。</w:t>
      </w:r>
    </w:p>
    <w:p>
      <w:pPr>
        <w:pStyle w:val="BodyText"/>
        <w:spacing w:line="357" w:lineRule="auto" w:before="56"/>
        <w:ind w:left="514" w:right="0"/>
        <w:jc w:val="left"/>
      </w:pPr>
      <w:r>
        <w:rPr>
          <w:rFonts w:ascii="宋体" w:hAnsi="宋体" w:cs="宋体" w:eastAsia="宋体" w:hint="default"/>
        </w:rPr>
        <w:t>b</w:t>
      </w:r>
      <w:r>
        <w:rPr/>
        <w:t>）可供出售金融资产 </w:t>
      </w:r>
      <w:r>
        <w:rPr>
          <w:spacing w:val="-2"/>
        </w:rPr>
        <w:t>本公司对可供出售金融资产按单项投资进行减值测试。资产负债表日，判断可供出售金融资产的公允价值是否严重或非</w:t>
      </w:r>
    </w:p>
    <w:p>
      <w:pPr>
        <w:pStyle w:val="BodyText"/>
        <w:spacing w:line="224" w:lineRule="exact"/>
        <w:ind w:right="0"/>
        <w:jc w:val="left"/>
      </w:pPr>
      <w:r>
        <w:rPr/>
        <w:t>暂时性下跌：如果单项可供出售金融资产的公允价值跌幅超过成本</w:t>
      </w:r>
      <w:r>
        <w:rPr>
          <w:rFonts w:ascii="宋体" w:hAnsi="宋体" w:cs="宋体" w:eastAsia="宋体" w:hint="default"/>
        </w:rPr>
        <w:t>50%</w:t>
      </w:r>
      <w:r>
        <w:rPr/>
        <w:t>，或者持续下跌时间达一年以上，则认定该可供出售</w:t>
      </w:r>
    </w:p>
    <w:p>
      <w:pPr>
        <w:pStyle w:val="BodyText"/>
        <w:spacing w:line="319" w:lineRule="auto" w:before="76"/>
        <w:ind w:right="0"/>
        <w:jc w:val="left"/>
      </w:pPr>
      <w:r>
        <w:rPr>
          <w:spacing w:val="-2"/>
        </w:rPr>
        <w:t>金融资产已发生减值，按成本与公允价值的差额计提减值准备，确认减值损失。可供出售金融资产的期末成本为取得时按照</w:t>
      </w:r>
      <w:r>
        <w:rPr>
          <w:spacing w:val="-66"/>
        </w:rPr>
        <w:t> </w:t>
      </w:r>
      <w:r>
        <w:rPr>
          <w:spacing w:val="-66"/>
        </w:rPr>
      </w:r>
      <w:r>
        <w:rPr/>
        <w:t>投资成本进行初始计量、出售时按加权平均法所计算的摊余成本。</w:t>
      </w:r>
    </w:p>
    <w:p>
      <w:pPr>
        <w:pStyle w:val="BodyText"/>
        <w:spacing w:line="319" w:lineRule="auto" w:before="56"/>
        <w:ind w:right="1132" w:firstLine="360"/>
        <w:jc w:val="both"/>
      </w:pPr>
      <w:r>
        <w:rPr>
          <w:spacing w:val="-2"/>
        </w:rPr>
        <w:t>可供出售金融资产的公允价值发生非暂时性下跌时，即使该金融资产没有终止确认，原直接计入其他综合收益的因公允</w:t>
      </w:r>
      <w:r>
        <w:rPr/>
        <w:t> 价值下降形成的累计损失，亦予以转出，计入当期损益。</w:t>
      </w:r>
    </w:p>
    <w:p>
      <w:pPr>
        <w:pStyle w:val="BodyText"/>
        <w:spacing w:line="319" w:lineRule="auto" w:before="55"/>
        <w:ind w:right="1131" w:firstLine="360"/>
        <w:jc w:val="both"/>
      </w:pPr>
      <w:r>
        <w:rPr>
          <w:spacing w:val="-2"/>
        </w:rPr>
        <w:t>在活跃市场中没有报价且其公允价值不能可靠计量的可供出售权益工具投资，或与该权益工具挂钩并须通过交付该权益</w:t>
      </w:r>
      <w:r>
        <w:rPr/>
        <w:t> </w:t>
      </w:r>
      <w:r>
        <w:rPr>
          <w:spacing w:val="-2"/>
        </w:rPr>
        <w:t>工具结算的衍生金融资产发生减值时，本公司将该权益工具投资或衍生金融资产的账面价值，与按照类似金融资产当时市场</w:t>
      </w:r>
      <w:r>
        <w:rPr>
          <w:spacing w:val="-64"/>
        </w:rPr>
        <w:t> </w:t>
      </w:r>
      <w:r>
        <w:rPr>
          <w:spacing w:val="-64"/>
        </w:rPr>
      </w:r>
      <w:r>
        <w:rPr/>
        <w:t>收益率对未来现金流量折现确定的现值之间的差额，确认为减值损失，计入当期损益。</w:t>
      </w:r>
    </w:p>
    <w:p>
      <w:pPr>
        <w:pStyle w:val="BodyText"/>
        <w:spacing w:line="319" w:lineRule="auto" w:before="55"/>
        <w:ind w:right="1132" w:firstLine="360"/>
        <w:jc w:val="both"/>
      </w:pPr>
      <w:r>
        <w:rPr>
          <w:spacing w:val="-2"/>
        </w:rPr>
        <w:t>对可供出售债务工具确认资产减值损失后，如有客观证据表明该金融资产价值已经恢复，且客观上与确认损失后发生的</w:t>
      </w:r>
      <w:r>
        <w:rPr/>
        <w:t> 事项有关，原确认的减值损失予以转回，计入当期损益。</w:t>
      </w:r>
    </w:p>
    <w:p>
      <w:pPr>
        <w:pStyle w:val="BodyText"/>
        <w:spacing w:line="319" w:lineRule="auto" w:before="56"/>
        <w:ind w:right="1132" w:firstLine="360"/>
        <w:jc w:val="both"/>
      </w:pPr>
      <w:r>
        <w:rPr>
          <w:spacing w:val="-2"/>
        </w:rPr>
        <w:t>可供出售权益工具投资发生的减值损失，不得通过损益转回。同时，在活跃市场中没有报价且其公允价值不能可靠计量</w:t>
      </w:r>
      <w:r>
        <w:rPr/>
        <w:t> 的权益工具投资或与该权益工具挂钩并须通过交付该权益工具结算的衍生金融资产发生的减值损失，不予转回。</w:t>
      </w:r>
    </w:p>
    <w:p>
      <w:pPr>
        <w:pStyle w:val="BodyText"/>
        <w:spacing w:line="240" w:lineRule="auto" w:before="56"/>
        <w:ind w:left="514" w:right="0"/>
        <w:jc w:val="left"/>
      </w:pPr>
      <w:r>
        <w:rPr/>
        <w:t>（</w:t>
      </w:r>
      <w:r>
        <w:rPr>
          <w:rFonts w:ascii="宋体" w:hAnsi="宋体" w:cs="宋体" w:eastAsia="宋体" w:hint="default"/>
        </w:rPr>
        <w:t>3</w:t>
      </w:r>
      <w:r>
        <w:rPr/>
        <w:t>）金融负债的分类和计量</w:t>
      </w:r>
    </w:p>
    <w:p>
      <w:pPr>
        <w:pStyle w:val="BodyText"/>
        <w:spacing w:line="357" w:lineRule="auto" w:before="116"/>
        <w:ind w:left="514" w:right="0"/>
        <w:jc w:val="left"/>
      </w:pPr>
      <w:r>
        <w:rPr/>
        <w:t>①本公司将持有的金融负债分为以公允价值计量且其变动计入当期损益的金融负债和其他金融负债。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357" w:lineRule="auto"/>
        <w:ind w:left="514" w:right="0" w:hanging="360"/>
        <w:jc w:val="left"/>
      </w:pPr>
      <w:r>
        <w:rPr/>
        <w:t>计入当期损益的金融负债。 </w:t>
      </w:r>
      <w:r>
        <w:rPr>
          <w:spacing w:val="-2"/>
        </w:rPr>
        <w:t>交易性金融负债是指满足下列条件之一的金融负债：承担该金融负债的目的是为了在近期内回购；属于进行集中管理的</w:t>
      </w:r>
    </w:p>
    <w:p>
      <w:pPr>
        <w:spacing w:after="0" w:line="357"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1"/>
        <w:jc w:val="both"/>
      </w:pPr>
      <w:r>
        <w:rPr>
          <w:spacing w:val="-2"/>
        </w:rPr>
        <w:t>可辨认金融工具组合的一部分，且有客观证据表明企业近期采用短期获利方式对该组合进行管理；属于衍生工具，但是，被</w:t>
      </w:r>
      <w:r>
        <w:rPr>
          <w:spacing w:val="-66"/>
        </w:rPr>
        <w:t> </w:t>
      </w:r>
      <w:r>
        <w:rPr>
          <w:spacing w:val="-66"/>
        </w:rPr>
      </w: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9" w:lineRule="auto" w:before="55"/>
        <w:ind w:right="1130" w:firstLine="360"/>
        <w:jc w:val="both"/>
      </w:pPr>
      <w:r>
        <w:rPr>
          <w:spacing w:val="-2"/>
        </w:rPr>
        <w:t>只有符合以下条件之一，金融负债才可在初始计量时指定为以公允价值计量且变动计入当期损益的金融负债：该项指定</w:t>
      </w:r>
      <w:r>
        <w:rPr/>
        <w:t> </w:t>
      </w:r>
      <w:r>
        <w:rPr>
          <w:spacing w:val="-2"/>
        </w:rPr>
        <w:t>可以消除或明显减少由于金融工具计量基础不同所导致的相关利得或损失在确认或计量方面不一致的情况；风险管理或投资</w:t>
      </w:r>
      <w:r>
        <w:rPr>
          <w:spacing w:val="-63"/>
        </w:rPr>
        <w:t> </w:t>
      </w:r>
      <w:r>
        <w:rPr>
          <w:spacing w:val="-63"/>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9" w:lineRule="auto" w:before="56"/>
        <w:ind w:right="1131" w:firstLine="360"/>
        <w:jc w:val="both"/>
      </w:pPr>
      <w:r>
        <w:rPr>
          <w:spacing w:val="-2"/>
        </w:rPr>
        <w:t>本公司在初始确认时将某金融负债划分为以公允价值计量且其变动计入当期损益的金融负债后，不能重分类为其他类金</w:t>
      </w:r>
      <w:r>
        <w:rPr/>
        <w:t> 融负债；其他类金融负债也不能重分类为以公允价值计量且其变动计入当期损益的金融负债。</w:t>
      </w:r>
    </w:p>
    <w:p>
      <w:pPr>
        <w:pStyle w:val="BodyText"/>
        <w:spacing w:line="319" w:lineRule="auto" w:before="55"/>
        <w:ind w:right="1132" w:firstLine="360"/>
        <w:jc w:val="both"/>
      </w:pPr>
      <w:r>
        <w:rPr>
          <w:spacing w:val="-2"/>
        </w:rPr>
        <w:t>②金融负债在初始确认时以公允价值计量。对于以公允价值计量且其变动计入当期损益的金融负债，相关交易费用直接</w:t>
      </w:r>
      <w:r>
        <w:rPr/>
        <w:t> 计入当期损益；对于其他金融负债，相关交易费用计入初始确认金额。</w:t>
      </w:r>
    </w:p>
    <w:p>
      <w:pPr>
        <w:pStyle w:val="BodyText"/>
        <w:spacing w:line="357" w:lineRule="auto" w:before="56"/>
        <w:ind w:left="514" w:right="0"/>
        <w:jc w:val="left"/>
      </w:pPr>
      <w:r>
        <w:rPr/>
        <w:t>③金融负债的后续计量 </w:t>
      </w:r>
      <w:r>
        <w:rPr>
          <w:rFonts w:ascii="宋体" w:hAnsi="宋体" w:cs="宋体" w:eastAsia="宋体" w:hint="default"/>
          <w:spacing w:val="-4"/>
        </w:rPr>
        <w:t>A</w:t>
      </w:r>
      <w:r>
        <w:rPr>
          <w:spacing w:val="-4"/>
        </w:rPr>
        <w:t>、以公允价值计量且其变动计入当期损益的金融负债，采用公允价值进行后续计量，公允价值变动形成的利得或损失，</w:t>
      </w:r>
    </w:p>
    <w:p>
      <w:pPr>
        <w:pStyle w:val="BodyText"/>
        <w:spacing w:line="357" w:lineRule="auto"/>
        <w:ind w:left="514" w:right="5262" w:hanging="360"/>
        <w:jc w:val="left"/>
      </w:pPr>
      <w:r>
        <w:rPr/>
        <w:t>计入当期损益。 </w:t>
      </w:r>
      <w:r>
        <w:rPr>
          <w:rFonts w:ascii="宋体" w:hAnsi="宋体" w:cs="宋体" w:eastAsia="宋体" w:hint="default"/>
        </w:rPr>
        <w:t>B</w:t>
      </w:r>
      <w:r>
        <w:rPr/>
        <w:t>、其他金融负债，采用实际利率法，按摊余成本进行后续计量。</w:t>
      </w:r>
    </w:p>
    <w:p>
      <w:pPr>
        <w:pStyle w:val="BodyText"/>
        <w:spacing w:line="357" w:lineRule="auto" w:before="28"/>
        <w:ind w:left="514" w:right="0"/>
        <w:jc w:val="left"/>
      </w:pPr>
      <w:r>
        <w:rPr/>
        <w:t>（</w:t>
      </w:r>
      <w:r>
        <w:rPr>
          <w:rFonts w:ascii="宋体" w:hAnsi="宋体" w:cs="宋体" w:eastAsia="宋体" w:hint="default"/>
        </w:rPr>
        <w:t>4</w:t>
      </w:r>
      <w:r>
        <w:rPr/>
        <w:t>）金融资产转移确认依据和计量 </w:t>
      </w:r>
      <w:r>
        <w:rPr>
          <w:spacing w:val="-2"/>
        </w:rPr>
        <w:t>本公司在已将金融资产所有权上几乎所有的风险和报酬转移给转入方时终止对该项金融资产的确认。在金融资产整体转</w:t>
      </w:r>
    </w:p>
    <w:p>
      <w:pPr>
        <w:pStyle w:val="BodyText"/>
        <w:spacing w:line="225" w:lineRule="exact"/>
        <w:ind w:right="0"/>
        <w:jc w:val="left"/>
      </w:pPr>
      <w:r>
        <w:rPr/>
        <w:t>移满足终止确认条件的，将下列两项的差额计入当期损益：</w:t>
      </w:r>
    </w:p>
    <w:p>
      <w:pPr>
        <w:pStyle w:val="BodyText"/>
        <w:spacing w:line="240" w:lineRule="auto" w:before="116"/>
        <w:ind w:left="514" w:right="0"/>
        <w:jc w:val="left"/>
      </w:pPr>
      <w:r>
        <w:rPr/>
        <w:t>①所转移金融资产的账面价值；</w:t>
      </w:r>
    </w:p>
    <w:p>
      <w:pPr>
        <w:pStyle w:val="BodyText"/>
        <w:spacing w:line="319" w:lineRule="auto" w:before="115"/>
        <w:ind w:right="1132" w:firstLine="360"/>
        <w:jc w:val="both"/>
      </w:pPr>
      <w:r>
        <w:rPr>
          <w:spacing w:val="-2"/>
        </w:rPr>
        <w:t>②因转移而收到的对价，与原计入其他综合收益的公允价值变动累计额（涉及转移的金融资产为可供出售金融资产的情</w:t>
      </w:r>
      <w:r>
        <w:rPr/>
        <w:t> 形）之和。</w:t>
      </w:r>
    </w:p>
    <w:p>
      <w:pPr>
        <w:pStyle w:val="BodyText"/>
        <w:spacing w:line="319" w:lineRule="auto" w:before="56"/>
        <w:ind w:right="1132" w:firstLine="360"/>
        <w:jc w:val="both"/>
      </w:pPr>
      <w:r>
        <w:rPr>
          <w:spacing w:val="-2"/>
        </w:rPr>
        <w:t>本公司的金融资产部分转移满足终止确认条件的，将所转移金融资产整体的账面价值，在终止确认部分和未终止确认部</w:t>
      </w:r>
      <w:r>
        <w:rPr/>
        <w:t> 分之间，按照各自的相对公允价值进行分摊，并将下列两项金额的差额计入当期损益：</w:t>
      </w:r>
    </w:p>
    <w:p>
      <w:pPr>
        <w:pStyle w:val="BodyText"/>
        <w:spacing w:line="240" w:lineRule="auto" w:before="56"/>
        <w:ind w:left="514" w:right="0"/>
        <w:jc w:val="left"/>
      </w:pPr>
      <w:r>
        <w:rPr/>
        <w:t>①终止确认部分的账面价值；</w:t>
      </w:r>
    </w:p>
    <w:p>
      <w:pPr>
        <w:pStyle w:val="BodyText"/>
        <w:spacing w:line="319" w:lineRule="auto" w:before="115"/>
        <w:ind w:right="1132" w:firstLine="360"/>
        <w:jc w:val="both"/>
      </w:pPr>
      <w:r>
        <w:rPr>
          <w:spacing w:val="-2"/>
        </w:rPr>
        <w:t>②终止确认部分的对价，与原计入其他综合收益的公允价值变动累计额中对应终止确认部分的金额（涉及转移的金融资</w:t>
      </w:r>
      <w:r>
        <w:rPr/>
        <w:t> 产为可供出售金融资产的情形）之和。</w:t>
      </w:r>
    </w:p>
    <w:p>
      <w:pPr>
        <w:pStyle w:val="BodyText"/>
        <w:spacing w:line="319" w:lineRule="auto" w:before="56"/>
        <w:ind w:right="1131" w:firstLine="360"/>
        <w:jc w:val="both"/>
      </w:pPr>
      <w:r>
        <w:rPr>
          <w:spacing w:val="-2"/>
        </w:rPr>
        <w:t>原计入其他综合收益的公允价值变动累计额中对应终止确认部分的金额，按照金融资产终止确认部分和未终止确认部分</w:t>
      </w:r>
      <w:r>
        <w:rPr/>
        <w:t> 的相对公允价值，对该累计额进行分摊后确定。</w:t>
      </w:r>
    </w:p>
    <w:p>
      <w:pPr>
        <w:pStyle w:val="BodyText"/>
        <w:spacing w:line="357" w:lineRule="auto" w:before="56"/>
        <w:ind w:left="514" w:right="0"/>
        <w:jc w:val="left"/>
      </w:pPr>
      <w:r>
        <w:rPr/>
        <w:t>金融资产转移不满足终止确认条件的，继续确认所转移金融资产整体，并将所收到的对价确认为一项金融资产。 </w:t>
      </w:r>
      <w:r>
        <w:rPr>
          <w:spacing w:val="-2"/>
        </w:rPr>
        <w:t>对于继续涉入条件下的金融资产转移，本公司根据继续涉入所转移金融资产的程度确认有关金融资产和金融负债，以充</w:t>
      </w:r>
    </w:p>
    <w:p>
      <w:pPr>
        <w:pStyle w:val="BodyText"/>
        <w:spacing w:line="225" w:lineRule="exact"/>
        <w:ind w:right="0"/>
        <w:jc w:val="left"/>
      </w:pPr>
      <w:r>
        <w:rPr/>
        <w:t>分反映本公司所保留的权利和承担的义务。</w:t>
      </w:r>
    </w:p>
    <w:p>
      <w:pPr>
        <w:pStyle w:val="BodyText"/>
        <w:spacing w:line="357" w:lineRule="auto" w:before="117"/>
        <w:ind w:left="514" w:right="1032"/>
        <w:jc w:val="left"/>
      </w:pPr>
      <w:r>
        <w:rPr/>
        <w:t>（</w:t>
      </w:r>
      <w:r>
        <w:rPr>
          <w:rFonts w:ascii="宋体" w:hAnsi="宋体" w:cs="宋体" w:eastAsia="宋体" w:hint="default"/>
        </w:rPr>
        <w:t>5</w:t>
      </w:r>
      <w:r>
        <w:rPr/>
        <w:t>）金融负债的终止确认 本公司金融负债的现时义务全部或部分已经解除的，终止确认该金融负债或其一部分。本公司与债权人之间签订协议，</w:t>
      </w:r>
    </w:p>
    <w:p>
      <w:pPr>
        <w:pStyle w:val="BodyText"/>
        <w:spacing w:line="224" w:lineRule="exact"/>
        <w:ind w:right="0"/>
        <w:jc w:val="left"/>
      </w:pPr>
      <w:r>
        <w:rPr/>
        <w:t>以承担新金融负债方式替换现存金融负债</w:t>
      </w:r>
      <w:r>
        <w:rPr>
          <w:spacing w:val="-87"/>
        </w:rPr>
        <w:t>，</w:t>
      </w:r>
      <w:r>
        <w:rPr/>
        <w:t>且新金融负债与现存金融负债的合同条款实质上不同的</w:t>
      </w:r>
      <w:r>
        <w:rPr>
          <w:spacing w:val="-87"/>
        </w:rPr>
        <w:t>，</w:t>
      </w:r>
      <w:r>
        <w:rPr/>
        <w:t>终止确认现存金融负债，</w:t>
      </w:r>
    </w:p>
    <w:p>
      <w:pPr>
        <w:pStyle w:val="BodyText"/>
        <w:spacing w:line="357" w:lineRule="auto" w:before="77"/>
        <w:ind w:left="514" w:right="1122" w:hanging="360"/>
        <w:jc w:val="left"/>
      </w:pPr>
      <w:r>
        <w:rPr/>
        <w:t>并同时确认新金融负债。 金融负债全部或部分终止确认的，将终止确认部分的账面价值与支付的对价</w:t>
      </w:r>
      <w:r>
        <w:rPr>
          <w:rFonts w:ascii="宋体" w:hAnsi="宋体" w:cs="宋体" w:eastAsia="宋体" w:hint="default"/>
        </w:rPr>
        <w:t>(</w:t>
      </w:r>
      <w:r>
        <w:rPr/>
        <w:t>包括转出的非现金资产或承担的新金融负</w:t>
      </w:r>
    </w:p>
    <w:p>
      <w:pPr>
        <w:pStyle w:val="BodyText"/>
        <w:spacing w:line="225" w:lineRule="exact"/>
        <w:ind w:right="0"/>
        <w:jc w:val="left"/>
      </w:pPr>
      <w:r>
        <w:rPr/>
        <w:t>债</w:t>
      </w:r>
      <w:r>
        <w:rPr>
          <w:rFonts w:ascii="宋体" w:hAnsi="宋体" w:cs="宋体" w:eastAsia="宋体" w:hint="default"/>
        </w:rPr>
        <w:t>)</w:t>
      </w:r>
      <w:r>
        <w:rPr/>
        <w:t>之间的差额，计入当期损益。</w:t>
      </w:r>
    </w:p>
    <w:p>
      <w:pPr>
        <w:pStyle w:val="BodyText"/>
        <w:spacing w:line="357" w:lineRule="auto" w:before="117"/>
        <w:ind w:left="514" w:right="0"/>
        <w:jc w:val="left"/>
      </w:pPr>
      <w:r>
        <w:rPr/>
        <w:t>（</w:t>
      </w:r>
      <w:r>
        <w:rPr>
          <w:rFonts w:ascii="宋体" w:hAnsi="宋体" w:cs="宋体" w:eastAsia="宋体" w:hint="default"/>
        </w:rPr>
        <w:t>6</w:t>
      </w:r>
      <w:r>
        <w:rPr/>
        <w:t>）金融资产和金融负债的抵销 </w:t>
      </w:r>
      <w:r>
        <w:rPr>
          <w:spacing w:val="-2"/>
        </w:rPr>
        <w:t>金融资产和金融负债在资产负债表内分别列示，不相互抵销。但同时满足下列条件的，以相互抵销后的净额在资产负债</w:t>
      </w:r>
    </w:p>
    <w:p>
      <w:pPr>
        <w:pStyle w:val="BodyText"/>
        <w:spacing w:line="224" w:lineRule="exact"/>
        <w:ind w:right="0"/>
        <w:jc w:val="left"/>
      </w:pPr>
      <w:r>
        <w:rPr/>
        <w:t>表内列示：本公司具有抵销已确认金额的法定权利，且该种法定权利是当前可执行的；本公司计划以净额结算，或同时变现</w:t>
      </w:r>
    </w:p>
    <w:p>
      <w:pPr>
        <w:pStyle w:val="BodyText"/>
        <w:spacing w:line="240" w:lineRule="auto" w:before="77"/>
        <w:ind w:right="0"/>
        <w:jc w:val="left"/>
      </w:pPr>
      <w:r>
        <w:rPr/>
        <w:t>该金融资产和清偿该金融负债</w:t>
      </w:r>
      <w:r>
        <w:rPr>
          <w:spacing w:val="-87"/>
        </w:rPr>
        <w:t>。</w:t>
      </w:r>
      <w:r>
        <w:rPr/>
        <w:t>不满足终止确认条件的金融资产转移</w:t>
      </w:r>
      <w:r>
        <w:rPr>
          <w:spacing w:val="-87"/>
        </w:rPr>
        <w:t>，</w:t>
      </w:r>
      <w:r>
        <w:rPr/>
        <w:t>转出方不得将已转移的金融资产和相关负债进行抵销。</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1、应收票据及应收账款" w:id="185"/>
      <w:bookmarkEnd w:id="185"/>
      <w:r>
        <w:rPr>
          <w:b w:val="0"/>
          <w:bCs w:val="0"/>
        </w:rPr>
      </w:r>
      <w:r>
        <w:rPr>
          <w:rFonts w:ascii="宋体" w:hAnsi="宋体" w:cs="宋体" w:eastAsia="宋体" w:hint="default"/>
        </w:rPr>
        <w:t>11</w:t>
      </w:r>
      <w:r>
        <w:rPr/>
        <w:t>、应收票据及应收账款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单项金额重大并单独计提坏账准备的应收款项" w:id="186"/>
      <w:bookmarkEnd w:id="186"/>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1140"/>
        <w:jc w:val="right"/>
      </w:pPr>
      <w:r>
        <w:rPr/>
        <w:pict>
          <v:shape style="position:absolute;margin-left:56.459999pt;margin-top:-69.9683pt;width:479.2pt;height:118.7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万元）以上、</w:t>
                        </w:r>
                      </w:p>
                      <w:p>
                        <w:pPr>
                          <w:pStyle w:val="TableParagraph"/>
                          <w:spacing w:line="319" w:lineRule="auto" w:before="76"/>
                          <w:ind w:left="22" w:right="71"/>
                          <w:jc w:val="left"/>
                          <w:rPr>
                            <w:rFonts w:ascii="宋体" w:hAnsi="宋体" w:cs="宋体" w:eastAsia="宋体" w:hint="default"/>
                            <w:sz w:val="18"/>
                            <w:szCs w:val="18"/>
                          </w:rPr>
                        </w:pPr>
                        <w:r>
                          <w:rPr>
                            <w:rFonts w:ascii="宋体" w:hAnsi="宋体" w:cs="宋体" w:eastAsia="宋体" w:hint="default"/>
                            <w:sz w:val="18"/>
                            <w:szCs w:val="18"/>
                          </w:rPr>
                          <w:t>其他应收款期末单项金额达到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万元）以上的 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单独测试未发生减值的应收款项，包括在具有类似信用风险 特征的应收款项组合中再进行减值测试。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0"/>
        <w:jc w:val="left"/>
        <w:rPr>
          <w:b w:val="0"/>
          <w:bCs w:val="0"/>
        </w:rPr>
      </w:pPr>
      <w:bookmarkStart w:name="（2）按信用风险特征组合计提坏账准备的应收款项" w:id="187"/>
      <w:bookmarkEnd w:id="187"/>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9"/>
        <w:rPr>
          <w:rFonts w:ascii="宋体" w:hAnsi="宋体" w:cs="宋体" w:eastAsia="宋体" w:hint="default"/>
          <w:b/>
          <w:bCs/>
          <w:sz w:val="6"/>
          <w:szCs w:val="6"/>
        </w:rPr>
      </w:pPr>
    </w:p>
    <w:p>
      <w:pPr>
        <w:pStyle w:val="BodyText"/>
        <w:spacing w:line="240" w:lineRule="auto" w:before="44"/>
        <w:ind w:right="0"/>
        <w:jc w:val="left"/>
      </w:pPr>
      <w:r>
        <w:rPr/>
        <w:t>组合中，采用账龄分析法计提坏账准备的：</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组合中，采用余额百分比法计提坏账准备的：</w:t>
      </w:r>
    </w:p>
    <w:p>
      <w:pPr>
        <w:pStyle w:val="BodyText"/>
        <w:spacing w:line="439" w:lineRule="auto" w:before="116"/>
        <w:ind w:right="7512"/>
        <w:jc w:val="left"/>
      </w:pPr>
      <w:r>
        <w:rPr/>
        <w:t>□ 适用 √ 不适用 组合中，采用其他方法计提坏账准备的：</w:t>
      </w:r>
    </w:p>
    <w:p>
      <w:pPr>
        <w:pStyle w:val="BodyText"/>
        <w:spacing w:line="203" w:lineRule="exact"/>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8"/>
      <w:bookmarkEnd w:id="188"/>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的应收款项应进行单项减值测试。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12、存货" w:id="189"/>
      <w:bookmarkEnd w:id="189"/>
      <w:r>
        <w:rPr>
          <w:b w:val="0"/>
          <w:bCs w:val="0"/>
        </w:rPr>
      </w:r>
      <w:r>
        <w:rPr>
          <w:rFonts w:ascii="宋体" w:hAnsi="宋体" w:cs="宋体" w:eastAsia="宋体" w:hint="default"/>
        </w:rPr>
        <w:t>12</w:t>
      </w:r>
      <w:r>
        <w:rPr/>
        <w:t>、存货</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7692" w:hanging="360"/>
        <w:jc w:val="left"/>
      </w:pPr>
      <w:r>
        <w:rPr/>
        <w:t>公司是否需要遵守特殊行业的披露要求 否</w:t>
      </w:r>
    </w:p>
    <w:p>
      <w:pPr>
        <w:pStyle w:val="BodyText"/>
        <w:spacing w:line="319" w:lineRule="auto" w:before="28"/>
        <w:ind w:right="1130" w:firstLine="360"/>
        <w:jc w:val="both"/>
      </w:pPr>
      <w:r>
        <w:rPr/>
        <w:t>（</w:t>
      </w:r>
      <w:r>
        <w:rPr>
          <w:rFonts w:ascii="宋体" w:hAnsi="宋体" w:cs="宋体" w:eastAsia="宋体" w:hint="default"/>
        </w:rPr>
        <w:t>1</w:t>
      </w:r>
      <w:r>
        <w:rPr/>
        <w:t>）存货分类：本公司存货包括在日常活动中持有以备出售的产成品或商品、处于生产过程中的在产品、在生产过程 </w:t>
      </w:r>
      <w:r>
        <w:rPr>
          <w:spacing w:val="-2"/>
        </w:rPr>
        <w:t>或提供劳务过程中耗用的材料和物料等。具体划分为原材料、委托加工物资、在产品、半成品、库存商品、发出商品和劳务</w:t>
      </w:r>
      <w:r>
        <w:rPr>
          <w:spacing w:val="-67"/>
        </w:rPr>
        <w:t> </w:t>
      </w:r>
      <w:r>
        <w:rPr>
          <w:spacing w:val="-67"/>
        </w:rPr>
      </w:r>
      <w:r>
        <w:rPr/>
        <w:t>成本等。</w:t>
      </w:r>
    </w:p>
    <w:p>
      <w:pPr>
        <w:pStyle w:val="BodyText"/>
        <w:spacing w:line="240" w:lineRule="auto" w:before="56"/>
        <w:ind w:left="514" w:right="0"/>
        <w:jc w:val="left"/>
      </w:pPr>
      <w:r>
        <w:rPr/>
        <w:t>（</w:t>
      </w:r>
      <w:r>
        <w:rPr>
          <w:rFonts w:ascii="宋体" w:hAnsi="宋体" w:cs="宋体" w:eastAsia="宋体" w:hint="default"/>
        </w:rPr>
        <w:t>2</w:t>
      </w:r>
      <w:r>
        <w:rPr/>
        <w:t>）存货的确认：本公司存货同时满足下列条件的，予以确认：</w:t>
      </w:r>
    </w:p>
    <w:p>
      <w:pPr>
        <w:pStyle w:val="BodyText"/>
        <w:spacing w:line="240" w:lineRule="auto" w:before="116"/>
        <w:ind w:left="514" w:right="0"/>
        <w:jc w:val="left"/>
      </w:pPr>
      <w:r>
        <w:rPr/>
        <w:t>①与该存货有关的经济利益很可能流入企业；</w:t>
      </w:r>
    </w:p>
    <w:p>
      <w:pPr>
        <w:pStyle w:val="BodyText"/>
        <w:spacing w:line="240" w:lineRule="auto" w:before="117"/>
        <w:ind w:left="514" w:right="0"/>
        <w:jc w:val="left"/>
      </w:pPr>
      <w:r>
        <w:rPr/>
        <w:t>②该存货的成本能够可靠地计量。</w:t>
      </w:r>
    </w:p>
    <w:p>
      <w:pPr>
        <w:pStyle w:val="BodyText"/>
        <w:spacing w:line="319" w:lineRule="auto" w:before="115"/>
        <w:ind w:right="1131" w:firstLine="360"/>
        <w:jc w:val="both"/>
      </w:pPr>
      <w:r>
        <w:rPr/>
        <w:t>（</w:t>
      </w:r>
      <w:r>
        <w:rPr>
          <w:rFonts w:ascii="宋体" w:hAnsi="宋体" w:cs="宋体" w:eastAsia="宋体" w:hint="default"/>
        </w:rPr>
        <w:t>3</w:t>
      </w:r>
      <w:r>
        <w:rPr/>
        <w:t>）存货取得和发出的计价方法：本公司取得的存货按成本进行初始计量，发出按加权平均法确定发出存货的实际成 本。</w:t>
      </w:r>
    </w:p>
    <w:p>
      <w:pPr>
        <w:pStyle w:val="BodyText"/>
        <w:spacing w:line="240" w:lineRule="auto" w:before="56"/>
        <w:ind w:left="514" w:right="0"/>
        <w:jc w:val="left"/>
      </w:pPr>
      <w:r>
        <w:rPr/>
        <w:t>（</w:t>
      </w:r>
      <w:r>
        <w:rPr>
          <w:rFonts w:ascii="宋体" w:hAnsi="宋体" w:cs="宋体" w:eastAsia="宋体" w:hint="default"/>
        </w:rPr>
        <w:t>4</w:t>
      </w:r>
      <w:r>
        <w:rPr/>
        <w:t>）低值易耗品和包装物的摊销方法：低值易耗品和包装物在领用时根据实际情况采用一次摊销法进行摊销。</w:t>
      </w:r>
    </w:p>
    <w:p>
      <w:pPr>
        <w:pStyle w:val="BodyText"/>
        <w:spacing w:line="319" w:lineRule="auto" w:before="116"/>
        <w:ind w:right="1131" w:firstLine="360"/>
        <w:jc w:val="both"/>
      </w:pPr>
      <w:r>
        <w:rPr/>
        <w:t>（</w:t>
      </w:r>
      <w:r>
        <w:rPr>
          <w:rFonts w:ascii="宋体" w:hAnsi="宋体" w:cs="宋体" w:eastAsia="宋体" w:hint="default"/>
        </w:rPr>
        <w:t>5</w:t>
      </w:r>
      <w:r>
        <w:rPr/>
        <w:t>）期末存货的计量：资产负债表日，存货按成本与可变现净值孰低计量，存货成本高于其可变现净值的，计提存货 跌价准备，计入当期损益。</w:t>
      </w:r>
    </w:p>
    <w:p>
      <w:pPr>
        <w:pStyle w:val="BodyText"/>
        <w:spacing w:line="357" w:lineRule="auto" w:before="56"/>
        <w:ind w:left="514" w:right="0"/>
        <w:jc w:val="left"/>
      </w:pPr>
      <w:r>
        <w:rPr/>
        <w:t>①可变现净值的确定方法： 确定存货的可变现净值，以取得的确凿证据为基础，并且考虑持有存货的目的、资产负债表日后事项的影响等因素。 </w:t>
      </w:r>
      <w:r>
        <w:rPr>
          <w:spacing w:val="-2"/>
        </w:rPr>
        <w:t>为生产而持有的材料等，用其生产的产成品的可变现净值高于成本的，该材料仍然按照成本计量；材料价格的下降表明</w:t>
      </w:r>
    </w:p>
    <w:p>
      <w:pPr>
        <w:pStyle w:val="BodyText"/>
        <w:spacing w:line="357" w:lineRule="auto"/>
        <w:ind w:left="514" w:right="2292" w:hanging="360"/>
        <w:jc w:val="left"/>
      </w:pPr>
      <w:r>
        <w:rPr/>
        <w:t>产成品的可变现净值低于成本的，该材料按照可变现净值计量。 为执行销售合同或者劳务合同而持有的存货，其可变现净值以合同价格为基础计算。 持有存货的数量多于销售合同订购数量的，超出部分的存货的可变现净值以一般销售价格为基础计算。</w:t>
      </w:r>
    </w:p>
    <w:p>
      <w:pPr>
        <w:pStyle w:val="BodyText"/>
        <w:spacing w:line="357" w:lineRule="auto" w:before="29"/>
        <w:ind w:left="514" w:right="4992"/>
        <w:jc w:val="left"/>
      </w:pPr>
      <w:r>
        <w:rPr/>
        <w:t>②存货跌价准备通常按照单个存货项目计提。 对于数量繁多、单价较低的存货，按照存货类别计提存货跌价准备。</w:t>
      </w:r>
    </w:p>
    <w:p>
      <w:pPr>
        <w:pStyle w:val="BodyText"/>
        <w:spacing w:line="319" w:lineRule="auto" w:before="26"/>
        <w:ind w:right="1133" w:firstLine="360"/>
        <w:jc w:val="both"/>
      </w:pPr>
      <w:r>
        <w:rPr>
          <w:spacing w:val="-2"/>
        </w:rPr>
        <w:t>与在同一地区生产和销售的产品系列相关、具有相同或类似最终用途或目的，且难以与其他项目分开计量的存货，合并</w:t>
      </w:r>
      <w:r>
        <w:rPr/>
        <w:t> 计提存货跌价准备。</w:t>
      </w:r>
    </w:p>
    <w:p>
      <w:pPr>
        <w:pStyle w:val="BodyText"/>
        <w:spacing w:line="240" w:lineRule="auto" w:before="58"/>
        <w:ind w:left="514" w:right="0"/>
        <w:jc w:val="left"/>
      </w:pPr>
      <w:r>
        <w:rPr/>
        <w:t>（</w:t>
      </w:r>
      <w:r>
        <w:rPr>
          <w:rFonts w:ascii="宋体" w:hAnsi="宋体" w:cs="宋体" w:eastAsia="宋体" w:hint="default"/>
        </w:rPr>
        <w:t>6</w:t>
      </w:r>
      <w:r>
        <w:rPr/>
        <w:t>）存货的盘存制度：本公司采用永续盘存制。</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持有待售资产" w:id="190"/>
      <w:bookmarkEnd w:id="190"/>
      <w:r>
        <w:rPr>
          <w:b w:val="0"/>
          <w:bCs w:val="0"/>
        </w:rPr>
      </w:r>
      <w:r>
        <w:rPr>
          <w:rFonts w:ascii="宋体" w:hAnsi="宋体" w:cs="宋体" w:eastAsia="宋体" w:hint="default"/>
        </w:rPr>
        <w:t>13</w:t>
      </w:r>
      <w:r>
        <w:rPr/>
        <w:t>、持有待售资产</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0"/>
        <w:jc w:val="left"/>
      </w:pPr>
      <w:r>
        <w:rPr/>
        <w:t>（</w:t>
      </w:r>
      <w:r>
        <w:rPr>
          <w:rFonts w:ascii="宋体" w:hAnsi="宋体" w:cs="宋体" w:eastAsia="宋体" w:hint="default"/>
        </w:rPr>
        <w:t>1</w:t>
      </w:r>
      <w:r>
        <w:rPr/>
        <w:t>）持有待售类别的确认标准 </w:t>
      </w:r>
      <w:r>
        <w:rPr>
          <w:spacing w:val="-2"/>
        </w:rPr>
        <w:t>本公司主要通过出售（包括具有商业实质的非货币性资产交换，下同）而非持续使用一项非流动资产或处置组收回其账</w:t>
      </w:r>
    </w:p>
    <w:p>
      <w:pPr>
        <w:pStyle w:val="BodyText"/>
        <w:spacing w:line="225" w:lineRule="exact"/>
        <w:ind w:right="0"/>
        <w:jc w:val="left"/>
      </w:pPr>
      <w:r>
        <w:rPr/>
        <w:t>面价值的，将其划分为持有待售类别。非流动资产或处置组划分为持有待售类别，同时满足下列条件：</w:t>
      </w:r>
    </w:p>
    <w:p>
      <w:pPr>
        <w:pStyle w:val="BodyText"/>
        <w:spacing w:line="240" w:lineRule="auto" w:before="116"/>
        <w:ind w:left="514" w:right="0"/>
        <w:jc w:val="left"/>
      </w:pPr>
      <w:r>
        <w:rPr/>
        <w:t>①根据类似交易中出售此类资产或处置组的惯例，在当前状况下即可立即出售；</w:t>
      </w:r>
    </w:p>
    <w:p>
      <w:pPr>
        <w:pStyle w:val="BodyText"/>
        <w:spacing w:line="319" w:lineRule="auto" w:before="116"/>
        <w:ind w:right="1133" w:firstLine="360"/>
        <w:jc w:val="both"/>
      </w:pPr>
      <w:r>
        <w:rPr>
          <w:spacing w:val="-2"/>
        </w:rPr>
        <w:t>②出售极可能发生，即本公司已经就一项出售计划作出决议且获得确定的购买承诺，预计出售将在一年内完成。有关规</w:t>
      </w:r>
      <w:r>
        <w:rPr/>
        <w:t> </w:t>
      </w:r>
      <w:r>
        <w:rPr>
          <w:spacing w:val="-2"/>
        </w:rPr>
        <w:t>定要求本公司相关权力机构或者监管部门批准后方可出售的，应当已经获得批准。确定的购买承诺，是指本公司与其他方签</w:t>
      </w:r>
      <w:r>
        <w:rPr>
          <w:spacing w:val="-66"/>
        </w:rPr>
        <w:t> </w:t>
      </w:r>
      <w:r>
        <w:rPr>
          <w:spacing w:val="-66"/>
        </w:rPr>
      </w:r>
      <w:r>
        <w:rPr>
          <w:spacing w:val="-2"/>
        </w:rPr>
        <w:t>订的具有法律约束力的购买协议，该协议包含交易价格、时间和足够严厉的违约惩罚等重要条款，使协议出现重大调整或者</w:t>
      </w:r>
      <w:r>
        <w:rPr>
          <w:spacing w:val="-66"/>
        </w:rPr>
        <w:t> </w:t>
      </w:r>
      <w:r>
        <w:rPr>
          <w:spacing w:val="-66"/>
        </w:rPr>
      </w:r>
      <w:r>
        <w:rPr/>
        <w:t>撤销的可能性极小。</w:t>
      </w:r>
    </w:p>
    <w:p>
      <w:pPr>
        <w:pStyle w:val="BodyText"/>
        <w:spacing w:line="319" w:lineRule="auto" w:before="55"/>
        <w:ind w:right="1131" w:firstLine="360"/>
        <w:jc w:val="both"/>
      </w:pPr>
      <w:r>
        <w:rPr>
          <w:spacing w:val="-2"/>
        </w:rPr>
        <w:t>本公司专为转售而取得的非流动资产或处置组，在取得日满足“预计出售将在一年内完成”的规定条件，且短期（通常</w:t>
      </w:r>
      <w:r>
        <w:rPr/>
        <w:t> 为</w:t>
      </w:r>
      <w:r>
        <w:rPr>
          <w:rFonts w:ascii="宋体" w:hAnsi="宋体" w:cs="宋体" w:eastAsia="宋体" w:hint="default"/>
        </w:rPr>
        <w:t>3</w:t>
      </w:r>
      <w:r>
        <w:rPr/>
        <w:t>个月）内很可能满足持有待售类别的其他划分条件的，在取得日将其划分为持有待售类别。</w:t>
      </w:r>
    </w:p>
    <w:p>
      <w:pPr>
        <w:pStyle w:val="BodyText"/>
        <w:spacing w:line="319" w:lineRule="auto" w:before="55"/>
        <w:ind w:right="1132" w:firstLine="360"/>
        <w:jc w:val="both"/>
      </w:pPr>
      <w:r>
        <w:rPr>
          <w:spacing w:val="-2"/>
        </w:rPr>
        <w:t>处置组，是指在一项交易中作为整体通过出售或其他方式一并处置的一组资产，以及在该交易中转让的与这些资产直接</w:t>
      </w:r>
      <w:r>
        <w:rPr/>
        <w:t> </w:t>
      </w:r>
      <w:r>
        <w:rPr>
          <w:spacing w:val="-4"/>
        </w:rPr>
        <w:t>相关的负债。处置组所属的资产组或资产组组合按照《企业会计准则第</w:t>
      </w:r>
      <w:r>
        <w:rPr>
          <w:rFonts w:ascii="宋体" w:hAnsi="宋体" w:cs="宋体" w:eastAsia="宋体" w:hint="default"/>
          <w:spacing w:val="-4"/>
        </w:rPr>
        <w:t>8</w:t>
      </w:r>
      <w:r>
        <w:rPr>
          <w:spacing w:val="-4"/>
        </w:rPr>
        <w:t>号——资产减值》分摊了企业合并中取得的商誉的，</w:t>
      </w:r>
      <w:r>
        <w:rPr>
          <w:spacing w:val="-44"/>
        </w:rPr>
        <w:t> </w:t>
      </w:r>
      <w:r>
        <w:rPr>
          <w:spacing w:val="-44"/>
        </w:rPr>
      </w:r>
      <w:r>
        <w:rPr/>
        <w:t>该处置组应当包含分摊至处置组的商誉。</w:t>
      </w:r>
    </w:p>
    <w:p>
      <w:pPr>
        <w:spacing w:after="0" w:line="319" w:lineRule="auto"/>
        <w:jc w:val="both"/>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0"/>
        <w:jc w:val="left"/>
      </w:pPr>
      <w:r>
        <w:rPr/>
        <w:t>（</w:t>
      </w:r>
      <w:r>
        <w:rPr>
          <w:rFonts w:ascii="宋体" w:hAnsi="宋体" w:cs="宋体" w:eastAsia="宋体" w:hint="default"/>
        </w:rPr>
        <w:t>2</w:t>
      </w:r>
      <w:r>
        <w:rPr/>
        <w:t>）持有待售类别的会计处理方法 </w:t>
      </w:r>
      <w:r>
        <w:rPr>
          <w:spacing w:val="-2"/>
        </w:rPr>
        <w:t>本公司对于被分类为持有待售类别的非流动资产和处置组，以账面价值与公允价值减去处置费用后的净额孰低进行初始</w:t>
      </w:r>
    </w:p>
    <w:p>
      <w:pPr>
        <w:pStyle w:val="BodyText"/>
        <w:spacing w:line="224" w:lineRule="exact"/>
        <w:ind w:right="0"/>
        <w:jc w:val="both"/>
      </w:pPr>
      <w:r>
        <w:rPr/>
        <w:t>计量或重新计量。公允价值减去处置费用后的净额低于原账面价值的，其差额确认为资产减值损失计入当期损益，同时计提</w:t>
      </w:r>
    </w:p>
    <w:p>
      <w:pPr>
        <w:pStyle w:val="BodyText"/>
        <w:spacing w:line="319" w:lineRule="auto" w:before="76"/>
        <w:ind w:right="1131"/>
        <w:jc w:val="both"/>
      </w:pPr>
      <w:r>
        <w:rPr>
          <w:spacing w:val="-2"/>
        </w:rPr>
        <w:t>持有待售资产减值准备；对于持有待售的处置组确认的资产减值损失金额，先抵减处置组中商誉的账面价值，再根据处置组</w:t>
      </w:r>
      <w:r>
        <w:rPr>
          <w:spacing w:val="-66"/>
        </w:rPr>
        <w:t> </w:t>
      </w:r>
      <w:r>
        <w:rPr>
          <w:spacing w:val="-66"/>
        </w:rPr>
      </w:r>
      <w:r>
        <w:rPr>
          <w:spacing w:val="-2"/>
        </w:rPr>
        <w:t>中适用持有待售类别计量规定的各项非流动资产账面价值所占比重，按比例抵减其账面价值。后续资产负债表日持有待售的</w:t>
      </w:r>
      <w:r>
        <w:rPr>
          <w:spacing w:val="-64"/>
        </w:rPr>
        <w:t> </w:t>
      </w:r>
      <w:r>
        <w:rPr>
          <w:spacing w:val="-64"/>
        </w:rPr>
      </w:r>
      <w:r>
        <w:rPr>
          <w:spacing w:val="-2"/>
        </w:rPr>
        <w:t>非流动资产公允价值减去出售费用后的净额增加的，以前减记的金额予以恢复，并在划分为持有待售类别后确认的资产减值</w:t>
      </w:r>
      <w:r>
        <w:rPr>
          <w:spacing w:val="-64"/>
        </w:rPr>
        <w:t> </w:t>
      </w:r>
      <w:r>
        <w:rPr>
          <w:spacing w:val="-64"/>
        </w:rPr>
      </w:r>
      <w:r>
        <w:rPr>
          <w:spacing w:val="-2"/>
        </w:rPr>
        <w:t>损失金额内转回，转回金额计入当期损益。划分为持有待售类别前确认的资产减值损失不予转回。后续资产负债表日持有待</w:t>
      </w:r>
      <w:r>
        <w:rPr>
          <w:spacing w:val="-66"/>
        </w:rPr>
        <w:t> </w:t>
      </w:r>
      <w:r>
        <w:rPr>
          <w:spacing w:val="-66"/>
        </w:rPr>
      </w:r>
      <w:r>
        <w:rPr>
          <w:spacing w:val="-2"/>
        </w:rPr>
        <w:t>售的处置组公允价值减去出售费用后的净额增加的，以前减记的金额予以恢复，并在划分为持有待售类别后适用持有待售类</w:t>
      </w:r>
      <w:r>
        <w:rPr>
          <w:spacing w:val="-64"/>
        </w:rPr>
        <w:t> </w:t>
      </w:r>
      <w:r>
        <w:rPr>
          <w:spacing w:val="-64"/>
        </w:rPr>
      </w:r>
      <w:r>
        <w:rPr>
          <w:spacing w:val="-2"/>
        </w:rPr>
        <w:t>别计量规定的非流动资产确认的资产减值损失金额内转回，转回金额计入当期损益。已抵减的商誉账面价值，以及适用持有</w:t>
      </w:r>
      <w:r>
        <w:rPr>
          <w:spacing w:val="-66"/>
        </w:rPr>
        <w:t> </w:t>
      </w:r>
      <w:r>
        <w:rPr>
          <w:spacing w:val="-66"/>
        </w:rPr>
      </w:r>
      <w:r>
        <w:rPr>
          <w:spacing w:val="-2"/>
        </w:rPr>
        <w:t>待售类别计量规定的非流动资产在划分为持有待售类别前确认的资产减值损失不予转回。持有待售的处置组确认的资产减值</w:t>
      </w:r>
      <w:r>
        <w:rPr>
          <w:spacing w:val="-64"/>
        </w:rPr>
        <w:t> </w:t>
      </w:r>
      <w:r>
        <w:rPr>
          <w:spacing w:val="-64"/>
        </w:rPr>
      </w:r>
      <w:r>
        <w:rPr>
          <w:spacing w:val="-2"/>
        </w:rPr>
        <w:t>损失后续转回金额，根据处置组中除商誉外适用持有待售类别计量规定的各项非流动资产账面价值所占比重，按比例增加其</w:t>
      </w:r>
      <w:r>
        <w:rPr>
          <w:spacing w:val="-64"/>
        </w:rPr>
        <w:t> </w:t>
      </w:r>
      <w:r>
        <w:rPr>
          <w:spacing w:val="-64"/>
        </w:rPr>
      </w:r>
      <w:r>
        <w:rPr>
          <w:spacing w:val="-2"/>
        </w:rPr>
        <w:t>账面价值。持有待售的非流动资产或处置组中的非流动资产不计提折旧或摊销，持有待售的处置组中负债的利息和其他费用</w:t>
      </w:r>
      <w:r>
        <w:rPr>
          <w:spacing w:val="-64"/>
        </w:rPr>
        <w:t> </w:t>
      </w:r>
      <w:r>
        <w:rPr>
          <w:spacing w:val="-64"/>
        </w:rPr>
      </w:r>
      <w:r>
        <w:rPr/>
        <w:t>继续予以确认。</w:t>
      </w:r>
    </w:p>
    <w:p>
      <w:pPr>
        <w:pStyle w:val="BodyText"/>
        <w:spacing w:line="319" w:lineRule="auto" w:before="56"/>
        <w:ind w:right="1131" w:firstLine="360"/>
        <w:jc w:val="both"/>
      </w:pPr>
      <w:r>
        <w:rPr>
          <w:spacing w:val="-2"/>
        </w:rPr>
        <w:t>递延所得税资产、《企业会计准则第</w:t>
      </w:r>
      <w:r>
        <w:rPr>
          <w:rFonts w:ascii="宋体" w:hAnsi="宋体" w:cs="宋体" w:eastAsia="宋体" w:hint="default"/>
          <w:spacing w:val="-2"/>
        </w:rPr>
        <w:t>22</w:t>
      </w:r>
      <w:r>
        <w:rPr>
          <w:spacing w:val="-2"/>
        </w:rPr>
        <w:t>号——金融工具确认和计量》规范的金融资产、以公允价值计量的投资性房地产</w:t>
      </w:r>
      <w:r>
        <w:rPr/>
        <w:t> </w:t>
      </w:r>
      <w:r>
        <w:rPr>
          <w:spacing w:val="-2"/>
        </w:rPr>
        <w:t>和生物资产、保险合同中产生的合同权利、从职工福利中所产生的资产不适用于持有待售类别的计量方法，而是根据相关准</w:t>
      </w:r>
      <w:r>
        <w:rPr>
          <w:spacing w:val="-66"/>
        </w:rPr>
        <w:t> </w:t>
      </w:r>
      <w:r>
        <w:rPr>
          <w:spacing w:val="-66"/>
        </w:rPr>
      </w:r>
      <w:r>
        <w:rPr>
          <w:spacing w:val="-2"/>
        </w:rPr>
        <w:t>则或本公司制定的相应会计政策进行计量。处置组包含适用持有待售类别的计量方法的非流动资产的，持有待售类别的计量</w:t>
      </w:r>
      <w:r>
        <w:rPr>
          <w:spacing w:val="-64"/>
        </w:rPr>
        <w:t> </w:t>
      </w:r>
      <w:r>
        <w:rPr>
          <w:spacing w:val="-64"/>
        </w:rPr>
      </w:r>
      <w:r>
        <w:rPr/>
        <w:t>方法适用于整个处置组。处置组中负债的计量适用相关会计准则。</w:t>
      </w:r>
    </w:p>
    <w:p>
      <w:pPr>
        <w:pStyle w:val="BodyText"/>
        <w:spacing w:line="319" w:lineRule="auto" w:before="55"/>
        <w:ind w:right="1132" w:firstLine="360"/>
        <w:jc w:val="both"/>
      </w:pPr>
      <w:r>
        <w:rPr/>
        <w:t>非流动资产或处置组因不再满足持有待售类别的划分条件而不再继续划分为持有待售类别或非流动资产从持有待售的 </w:t>
      </w:r>
      <w:r>
        <w:rPr>
          <w:spacing w:val="-2"/>
        </w:rPr>
        <w:t>处置组中移除时，按照以下两者孰低计量：①划分为持有待售类别前的账面价值，按照假定不划分为持有待售类别情况下本</w:t>
      </w:r>
      <w:r>
        <w:rPr>
          <w:spacing w:val="-66"/>
        </w:rPr>
        <w:t> </w:t>
      </w:r>
      <w:r>
        <w:rPr>
          <w:spacing w:val="-66"/>
        </w:rPr>
      </w:r>
      <w:r>
        <w:rPr/>
        <w:t>应确认的折旧、摊销或减值等进行调整后的金额；②可收回金额。</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4、长期股权投资" w:id="191"/>
      <w:bookmarkEnd w:id="191"/>
      <w:r>
        <w:rPr>
          <w:b w:val="0"/>
          <w:bCs w:val="0"/>
        </w:rPr>
      </w:r>
      <w:r>
        <w:rPr>
          <w:rFonts w:ascii="宋体" w:hAnsi="宋体" w:cs="宋体" w:eastAsia="宋体" w:hint="default"/>
        </w:rPr>
        <w:t>14</w:t>
      </w:r>
      <w:r>
        <w:rPr/>
        <w:t>、长期股权投资</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长期股权投资包括对子公司、合营企业和联营企业的权益性投资。</w:t>
      </w:r>
    </w:p>
    <w:p>
      <w:pPr>
        <w:pStyle w:val="BodyText"/>
        <w:spacing w:line="360" w:lineRule="auto" w:before="116"/>
        <w:ind w:left="514" w:right="5892"/>
        <w:jc w:val="left"/>
      </w:pPr>
      <w:r>
        <w:rPr/>
        <w:t>（</w:t>
      </w:r>
      <w:r>
        <w:rPr>
          <w:rFonts w:ascii="宋体" w:hAnsi="宋体" w:cs="宋体" w:eastAsia="宋体" w:hint="default"/>
        </w:rPr>
        <w:t>1</w:t>
      </w:r>
      <w:r>
        <w:rPr/>
        <w:t>）初始计量 本公司分别下列两种情况对长期股权投资进行初始计量：</w:t>
      </w:r>
    </w:p>
    <w:p>
      <w:pPr>
        <w:pStyle w:val="BodyText"/>
        <w:spacing w:line="357" w:lineRule="auto" w:before="26"/>
        <w:ind w:left="514" w:right="1122"/>
        <w:jc w:val="left"/>
      </w:pPr>
      <w:r>
        <w:rPr/>
        <w:t>①企业合并形成的长期股权投资，按照下列规定确定其初始投资成本：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、同一控制下的企业合并中，合并方以支付现金、转让非现金资产或承担债务方式作为合并对价的，在合并日按照被</w:t>
      </w:r>
    </w:p>
    <w:p>
      <w:pPr>
        <w:pStyle w:val="BodyText"/>
        <w:spacing w:line="224" w:lineRule="exact"/>
        <w:ind w:right="0"/>
        <w:jc w:val="both"/>
      </w:pPr>
      <w:r>
        <w:rPr/>
        <w:t>合并方所有者权益在最终控制方合并财务报表中的账面价值的份额作为长期股权投资的初始投资成本</w:t>
      </w:r>
      <w:r>
        <w:rPr>
          <w:spacing w:val="-82"/>
        </w:rPr>
        <w:t>。</w:t>
      </w:r>
      <w:r>
        <w:rPr/>
        <w:t>长期股权投资初始投</w:t>
      </w:r>
    </w:p>
    <w:p>
      <w:pPr>
        <w:pStyle w:val="BodyText"/>
        <w:spacing w:line="319" w:lineRule="auto" w:before="76"/>
        <w:ind w:right="1131"/>
        <w:jc w:val="both"/>
      </w:pPr>
      <w:r>
        <w:rPr>
          <w:spacing w:val="-2"/>
        </w:rPr>
        <w:t>资成本与支付的现金、转让的非现金资产以及所承担债务账面价值之间的差额，调整资本公积；资本公积不足冲减的，调整</w:t>
      </w:r>
      <w:r>
        <w:rPr>
          <w:spacing w:val="-66"/>
        </w:rPr>
        <w:t> </w:t>
      </w:r>
      <w:r>
        <w:rPr>
          <w:spacing w:val="-66"/>
        </w:rPr>
      </w:r>
      <w:r>
        <w:rPr>
          <w:spacing w:val="-5"/>
        </w:rPr>
        <w:t>留存收益。为进行企业合并发生的各项直接相关费用，包括为进行企业合并而支付的审计费用、评估费用、法律服务费用等，</w:t>
      </w:r>
      <w:r>
        <w:rPr>
          <w:spacing w:val="-82"/>
        </w:rPr>
        <w:t> </w:t>
      </w:r>
      <w:r>
        <w:rPr>
          <w:spacing w:val="-82"/>
        </w:rPr>
      </w:r>
      <w:r>
        <w:rPr/>
        <w:t>于发生时计入当期损益。</w:t>
      </w:r>
    </w:p>
    <w:p>
      <w:pPr>
        <w:pStyle w:val="BodyText"/>
        <w:spacing w:line="319" w:lineRule="auto" w:before="56"/>
        <w:ind w:right="113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spacing w:val="-2"/>
        </w:rPr>
        <w:t>值总额之间的差额，调整资本公积；资本公积不足冲减的，调整留存收益。合并中发行权益性证券发生的手续费、佣金等费</w:t>
      </w:r>
      <w:r>
        <w:rPr>
          <w:spacing w:val="-66"/>
        </w:rPr>
        <w:t> </w:t>
      </w:r>
      <w:r>
        <w:rPr>
          <w:spacing w:val="-66"/>
        </w:rPr>
      </w:r>
      <w:r>
        <w:rPr/>
        <w:t>用，抵减权益性证券溢价收入，溢价收入不足冲减的，冲减留存收益。</w:t>
      </w:r>
    </w:p>
    <w:p>
      <w:pPr>
        <w:pStyle w:val="BodyText"/>
        <w:spacing w:line="357" w:lineRule="auto" w:before="56"/>
        <w:ind w:left="514" w:right="1122"/>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）一次交换交易实现的企业合并，合并成本为在购买日为取得对被购买方的控制权而付出的资产、发生或承担的负债</w:t>
      </w:r>
    </w:p>
    <w:p>
      <w:pPr>
        <w:pStyle w:val="BodyText"/>
        <w:spacing w:line="357" w:lineRule="auto"/>
        <w:ind w:left="514" w:right="1122" w:hanging="360"/>
        <w:jc w:val="left"/>
      </w:pPr>
      <w:r>
        <w:rPr/>
        <w:t>以及发行的权益性证券的公允价值； </w:t>
      </w:r>
      <w:r>
        <w:rPr>
          <w:rFonts w:ascii="宋体" w:hAnsi="宋体" w:cs="宋体" w:eastAsia="宋体" w:hint="default"/>
        </w:rPr>
        <w:t>b</w:t>
      </w:r>
      <w:r>
        <w:rPr/>
        <w:t>）通过多次交换交易分步实现的企业合并，以购买日之前所持被购买方的股权投资的账面价值与购买日新增投资成本</w:t>
      </w:r>
    </w:p>
    <w:p>
      <w:pPr>
        <w:pStyle w:val="BodyText"/>
        <w:spacing w:line="357" w:lineRule="auto"/>
        <w:ind w:left="514" w:right="1122" w:hanging="360"/>
        <w:jc w:val="left"/>
      </w:pPr>
      <w:r>
        <w:rPr/>
        <w:t>之和，作为该项投资的初始投资成本； </w:t>
      </w:r>
      <w:r>
        <w:rPr>
          <w:rFonts w:ascii="宋体" w:hAnsi="宋体" w:cs="宋体" w:eastAsia="宋体" w:hint="default"/>
        </w:rPr>
        <w:t>c</w:t>
      </w:r>
      <w:r>
        <w:rPr/>
        <w:t>）为企业合并发生的审计、法律服务、评估咨询等中介费用以及其他相关管理费用，于发生时计入当期损益；作为合</w:t>
      </w:r>
    </w:p>
    <w:p>
      <w:pPr>
        <w:pStyle w:val="BodyText"/>
        <w:spacing w:line="225" w:lineRule="exact"/>
        <w:ind w:right="0"/>
        <w:jc w:val="both"/>
      </w:pPr>
      <w:r>
        <w:rPr/>
        <w:t>并对价发行的权益性证券或债务性证券的交易费用，计入权益性证券或债务性证券的初始确认金额；</w:t>
      </w:r>
    </w:p>
    <w:p>
      <w:pPr>
        <w:spacing w:after="0" w:line="225" w:lineRule="exact"/>
        <w:jc w:val="both"/>
        <w:sectPr>
          <w:footerReference w:type="default" r:id="rId41"/>
          <w:pgSz w:w="11910" w:h="16840"/>
          <w:pgMar w:footer="1187" w:header="877" w:top="1100" w:bottom="1380" w:left="980" w:right="0"/>
          <w:pgNumType w:start="93"/>
        </w:sectPr>
      </w:pPr>
    </w:p>
    <w:p>
      <w:pPr>
        <w:spacing w:line="240" w:lineRule="auto" w:before="12"/>
        <w:rPr>
          <w:rFonts w:ascii="宋体" w:hAnsi="宋体" w:cs="宋体" w:eastAsia="宋体" w:hint="default"/>
          <w:sz w:val="21"/>
          <w:szCs w:val="21"/>
        </w:rPr>
      </w:pPr>
    </w:p>
    <w:p>
      <w:pPr>
        <w:pStyle w:val="BodyText"/>
        <w:spacing w:line="319" w:lineRule="auto" w:before="44"/>
        <w:ind w:right="1140" w:firstLine="360"/>
        <w:jc w:val="both"/>
      </w:pPr>
      <w:r>
        <w:rPr>
          <w:rFonts w:ascii="宋体" w:hAnsi="宋体" w:cs="宋体" w:eastAsia="宋体" w:hint="default"/>
        </w:rPr>
        <w:t>d</w:t>
      </w:r>
      <w:r>
        <w:rPr/>
        <w:t>）在合并合同或协议中对可能影响合并成本的未来事项作出约定的，购买日如果估计未来事项很可能发生并且对合并 成本的影响金额能够可靠计量的，将其计入合并成本。</w:t>
      </w:r>
    </w:p>
    <w:p>
      <w:pPr>
        <w:pStyle w:val="BodyText"/>
        <w:spacing w:line="357" w:lineRule="auto" w:before="56"/>
        <w:ind w:left="514" w:right="1122"/>
        <w:jc w:val="left"/>
      </w:pPr>
      <w:r>
        <w:rPr/>
        <w:t>②除企业合并形成的长期股权投资以外，其他方式取得的长期股权投资，按照下列规定确定其初始投资成本：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、以支付现金取得的长期股权投资，按照实际支付的购买价款作为初始投资成本。初始投资成本包括与取得长期股权</w:t>
      </w:r>
    </w:p>
    <w:p>
      <w:pPr>
        <w:pStyle w:val="BodyText"/>
        <w:spacing w:line="357" w:lineRule="auto"/>
        <w:ind w:left="514" w:right="1122" w:hanging="360"/>
        <w:jc w:val="left"/>
      </w:pPr>
      <w:r>
        <w:rPr/>
        <w:t>投资直接相关的费用、税金及其他必要支出。 </w:t>
      </w:r>
      <w:r>
        <w:rPr>
          <w:rFonts w:ascii="宋体" w:hAnsi="宋体" w:cs="宋体" w:eastAsia="宋体" w:hint="default"/>
        </w:rPr>
        <w:t>B</w:t>
      </w:r>
      <w:r>
        <w:rPr/>
        <w:t>、以发行权益性证券取得的长期股权投资，按照发行权益性证券的公允价值作为初始投资成本，但不包括应自被投资</w:t>
      </w:r>
    </w:p>
    <w:p>
      <w:pPr>
        <w:pStyle w:val="BodyText"/>
        <w:spacing w:line="224" w:lineRule="exact"/>
        <w:ind w:right="0"/>
        <w:jc w:val="left"/>
      </w:pPr>
      <w:r>
        <w:rPr/>
        <w:t>单位收取的已宣告但尚未发放的现金股利或利润</w:t>
      </w:r>
      <w:r>
        <w:rPr>
          <w:spacing w:val="-87"/>
        </w:rPr>
        <w:t>。</w:t>
      </w:r>
      <w:r>
        <w:rPr/>
        <w:t>发行或取得自身权益工具时发生的交易费用</w:t>
      </w:r>
      <w:r>
        <w:rPr>
          <w:spacing w:val="-87"/>
        </w:rPr>
        <w:t>，</w:t>
      </w:r>
      <w:r>
        <w:rPr/>
        <w:t>可直接归属于权益性交易的，</w:t>
      </w:r>
    </w:p>
    <w:p>
      <w:pPr>
        <w:pStyle w:val="BodyText"/>
        <w:spacing w:line="240" w:lineRule="auto" w:before="77"/>
        <w:ind w:right="0"/>
        <w:jc w:val="left"/>
      </w:pPr>
      <w:r>
        <w:rPr/>
        <w:t>从权益中扣减。</w:t>
      </w:r>
    </w:p>
    <w:p>
      <w:pPr>
        <w:pStyle w:val="BodyText"/>
        <w:spacing w:line="360" w:lineRule="auto" w:before="116"/>
        <w:ind w:left="514" w:right="1132"/>
        <w:jc w:val="left"/>
      </w:pPr>
      <w:r>
        <w:rPr>
          <w:rFonts w:ascii="宋体" w:hAnsi="宋体" w:cs="宋体" w:eastAsia="宋体" w:hint="default"/>
          <w:spacing w:val="-4"/>
        </w:rPr>
        <w:t>C</w:t>
      </w:r>
      <w:r>
        <w:rPr>
          <w:spacing w:val="-4"/>
        </w:rPr>
        <w:t>、通过非货币性资产交换取得的长期股权投资，其初始投资成本按照《企业会计准则第</w:t>
      </w:r>
      <w:r>
        <w:rPr>
          <w:rFonts w:ascii="宋体" w:hAnsi="宋体" w:cs="宋体" w:eastAsia="宋体" w:hint="default"/>
          <w:spacing w:val="-4"/>
        </w:rPr>
        <w:t>7</w:t>
      </w:r>
      <w:r>
        <w:rPr>
          <w:spacing w:val="-4"/>
        </w:rPr>
        <w:t>号</w:t>
      </w:r>
      <w:r>
        <w:rPr>
          <w:rFonts w:ascii="宋体" w:hAnsi="宋体" w:cs="宋体" w:eastAsia="宋体" w:hint="default"/>
          <w:spacing w:val="-4"/>
        </w:rPr>
        <w:t>-</w:t>
      </w:r>
      <w:r>
        <w:rPr>
          <w:spacing w:val="-4"/>
        </w:rPr>
        <w:t>非货币性资产交换》确定。</w:t>
      </w:r>
      <w:r>
        <w:rPr>
          <w:spacing w:val="-49"/>
        </w:rPr>
        <w:t> </w:t>
      </w:r>
      <w:r>
        <w:rPr>
          <w:spacing w:val="-49"/>
        </w:rPr>
      </w:r>
      <w:r>
        <w:rPr>
          <w:rFonts w:ascii="宋体" w:hAnsi="宋体" w:cs="宋体" w:eastAsia="宋体" w:hint="default"/>
        </w:rPr>
        <w:t>D</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319" w:lineRule="auto" w:before="25"/>
        <w:ind w:right="1132" w:firstLine="360"/>
        <w:jc w:val="both"/>
      </w:pPr>
      <w:r>
        <w:rPr>
          <w:spacing w:val="-2"/>
        </w:rPr>
        <w:t>③无论是以何种方式取得长期股权投资，取得投资时，对于支付的对价中包含的应享有被投资单位已经宣告但尚未发放</w:t>
      </w:r>
      <w:r>
        <w:rPr/>
        <w:t> 的现金股利或利润都作为应收项目单独核算，不构成取得长期股权投资的初始投资成本。</w:t>
      </w:r>
    </w:p>
    <w:p>
      <w:pPr>
        <w:pStyle w:val="BodyText"/>
        <w:spacing w:line="357" w:lineRule="auto" w:before="56"/>
        <w:ind w:left="514" w:right="1123"/>
        <w:jc w:val="left"/>
      </w:pPr>
      <w:r>
        <w:rPr/>
        <w:t>（</w:t>
      </w:r>
      <w:r>
        <w:rPr>
          <w:rFonts w:ascii="宋体" w:hAnsi="宋体" w:cs="宋体" w:eastAsia="宋体" w:hint="default"/>
        </w:rPr>
        <w:t>2</w:t>
      </w:r>
      <w:r>
        <w:rPr/>
        <w:t>）后续计量 </w:t>
      </w:r>
      <w:r>
        <w:rPr>
          <w:spacing w:val="-2"/>
        </w:rPr>
        <w:t>能够对被投资单位实施控制的长期股权投资，在个别财务报表中采用成本法核算。对被投资单位具有共同控制或重大影</w:t>
      </w:r>
    </w:p>
    <w:p>
      <w:pPr>
        <w:pStyle w:val="BodyText"/>
        <w:spacing w:line="225" w:lineRule="exact"/>
        <w:ind w:right="0"/>
        <w:jc w:val="left"/>
      </w:pPr>
      <w:r>
        <w:rPr/>
        <w:t>响的长期股权投资，采用权益法核算。</w:t>
      </w:r>
    </w:p>
    <w:p>
      <w:pPr>
        <w:pStyle w:val="BodyText"/>
        <w:spacing w:line="319" w:lineRule="auto" w:before="115"/>
        <w:ind w:right="1130" w:firstLine="360"/>
        <w:jc w:val="both"/>
      </w:pPr>
      <w:r>
        <w:rPr>
          <w:spacing w:val="-2"/>
        </w:rPr>
        <w:t>①采用成本法核算的长期股权投资按照初始投资成本计价。追加或收回投资调整长期股权投资的成本。被投资单位宣告</w:t>
      </w:r>
      <w:r>
        <w:rPr/>
        <w:t> 分派的现金股利或利润，确认为当期投资收益。</w:t>
      </w:r>
    </w:p>
    <w:p>
      <w:pPr>
        <w:pStyle w:val="BodyText"/>
        <w:spacing w:line="319" w:lineRule="auto" w:before="55"/>
        <w:ind w:right="0" w:firstLine="360"/>
        <w:jc w:val="left"/>
      </w:pPr>
      <w:r>
        <w:rPr/>
        <w:t>②采用权益法核算的长期股权投资，其初始投资成本大于投资时应享有被投资单位可辨认净资产公允价值份额的，不调 </w:t>
      </w:r>
      <w:r>
        <w:rPr>
          <w:spacing w:val="-2"/>
        </w:rPr>
        <w:t>整长期股权投资的初始投资成本；长期股权投资的初始投资成本小于投资时应享有被投资单位可辨认净资产公允价值份额的，</w:t>
      </w:r>
      <w:r>
        <w:rPr>
          <w:spacing w:val="-62"/>
        </w:rPr>
        <w:t> </w:t>
      </w:r>
      <w:r>
        <w:rPr>
          <w:spacing w:val="-62"/>
        </w:rPr>
      </w:r>
      <w:r>
        <w:rPr/>
        <w:t>其差额计入当期损益，同时调整长期股权投资的成本。</w:t>
      </w:r>
    </w:p>
    <w:p>
      <w:pPr>
        <w:pStyle w:val="BodyText"/>
        <w:spacing w:line="319" w:lineRule="auto" w:before="56"/>
        <w:ind w:right="1131" w:firstLine="360"/>
        <w:jc w:val="both"/>
      </w:pPr>
      <w:r>
        <w:rPr>
          <w:spacing w:val="-2"/>
        </w:rPr>
        <w:t>取得长期股权投资后，按照应享有或应分担的被投资单位实现的净损益和其他综合收益的份额，分别确认投资收益和其</w:t>
      </w:r>
      <w:r>
        <w:rPr/>
        <w:t> </w:t>
      </w:r>
      <w:r>
        <w:rPr>
          <w:spacing w:val="-2"/>
        </w:rPr>
        <w:t>他综合收益，同时调整长期股权投资的账面价值；按照被投资单位宣告分派的利润或现金股利计算应享有的部分，相应减少</w:t>
      </w:r>
      <w:r>
        <w:rPr>
          <w:spacing w:val="-65"/>
        </w:rPr>
        <w:t> </w:t>
      </w:r>
      <w:r>
        <w:rPr>
          <w:spacing w:val="-65"/>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投资的账面价值并计入所有者权益。在确认应享有被投资单位净损益的份额时，以取得投资时被投资单位可辨认净资产的公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公司的会计政策及会计期间对被投资单位的财务报表进行调整，并据以确认投资收益和其他综合收益等。确认被投资单位发</w:t>
      </w:r>
      <w:r>
        <w:rPr>
          <w:spacing w:val="-64"/>
        </w:rPr>
        <w:t> </w:t>
      </w:r>
      <w:r>
        <w:rPr>
          <w:spacing w:val="-64"/>
        </w:rPr>
      </w:r>
      <w:r>
        <w:rPr>
          <w:spacing w:val="-2"/>
        </w:rPr>
        <w:t>生的净亏损，以长期股权投资的账面价值以及其他实质上构成对被投资单位净投资的长期权益减记至零为限，本公司负有承</w:t>
      </w:r>
      <w:r>
        <w:rPr>
          <w:spacing w:val="-64"/>
        </w:rPr>
        <w:t> </w:t>
      </w:r>
      <w:r>
        <w:rPr>
          <w:spacing w:val="-64"/>
        </w:rPr>
      </w:r>
      <w:r>
        <w:rPr>
          <w:spacing w:val="-2"/>
        </w:rPr>
        <w:t>担额外损失义务的除外。被投资单位以后实现净利润的，本公司在其收益分享额弥补未确认的亏损分担额后，恢复确认收益</w:t>
      </w:r>
      <w:r>
        <w:rPr>
          <w:spacing w:val="-66"/>
        </w:rPr>
        <w:t> </w:t>
      </w:r>
      <w:r>
        <w:rPr>
          <w:spacing w:val="-66"/>
        </w:rPr>
      </w:r>
      <w:r>
        <w:rPr/>
        <w:t>分享额。</w:t>
      </w:r>
    </w:p>
    <w:p>
      <w:pPr>
        <w:pStyle w:val="BodyText"/>
        <w:spacing w:line="319" w:lineRule="auto" w:before="55"/>
        <w:ind w:right="1132" w:firstLine="360"/>
        <w:jc w:val="both"/>
      </w:pPr>
      <w:r>
        <w:rPr>
          <w:spacing w:val="-2"/>
        </w:rPr>
        <w:t>计算确认应享有或应分担被投资单位的净损益时，与联营企业、合营企业之间发生的未实现内部交易损益按照应享有的</w:t>
      </w:r>
      <w:r>
        <w:rPr/>
        <w:t> </w:t>
      </w:r>
      <w:r>
        <w:rPr>
          <w:spacing w:val="-2"/>
        </w:rPr>
        <w:t>比例计算归属于本公司的部分，予以抵销，在此基础上确认投资收益。本公司与被投资单位发生的未实现内部交易损失属于</w:t>
      </w:r>
      <w:r>
        <w:rPr>
          <w:spacing w:val="-66"/>
        </w:rPr>
        <w:t> </w:t>
      </w:r>
      <w:r>
        <w:rPr>
          <w:spacing w:val="-66"/>
        </w:rPr>
      </w:r>
      <w:r>
        <w:rPr/>
        <w:t>资产减值损失的，予以全额确认。</w:t>
      </w:r>
    </w:p>
    <w:p>
      <w:pPr>
        <w:pStyle w:val="BodyText"/>
        <w:spacing w:line="319" w:lineRule="auto" w:before="55"/>
        <w:ind w:right="1132" w:firstLine="360"/>
        <w:jc w:val="both"/>
      </w:pPr>
      <w:r>
        <w:rPr>
          <w:spacing w:val="-2"/>
        </w:rPr>
        <w:t>本公司对联营企业的权益性投资，其中一部分通过风险投资机构、共同基金、信托公司或包括投连险基金在内的类似主</w:t>
      </w:r>
      <w:r>
        <w:rPr/>
        <w:t> </w:t>
      </w:r>
      <w:r>
        <w:rPr>
          <w:spacing w:val="-2"/>
        </w:rPr>
        <w:t>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号——金融工具确认和计</w:t>
      </w:r>
      <w:r>
        <w:rPr>
          <w:spacing w:val="-64"/>
        </w:rPr>
        <w:t> </w:t>
      </w:r>
      <w:r>
        <w:rPr/>
        <w:t>量》的有关规定，对间接持有的该部分投资选择以公允价值计量且其变动计入损益，并对其余部分采用权益法核算。</w:t>
      </w:r>
    </w:p>
    <w:p>
      <w:pPr>
        <w:pStyle w:val="BodyText"/>
        <w:spacing w:line="319" w:lineRule="auto" w:before="56"/>
        <w:ind w:right="1131" w:firstLine="360"/>
        <w:jc w:val="both"/>
      </w:pPr>
      <w:r>
        <w:rPr>
          <w:spacing w:val="-2"/>
        </w:rPr>
        <w:t>③本公司处置长期股权投资，其账面价值与实际取得价款的差额，计入当期损益。采用权益法核算的长期股权投资，在</w:t>
      </w:r>
      <w:r>
        <w:rPr/>
        <w:t> </w:t>
      </w: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before="56"/>
        <w:ind w:right="1130" w:firstLine="360"/>
        <w:jc w:val="both"/>
      </w:pPr>
      <w:r>
        <w:rPr>
          <w:spacing w:val="-2"/>
        </w:rPr>
        <w:t>④本公司因其他投资方对其子公司增资而导致本公司持股比例下降，从而丧失控制权但能实施共同控制或施加重大影响</w:t>
      </w:r>
      <w:r>
        <w:rPr/>
        <w:t> </w:t>
      </w:r>
      <w:r>
        <w:rPr>
          <w:spacing w:val="-2"/>
        </w:rPr>
        <w:t>的，在个别财务报表中，对该项长期股权投资从成本法转为权益法核算。首先，按照新的持股比例确认本投资方应享有的原</w:t>
      </w:r>
      <w:r>
        <w:rPr>
          <w:spacing w:val="-66"/>
        </w:rPr>
        <w:t> </w:t>
      </w:r>
      <w:r>
        <w:rPr>
          <w:spacing w:val="-66"/>
        </w:rPr>
      </w:r>
      <w:r>
        <w:rPr>
          <w:spacing w:val="-2"/>
        </w:rPr>
        <w:t>子公司因增资扩股而增加净资产的份额，与应结转持股比例下降部分所对应的长期股权投资原账面价值之间的差额计入当期</w:t>
      </w:r>
      <w:r>
        <w:rPr>
          <w:spacing w:val="-64"/>
        </w:rPr>
        <w:t> </w:t>
      </w:r>
      <w:r>
        <w:rPr>
          <w:spacing w:val="-64"/>
        </w:rPr>
      </w:r>
      <w:r>
        <w:rPr/>
        <w:t>损益；然后，按照新的持股比例视同自取得投资时即采用权益法核算进行调整。</w:t>
      </w:r>
    </w:p>
    <w:p>
      <w:pPr>
        <w:spacing w:after="0" w:line="319" w:lineRule="auto"/>
        <w:jc w:val="both"/>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0"/>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224" w:lineRule="exact"/>
        <w:ind w:right="0"/>
        <w:jc w:val="left"/>
      </w:pPr>
      <w:r>
        <w:rPr/>
        <w:t>后才能决策。相关活动，是指对某项安排的回报产生重大影响的活动。重大影响，是指投资方对被投资单位的财务和经营政</w:t>
      </w:r>
    </w:p>
    <w:p>
      <w:pPr>
        <w:pStyle w:val="BodyText"/>
        <w:spacing w:line="240" w:lineRule="auto" w:before="77"/>
        <w:ind w:right="0"/>
        <w:jc w:val="left"/>
      </w:pPr>
      <w:r>
        <w:rPr/>
        <w:t>策有参与决策的权力，但并不能够控制或者与其他方一起共同控制这些政策的制定。</w:t>
      </w:r>
    </w:p>
    <w:p>
      <w:pPr>
        <w:pStyle w:val="BodyText"/>
        <w:spacing w:line="357" w:lineRule="auto" w:before="117"/>
        <w:ind w:left="514" w:right="2652"/>
        <w:jc w:val="left"/>
      </w:pPr>
      <w:r>
        <w:rPr/>
        <w:t>（</w:t>
      </w:r>
      <w:r>
        <w:rPr>
          <w:rFonts w:ascii="宋体" w:hAnsi="宋体" w:cs="宋体" w:eastAsia="宋体" w:hint="default"/>
        </w:rPr>
        <w:t>4</w:t>
      </w:r>
      <w:r>
        <w:rPr/>
        <w:t>）减值测试方法及减值准备计提方法 长期股权投资的减值测试方法及减值准备计提方法按照本公司制定的“资产减值”会计政策执行。</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15、固定资产" w:id="192"/>
      <w:bookmarkEnd w:id="192"/>
      <w:r>
        <w:rPr>
          <w:b w:val="0"/>
          <w:bCs w:val="0"/>
        </w:rPr>
      </w:r>
      <w:r>
        <w:rPr>
          <w:rFonts w:ascii="宋体" w:hAnsi="宋体" w:cs="宋体" w:eastAsia="宋体" w:hint="default"/>
        </w:rPr>
        <w:t>15</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确认条件" w:id="193"/>
      <w:bookmarkEnd w:id="193"/>
      <w:r>
        <w:rPr>
          <w:b w:val="0"/>
          <w:bCs w:val="0"/>
        </w:rPr>
      </w:r>
      <w:r>
        <w:rPr/>
        <w:t>（</w:t>
      </w:r>
      <w:r>
        <w:rPr>
          <w:rFonts w:ascii="宋体" w:hAnsi="宋体" w:cs="宋体" w:eastAsia="宋体" w:hint="default"/>
        </w:rPr>
        <w:t>1</w:t>
      </w:r>
      <w:r>
        <w:rPr/>
        <w:t>）确认条件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2" w:firstLine="450"/>
        <w:jc w:val="both"/>
      </w:pPr>
      <w:r>
        <w:rPr/>
        <w:t>本公司固定资产是指为生产商品、提供劳务、出租或经营管理而持有的使用寿命超过一个会计年度的有形资产。固定 </w:t>
      </w:r>
      <w:r>
        <w:rPr>
          <w:spacing w:val="-2"/>
        </w:rPr>
        <w:t>资产在同时满足下列条件时，按照成本进行初始计量：①与该固定资产有关的经济利益很可能流入企业；②该固定资产的成</w:t>
      </w:r>
      <w:r>
        <w:rPr>
          <w:spacing w:val="-65"/>
        </w:rPr>
        <w:t> </w:t>
      </w:r>
      <w:r>
        <w:rPr>
          <w:spacing w:val="-65"/>
        </w:rPr>
      </w:r>
      <w:r>
        <w:rPr/>
        <w:t>本能够可靠地计量。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94"/>
      <w:bookmarkEnd w:id="194"/>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2.71%-19%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9.5%-31.67%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9.5%-31.67%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5"/>
      <w:bookmarkEnd w:id="195"/>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用与自有应计折旧资产相一致的折旧政策。能够合理确定租赁期届满时取得租赁资产所有权的，在租赁资产尚可使用年限内</w:t>
      </w:r>
      <w:r>
        <w:rPr>
          <w:spacing w:val="-64"/>
        </w:rPr>
        <w:t> </w:t>
      </w:r>
      <w:r>
        <w:rPr>
          <w:spacing w:val="-64"/>
        </w:rPr>
      </w:r>
      <w:r>
        <w:rPr>
          <w:spacing w:val="-2"/>
        </w:rPr>
        <w:t>计提折旧；无法合理确定租赁期届满时能够取得租赁资产所有权的，在租赁期与租赁资产尚可使用年限两者中较短的期间内</w:t>
      </w:r>
      <w:r>
        <w:rPr>
          <w:spacing w:val="-64"/>
        </w:rPr>
        <w:t> </w:t>
      </w:r>
      <w:r>
        <w:rPr>
          <w:spacing w:val="-64"/>
        </w:rPr>
      </w:r>
      <w:r>
        <w:rPr/>
        <w:t>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6、在建工程" w:id="196"/>
      <w:bookmarkEnd w:id="196"/>
      <w:r>
        <w:rPr>
          <w:b w:val="0"/>
          <w:bCs w:val="0"/>
        </w:rPr>
      </w:r>
      <w:r>
        <w:rPr>
          <w:rFonts w:ascii="宋体" w:hAnsi="宋体" w:cs="宋体" w:eastAsia="宋体" w:hint="default"/>
        </w:rPr>
        <w:t>16</w:t>
      </w:r>
      <w:r>
        <w:rPr/>
        <w:t>、在建工程</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7692" w:hanging="360"/>
        <w:jc w:val="left"/>
      </w:pPr>
      <w:r>
        <w:rPr/>
        <w:t>公司是否需要遵守特殊行业的披露要求 否</w:t>
      </w:r>
    </w:p>
    <w:p>
      <w:pPr>
        <w:pStyle w:val="BodyText"/>
        <w:spacing w:line="240" w:lineRule="auto" w:before="107"/>
        <w:ind w:left="514" w:right="0"/>
        <w:jc w:val="left"/>
      </w:pPr>
      <w:r>
        <w:rPr/>
        <w:t>（</w:t>
      </w:r>
      <w:r>
        <w:rPr>
          <w:rFonts w:ascii="宋体" w:hAnsi="宋体" w:cs="宋体" w:eastAsia="宋体" w:hint="default"/>
        </w:rPr>
        <w:t>1</w:t>
      </w:r>
      <w:r>
        <w:rPr/>
        <w:t>）在建工程的计价：按实际发生的支出确定工程成本。在建工程成本还包括应当资本化的借款费用和汇兑损益。</w:t>
      </w:r>
    </w:p>
    <w:p>
      <w:pPr>
        <w:pStyle w:val="BodyText"/>
        <w:spacing w:line="319" w:lineRule="auto" w:before="116"/>
        <w:ind w:right="1131" w:firstLine="360"/>
        <w:jc w:val="both"/>
      </w:pPr>
      <w:r>
        <w:rPr/>
        <w:t>（</w:t>
      </w:r>
      <w:r>
        <w:rPr>
          <w:rFonts w:ascii="宋体" w:hAnsi="宋体" w:cs="宋体" w:eastAsia="宋体" w:hint="default"/>
        </w:rPr>
        <w:t>2</w:t>
      </w:r>
      <w:r>
        <w:rPr/>
        <w:t>）本公司在在建工程达到预定可使用状态时，将在建工程转入固定资产。所建造的已达到预定可使用状态、但尚未 </w:t>
      </w:r>
      <w:r>
        <w:rPr>
          <w:spacing w:val="-2"/>
        </w:rPr>
        <w:t>办理竣工决算的固定资产，按照估计价值确认为固定资产，并计提折旧；待办理了竣工决算手续后，再按实际成本调整原来</w:t>
      </w:r>
      <w:r>
        <w:rPr>
          <w:spacing w:val="-66"/>
        </w:rPr>
        <w:t> </w:t>
      </w:r>
      <w:r>
        <w:rPr>
          <w:spacing w:val="-66"/>
        </w:rPr>
      </w:r>
      <w:r>
        <w:rPr/>
        <w:t>的暂估价值，但不调整原已计提的折旧额。</w:t>
      </w:r>
    </w:p>
    <w:p>
      <w:pPr>
        <w:pStyle w:val="BodyText"/>
        <w:spacing w:line="240" w:lineRule="auto" w:before="58"/>
        <w:ind w:left="514" w:right="0"/>
        <w:jc w:val="left"/>
      </w:pPr>
      <w:r>
        <w:rPr/>
        <w:t>（</w:t>
      </w:r>
      <w:r>
        <w:rPr>
          <w:rFonts w:ascii="宋体" w:hAnsi="宋体" w:cs="宋体" w:eastAsia="宋体" w:hint="default"/>
        </w:rPr>
        <w:t>3</w:t>
      </w:r>
      <w:r>
        <w:rPr/>
        <w:t>）在建工程的减值，按照本公司制定的“资产减值”会计政策执行。</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7、借款费用" w:id="197"/>
      <w:bookmarkEnd w:id="197"/>
      <w:r>
        <w:rPr>
          <w:b w:val="0"/>
          <w:bCs w:val="0"/>
        </w:rPr>
      </w:r>
      <w:r>
        <w:rPr>
          <w:rFonts w:ascii="宋体" w:hAnsi="宋体" w:cs="宋体" w:eastAsia="宋体" w:hint="default"/>
        </w:rPr>
        <w:t>17</w:t>
      </w:r>
      <w:r>
        <w:rPr/>
        <w:t>、借款费用</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0"/>
        <w:jc w:val="left"/>
      </w:pPr>
      <w:r>
        <w:rPr/>
        <w:t>（</w:t>
      </w:r>
      <w:r>
        <w:rPr>
          <w:rFonts w:ascii="宋体" w:hAnsi="宋体" w:cs="宋体" w:eastAsia="宋体" w:hint="default"/>
        </w:rPr>
        <w:t>1</w:t>
      </w:r>
      <w:r>
        <w:rPr/>
        <w:t>）借款费用资本化的确认原则和资本化期间 </w:t>
      </w:r>
      <w:r>
        <w:rPr>
          <w:spacing w:val="-2"/>
        </w:rPr>
        <w:t>本公司发生的借款费用，可直接归属于符合资本化条件的资产的购建或生产的，在同时满足下列条件时予以资本化，计</w:t>
      </w:r>
    </w:p>
    <w:p>
      <w:pPr>
        <w:pStyle w:val="BodyText"/>
        <w:spacing w:line="225" w:lineRule="exact"/>
        <w:ind w:right="0"/>
        <w:jc w:val="left"/>
      </w:pPr>
      <w:r>
        <w:rPr/>
        <w:t>入相关资产成本：</w:t>
      </w:r>
    </w:p>
    <w:p>
      <w:pPr>
        <w:pStyle w:val="BodyText"/>
        <w:spacing w:line="240" w:lineRule="auto" w:before="117"/>
        <w:ind w:left="514" w:right="0"/>
        <w:jc w:val="left"/>
      </w:pPr>
      <w:r>
        <w:rPr/>
        <w:t>① 资产支出已经发生；</w:t>
      </w:r>
    </w:p>
    <w:p>
      <w:pPr>
        <w:pStyle w:val="BodyText"/>
        <w:spacing w:line="240" w:lineRule="auto" w:before="116"/>
        <w:ind w:left="514" w:right="0"/>
        <w:jc w:val="left"/>
      </w:pPr>
      <w:r>
        <w:rPr/>
        <w:t>② 借款费用已经发生；</w:t>
      </w:r>
    </w:p>
    <w:p>
      <w:pPr>
        <w:pStyle w:val="BodyText"/>
        <w:spacing w:line="357" w:lineRule="auto" w:before="116"/>
        <w:ind w:left="514" w:right="0"/>
        <w:jc w:val="left"/>
      </w:pPr>
      <w:r>
        <w:rPr/>
        <w:t>③ 为使资产达到预定可使用或者可销售状态所必要的购建或者生产活动已经开始。 不符合资本化条件的借款费用，在发生时根据其发生额确认为费用，计入当期的损益。 </w:t>
      </w:r>
      <w:r>
        <w:rPr>
          <w:spacing w:val="-4"/>
        </w:rPr>
        <w:t>符合资本化条件的资产在购建或者生产过程中发生非正常中断、且中断时间连续超过</w:t>
      </w:r>
      <w:r>
        <w:rPr>
          <w:rFonts w:ascii="宋体" w:hAnsi="宋体" w:cs="宋体" w:eastAsia="宋体" w:hint="default"/>
          <w:spacing w:val="-4"/>
        </w:rPr>
        <w:t>3</w:t>
      </w:r>
      <w:r>
        <w:rPr>
          <w:spacing w:val="-4"/>
        </w:rPr>
        <w:t>个月的，暂停借款费用的资本化。</w:t>
      </w:r>
    </w:p>
    <w:p>
      <w:pPr>
        <w:pStyle w:val="BodyText"/>
        <w:spacing w:line="224" w:lineRule="exact"/>
        <w:ind w:right="0"/>
        <w:jc w:val="left"/>
      </w:pPr>
      <w:r>
        <w:rPr/>
        <w:t>在中断期间发生的借款费用确认为费用，计入当期损益，直至资产的购建或者生产活动重新开始。如果中断是所购建或者生</w:t>
      </w:r>
    </w:p>
    <w:p>
      <w:pPr>
        <w:pStyle w:val="BodyText"/>
        <w:spacing w:line="357" w:lineRule="auto" w:before="77"/>
        <w:ind w:left="514" w:right="0" w:hanging="360"/>
        <w:jc w:val="left"/>
      </w:pPr>
      <w:r>
        <w:rPr/>
        <w:t>产的符合资本化条件的资产达到预定可使用或者可销售状态必要的程序，借款费用的资本化继续进行。 </w:t>
      </w:r>
      <w:r>
        <w:rPr>
          <w:spacing w:val="-2"/>
        </w:rPr>
        <w:t>购建或者生产符合资本化条件的资产达到预定可使用或者可销售状态时，借款费用停止资本化。以后发生的借款费用于</w:t>
      </w:r>
    </w:p>
    <w:p>
      <w:pPr>
        <w:pStyle w:val="BodyText"/>
        <w:spacing w:line="357" w:lineRule="auto"/>
        <w:ind w:left="514" w:right="0" w:hanging="360"/>
        <w:jc w:val="left"/>
      </w:pPr>
      <w:r>
        <w:rPr/>
        <w:t>发生当期确认为费用。 </w:t>
      </w:r>
      <w:r>
        <w:rPr>
          <w:spacing w:val="-2"/>
        </w:rPr>
        <w:t>符合资本化条件的资产指需要经过相当长时间的购建或者生产活动才能达到预定可使用或可销售状态的固定资产、投资</w:t>
      </w:r>
    </w:p>
    <w:p>
      <w:pPr>
        <w:pStyle w:val="BodyText"/>
        <w:spacing w:line="225" w:lineRule="exact"/>
        <w:ind w:right="0"/>
        <w:jc w:val="left"/>
      </w:pPr>
      <w:r>
        <w:rPr/>
        <w:t>性房地产和存货等资产。</w:t>
      </w:r>
    </w:p>
    <w:p>
      <w:pPr>
        <w:pStyle w:val="BodyText"/>
        <w:spacing w:line="357" w:lineRule="auto" w:before="116"/>
        <w:ind w:left="514" w:right="0"/>
        <w:jc w:val="left"/>
      </w:pPr>
      <w:r>
        <w:rPr/>
        <w:t>（</w:t>
      </w:r>
      <w:r>
        <w:rPr>
          <w:rFonts w:ascii="宋体" w:hAnsi="宋体" w:cs="宋体" w:eastAsia="宋体" w:hint="default"/>
        </w:rPr>
        <w:t>2</w:t>
      </w:r>
      <w:r>
        <w:rPr/>
        <w:t>）借款费用资本化金额的计算方法 </w:t>
      </w:r>
      <w:r>
        <w:rPr>
          <w:spacing w:val="-2"/>
        </w:rPr>
        <w:t>为购建或者生产符合资本化条件的资产而借入专门借款的，以专门借款当期实际发生的利息费用，减去将尚未动用的借</w:t>
      </w:r>
    </w:p>
    <w:p>
      <w:pPr>
        <w:pStyle w:val="BodyText"/>
        <w:spacing w:line="357" w:lineRule="auto"/>
        <w:ind w:left="514" w:right="0" w:hanging="360"/>
        <w:jc w:val="left"/>
      </w:pPr>
      <w:r>
        <w:rPr/>
        <w:t>款资金存入银行取得的利息收入或进行暂时性投资取得的投资收益后的金额确定。 </w:t>
      </w:r>
      <w:r>
        <w:rPr>
          <w:spacing w:val="-2"/>
        </w:rPr>
        <w:t>为购建或者生产符合资本化条件的资产而占用了一般借款的，根据累计资产支出超过专门借款部分的资产支出加权平均</w:t>
      </w:r>
    </w:p>
    <w:p>
      <w:pPr>
        <w:pStyle w:val="BodyText"/>
        <w:spacing w:line="224" w:lineRule="exact"/>
        <w:ind w:right="0"/>
        <w:jc w:val="left"/>
      </w:pPr>
      <w:r>
        <w:rPr/>
        <w:t>数乘以所占用一般借款的资本化率，计算确定一般借款应予资本化的利息金额。资本化率根据一般借款加权平均利率计算确</w:t>
      </w:r>
    </w:p>
    <w:p>
      <w:pPr>
        <w:pStyle w:val="BodyText"/>
        <w:spacing w:line="240" w:lineRule="auto" w:before="78"/>
        <w:ind w:right="0"/>
        <w:jc w:val="left"/>
      </w:pPr>
      <w:r>
        <w:rPr/>
        <w:t>定。</w:t>
      </w:r>
    </w:p>
    <w:p>
      <w:pPr>
        <w:pStyle w:val="BodyText"/>
        <w:spacing w:line="240" w:lineRule="auto" w:before="116"/>
        <w:ind w:left="514" w:right="0"/>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无形资产" w:id="198"/>
      <w:bookmarkEnd w:id="198"/>
      <w:r>
        <w:rPr>
          <w:b w:val="0"/>
          <w:bCs w:val="0"/>
        </w:rPr>
      </w:r>
      <w:r>
        <w:rPr>
          <w:rFonts w:ascii="宋体" w:hAnsi="宋体" w:cs="宋体" w:eastAsia="宋体" w:hint="default"/>
        </w:rPr>
        <w:t>18</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计价方法、使用寿命、减值测试" w:id="199"/>
      <w:bookmarkEnd w:id="199"/>
      <w:r>
        <w:rPr>
          <w:b w:val="0"/>
          <w:bCs w:val="0"/>
        </w:rPr>
      </w:r>
      <w:r>
        <w:rPr/>
        <w:t>（</w:t>
      </w:r>
      <w:r>
        <w:rPr>
          <w:rFonts w:ascii="宋体" w:hAnsi="宋体" w:cs="宋体" w:eastAsia="宋体" w:hint="default"/>
        </w:rPr>
        <w:t>1</w:t>
      </w:r>
      <w:r>
        <w:rPr/>
        <w:t>）计价方法、使用寿命、减值测试</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14" w:right="7692" w:hanging="360"/>
        <w:jc w:val="left"/>
      </w:pPr>
      <w:r>
        <w:rPr/>
        <w:t>公司是否需要遵守特殊行业的披露要求 否</w:t>
      </w:r>
    </w:p>
    <w:p>
      <w:pPr>
        <w:pStyle w:val="BodyText"/>
        <w:spacing w:line="240" w:lineRule="auto" w:before="105"/>
        <w:ind w:left="514" w:right="0"/>
        <w:jc w:val="left"/>
      </w:pPr>
      <w:r>
        <w:rPr/>
        <w:t>本公司无形资产是指本公司所拥有或者控制的没有实物形态的可辨认非货币性资产。</w:t>
      </w:r>
    </w:p>
    <w:p>
      <w:pPr>
        <w:pStyle w:val="BodyText"/>
        <w:spacing w:line="357" w:lineRule="auto" w:before="117"/>
        <w:ind w:left="514" w:right="6252"/>
        <w:jc w:val="left"/>
      </w:pPr>
      <w:r>
        <w:rPr/>
        <w:t>①无形资产的确认 本公司在同时满足下列条件时，予以确认无形资产： </w:t>
      </w:r>
      <w:r>
        <w:rPr>
          <w:rFonts w:ascii="宋体" w:hAnsi="宋体" w:cs="宋体" w:eastAsia="宋体" w:hint="default"/>
        </w:rPr>
        <w:t>A</w:t>
      </w:r>
      <w:r>
        <w:rPr/>
        <w:t>、与该无形资产有关的经济利益很可能流入企业； </w:t>
      </w:r>
      <w:r>
        <w:rPr>
          <w:rFonts w:ascii="宋体" w:hAnsi="宋体" w:cs="宋体" w:eastAsia="宋体" w:hint="default"/>
        </w:rPr>
        <w:t>B</w:t>
      </w:r>
      <w:r>
        <w:rPr/>
        <w:t>、该无形资产的成本能够可靠地计量。</w:t>
      </w:r>
    </w:p>
    <w:p>
      <w:pPr>
        <w:pStyle w:val="BodyText"/>
        <w:spacing w:line="360" w:lineRule="auto" w:before="28"/>
        <w:ind w:left="514" w:right="6882"/>
        <w:jc w:val="left"/>
      </w:pPr>
      <w:r>
        <w:rPr/>
        <w:t>②无形资产的计量 </w:t>
      </w:r>
      <w:r>
        <w:rPr>
          <w:rFonts w:ascii="宋体" w:hAnsi="宋体" w:cs="宋体" w:eastAsia="宋体" w:hint="default"/>
        </w:rPr>
        <w:t>A</w:t>
      </w:r>
      <w:r>
        <w:rPr/>
        <w:t>、本公司无形资产按照成本进行初始计量。 </w:t>
      </w:r>
      <w:r>
        <w:rPr>
          <w:rFonts w:ascii="宋体" w:hAnsi="宋体" w:cs="宋体" w:eastAsia="宋体" w:hint="default"/>
        </w:rPr>
        <w:t>B</w:t>
      </w:r>
      <w:r>
        <w:rPr/>
        <w:t>、无形资产的后续计量</w:t>
      </w:r>
    </w:p>
    <w:p>
      <w:pPr>
        <w:pStyle w:val="BodyText"/>
        <w:spacing w:line="319" w:lineRule="auto" w:before="25"/>
        <w:ind w:right="0" w:firstLine="360"/>
        <w:jc w:val="left"/>
      </w:pPr>
      <w:r>
        <w:rPr>
          <w:spacing w:val="-2"/>
        </w:rPr>
        <w:t>对于使用寿命有限的无形资产在取得时判定其使用寿命并在以后期间在使用寿命内采用直线法，摊销金额按受益项目计</w:t>
      </w:r>
      <w:r>
        <w:rPr/>
        <w:t> 入相关成本、费用核算。使用寿命不确定的无形资产不摊销。</w:t>
      </w:r>
    </w:p>
    <w:p>
      <w:pPr>
        <w:pStyle w:val="BodyText"/>
        <w:spacing w:line="240" w:lineRule="auto" w:before="55"/>
        <w:ind w:left="514" w:right="0"/>
        <w:jc w:val="left"/>
      </w:pPr>
      <w:r>
        <w:rPr/>
        <w:t>期末，对使用寿命有限的无形资产的使用寿命和摊销方法进行复核，如发生变更则作为会计估计变更处理。此外，还对</w:t>
      </w:r>
    </w:p>
    <w:p>
      <w:pPr>
        <w:spacing w:after="0" w:line="240"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2"/>
        <w:jc w:val="both"/>
      </w:pP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6"/>
        <w:ind w:left="514" w:right="0"/>
        <w:jc w:val="left"/>
      </w:pPr>
      <w:r>
        <w:rPr/>
        <w:t>无形资产的减值，按照本公司制定的“资产减值”会计政策执行。</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内部研究开发支出会计政策" w:id="200"/>
      <w:bookmarkEnd w:id="200"/>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本公司内部研究开发项目的支出分为研究阶段支出与开发阶段支出。研究是指为获取并理解新的科学或技术知识而进行</w:t>
      </w:r>
      <w:r>
        <w:rPr/>
        <w:t> </w:t>
      </w:r>
      <w:r>
        <w:rPr>
          <w:spacing w:val="-2"/>
        </w:rPr>
        <w:t>的独创性的有计划调查。开发是指在进行商业性生产或使用前，将研究成果或其他知识应用于某项计划或设计，以生产出新</w:t>
      </w:r>
      <w:r>
        <w:rPr>
          <w:spacing w:val="-66"/>
        </w:rPr>
        <w:t> </w:t>
      </w:r>
      <w:r>
        <w:rPr>
          <w:spacing w:val="-66"/>
        </w:rPr>
      </w:r>
      <w:r>
        <w:rPr/>
        <w:t>的或具有实质性改进的材料、装置、产品等。</w:t>
      </w:r>
    </w:p>
    <w:p>
      <w:pPr>
        <w:pStyle w:val="BodyText"/>
        <w:spacing w:line="357" w:lineRule="auto" w:before="58"/>
        <w:ind w:left="514" w:right="1752"/>
        <w:jc w:val="left"/>
      </w:pPr>
      <w:r>
        <w:rPr/>
        <w:t>研究阶段的支出，于发生时计入当期损益。 开发阶段的支出同时满足下列条件的，确认为无形资产，不能满足下述条件的开发阶段的支出计入当期损益：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w:t>
      </w:r>
    </w:p>
    <w:p>
      <w:pPr>
        <w:pStyle w:val="BodyText"/>
        <w:spacing w:line="319" w:lineRule="auto" w:before="26"/>
        <w:ind w:right="1122" w:firstLine="360"/>
        <w:jc w:val="left"/>
      </w:pPr>
      <w:r>
        <w:rPr>
          <w:rFonts w:ascii="宋体" w:hAnsi="宋体" w:cs="宋体" w:eastAsia="宋体" w:hint="default"/>
        </w:rPr>
        <w:t>C</w:t>
      </w:r>
      <w:r>
        <w:rPr/>
        <w:t>、无形资产产生经济利益的方式，包括能够证明运用该无形资产生产的产品存在市场或无形资产自身存在市场，无形 资产将在内部使用的，能够证明其有用性；</w:t>
      </w:r>
    </w:p>
    <w:p>
      <w:pPr>
        <w:pStyle w:val="BodyText"/>
        <w:spacing w:line="360" w:lineRule="auto" w:before="56"/>
        <w:ind w:left="514" w:right="1842"/>
        <w:jc w:val="left"/>
      </w:pP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 无法区分研究阶段支出和开发阶段支出的，将发生的研发支出全部计入当期损益。</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19、长期资产减值" w:id="201"/>
      <w:bookmarkEnd w:id="201"/>
      <w:r>
        <w:rPr>
          <w:b w:val="0"/>
          <w:bCs w:val="0"/>
        </w:rPr>
      </w:r>
      <w:r>
        <w:rPr>
          <w:rFonts w:ascii="宋体" w:hAnsi="宋体" w:cs="宋体" w:eastAsia="宋体" w:hint="default"/>
        </w:rPr>
        <w:t>19</w:t>
      </w:r>
      <w:r>
        <w:rPr/>
        <w:t>、长期资产减值</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1" w:right="0"/>
        <w:jc w:val="left"/>
      </w:pPr>
      <w:r>
        <w:rPr/>
        <w:t>当存在下列迹象的，表明资产可能发生了减值：</w:t>
      </w:r>
    </w:p>
    <w:p>
      <w:pPr>
        <w:pStyle w:val="BodyText"/>
        <w:spacing w:line="240" w:lineRule="auto" w:before="116"/>
        <w:ind w:left="511" w:right="0"/>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19" w:lineRule="auto" w:before="116"/>
        <w:ind w:right="1125" w:firstLine="357"/>
        <w:jc w:val="left"/>
      </w:pPr>
      <w:r>
        <w:rPr/>
        <w:t>（</w:t>
      </w:r>
      <w:r>
        <w:rPr>
          <w:rFonts w:ascii="宋体" w:hAnsi="宋体" w:cs="宋体" w:eastAsia="宋体" w:hint="default"/>
        </w:rPr>
        <w:t>2</w:t>
      </w:r>
      <w:r>
        <w:rPr/>
        <w:t>）本公司经营所处的经济、技术或法律等环境以及资产所处的市场在当期或将在近期发生重大变化，从而对本公司 产生不利影响。</w:t>
      </w:r>
    </w:p>
    <w:p>
      <w:pPr>
        <w:pStyle w:val="BodyText"/>
        <w:spacing w:line="319" w:lineRule="auto" w:before="55"/>
        <w:ind w:right="0" w:firstLine="357"/>
        <w:jc w:val="left"/>
      </w:pPr>
      <w:r>
        <w:rPr>
          <w:spacing w:val="-4"/>
        </w:rPr>
        <w:t>（</w:t>
      </w:r>
      <w:r>
        <w:rPr>
          <w:rFonts w:ascii="宋体" w:hAnsi="宋体" w:cs="宋体" w:eastAsia="宋体" w:hint="default"/>
          <w:spacing w:val="-4"/>
        </w:rPr>
        <w:t>3</w:t>
      </w:r>
      <w:r>
        <w:rPr>
          <w:spacing w:val="-4"/>
        </w:rPr>
        <w:t>）市场利率或者其他市场投资回报率在当期已经提高，从而影响企业用来计算资产预计未来现金流量现值的折现率，</w:t>
      </w:r>
      <w:r>
        <w:rPr/>
        <w:t> 导致资产可收回金额大幅度降低。</w:t>
      </w:r>
    </w:p>
    <w:p>
      <w:pPr>
        <w:pStyle w:val="BodyText"/>
        <w:spacing w:line="240" w:lineRule="auto" w:before="56"/>
        <w:ind w:left="511" w:right="0"/>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117"/>
        <w:ind w:left="511" w:right="0"/>
        <w:jc w:val="left"/>
      </w:pPr>
      <w:r>
        <w:rPr/>
        <w:t>（</w:t>
      </w:r>
      <w:r>
        <w:rPr>
          <w:rFonts w:ascii="宋体" w:hAnsi="宋体" w:cs="宋体" w:eastAsia="宋体" w:hint="default"/>
        </w:rPr>
        <w:t>5</w:t>
      </w:r>
      <w:r>
        <w:rPr/>
        <w:t>）资产已经或者将被闲置、终止使用或者计划提前处置。</w:t>
      </w:r>
    </w:p>
    <w:p>
      <w:pPr>
        <w:pStyle w:val="BodyText"/>
        <w:spacing w:line="319" w:lineRule="auto" w:before="115"/>
        <w:ind w:right="1125" w:firstLine="357"/>
        <w:jc w:val="left"/>
      </w:pPr>
      <w:r>
        <w:rPr/>
        <w:t>（</w:t>
      </w:r>
      <w:r>
        <w:rPr>
          <w:rFonts w:ascii="宋体" w:hAnsi="宋体" w:cs="宋体" w:eastAsia="宋体" w:hint="default"/>
        </w:rPr>
        <w:t>6</w:t>
      </w:r>
      <w:r>
        <w:rPr/>
        <w:t>）本公司内部报告的证据表明资产的经济绩效已经低于或者将低于预期，如资产所创造的净现金流量或者实现的营 业利润（或者损失）远远低于预计金额等。</w:t>
      </w:r>
    </w:p>
    <w:p>
      <w:pPr>
        <w:pStyle w:val="BodyText"/>
        <w:spacing w:line="357" w:lineRule="auto" w:before="56"/>
        <w:ind w:left="511" w:right="0"/>
        <w:jc w:val="left"/>
      </w:pPr>
      <w:r>
        <w:rPr/>
        <w:t>（</w:t>
      </w:r>
      <w:r>
        <w:rPr>
          <w:rFonts w:ascii="宋体" w:hAnsi="宋体" w:cs="宋体" w:eastAsia="宋体" w:hint="default"/>
        </w:rPr>
        <w:t>7</w:t>
      </w:r>
      <w:r>
        <w:rPr/>
        <w:t>）其他表明资产可能已经发生减值的迹象。 </w:t>
      </w:r>
      <w:r>
        <w:rPr>
          <w:spacing w:val="-2"/>
        </w:rPr>
        <w:t>本公司在资产负债表日对长期股权投资、固定资产、工程物资、在建工程、无形资产（使用寿命不确定的除外）等适用</w:t>
      </w:r>
    </w:p>
    <w:p>
      <w:pPr>
        <w:pStyle w:val="BodyText"/>
        <w:spacing w:line="224" w:lineRule="exact"/>
        <w:ind w:right="0"/>
        <w:jc w:val="both"/>
      </w:pPr>
      <w:r>
        <w:rPr/>
        <w:t>《企业会计准则第</w:t>
      </w:r>
      <w:r>
        <w:rPr>
          <w:rFonts w:ascii="宋体" w:hAnsi="宋体" w:cs="宋体" w:eastAsia="宋体" w:hint="default"/>
        </w:rPr>
        <w:t>8</w:t>
      </w:r>
      <w:r>
        <w:rPr/>
        <w:t>号——资产减值》的各项资产进行判断，当存在减值迹象时对其进行减值测试</w:t>
      </w:r>
      <w:r>
        <w:rPr>
          <w:rFonts w:ascii="宋体" w:hAnsi="宋体" w:cs="宋体" w:eastAsia="宋体" w:hint="default"/>
        </w:rPr>
        <w:t>-</w:t>
      </w:r>
      <w:r>
        <w:rPr/>
        <w:t>估计其可收回金额。可收</w:t>
      </w:r>
    </w:p>
    <w:p>
      <w:pPr>
        <w:pStyle w:val="BodyText"/>
        <w:spacing w:line="319" w:lineRule="auto" w:before="76"/>
        <w:ind w:right="1131"/>
        <w:jc w:val="both"/>
      </w:pPr>
      <w:r>
        <w:rPr>
          <w:spacing w:val="-2"/>
        </w:rPr>
        <w:t>回金额以资产的公允价值减去处置费用后的净额与资产预计未来现金流量的现值两者之间较高者确定。资产的可收回金额低</w:t>
      </w:r>
      <w:r>
        <w:rPr>
          <w:spacing w:val="-64"/>
        </w:rPr>
        <w:t> </w:t>
      </w:r>
      <w:r>
        <w:rPr>
          <w:spacing w:val="-64"/>
        </w:rPr>
      </w:r>
      <w:r>
        <w:rPr>
          <w:spacing w:val="-2"/>
        </w:rPr>
        <w:t>于其账面价值的，将资产的账面价值减记至可收回金额，减记的金额确认为资产减值损失，计入当期损益，同时计提相应的</w:t>
      </w:r>
      <w:r>
        <w:rPr>
          <w:spacing w:val="-66"/>
        </w:rPr>
        <w:t> </w:t>
      </w:r>
      <w:r>
        <w:rPr>
          <w:spacing w:val="-66"/>
        </w:rPr>
      </w:r>
      <w:r>
        <w:rPr/>
        <w:t>资产减值准备。</w:t>
      </w:r>
    </w:p>
    <w:p>
      <w:pPr>
        <w:pStyle w:val="BodyText"/>
        <w:spacing w:line="319" w:lineRule="auto" w:before="55"/>
        <w:ind w:right="0" w:firstLine="357"/>
        <w:jc w:val="left"/>
      </w:pPr>
      <w:r>
        <w:rPr>
          <w:spacing w:val="-2"/>
        </w:rPr>
        <w:t>有迹象表明一项资产可能发生减值的，本公司通常以单项资产为基础估计其可收回金额。当难以对单项资产的可收回金</w:t>
      </w:r>
      <w:r>
        <w:rPr/>
        <w:t> 额进行估计的，以该资产所属的资产组为基础确定资产组的可收回金额。</w:t>
      </w:r>
    </w:p>
    <w:p>
      <w:pPr>
        <w:pStyle w:val="BodyText"/>
        <w:spacing w:line="319" w:lineRule="auto" w:before="55"/>
        <w:ind w:right="0" w:firstLine="357"/>
        <w:jc w:val="left"/>
      </w:pPr>
      <w:r>
        <w:rPr>
          <w:spacing w:val="-2"/>
        </w:rPr>
        <w:t>资产组是本公司可以认定的最小资产组合，其产生的现金流入基本上独立于其他资产或者资产组。资产组由创造现金流</w:t>
      </w:r>
      <w:r>
        <w:rPr/>
        <w:t> 入相关的资产组成。资产组的认定，以资产组产生的主要现金流入是否独立于其他资产或者资产组的现金流入为依据。</w:t>
      </w:r>
    </w:p>
    <w:p>
      <w:pPr>
        <w:pStyle w:val="BodyText"/>
        <w:spacing w:line="240" w:lineRule="auto" w:before="56"/>
        <w:ind w:left="511" w:right="0"/>
        <w:jc w:val="left"/>
      </w:pPr>
      <w:r>
        <w:rPr/>
        <w:t>本公司对因企业合并所形成的商誉和使用寿命不确定的无形资产，无论是否存在减值迹象，每年都进行减值测试。商誉</w:t>
      </w:r>
    </w:p>
    <w:p>
      <w:pPr>
        <w:spacing w:after="0" w:line="240" w:lineRule="auto"/>
        <w:jc w:val="left"/>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1" w:right="6253" w:hanging="358"/>
        <w:jc w:val="left"/>
      </w:pPr>
      <w:r>
        <w:rPr/>
        <w:t>的减值测试结合与其相关的资产组或者资产组组合进行。 资产减值损失一经确认，在以后会计期间不予转回。</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0、长期待摊费用" w:id="202"/>
      <w:bookmarkEnd w:id="202"/>
      <w:r>
        <w:rPr>
          <w:b w:val="0"/>
          <w:bCs w:val="0"/>
        </w:rPr>
      </w:r>
      <w:r>
        <w:rPr>
          <w:rFonts w:ascii="宋体" w:hAnsi="宋体" w:cs="宋体" w:eastAsia="宋体" w:hint="default"/>
        </w:rPr>
        <w:t>20</w:t>
      </w:r>
      <w:r>
        <w:rPr/>
        <w:t>、长期待摊费用</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1212" w:firstLine="360"/>
        <w:jc w:val="left"/>
      </w:pPr>
      <w:r>
        <w:rPr/>
        <w:t>本公司将已经发生的但应由本年和以后各期负担的摊销期限在一年以上的经营租赁方式租入的固定资产改良支出等各 项费用确认为长期待摊费用，并按项目受益期采用直线法平均摊销。</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1、职工薪酬" w:id="203"/>
      <w:bookmarkEnd w:id="203"/>
      <w:r>
        <w:rPr>
          <w:b w:val="0"/>
          <w:bCs w:val="0"/>
        </w:rPr>
      </w:r>
      <w:r>
        <w:rPr>
          <w:rFonts w:ascii="宋体" w:hAnsi="宋体" w:cs="宋体" w:eastAsia="宋体" w:hint="default"/>
        </w:rPr>
        <w:t>21</w:t>
      </w:r>
      <w:r>
        <w:rPr/>
        <w:t>、职工薪酬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短期薪酬的会计处理方法" w:id="204"/>
      <w:bookmarkEnd w:id="204"/>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spacing w:val="-4"/>
        </w:rPr>
        <w:t>职工薪酬，是指本公司为获得职工提供的服务或解除劳动关系而给予的各种形式的报酬或补偿。职工薪酬包括短期薪酬、</w:t>
      </w:r>
      <w:r>
        <w:rPr/>
        <w:t> </w:t>
      </w:r>
      <w:r>
        <w:rPr>
          <w:spacing w:val="-2"/>
        </w:rPr>
        <w:t>离职后福利、辞退福利和其他长期职工福利。本公司提供给职工配偶、子女、受赡养人、已故员工遗属及其他受益人等的福</w:t>
      </w:r>
      <w:r>
        <w:rPr>
          <w:spacing w:val="-66"/>
        </w:rPr>
        <w:t> </w:t>
      </w:r>
      <w:r>
        <w:rPr>
          <w:spacing w:val="-66"/>
        </w:rPr>
      </w:r>
      <w:r>
        <w:rPr>
          <w:spacing w:val="-2"/>
        </w:rPr>
        <w:t>利，也属于职工薪酬。本公司在职工为其提供服务的会计期间，将实际发生的短期薪酬确认为负债，并计入当期损益，其他</w:t>
      </w:r>
      <w:r>
        <w:rPr>
          <w:spacing w:val="-65"/>
        </w:rPr>
        <w:t> </w:t>
      </w:r>
      <w:r>
        <w:rPr>
          <w:spacing w:val="-65"/>
        </w:rPr>
      </w:r>
      <w:r>
        <w:rPr/>
        <w:t>会计准则要求或允许计入资产成本的除外。</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5"/>
      <w:bookmarkEnd w:id="205"/>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本公司将离职后福利计划分类为设定提存计划和设定受益计划。离职后福利计划，是指本公司与职工就离职后福利达成</w:t>
      </w:r>
      <w:r>
        <w:rPr/>
        <w:t> </w:t>
      </w:r>
      <w:r>
        <w:rPr>
          <w:spacing w:val="-2"/>
        </w:rPr>
        <w:t>的协议，或者本公司为向职工提供离职后福利制定的规章或办法等。其中，设定提存计划，是指向独立的基金缴存固定费用</w:t>
      </w:r>
      <w:r>
        <w:rPr>
          <w:spacing w:val="-66"/>
        </w:rPr>
        <w:t> </w:t>
      </w:r>
      <w:r>
        <w:rPr>
          <w:spacing w:val="-66"/>
        </w:rPr>
      </w:r>
      <w:r>
        <w:rPr/>
        <w:t>后，本公司不再承担进一步支付义务的离职后福利计划；设定受益计划，是指除设定提存计划以外的离职后福利计划。</w:t>
      </w:r>
    </w:p>
    <w:p>
      <w:pPr>
        <w:pStyle w:val="BodyText"/>
        <w:spacing w:line="357" w:lineRule="auto" w:before="57"/>
        <w:ind w:left="514" w:right="0"/>
        <w:jc w:val="left"/>
      </w:pPr>
      <w:r>
        <w:rPr>
          <w:rFonts w:ascii="宋体" w:hAnsi="宋体" w:cs="宋体" w:eastAsia="宋体" w:hint="default"/>
        </w:rPr>
        <w:t>A</w:t>
      </w:r>
      <w:r>
        <w:rPr/>
        <w:t>、设定提存计划 </w:t>
      </w:r>
      <w:r>
        <w:rPr>
          <w:spacing w:val="-2"/>
        </w:rPr>
        <w:t>本公司在职工为其提供服务的会计期间，将根据设定提存计划计算的应缴存金额确认为负债，并计入当期损益或相关资</w:t>
      </w:r>
    </w:p>
    <w:p>
      <w:pPr>
        <w:pStyle w:val="BodyText"/>
        <w:spacing w:line="225" w:lineRule="exact"/>
        <w:ind w:right="0"/>
        <w:jc w:val="left"/>
      </w:pPr>
      <w:r>
        <w:rPr/>
        <w:t>产成本。</w:t>
      </w:r>
    </w:p>
    <w:p>
      <w:pPr>
        <w:pStyle w:val="BodyText"/>
        <w:spacing w:line="357" w:lineRule="auto" w:before="117"/>
        <w:ind w:left="514" w:right="4272"/>
        <w:jc w:val="left"/>
      </w:pPr>
      <w:r>
        <w:rPr>
          <w:rFonts w:ascii="宋体" w:hAnsi="宋体" w:cs="宋体" w:eastAsia="宋体" w:hint="default"/>
        </w:rPr>
        <w:t>B</w:t>
      </w:r>
      <w:r>
        <w:rPr/>
        <w:t>、设定受益计划 本公司尚未运作设定受益计划或符合设定受益计划条件的其他长期职工福利。</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辞退福利的会计处理方法" w:id="206"/>
      <w:bookmarkEnd w:id="206"/>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t>本公司向职工提供辞退福利的，在下列两者孰早日确认辞退福利产生的职工薪酬负债，并计入当期损益：本公司不能单 </w:t>
      </w:r>
      <w:r>
        <w:rPr>
          <w:spacing w:val="-2"/>
        </w:rPr>
        <w:t>方面撤回因解除劳动关系计划或裁减建议所提供的辞退福利时；本公司确认与涉及支付辞退福利的重组相关的成本或费用时。</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7"/>
      <w:bookmarkEnd w:id="207"/>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spacing w:val="-2"/>
        </w:rPr>
        <w:t>本公司向职工提供的其他长期职工福利，符合设定提存计划条件的，按照上述设定提存计划的会计政策进行处理；除此</w:t>
      </w:r>
      <w:r>
        <w:rPr/>
        <w:t> 以外的，按照上述设定受益计划的会计政策确认和计量其他长期职工福利净负债或净资产。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2、预计负债" w:id="208"/>
      <w:bookmarkEnd w:id="208"/>
      <w:r>
        <w:rPr>
          <w:b w:val="0"/>
          <w:bCs w:val="0"/>
        </w:rPr>
      </w:r>
      <w:r>
        <w:rPr>
          <w:rFonts w:ascii="宋体" w:hAnsi="宋体" w:cs="宋体" w:eastAsia="宋体" w:hint="default"/>
        </w:rPr>
        <w:t>22</w:t>
      </w:r>
      <w:r>
        <w:rPr/>
        <w:t>、预计负债</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left="514" w:right="4452"/>
        <w:jc w:val="left"/>
      </w:pPr>
      <w:r>
        <w:rPr/>
        <w:t>（</w:t>
      </w:r>
      <w:r>
        <w:rPr>
          <w:rFonts w:ascii="宋体" w:hAnsi="宋体" w:cs="宋体" w:eastAsia="宋体" w:hint="default"/>
        </w:rPr>
        <w:t>1</w:t>
      </w:r>
      <w:r>
        <w:rPr/>
        <w:t>）预计负债的确认标准 本公司规定与或有事项相关的义务同时满足下列条件的，确认为预计负债：</w:t>
      </w:r>
    </w:p>
    <w:p>
      <w:pPr>
        <w:pStyle w:val="BodyText"/>
        <w:spacing w:line="240" w:lineRule="auto" w:before="26"/>
        <w:ind w:left="514" w:right="0"/>
        <w:jc w:val="left"/>
      </w:pPr>
      <w:r>
        <w:rPr/>
        <w:t>①该义务是企业承担的现时义务；</w:t>
      </w:r>
    </w:p>
    <w:p>
      <w:pPr>
        <w:pStyle w:val="BodyText"/>
        <w:spacing w:line="240" w:lineRule="auto" w:before="116"/>
        <w:ind w:left="514" w:right="0"/>
        <w:jc w:val="left"/>
      </w:pPr>
      <w:r>
        <w:rPr/>
        <w:t>②履行该义务很可能导致经济利益流出企业；</w:t>
      </w:r>
    </w:p>
    <w:p>
      <w:pPr>
        <w:spacing w:after="0" w:line="240" w:lineRule="auto"/>
        <w:jc w:val="left"/>
        <w:sectPr>
          <w:footerReference w:type="default" r:id="rId42"/>
          <w:pgSz w:w="11910" w:h="16840"/>
          <w:pgMar w:footer="1187" w:header="877" w:top="1100" w:bottom="1380" w:left="980" w:right="0"/>
          <w:pgNumType w:start="98"/>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③该义务的金额能够可靠地计量。</w:t>
      </w:r>
    </w:p>
    <w:p>
      <w:pPr>
        <w:pStyle w:val="BodyText"/>
        <w:spacing w:line="357" w:lineRule="auto" w:before="116"/>
        <w:ind w:left="514" w:right="0"/>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预计负债按照履行相关现时义务所需支出的最佳估计数进行初始计量。所需支出存在一个连续范围，且该范围内各种结</w:t>
      </w:r>
    </w:p>
    <w:p>
      <w:pPr>
        <w:pStyle w:val="BodyText"/>
        <w:spacing w:line="225" w:lineRule="exact"/>
        <w:ind w:right="0"/>
        <w:jc w:val="left"/>
      </w:pPr>
      <w:r>
        <w:rPr/>
        <w:t>果发生的可能性相同的，最佳估计数按照该范围内的中间值确定。在其他情况下，最佳估计数分别下列情况处理：</w:t>
      </w:r>
    </w:p>
    <w:p>
      <w:pPr>
        <w:pStyle w:val="BodyText"/>
        <w:spacing w:line="240" w:lineRule="auto" w:before="116"/>
        <w:ind w:left="514" w:right="0"/>
        <w:jc w:val="left"/>
      </w:pPr>
      <w:r>
        <w:rPr/>
        <w:t>①或有事项涉及单个项目的，按照最可能发生金额确定。</w:t>
      </w:r>
    </w:p>
    <w:p>
      <w:pPr>
        <w:pStyle w:val="BodyText"/>
        <w:spacing w:line="357" w:lineRule="auto" w:before="116"/>
        <w:ind w:left="514" w:right="1032"/>
        <w:jc w:val="left"/>
      </w:pPr>
      <w:r>
        <w:rPr/>
        <w:t>②或有事项涉及多个项目的，按照各种可能结果及相关概率计算确定。 在确定最佳估计数时，综合考虑与或有事项有关的风险、不确定性和货币时间价值等因素。货币时间价值影响重大的，</w:t>
      </w:r>
    </w:p>
    <w:p>
      <w:pPr>
        <w:pStyle w:val="BodyText"/>
        <w:spacing w:line="357" w:lineRule="auto"/>
        <w:ind w:left="514" w:right="0" w:hanging="360"/>
        <w:jc w:val="left"/>
      </w:pPr>
      <w:r>
        <w:rPr/>
        <w:t>通过对相关未来现金流出进行折现后确定最佳估计数。 </w:t>
      </w:r>
      <w:r>
        <w:rPr>
          <w:spacing w:val="-2"/>
        </w:rPr>
        <w:t>本公司清偿预计负债所需支出全部或部分预期由第三方补偿的，补偿金额只有在基本确定能够收到时才能作为资产单独</w:t>
      </w:r>
    </w:p>
    <w:p>
      <w:pPr>
        <w:pStyle w:val="BodyText"/>
        <w:spacing w:line="357" w:lineRule="auto"/>
        <w:ind w:left="514" w:right="1032" w:hanging="360"/>
        <w:jc w:val="left"/>
      </w:pPr>
      <w:r>
        <w:rPr/>
        <w:t>确认。确认的补偿金额不超过预计负债的账面价值。 本公司在资产负债表日对预计负债的账面价值进行复核。有确凿证据表明该账面价值不能真实反映当前最佳估计数的，</w:t>
      </w:r>
    </w:p>
    <w:p>
      <w:pPr>
        <w:pStyle w:val="BodyText"/>
        <w:spacing w:line="225" w:lineRule="exact"/>
        <w:ind w:right="0"/>
        <w:jc w:val="left"/>
      </w:pPr>
      <w:r>
        <w:rPr/>
        <w:t>按照当前最佳估计数对该账面价值进行调整。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股份支付" w:id="209"/>
      <w:bookmarkEnd w:id="209"/>
      <w:r>
        <w:rPr>
          <w:b w:val="0"/>
          <w:bCs w:val="0"/>
        </w:rPr>
      </w:r>
      <w:r>
        <w:rPr>
          <w:rFonts w:ascii="宋体" w:hAnsi="宋体" w:cs="宋体" w:eastAsia="宋体" w:hint="default"/>
        </w:rPr>
        <w:t>23</w:t>
      </w:r>
      <w:r>
        <w:rPr/>
        <w:t>、股份支付</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0" w:firstLine="360"/>
        <w:jc w:val="left"/>
      </w:pPr>
      <w:r>
        <w:rPr>
          <w:spacing w:val="-2"/>
        </w:rPr>
        <w:t>本公司股份支付的确认和计量，以真实、完整、有效的股份支付协议为基础。具体分为以权益结算的股份支付和以现金</w:t>
      </w:r>
      <w:r>
        <w:rPr/>
        <w:t> 结算的股份支付。</w:t>
      </w:r>
    </w:p>
    <w:p>
      <w:pPr>
        <w:pStyle w:val="BodyText"/>
        <w:spacing w:line="357" w:lineRule="auto" w:before="58"/>
        <w:ind w:left="514" w:right="0"/>
        <w:jc w:val="left"/>
      </w:pPr>
      <w:r>
        <w:rPr/>
        <w:t>（</w:t>
      </w:r>
      <w:r>
        <w:rPr>
          <w:rFonts w:ascii="宋体" w:hAnsi="宋体" w:cs="宋体" w:eastAsia="宋体" w:hint="default"/>
        </w:rPr>
        <w:t>1</w:t>
      </w:r>
      <w:r>
        <w:rPr/>
        <w:t>）以权益工具结算的股份支付 </w:t>
      </w:r>
      <w:r>
        <w:rPr>
          <w:spacing w:val="-2"/>
        </w:rPr>
        <w:t>以权益结算的股份支付换取职工提供服务的，以授予职工权益工具的公允价值计量。授予后立即可行权的换取职工服务</w:t>
      </w:r>
    </w:p>
    <w:p>
      <w:pPr>
        <w:pStyle w:val="BodyText"/>
        <w:spacing w:line="224" w:lineRule="exact"/>
        <w:ind w:right="0"/>
        <w:jc w:val="left"/>
      </w:pPr>
      <w:r>
        <w:rPr/>
        <w:t>的以权益结算的股份支付，在授予日按照权益工具的公允价值计入相关成本或费用，相应增加资本公积。完成等待期内的服</w:t>
      </w:r>
    </w:p>
    <w:p>
      <w:pPr>
        <w:pStyle w:val="BodyText"/>
        <w:spacing w:line="338" w:lineRule="auto" w:before="76"/>
        <w:ind w:right="0"/>
        <w:jc w:val="left"/>
      </w:pPr>
      <w:r>
        <w:rPr>
          <w:spacing w:val="-2"/>
        </w:rPr>
        <w:t>务或达到规定业绩条件才可行权的换取职工服务的以权益结算的股份支付，在等待期内的每个资产负债表日，以对可行权权</w:t>
      </w:r>
      <w:r>
        <w:rPr>
          <w:spacing w:val="-64"/>
        </w:rPr>
        <w:t> </w:t>
      </w:r>
      <w:r>
        <w:rPr>
          <w:spacing w:val="-64"/>
        </w:rPr>
      </w:r>
      <w:r>
        <w:rPr/>
        <w:t>益工具数量的最佳估计为基础，按照权益工具授予日的公允价值，将当期取得的服务计入相关成本或费用和资本公积。 权益工具的公允价值的确定：</w:t>
      </w:r>
    </w:p>
    <w:p>
      <w:pPr>
        <w:pStyle w:val="BodyText"/>
        <w:spacing w:line="319" w:lineRule="auto" w:before="42"/>
        <w:ind w:right="0" w:firstLine="360"/>
        <w:jc w:val="left"/>
      </w:pPr>
      <w:r>
        <w:rPr>
          <w:spacing w:val="-2"/>
        </w:rPr>
        <w:t>①对于授予职工的股份，其公允价值按本公司股份的市场价格计量，同时考虑授予股份所依据的条款和条件（不包括市</w:t>
      </w:r>
      <w:r>
        <w:rPr/>
        <w:t> 场条件之外的可行权条件）进行调整。</w:t>
      </w:r>
    </w:p>
    <w:p>
      <w:pPr>
        <w:pStyle w:val="BodyText"/>
        <w:spacing w:line="319" w:lineRule="auto" w:before="55"/>
        <w:ind w:right="0" w:firstLine="360"/>
        <w:jc w:val="left"/>
      </w:pPr>
      <w:r>
        <w:rPr>
          <w:spacing w:val="-2"/>
        </w:rPr>
        <w:t>②对于授予职工的股票期权等权益工具，如果不存在条款和条件相似的交易期权等权益工具，通过估计所授予的权益工</w:t>
      </w:r>
      <w:r>
        <w:rPr/>
        <w:t> 具的公允价值。</w:t>
      </w:r>
    </w:p>
    <w:p>
      <w:pPr>
        <w:pStyle w:val="BodyText"/>
        <w:spacing w:line="319" w:lineRule="auto" w:before="55"/>
        <w:ind w:right="0" w:firstLine="360"/>
        <w:jc w:val="left"/>
      </w:pPr>
      <w:r>
        <w:rPr>
          <w:spacing w:val="-2"/>
        </w:rPr>
        <w:t>本公司在确定权益工具授予日的公允价值时，考虑股份支付协议规定的可行权条件中的市场条件和非可行权条件的影响。</w:t>
      </w:r>
      <w:r>
        <w:rPr/>
        <w:t> 股份支付存在非可行权条件的，只要职工或其他方满足了所有可行权条件中的非市场条件（如服务期限等），本公司确认已 得到服务相对应的成本费用。</w:t>
      </w:r>
    </w:p>
    <w:p>
      <w:pPr>
        <w:pStyle w:val="BodyText"/>
        <w:spacing w:line="319" w:lineRule="auto" w:before="56"/>
        <w:ind w:right="1130" w:firstLine="360"/>
        <w:jc w:val="both"/>
      </w:pPr>
      <w:r>
        <w:rPr>
          <w:spacing w:val="-2"/>
        </w:rPr>
        <w:t>本公司授予职工限制性股票而实施股权激励计划。于限制性股票发行日确认权益工具增加的同时，按照发行限制性股票</w:t>
      </w:r>
      <w:r>
        <w:rPr/>
        <w:t> </w:t>
      </w:r>
      <w:r>
        <w:rPr>
          <w:spacing w:val="-2"/>
        </w:rPr>
        <w:t>的数量以及相应的回购价格计算确认的金额确认库存股与回购义务负债，并按照《企业会计准则第</w:t>
      </w:r>
      <w:r>
        <w:rPr>
          <w:rFonts w:ascii="宋体" w:hAnsi="宋体" w:cs="宋体" w:eastAsia="宋体" w:hint="default"/>
          <w:spacing w:val="-2"/>
        </w:rPr>
        <w:t>22</w:t>
      </w:r>
      <w:r>
        <w:rPr>
          <w:spacing w:val="-2"/>
        </w:rPr>
        <w:t>号——金融工具确认和</w:t>
      </w:r>
      <w:r>
        <w:rPr>
          <w:spacing w:val="-62"/>
        </w:rPr>
        <w:t> </w:t>
      </w:r>
      <w:r>
        <w:rPr/>
        <w:t>计量》的相关规定对回购义务负债进行后续计量。</w:t>
      </w:r>
    </w:p>
    <w:p>
      <w:pPr>
        <w:pStyle w:val="BodyText"/>
        <w:spacing w:line="357" w:lineRule="auto" w:before="56"/>
        <w:ind w:left="514" w:right="0"/>
        <w:jc w:val="left"/>
      </w:pPr>
      <w:r>
        <w:rPr/>
        <w:t>（</w:t>
      </w:r>
      <w:r>
        <w:rPr>
          <w:rFonts w:ascii="宋体" w:hAnsi="宋体" w:cs="宋体" w:eastAsia="宋体" w:hint="default"/>
        </w:rPr>
        <w:t>2</w:t>
      </w:r>
      <w:r>
        <w:rPr/>
        <w:t>）以现金结算的股份支付 </w:t>
      </w:r>
      <w:r>
        <w:rPr>
          <w:spacing w:val="-2"/>
        </w:rPr>
        <w:t>以现金结算的股份支付，按照本公司承担的以股份或其他权益工具为基础计算确定的负债的公允价值计量。授予后立即</w:t>
      </w:r>
    </w:p>
    <w:p>
      <w:pPr>
        <w:pStyle w:val="BodyText"/>
        <w:spacing w:line="224" w:lineRule="exact"/>
        <w:ind w:right="0"/>
        <w:jc w:val="left"/>
      </w:pPr>
      <w:r>
        <w:rPr/>
        <w:t>可行权的以现金结算的股份支付，在授予日以本公司承担负债的公允价值计入相关成本或费用，相应增加负债。完成等待期</w:t>
      </w:r>
    </w:p>
    <w:p>
      <w:pPr>
        <w:pStyle w:val="BodyText"/>
        <w:spacing w:line="319" w:lineRule="auto" w:before="76"/>
        <w:ind w:right="0"/>
        <w:jc w:val="left"/>
      </w:pPr>
      <w:r>
        <w:rPr>
          <w:spacing w:val="-2"/>
        </w:rPr>
        <w:t>内的服务或达到规定业绩条件才可行权的换取职工服务的以现金结算的股份支付，在等待期内的每个资产负债表日，以对可</w:t>
      </w:r>
      <w:r>
        <w:rPr>
          <w:spacing w:val="-64"/>
        </w:rPr>
        <w:t> </w:t>
      </w:r>
      <w:r>
        <w:rPr>
          <w:spacing w:val="-64"/>
        </w:rPr>
      </w:r>
      <w:r>
        <w:rPr/>
        <w:t>行权情况的最佳估计为基础，按本公司承担负债的公允价值金额，将当期取得的服务计入成本或费用和相应的负债。</w:t>
      </w:r>
    </w:p>
    <w:p>
      <w:pPr>
        <w:pStyle w:val="BodyText"/>
        <w:spacing w:line="319" w:lineRule="auto" w:before="57"/>
        <w:ind w:right="1122" w:firstLine="360"/>
        <w:jc w:val="left"/>
      </w:pPr>
      <w:r>
        <w:rPr/>
        <w:t>（</w:t>
      </w:r>
      <w:r>
        <w:rPr>
          <w:rFonts w:ascii="宋体" w:hAnsi="宋体" w:cs="宋体" w:eastAsia="宋体" w:hint="default"/>
        </w:rPr>
        <w:t>3</w:t>
      </w:r>
      <w:r>
        <w:rPr/>
        <w:t>）确认可行权权益工具最佳估计的依据：在等待期内每个资产负债表日，本公司根据最新取得的可行权职工人数变 动等后续信息作出最佳估计，修正预计可行权的权益工具数量，以作出可行权权益工具的最佳估计。</w:t>
      </w:r>
    </w:p>
    <w:p>
      <w:pPr>
        <w:pStyle w:val="BodyText"/>
        <w:spacing w:line="357" w:lineRule="auto" w:before="56"/>
        <w:ind w:left="514" w:right="0"/>
        <w:jc w:val="left"/>
      </w:pPr>
      <w:r>
        <w:rPr/>
        <w:t>（</w:t>
      </w:r>
      <w:r>
        <w:rPr>
          <w:rFonts w:ascii="宋体" w:hAnsi="宋体" w:cs="宋体" w:eastAsia="宋体" w:hint="default"/>
        </w:rPr>
        <w:t>4</w:t>
      </w:r>
      <w:r>
        <w:rPr/>
        <w:t>）修改、终止股份支付计划的相关会计处理 </w:t>
      </w:r>
      <w:r>
        <w:rPr>
          <w:spacing w:val="-2"/>
        </w:rPr>
        <w:t>如果修改增加了所授予的权益工具的公允价值，本公司按照权益工具公允价值的增加相应地确认取得服务的增加；如果</w:t>
      </w:r>
    </w:p>
    <w:p>
      <w:pPr>
        <w:spacing w:after="0" w:line="357" w:lineRule="auto"/>
        <w:jc w:val="left"/>
        <w:sectPr>
          <w:footerReference w:type="default" r:id="rId43"/>
          <w:pgSz w:w="11910" w:h="16840"/>
          <w:pgMar w:footer="1187" w:header="877" w:top="1100" w:bottom="1380" w:left="980" w:right="0"/>
          <w:pgNumType w:start="99"/>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修改增加了所授予的权益工具的数量，本公司将增加的权益工具的公允价值相应地确认为取得服务的增加；如果本公司按照</w:t>
      </w:r>
      <w:r>
        <w:rPr>
          <w:spacing w:val="-64"/>
        </w:rPr>
        <w:t> </w:t>
      </w:r>
      <w:r>
        <w:rPr>
          <w:spacing w:val="-64"/>
        </w:rPr>
      </w:r>
      <w:r>
        <w:rPr/>
        <w:t>有利于职工的方式修改可行权条件，本公司在处理可行权条件时，考虑修改后的可行权条件。</w:t>
      </w:r>
    </w:p>
    <w:p>
      <w:pPr>
        <w:pStyle w:val="BodyText"/>
        <w:spacing w:line="319" w:lineRule="auto" w:before="55"/>
        <w:ind w:right="0" w:firstLine="360"/>
        <w:jc w:val="left"/>
      </w:pPr>
      <w:r>
        <w:rPr>
          <w:spacing w:val="-4"/>
        </w:rPr>
        <w:t>如果修改减少了授予的权益工具的公允价值，本公司继续以权益工具在授予日的公允价值为基础，确认取得服务的金额，</w:t>
      </w:r>
      <w:r>
        <w:rPr/>
        <w:t> </w:t>
      </w:r>
      <w:r>
        <w:rPr>
          <w:spacing w:val="-2"/>
        </w:rPr>
        <w:t>而不考虑权益工具公允价值的减少；如果修改减少了授予的权益工具的数量，本公司将减少部分作为已授予的权益工具的取</w:t>
      </w:r>
      <w:r>
        <w:rPr>
          <w:spacing w:val="-64"/>
        </w:rPr>
        <w:t> </w:t>
      </w:r>
      <w:r>
        <w:rPr>
          <w:spacing w:val="-64"/>
        </w:rPr>
      </w:r>
      <w:r>
        <w:rPr/>
        <w:t>消来进行处理；如果以不利于职工的方式修改了可行权条件，在处理可行权条件时，不考虑修改后的可行权条件。</w:t>
      </w:r>
    </w:p>
    <w:p>
      <w:pPr>
        <w:pStyle w:val="BodyText"/>
        <w:spacing w:line="319" w:lineRule="auto" w:before="56"/>
        <w:ind w:right="1032" w:firstLine="360"/>
        <w:jc w:val="left"/>
      </w:pPr>
      <w:r>
        <w:rPr/>
        <w:t>如果本公司在等待期内取消了所授予的权益工具或结算了所授予的权益工具（因未满足可行权条件而被取消的除外）， 则将取消或结算作为加速可行权处理，立即确认原本在剩余等待期内确认的金额。</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4、收入" w:id="210"/>
      <w:bookmarkEnd w:id="210"/>
      <w:r>
        <w:rPr>
          <w:b w:val="0"/>
          <w:bCs w:val="0"/>
        </w:rPr>
      </w:r>
      <w:r>
        <w:rPr>
          <w:rFonts w:ascii="宋体" w:hAnsi="宋体" w:cs="宋体" w:eastAsia="宋体" w:hint="default"/>
        </w:rPr>
        <w:t>24</w:t>
      </w:r>
      <w:r>
        <w:rPr/>
        <w:t>、收入</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7692" w:hanging="360"/>
        <w:jc w:val="left"/>
      </w:pPr>
      <w:r>
        <w:rPr/>
        <w:t>公司是否需要遵守特殊行业的披露要求 否</w:t>
      </w:r>
    </w:p>
    <w:p>
      <w:pPr>
        <w:pStyle w:val="BodyText"/>
        <w:spacing w:line="240" w:lineRule="auto" w:before="107"/>
        <w:ind w:left="514" w:right="0"/>
        <w:jc w:val="left"/>
      </w:pPr>
      <w:r>
        <w:rPr/>
        <w:t>本公司的收入包括商品收入、技术服务及开发收入、系统集成收入、让渡资产使用权收入。</w:t>
      </w:r>
    </w:p>
    <w:p>
      <w:pPr>
        <w:pStyle w:val="BodyText"/>
        <w:spacing w:line="357" w:lineRule="auto" w:before="117"/>
        <w:ind w:left="514" w:right="0"/>
        <w:jc w:val="left"/>
      </w:pPr>
      <w:r>
        <w:rPr/>
        <w:t>（</w:t>
      </w:r>
      <w:r>
        <w:rPr>
          <w:rFonts w:ascii="宋体" w:hAnsi="宋体" w:cs="宋体" w:eastAsia="宋体" w:hint="default"/>
        </w:rPr>
        <w:t>1</w:t>
      </w:r>
      <w:r>
        <w:rPr/>
        <w:t>）销售商品收入 </w:t>
      </w:r>
      <w:r>
        <w:rPr>
          <w:spacing w:val="-2"/>
        </w:rPr>
        <w:t>本公司在已将商品所有权上的主要风险和报酬转移给购货方，既没有保留通常与所有权相联系的继续管理权，也没有对</w:t>
      </w:r>
    </w:p>
    <w:p>
      <w:pPr>
        <w:pStyle w:val="BodyText"/>
        <w:spacing w:line="224" w:lineRule="exact"/>
        <w:ind w:right="0"/>
        <w:jc w:val="left"/>
      </w:pPr>
      <w:r>
        <w:rPr/>
        <w:t>已售出的商品实施有效控制，收入的金额、相关的已发生或将发生的成本能够可靠地计量，相关的经济利益很可能流入企业</w:t>
      </w:r>
    </w:p>
    <w:p>
      <w:pPr>
        <w:pStyle w:val="BodyText"/>
        <w:spacing w:line="357" w:lineRule="auto" w:before="77"/>
        <w:ind w:left="514" w:right="3372" w:hanging="360"/>
        <w:jc w:val="left"/>
      </w:pPr>
      <w:r>
        <w:rPr/>
        <w:t>时，确认销售商品收入。 公司销售的各类智能卡产品，在货物发给客户且收到客户签收回执后，即确认销售收入。</w:t>
      </w:r>
    </w:p>
    <w:p>
      <w:pPr>
        <w:pStyle w:val="BodyText"/>
        <w:spacing w:line="240" w:lineRule="auto" w:before="28"/>
        <w:ind w:left="514" w:right="0"/>
        <w:jc w:val="left"/>
      </w:pPr>
      <w:r>
        <w:rPr/>
        <w:t>（</w:t>
      </w:r>
      <w:r>
        <w:rPr>
          <w:rFonts w:ascii="宋体" w:hAnsi="宋体" w:cs="宋体" w:eastAsia="宋体" w:hint="default"/>
        </w:rPr>
        <w:t>2</w:t>
      </w:r>
      <w:r>
        <w:rPr/>
        <w:t>）技术服务及开发收入</w:t>
      </w:r>
    </w:p>
    <w:p>
      <w:pPr>
        <w:pStyle w:val="BodyText"/>
        <w:spacing w:line="357" w:lineRule="auto" w:before="117"/>
        <w:ind w:left="514" w:right="0"/>
        <w:jc w:val="left"/>
      </w:pPr>
      <w:r>
        <w:rPr/>
        <w:t>①技术服务收入 </w:t>
      </w:r>
      <w:r>
        <w:rPr>
          <w:spacing w:val="-2"/>
        </w:rPr>
        <w:t>技术服务收入指公司提供的与公司软件开发或者系统集成服务相关的系统维护、版本升级、技术支持、售后服务等有偿</w:t>
      </w:r>
    </w:p>
    <w:p>
      <w:pPr>
        <w:pStyle w:val="BodyText"/>
        <w:spacing w:line="224" w:lineRule="exact"/>
        <w:ind w:right="0"/>
        <w:jc w:val="left"/>
      </w:pPr>
      <w:r>
        <w:rPr/>
        <w:t>服务。在本公司已经提供服务，收到价款或取得收款的依据，且与提供服务相关的成本能够可靠地计量，相关的经济利益能</w:t>
      </w:r>
    </w:p>
    <w:p>
      <w:pPr>
        <w:pStyle w:val="BodyText"/>
        <w:spacing w:line="357" w:lineRule="auto" w:before="77"/>
        <w:ind w:left="514" w:right="1122" w:hanging="360"/>
        <w:jc w:val="left"/>
      </w:pPr>
      <w:r>
        <w:rPr/>
        <w:t>够流入时，确认技术服务收入。公司已经提供服务的判断依据为： </w:t>
      </w:r>
      <w:r>
        <w:rPr>
          <w:rFonts w:ascii="宋体" w:hAnsi="宋体" w:cs="宋体" w:eastAsia="宋体" w:hint="default"/>
        </w:rPr>
        <w:t>a</w:t>
      </w:r>
      <w:r>
        <w:rPr/>
        <w:t>、合同规定存在服务期的，按至资产负债表日期间占服务总期间的比例确认已提供的服务； </w:t>
      </w:r>
      <w:r>
        <w:rPr>
          <w:rFonts w:ascii="宋体" w:hAnsi="宋体" w:cs="宋体" w:eastAsia="宋体" w:hint="default"/>
        </w:rPr>
        <w:t>b</w:t>
      </w:r>
      <w:r>
        <w:rPr/>
        <w:t>、合同规定不存在服务期的，提供的服务在同一会计年度开始并完成的，服务视为一次提供；服务的开始和完成分属</w:t>
      </w:r>
    </w:p>
    <w:p>
      <w:pPr>
        <w:pStyle w:val="BodyText"/>
        <w:spacing w:line="224" w:lineRule="exact"/>
        <w:ind w:right="0"/>
        <w:jc w:val="left"/>
      </w:pPr>
      <w:r>
        <w:rPr/>
        <w:t>不同会计年度的，合同明确规定需要客户分阶段验收的，按验收进度确认收入；合同没有规定分阶段验收的，在项目完成并</w:t>
      </w:r>
    </w:p>
    <w:p>
      <w:pPr>
        <w:pStyle w:val="BodyText"/>
        <w:spacing w:line="240" w:lineRule="auto" w:before="77"/>
        <w:ind w:right="0"/>
        <w:jc w:val="left"/>
      </w:pPr>
      <w:r>
        <w:rPr/>
        <w:t>经验收后一次确认收入。</w:t>
      </w:r>
    </w:p>
    <w:p>
      <w:pPr>
        <w:pStyle w:val="BodyText"/>
        <w:spacing w:line="357" w:lineRule="auto" w:before="116"/>
        <w:ind w:left="514" w:right="0"/>
        <w:jc w:val="left"/>
      </w:pPr>
      <w:r>
        <w:rPr/>
        <w:t>②技术开发收入 </w:t>
      </w:r>
      <w:r>
        <w:rPr>
          <w:spacing w:val="-2"/>
        </w:rPr>
        <w:t>技术开发是指根据与客户签订的技术开发合同，对用户的需求进行充分调查和理解，并根据用户的实际需求进行专门的</w:t>
      </w:r>
    </w:p>
    <w:p>
      <w:pPr>
        <w:pStyle w:val="BodyText"/>
        <w:spacing w:line="224" w:lineRule="exact"/>
        <w:ind w:right="0"/>
        <w:jc w:val="left"/>
      </w:pPr>
      <w:r>
        <w:rPr/>
        <w:t>软件设计与开发。在同一会计年度提供的技术开发服务，在项目实施完成并经客户验收确认后确认收入；若技术开发的开始</w:t>
      </w:r>
    </w:p>
    <w:p>
      <w:pPr>
        <w:pStyle w:val="BodyText"/>
        <w:spacing w:line="319" w:lineRule="auto" w:before="76"/>
        <w:ind w:right="0"/>
        <w:jc w:val="left"/>
      </w:pPr>
      <w:r>
        <w:rPr>
          <w:spacing w:val="-2"/>
        </w:rPr>
        <w:t>和完成分属不同会计年度，合同规定分阶段验收的，根据客户分阶段验收的情况确认收入。合同未规定分阶段验收的，在项</w:t>
      </w:r>
      <w:r>
        <w:rPr>
          <w:spacing w:val="-65"/>
        </w:rPr>
        <w:t> </w:t>
      </w:r>
      <w:r>
        <w:rPr>
          <w:spacing w:val="-65"/>
        </w:rPr>
      </w:r>
      <w:r>
        <w:rPr/>
        <w:t>目完成并经验收后一次确认收入。</w:t>
      </w:r>
    </w:p>
    <w:p>
      <w:pPr>
        <w:pStyle w:val="BodyText"/>
        <w:spacing w:line="357" w:lineRule="auto" w:before="58"/>
        <w:ind w:left="514" w:right="0"/>
        <w:jc w:val="left"/>
      </w:pPr>
      <w:r>
        <w:rPr/>
        <w:t>③增值服务收入 </w:t>
      </w:r>
      <w:r>
        <w:rPr>
          <w:spacing w:val="-2"/>
        </w:rPr>
        <w:t>增值服务是指公司作为内容提供商，通过通信运营商提供的有偿通信通道，向用户提供特定信息的服务。在服务已经提</w:t>
      </w:r>
    </w:p>
    <w:p>
      <w:pPr>
        <w:pStyle w:val="BodyText"/>
        <w:spacing w:line="225" w:lineRule="exact"/>
        <w:ind w:right="0"/>
        <w:jc w:val="left"/>
      </w:pPr>
      <w:r>
        <w:rPr/>
        <w:t>供，运营商计费系统的统计数据经双方确认后，按照合同规定的分成比例确认收入。</w:t>
      </w:r>
    </w:p>
    <w:p>
      <w:pPr>
        <w:pStyle w:val="BodyText"/>
        <w:spacing w:line="357" w:lineRule="auto" w:before="116"/>
        <w:ind w:left="514" w:right="0"/>
        <w:jc w:val="left"/>
      </w:pPr>
      <w:r>
        <w:rPr/>
        <w:t>（</w:t>
      </w:r>
      <w:r>
        <w:rPr>
          <w:rFonts w:ascii="宋体" w:hAnsi="宋体" w:cs="宋体" w:eastAsia="宋体" w:hint="default"/>
        </w:rPr>
        <w:t>3</w:t>
      </w:r>
      <w:r>
        <w:rPr/>
        <w:t>）系统集成收入 </w:t>
      </w:r>
      <w:r>
        <w:rPr>
          <w:spacing w:val="-4"/>
        </w:rPr>
        <w:t>系统集成是指公司根据特定客户的需求，将各种软硬件协调组织成一个应用系统的服务。系统集成业务满足下列条件的，</w:t>
      </w:r>
    </w:p>
    <w:p>
      <w:pPr>
        <w:pStyle w:val="BodyText"/>
        <w:spacing w:line="225" w:lineRule="exact"/>
        <w:ind w:right="0"/>
        <w:jc w:val="left"/>
      </w:pPr>
      <w:r>
        <w:rPr/>
        <w:t>予以确认收入：</w:t>
      </w:r>
    </w:p>
    <w:p>
      <w:pPr>
        <w:pStyle w:val="BodyText"/>
        <w:spacing w:line="319" w:lineRule="auto" w:before="115"/>
        <w:ind w:right="1131" w:firstLine="360"/>
        <w:jc w:val="both"/>
      </w:pPr>
      <w:r>
        <w:rPr>
          <w:spacing w:val="-2"/>
        </w:rPr>
        <w:t>①项目所涉及软硬件产品所有权上的主要风险和报酬已转移给买方，其中软件产品已授权给购买方使用即视为软件产品</w:t>
      </w:r>
      <w:r>
        <w:rPr/>
        <w:t> 使用权上的主要风险和报酬已转移</w:t>
      </w:r>
      <w:r>
        <w:rPr>
          <w:rFonts w:ascii="宋体" w:hAnsi="宋体" w:cs="宋体" w:eastAsia="宋体" w:hint="default"/>
        </w:rPr>
        <w:t>.</w:t>
      </w:r>
      <w:r>
        <w:rPr/>
        <w:t>具体判断标准为软硬件产品已交付买方并经验收确认，需要安装调试的已安装调试并经</w:t>
      </w:r>
      <w:r>
        <w:rPr>
          <w:spacing w:val="-83"/>
        </w:rPr>
        <w:t> </w:t>
      </w:r>
      <w:r>
        <w:rPr>
          <w:spacing w:val="-83"/>
        </w:rPr>
      </w:r>
      <w:r>
        <w:rPr/>
        <w:t>客户验收。</w:t>
      </w:r>
    </w:p>
    <w:p>
      <w:pPr>
        <w:pStyle w:val="BodyText"/>
        <w:spacing w:line="240" w:lineRule="auto" w:before="56"/>
        <w:ind w:left="514" w:right="0"/>
        <w:jc w:val="left"/>
      </w:pPr>
      <w:r>
        <w:rPr/>
        <w:t>②公司不再保留与售出软硬件产品相联系的继续管理权和控制权；</w:t>
      </w:r>
    </w:p>
    <w:p>
      <w:pPr>
        <w:spacing w:after="0" w:line="240" w:lineRule="auto"/>
        <w:jc w:val="left"/>
        <w:sectPr>
          <w:footerReference w:type="default" r:id="rId44"/>
          <w:pgSz w:w="11910" w:h="16840"/>
          <w:pgMar w:footer="1187" w:header="877" w:top="1100" w:bottom="1380" w:left="980" w:right="0"/>
          <w:pgNumType w:start="10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③收入的金额能够可靠的计量；</w:t>
      </w:r>
    </w:p>
    <w:p>
      <w:pPr>
        <w:pStyle w:val="BodyText"/>
        <w:spacing w:line="240" w:lineRule="auto" w:before="116"/>
        <w:ind w:left="514" w:right="0"/>
        <w:jc w:val="left"/>
      </w:pPr>
      <w:r>
        <w:rPr/>
        <w:t>④相关的经济利益很可能流入企业；</w:t>
      </w:r>
    </w:p>
    <w:p>
      <w:pPr>
        <w:pStyle w:val="BodyText"/>
        <w:spacing w:line="240" w:lineRule="auto" w:before="117"/>
        <w:ind w:left="514" w:right="0"/>
        <w:jc w:val="left"/>
      </w:pPr>
      <w:r>
        <w:rPr/>
        <w:t>⑤相关的已发生或将发生的成本能够可靠的计量；</w:t>
      </w:r>
    </w:p>
    <w:p>
      <w:pPr>
        <w:pStyle w:val="BodyText"/>
        <w:spacing w:line="357" w:lineRule="auto" w:before="116"/>
        <w:ind w:left="514" w:right="6252"/>
        <w:jc w:val="left"/>
      </w:pPr>
      <w:r>
        <w:rPr/>
        <w:t>（</w:t>
      </w:r>
      <w:r>
        <w:rPr>
          <w:rFonts w:ascii="宋体" w:hAnsi="宋体" w:cs="宋体" w:eastAsia="宋体" w:hint="default"/>
        </w:rPr>
        <w:t>4</w:t>
      </w:r>
      <w:r>
        <w:rPr/>
        <w:t>）让渡资产使用权收入 让渡资产使用权收入包括利息收入、使用费收入等。</w:t>
      </w:r>
    </w:p>
    <w:p>
      <w:pPr>
        <w:pStyle w:val="BodyText"/>
        <w:spacing w:line="240" w:lineRule="auto" w:before="29"/>
        <w:ind w:left="514" w:right="0"/>
        <w:jc w:val="left"/>
      </w:pPr>
      <w:r>
        <w:rPr/>
        <w:t>本公司在收入的金额能够可靠地计量，相关的经济利益很可能流入企业时，确认让渡资产使用权收入。</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政府补助" w:id="211"/>
      <w:bookmarkEnd w:id="211"/>
      <w:r>
        <w:rPr>
          <w:b w:val="0"/>
          <w:bCs w:val="0"/>
        </w:rPr>
      </w:r>
      <w:r>
        <w:rPr>
          <w:rFonts w:ascii="宋体" w:hAnsi="宋体" w:cs="宋体" w:eastAsia="宋体" w:hint="default"/>
        </w:rPr>
        <w:t>25</w:t>
      </w:r>
      <w:r>
        <w:rPr/>
        <w:t>、政府补助</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032" w:firstLine="360"/>
        <w:jc w:val="left"/>
      </w:pPr>
      <w:r>
        <w:rPr/>
        <w:t>本公司的政府补助分为与资产相关的政府补助和与收益相关的政府补助。与资产相关的政府补助，是指本公司取得的、 用于购建或以其他方式形成长期资产的政府补助。与收益相关的政府补助，是指除与资产相关的政府补助之外的政府补助。</w:t>
      </w:r>
      <w:r>
        <w:rPr>
          <w:spacing w:val="-85"/>
        </w:rPr>
        <w:t> </w:t>
      </w:r>
      <w:r>
        <w:rPr>
          <w:spacing w:val="-85"/>
        </w:rPr>
      </w:r>
      <w:r>
        <w:rPr>
          <w:spacing w:val="-2"/>
        </w:rPr>
        <w:t>如果政府补助文件未明确确定补助对象，以取得该补助必须具备的基本条件为基础进行判断，以购建或其他方式形成长期资</w:t>
      </w:r>
      <w:r>
        <w:rPr>
          <w:spacing w:val="-64"/>
        </w:rPr>
        <w:t> </w:t>
      </w:r>
      <w:r>
        <w:rPr>
          <w:spacing w:val="-64"/>
        </w:rPr>
      </w:r>
      <w:r>
        <w:rPr/>
        <w:t>产为基本条件的作为与资产相关的政府补助，除此之外的划分为与收益相关的政府补助。</w:t>
      </w:r>
    </w:p>
    <w:p>
      <w:pPr>
        <w:pStyle w:val="BodyText"/>
        <w:spacing w:line="357" w:lineRule="auto" w:before="56"/>
        <w:ind w:left="514" w:right="6972"/>
        <w:jc w:val="left"/>
      </w:pPr>
      <w:r>
        <w:rPr/>
        <w:t>（</w:t>
      </w:r>
      <w:r>
        <w:rPr>
          <w:rFonts w:ascii="宋体" w:hAnsi="宋体" w:cs="宋体" w:eastAsia="宋体" w:hint="default"/>
        </w:rPr>
        <w:t>1</w:t>
      </w:r>
      <w:r>
        <w:rPr/>
        <w:t>）政府补助的确认 政府补助同时满足下列条件时，予以确认：</w:t>
      </w:r>
    </w:p>
    <w:p>
      <w:pPr>
        <w:pStyle w:val="BodyText"/>
        <w:spacing w:line="240" w:lineRule="auto" w:before="28"/>
        <w:ind w:left="514" w:right="0"/>
        <w:jc w:val="left"/>
      </w:pPr>
      <w:r>
        <w:rPr/>
        <w:t>①能够满足政府补助所附条件；</w:t>
      </w:r>
    </w:p>
    <w:p>
      <w:pPr>
        <w:pStyle w:val="BodyText"/>
        <w:spacing w:line="240" w:lineRule="auto" w:before="117"/>
        <w:ind w:left="514" w:right="0"/>
        <w:jc w:val="left"/>
      </w:pPr>
      <w:r>
        <w:rPr/>
        <w:t>②能够收到政府补助。</w:t>
      </w:r>
    </w:p>
    <w:p>
      <w:pPr>
        <w:pStyle w:val="BodyText"/>
        <w:spacing w:line="240" w:lineRule="auto" w:before="116"/>
        <w:ind w:left="514" w:right="0"/>
        <w:jc w:val="left"/>
      </w:pPr>
      <w:r>
        <w:rPr/>
        <w:t>（</w:t>
      </w:r>
      <w:r>
        <w:rPr>
          <w:rFonts w:ascii="宋体" w:hAnsi="宋体" w:cs="宋体" w:eastAsia="宋体" w:hint="default"/>
        </w:rPr>
        <w:t>2</w:t>
      </w:r>
      <w:r>
        <w:rPr/>
        <w:t>）政府补助的计量：</w:t>
      </w:r>
    </w:p>
    <w:p>
      <w:pPr>
        <w:pStyle w:val="BodyText"/>
        <w:spacing w:line="319" w:lineRule="auto" w:before="116"/>
        <w:ind w:right="0" w:firstLine="360"/>
        <w:jc w:val="left"/>
      </w:pPr>
      <w:r>
        <w:rPr>
          <w:spacing w:val="-2"/>
        </w:rPr>
        <w:t>①政府补助为货币性资产的，按照收到或应收的金额计量。政府补助为非货币性资产的，按照公允价值计量；公允价值</w:t>
      </w:r>
      <w:r>
        <w:rPr/>
        <w:t> 不能可靠取得的，按照名义金额计量。</w:t>
      </w:r>
    </w:p>
    <w:p>
      <w:pPr>
        <w:pStyle w:val="BodyText"/>
        <w:spacing w:line="319" w:lineRule="auto" w:before="55"/>
        <w:ind w:right="1131" w:firstLine="360"/>
        <w:jc w:val="both"/>
      </w:pPr>
      <w:r>
        <w:rPr>
          <w:spacing w:val="-5"/>
        </w:rPr>
        <w:t>②与资产相关的政府补助，取得时确认为递延收益，自相关资产达到预定可使用状态时，在该资产使用寿命内按照合理、</w:t>
      </w:r>
      <w:r>
        <w:rPr/>
        <w:t> </w:t>
      </w:r>
      <w:r>
        <w:rPr>
          <w:spacing w:val="-2"/>
        </w:rPr>
        <w:t>系统的方法分期计入损益。相关资产在使用寿命结束前被出售、转让、报废或发生毁损的，将尚未分配的相关递延收益余额</w:t>
      </w:r>
      <w:r>
        <w:rPr>
          <w:spacing w:val="-66"/>
        </w:rPr>
        <w:t> </w:t>
      </w:r>
      <w:r>
        <w:rPr>
          <w:spacing w:val="-66"/>
        </w:rPr>
      </w:r>
      <w:r>
        <w:rPr/>
        <w:t>转入资产处置当期的损益。</w:t>
      </w:r>
    </w:p>
    <w:p>
      <w:pPr>
        <w:pStyle w:val="BodyText"/>
        <w:spacing w:line="319" w:lineRule="auto" w:before="55"/>
        <w:ind w:right="0" w:firstLine="360"/>
        <w:jc w:val="left"/>
      </w:pPr>
      <w:r>
        <w:rPr>
          <w:spacing w:val="-2"/>
        </w:rPr>
        <w:t>与收益相关的政府补助，用于补偿以后期间的相关成本费用或损失的，取得时确认为递延收益，在确认相关成本费用或</w:t>
      </w:r>
      <w:r>
        <w:rPr/>
        <w:t> 损失的期间计入当期损益；用于补偿已发生的相关成本费用或损失的，取得时直接计入当期损益。</w:t>
      </w:r>
    </w:p>
    <w:p>
      <w:pPr>
        <w:pStyle w:val="BodyText"/>
        <w:spacing w:line="240" w:lineRule="auto" w:before="58"/>
        <w:ind w:left="514" w:right="0"/>
        <w:jc w:val="left"/>
      </w:pPr>
      <w:r>
        <w:rPr/>
        <w:t>与日常活动相关的政府补助，计入其他收益；与日常活动无关的政府补助，计入营业外收支。</w:t>
      </w:r>
    </w:p>
    <w:p>
      <w:pPr>
        <w:pStyle w:val="BodyText"/>
        <w:spacing w:line="357" w:lineRule="auto" w:before="116"/>
        <w:ind w:left="514" w:right="1122"/>
        <w:jc w:val="left"/>
      </w:pPr>
      <w:r>
        <w:rPr/>
        <w:t>③取得政策性优惠贷款贴息，区分以下两种取得方式进行会计处理： </w:t>
      </w:r>
      <w:r>
        <w:rPr>
          <w:rFonts w:ascii="宋体" w:hAnsi="宋体" w:cs="宋体" w:eastAsia="宋体" w:hint="default"/>
        </w:rPr>
        <w:t>A</w:t>
      </w:r>
      <w:r>
        <w:rPr/>
        <w:t>、财政将贴息资金拨付给贷款银行，由贷款银行以政策性优惠利率向本公司提供贷款的，以借款的公允价值作为借款</w:t>
      </w:r>
    </w:p>
    <w:p>
      <w:pPr>
        <w:pStyle w:val="BodyText"/>
        <w:spacing w:line="224" w:lineRule="exact"/>
        <w:ind w:right="0"/>
        <w:jc w:val="left"/>
      </w:pPr>
      <w:r>
        <w:rPr/>
        <w:t>的入账价值并按照实际利率法计算借款费用，实际收到的金额与借款公允价值之间的差额确认为递延收益。递延收益在借款</w:t>
      </w:r>
    </w:p>
    <w:p>
      <w:pPr>
        <w:pStyle w:val="BodyText"/>
        <w:spacing w:line="360" w:lineRule="auto" w:before="77"/>
        <w:ind w:left="514" w:right="4362" w:hanging="360"/>
        <w:jc w:val="left"/>
      </w:pPr>
      <w:r>
        <w:rPr/>
        <w:t>存续期内采用实际利率法摊销，冲减相关借款费用； </w:t>
      </w:r>
      <w:r>
        <w:rPr>
          <w:rFonts w:ascii="宋体" w:hAnsi="宋体" w:cs="宋体" w:eastAsia="宋体" w:hint="default"/>
        </w:rPr>
        <w:t>B</w:t>
      </w:r>
      <w:r>
        <w:rPr/>
        <w:t>、财政将贴息资金直接拨付给本公司的，将对应的贴息冲减相关借款费用。</w:t>
      </w:r>
    </w:p>
    <w:p>
      <w:pPr>
        <w:pStyle w:val="BodyText"/>
        <w:spacing w:line="360" w:lineRule="auto" w:before="26"/>
        <w:ind w:left="514" w:right="4002"/>
        <w:jc w:val="left"/>
      </w:pPr>
      <w:r>
        <w:rPr/>
        <w:t>④已确认的政府补助需要返还的，分别下列情况处理： </w:t>
      </w:r>
      <w:r>
        <w:rPr>
          <w:rFonts w:ascii="宋体" w:hAnsi="宋体" w:cs="宋体" w:eastAsia="宋体" w:hint="default"/>
        </w:rPr>
        <w:t>A</w:t>
      </w:r>
      <w:r>
        <w:rPr/>
        <w:t>、存在相关递延收益的，冲减相关递延收益账面余额，超出部分计入当期损益。 </w:t>
      </w:r>
      <w:r>
        <w:rPr>
          <w:rFonts w:ascii="宋体" w:hAnsi="宋体" w:cs="宋体" w:eastAsia="宋体" w:hint="default"/>
        </w:rPr>
        <w:t>B</w:t>
      </w:r>
      <w:r>
        <w:rPr/>
        <w:t>、属于其他情况的，直接计入当期损益。</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6、递延所得税资产/递延所得税负债" w:id="212"/>
      <w:bookmarkEnd w:id="212"/>
      <w:r>
        <w:rPr>
          <w:b w:val="0"/>
          <w:bCs w:val="0"/>
        </w:rPr>
      </w:r>
      <w:r>
        <w:rPr>
          <w:rFonts w:ascii="宋体" w:hAnsi="宋体" w:cs="宋体" w:eastAsia="宋体" w:hint="default"/>
        </w:rPr>
        <w:t>26</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本公司采用资产负债表债务法进行所得税会计处理。</w:t>
      </w:r>
    </w:p>
    <w:p>
      <w:pPr>
        <w:pStyle w:val="BodyText"/>
        <w:spacing w:line="240" w:lineRule="auto" w:before="116"/>
        <w:ind w:left="514" w:right="0"/>
        <w:jc w:val="left"/>
      </w:pPr>
      <w:r>
        <w:rPr/>
        <w:t>（</w:t>
      </w:r>
      <w:r>
        <w:rPr>
          <w:rFonts w:ascii="宋体" w:hAnsi="宋体" w:cs="宋体" w:eastAsia="宋体" w:hint="default"/>
        </w:rPr>
        <w:t>1</w:t>
      </w:r>
      <w:r>
        <w:rPr/>
        <w:t>）递延所得税资产</w:t>
      </w:r>
    </w:p>
    <w:p>
      <w:pPr>
        <w:pStyle w:val="BodyText"/>
        <w:spacing w:line="319" w:lineRule="auto" w:before="115"/>
        <w:ind w:right="1131" w:firstLine="360"/>
        <w:jc w:val="both"/>
      </w:pPr>
      <w:r>
        <w:rPr>
          <w:spacing w:val="-2"/>
        </w:rPr>
        <w:t>①资产、负债的账面价值与其计税基础存在可抵扣暂时性差异的，以未来期间很可能取得的用以抵扣可抵扣暂时性差异</w:t>
      </w:r>
      <w:r>
        <w:rPr/>
        <w:t> </w:t>
      </w:r>
      <w:r>
        <w:rPr>
          <w:spacing w:val="-2"/>
        </w:rPr>
        <w:t>的应纳税所得额为限，按照预期收回该资产或清偿该负债期间的适用税率，计算确认由可抵扣暂时性差异产生的递延所得税</w:t>
      </w:r>
      <w:r>
        <w:rPr>
          <w:spacing w:val="-64"/>
        </w:rPr>
        <w:t> </w:t>
      </w:r>
      <w:r>
        <w:rPr>
          <w:spacing w:val="-64"/>
        </w:rPr>
      </w:r>
      <w:r>
        <w:rPr/>
        <w:t>资产。</w:t>
      </w:r>
    </w:p>
    <w:p>
      <w:pPr>
        <w:spacing w:after="0" w:line="319"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spacing w:val="-2"/>
        </w:rPr>
        <w:t>②资产负债表日，有确凿证据表明未来期间很可能获得足够的应纳税所得额用来抵扣可抵扣暂时性差异的，确认以前期</w:t>
      </w:r>
      <w:r>
        <w:rPr/>
        <w:t> 间未确认的递延所得税资产。</w:t>
      </w:r>
    </w:p>
    <w:p>
      <w:pPr>
        <w:pStyle w:val="BodyText"/>
        <w:spacing w:line="319" w:lineRule="auto" w:before="55"/>
        <w:ind w:right="0" w:firstLine="360"/>
        <w:jc w:val="left"/>
      </w:pPr>
      <w:r>
        <w:rPr>
          <w:spacing w:val="-2"/>
        </w:rPr>
        <w:t>③资产负债表日，对递延所得税资产的账面价值进行复核。如果未来期间很可能无法获得足够的应纳税所得额用以抵扣</w:t>
      </w:r>
      <w:r>
        <w:rPr/>
        <w:t> 递延所得税资产的利益，减记递延所得税资产的账面价值。在很可能获得足够的应纳税所得额时，转回减记的金额。</w:t>
      </w:r>
    </w:p>
    <w:p>
      <w:pPr>
        <w:pStyle w:val="BodyText"/>
        <w:spacing w:line="357" w:lineRule="auto" w:before="58"/>
        <w:ind w:left="514" w:right="0"/>
        <w:jc w:val="left"/>
      </w:pPr>
      <w:r>
        <w:rPr/>
        <w:t>（</w:t>
      </w:r>
      <w:r>
        <w:rPr>
          <w:rFonts w:ascii="宋体" w:hAnsi="宋体" w:cs="宋体" w:eastAsia="宋体" w:hint="default"/>
        </w:rPr>
        <w:t>2</w:t>
      </w:r>
      <w:r>
        <w:rPr/>
        <w:t>）递延所得税负债 </w:t>
      </w:r>
      <w:r>
        <w:rPr>
          <w:spacing w:val="-2"/>
        </w:rPr>
        <w:t>资产、负债的账面价值与其计税基础存在应纳税暂时性差异的，按照预期收回该资产或清偿该负债期间的适用税率，确</w:t>
      </w:r>
    </w:p>
    <w:p>
      <w:pPr>
        <w:pStyle w:val="BodyText"/>
        <w:spacing w:line="225" w:lineRule="exact"/>
        <w:ind w:right="0"/>
        <w:jc w:val="both"/>
      </w:pPr>
      <w:r>
        <w:rPr/>
        <w:t>认由应纳税暂时性差异产生的递延所得税负债。</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7、租赁" w:id="213"/>
      <w:bookmarkEnd w:id="213"/>
      <w:r>
        <w:rPr>
          <w:b w:val="0"/>
          <w:bCs w:val="0"/>
        </w:rPr>
      </w:r>
      <w:r>
        <w:rPr>
          <w:rFonts w:ascii="宋体" w:hAnsi="宋体" w:cs="宋体" w:eastAsia="宋体" w:hint="default"/>
        </w:rPr>
        <w:t>27</w:t>
      </w:r>
      <w:r>
        <w:rPr/>
        <w:t>、租赁</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bookmarkStart w:name="（1）经营租赁的会计处理方法" w:id="214"/>
      <w:bookmarkEnd w:id="214"/>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0" w:firstLine="360"/>
        <w:jc w:val="left"/>
      </w:pPr>
      <w:r>
        <w:rPr>
          <w:spacing w:val="-2"/>
        </w:rPr>
        <w:t>本公司作为承租人，对于经营租赁的租金，在租赁期内各个期间按照直线法计入相关资产成本或当期损益；发生的初始</w:t>
      </w:r>
      <w:r>
        <w:rPr/>
        <w:t> 直接费用，计入当期损益；或有租金在实际发生时计入当期损益。</w:t>
      </w:r>
    </w:p>
    <w:p>
      <w:pPr>
        <w:pStyle w:val="BodyText"/>
        <w:spacing w:line="319" w:lineRule="auto" w:before="55"/>
        <w:ind w:right="1131" w:firstLine="360"/>
        <w:jc w:val="both"/>
      </w:pPr>
      <w:r>
        <w:rPr>
          <w:spacing w:val="-2"/>
        </w:rPr>
        <w:t>本公司作为出租人，按资产的性质将用作经营租赁的资产包括在资产负债表中的相关项目内；对于经营租赁的租金，在</w:t>
      </w:r>
      <w:r>
        <w:rPr/>
        <w:t> </w:t>
      </w:r>
      <w:r>
        <w:rPr>
          <w:spacing w:val="-2"/>
        </w:rPr>
        <w:t>租赁期内各个期间按照直线法确认为当期损益；发生的初始直接费用，计入当期损益；对于经营租赁资产中的固定资产，采</w:t>
      </w:r>
      <w:r>
        <w:rPr>
          <w:spacing w:val="-66"/>
        </w:rPr>
        <w:t> </w:t>
      </w:r>
      <w:r>
        <w:rPr>
          <w:spacing w:val="-66"/>
        </w:rPr>
      </w:r>
      <w:r>
        <w:rPr>
          <w:spacing w:val="-2"/>
        </w:rPr>
        <w:t>用类似资产的折旧政策计提折旧；对于其他经营租赁资产，采用系统合理的方法进行摊销；或有租金在实际发生时计入当期</w:t>
      </w:r>
      <w:r>
        <w:rPr>
          <w:spacing w:val="-66"/>
        </w:rPr>
        <w:t> </w:t>
      </w:r>
      <w:r>
        <w:rPr>
          <w:spacing w:val="-66"/>
        </w:rPr>
      </w:r>
      <w:r>
        <w:rPr/>
        <w:t>损益。</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15"/>
      <w:bookmarkEnd w:id="215"/>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0" w:firstLine="360"/>
        <w:jc w:val="both"/>
      </w:pPr>
      <w:r>
        <w:rPr>
          <w:spacing w:val="-2"/>
        </w:rPr>
        <w:t>本公司作为承租人，在租赁期开始日将租赁开始日租赁资产公允价值与最低租赁付款额现值两者中较低者作为租入资产</w:t>
      </w:r>
      <w:r>
        <w:rPr/>
        <w:t> </w:t>
      </w:r>
      <w:r>
        <w:rPr>
          <w:spacing w:val="-2"/>
        </w:rPr>
        <w:t>的入账价值，将最低租赁付款额作为长期应付款的入账价值，其差额作为未确认融资费用；在租赁谈判和签订租赁合同过程</w:t>
      </w:r>
      <w:r>
        <w:rPr>
          <w:spacing w:val="-66"/>
        </w:rPr>
        <w:t> </w:t>
      </w:r>
      <w:r>
        <w:rPr>
          <w:spacing w:val="-66"/>
        </w:rPr>
      </w:r>
      <w:r>
        <w:rPr>
          <w:spacing w:val="-2"/>
        </w:rPr>
        <w:t>中发生的，可归属于租赁项目的手续费、律师费、差旅费、印花税等初始直接费用，计入租入资产价值；未确认融资费用在</w:t>
      </w:r>
      <w:r>
        <w:rPr>
          <w:spacing w:val="-68"/>
        </w:rPr>
        <w:t> </w:t>
      </w:r>
      <w:r>
        <w:rPr>
          <w:spacing w:val="-68"/>
        </w:rPr>
      </w:r>
      <w:r>
        <w:rPr/>
        <w:t>租赁期内各个期间进行分摊，采用实际利率法计算确认当期的融资费用；或有租金在实际发生时计入当期损益。</w:t>
      </w:r>
    </w:p>
    <w:p>
      <w:pPr>
        <w:pStyle w:val="BodyText"/>
        <w:spacing w:line="319" w:lineRule="auto" w:before="55"/>
        <w:ind w:right="0" w:firstLine="360"/>
        <w:jc w:val="left"/>
      </w:pPr>
      <w:r>
        <w:rPr>
          <w:spacing w:val="-2"/>
        </w:rPr>
        <w:t>在计算最低租赁付款额的现值时，能够取得出租人租赁内含利率的，采用租赁内含利率作为折现率；否则，采用租赁合</w:t>
      </w:r>
      <w:r>
        <w:rPr/>
        <w:t> </w:t>
      </w:r>
      <w:r>
        <w:rPr>
          <w:spacing w:val="-4"/>
        </w:rPr>
        <w:t>同规定的利率作为折现率。无法取得出租人的租赁内含利率且租赁合同没有规定利率的，采用同期银行贷款利率作为折现率。</w:t>
      </w:r>
    </w:p>
    <w:p>
      <w:pPr>
        <w:pStyle w:val="BodyText"/>
        <w:spacing w:line="319" w:lineRule="auto" w:before="55"/>
        <w:ind w:right="1032" w:firstLine="360"/>
        <w:jc w:val="left"/>
      </w:pPr>
      <w:r>
        <w:rPr/>
        <w:t>本公司采用与自有固定资产相一致的折旧政策计提租赁资产折旧。能够合理确定租赁期届满时取得租赁资产所有权的， </w:t>
      </w:r>
      <w:r>
        <w:rPr>
          <w:spacing w:val="-2"/>
        </w:rPr>
        <w:t>在租赁资产使用寿命内计提折旧。无法合理确定租赁期届满时能够取得租赁资产所有权的，在租赁期与租赁资产使用寿命两</w:t>
      </w:r>
      <w:r>
        <w:rPr>
          <w:spacing w:val="-64"/>
        </w:rPr>
        <w:t> </w:t>
      </w:r>
      <w:r>
        <w:rPr>
          <w:spacing w:val="-64"/>
        </w:rPr>
      </w:r>
      <w:r>
        <w:rPr/>
        <w:t>者中较短的期间内计提折旧。</w:t>
      </w:r>
    </w:p>
    <w:p>
      <w:pPr>
        <w:pStyle w:val="BodyText"/>
        <w:spacing w:line="319" w:lineRule="auto" w:before="56"/>
        <w:ind w:right="950" w:firstLine="360"/>
        <w:jc w:val="left"/>
      </w:pPr>
      <w:r>
        <w:rPr>
          <w:spacing w:val="-2"/>
        </w:rPr>
        <w:t>本公司作为出租人，在租赁期开始日将租赁开始日最低租赁收款额与初始直接费用之和作为应收融资租赁款的入账价值，</w:t>
      </w:r>
      <w:r>
        <w:rPr/>
        <w:t> 同时记录未担保余值；将最低租赁收款额、初始直接费用及未担保余值之和与其现值之和的差额确认为未实现融资收益；未 实现融资收益在租赁期内各个期间进行分配；采用实际利率法计算确认当期的融资收入；或有租金在实际发生时计入当期损 益。</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8、其他重要的会计政策和会计估计" w:id="216"/>
      <w:bookmarkEnd w:id="216"/>
      <w:r>
        <w:rPr>
          <w:b w:val="0"/>
          <w:bCs w:val="0"/>
        </w:rPr>
      </w:r>
      <w:r>
        <w:rPr>
          <w:rFonts w:ascii="宋体" w:hAnsi="宋体" w:cs="宋体" w:eastAsia="宋体" w:hint="default"/>
        </w:rPr>
        <w:t>28</w:t>
      </w:r>
      <w:r>
        <w:rPr/>
        <w:t>、其他重要的会计政策和会计估计</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0"/>
        <w:jc w:val="left"/>
      </w:pPr>
      <w:r>
        <w:rPr/>
        <w:t>（</w:t>
      </w:r>
      <w:r>
        <w:rPr>
          <w:rFonts w:ascii="宋体" w:hAnsi="宋体" w:cs="宋体" w:eastAsia="宋体" w:hint="default"/>
        </w:rPr>
        <w:t>1</w:t>
      </w:r>
      <w:r>
        <w:rPr/>
        <w:t>）公允价值计量 </w:t>
      </w:r>
      <w:r>
        <w:rPr>
          <w:spacing w:val="-2"/>
        </w:rPr>
        <w:t>公允价值，是指市场参与者在计量日发生的有序交易中，出售一项资产所能收到或者转移一项负债所需支付的价格。本</w:t>
      </w:r>
    </w:p>
    <w:p>
      <w:pPr>
        <w:pStyle w:val="BodyText"/>
        <w:spacing w:line="224" w:lineRule="exact"/>
        <w:ind w:right="0"/>
        <w:jc w:val="both"/>
      </w:pPr>
      <w:r>
        <w:rPr/>
        <w:t>公司以公允价值计量相关资产或负债，考虑该资产或负债的特征；假定市场参与者在计量日出售资产或者转移负债的交易，</w:t>
      </w:r>
    </w:p>
    <w:p>
      <w:pPr>
        <w:pStyle w:val="BodyText"/>
        <w:spacing w:line="319" w:lineRule="auto" w:before="76"/>
        <w:ind w:right="1132"/>
        <w:jc w:val="both"/>
      </w:pPr>
      <w:r>
        <w:rPr>
          <w:spacing w:val="-2"/>
        </w:rPr>
        <w:t>是在当前市场条件下的有序交易；假定出售资产或者转移负债的有序交易在相关资产或负债的主要市场进行；不存在主要市</w:t>
      </w:r>
      <w:r>
        <w:rPr>
          <w:spacing w:val="-64"/>
        </w:rPr>
        <w:t> </w:t>
      </w:r>
      <w:r>
        <w:rPr>
          <w:spacing w:val="-64"/>
        </w:rPr>
      </w:r>
      <w:r>
        <w:rPr>
          <w:spacing w:val="-2"/>
        </w:rPr>
        <w:t>场的，假定该交易在相关资产或负债的最有利市场进行。本公司采用市场参与者在对该资产或负债定价时为实现其经济利益</w:t>
      </w:r>
      <w:r>
        <w:rPr>
          <w:spacing w:val="-64"/>
        </w:rPr>
        <w:t> </w:t>
      </w:r>
      <w:r>
        <w:rPr>
          <w:spacing w:val="-64"/>
        </w:rPr>
      </w:r>
      <w:r>
        <w:rPr/>
        <w:t>最大化所使用的假设。</w:t>
      </w:r>
    </w:p>
    <w:p>
      <w:pPr>
        <w:spacing w:after="0" w:line="319" w:lineRule="auto"/>
        <w:jc w:val="both"/>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1" w:firstLine="360"/>
        <w:jc w:val="both"/>
      </w:pPr>
      <w:r>
        <w:rPr>
          <w:spacing w:val="-2"/>
        </w:rPr>
        <w:t>本公司根据交易性质和相关资产或负债的特征等，判断初始确认时的公允价值是否与其交易价格相等；交易价格与公允</w:t>
      </w:r>
      <w:r>
        <w:rPr/>
        <w:t> 价值不相等的，将相关利得或损失计入当期损益，但相关会计准则另有规定的除外。</w:t>
      </w:r>
    </w:p>
    <w:p>
      <w:pPr>
        <w:pStyle w:val="BodyText"/>
        <w:spacing w:line="319" w:lineRule="auto" w:before="55"/>
        <w:ind w:right="1132" w:firstLine="360"/>
        <w:jc w:val="both"/>
      </w:pPr>
      <w:r>
        <w:rPr>
          <w:spacing w:val="-2"/>
        </w:rPr>
        <w:t>本公司采用在当前情况下适用并且有足够可利用数据和其他信息支持的估值技术，使用的估值技术主要包括市场法、收</w:t>
      </w:r>
      <w:r>
        <w:rPr/>
        <w:t> </w:t>
      </w:r>
      <w:r>
        <w:rPr>
          <w:spacing w:val="-2"/>
        </w:rPr>
        <w:t>益法和成本法。在估值技术的应用中，优先使用相关可观察输入值，只有在相关可观察输入值无法取得或取得不切实可行的</w:t>
      </w:r>
      <w:r>
        <w:rPr>
          <w:spacing w:val="-66"/>
        </w:rPr>
        <w:t> </w:t>
      </w:r>
      <w:r>
        <w:rPr>
          <w:spacing w:val="-66"/>
        </w:rPr>
      </w:r>
      <w:r>
        <w:rPr/>
        <w:t>情况下，才可以使用不可观察输入值。</w:t>
      </w:r>
    </w:p>
    <w:p>
      <w:pPr>
        <w:pStyle w:val="BodyText"/>
        <w:spacing w:line="319" w:lineRule="auto" w:before="56"/>
        <w:ind w:right="1043" w:firstLine="360"/>
        <w:jc w:val="both"/>
      </w:pPr>
      <w:r>
        <w:rPr>
          <w:spacing w:val="-2"/>
        </w:rPr>
        <w:t>本公司公允价值计量所使用的输入值划分为三个层次，并首先使用第一层次输入值，其次使用第二层次输入值，最后使</w:t>
      </w:r>
      <w:r>
        <w:rPr/>
        <w:t> </w:t>
      </w:r>
      <w:r>
        <w:rPr>
          <w:spacing w:val="-2"/>
        </w:rPr>
        <w:t>用第三层次输入值。第一层次输入值是在计量日能够取得的相同资产或负债在活跃市场上未经调整的报价；第二层次输入值</w:t>
      </w:r>
      <w:r>
        <w:rPr>
          <w:spacing w:val="-64"/>
        </w:rPr>
        <w:t> </w:t>
      </w:r>
      <w:r>
        <w:rPr>
          <w:spacing w:val="-64"/>
        </w:rPr>
      </w:r>
      <w:r>
        <w:rPr/>
        <w:t>是除第一层次输入值外相关资产或负债直接或间接可观察的输入值；第三层次输入值是相关资产或负债的不可观察输入值。</w:t>
      </w:r>
    </w:p>
    <w:p>
      <w:pPr>
        <w:pStyle w:val="BodyText"/>
        <w:spacing w:line="319" w:lineRule="auto" w:before="55"/>
        <w:ind w:right="1131" w:firstLine="360"/>
        <w:jc w:val="both"/>
      </w:pPr>
      <w:r>
        <w:rPr>
          <w:spacing w:val="-2"/>
        </w:rPr>
        <w:t>本公司以公允价值计量非金融资产，考虑市场参与者将该资产用于最佳用途产生经济利益的能力，或者将该资产出售给</w:t>
      </w:r>
      <w:r>
        <w:rPr/>
        <w:t> </w:t>
      </w:r>
      <w:r>
        <w:rPr>
          <w:spacing w:val="-2"/>
        </w:rPr>
        <w:t>能够用于最佳用途的其他市场参与者产生经济利益的能力。以公允价值计量负债，假定在计量日将该负债转移给其他市场参</w:t>
      </w:r>
      <w:r>
        <w:rPr>
          <w:spacing w:val="-64"/>
        </w:rPr>
        <w:t> </w:t>
      </w:r>
      <w:r>
        <w:rPr>
          <w:spacing w:val="-64"/>
        </w:rPr>
      </w:r>
      <w:r>
        <w:rPr>
          <w:spacing w:val="-2"/>
        </w:rPr>
        <w:t>与者，而且该负债在转移后继续存在，并由作为受让方的市场参与者履行义务。以公允价值计量自身权益工具，假定在计量</w:t>
      </w:r>
      <w:r>
        <w:rPr>
          <w:spacing w:val="-66"/>
        </w:rPr>
        <w:t> </w:t>
      </w:r>
      <w:r>
        <w:rPr>
          <w:spacing w:val="-66"/>
        </w:rPr>
      </w:r>
      <w:r>
        <w:rPr>
          <w:spacing w:val="-2"/>
        </w:rPr>
        <w:t>日将该自身权益工具转移给其他市场参与者，而且该自身权益工具在转移后继续存在，并由作为受让方的市场参与者取得与</w:t>
      </w:r>
      <w:r>
        <w:rPr>
          <w:spacing w:val="-64"/>
        </w:rPr>
        <w:t> </w:t>
      </w:r>
      <w:r>
        <w:rPr>
          <w:spacing w:val="-64"/>
        </w:rPr>
      </w:r>
      <w:r>
        <w:rPr/>
        <w:t>该工具相关的权利、承担相应的义务。</w:t>
      </w:r>
    </w:p>
    <w:p>
      <w:pPr>
        <w:pStyle w:val="BodyText"/>
        <w:spacing w:line="357" w:lineRule="auto" w:before="56"/>
        <w:ind w:left="514" w:right="1392"/>
        <w:jc w:val="left"/>
      </w:pPr>
      <w:r>
        <w:rPr/>
        <w:t>（</w:t>
      </w:r>
      <w:r>
        <w:rPr>
          <w:rFonts w:ascii="宋体" w:hAnsi="宋体" w:cs="宋体" w:eastAsia="宋体" w:hint="default"/>
        </w:rPr>
        <w:t>2</w:t>
      </w:r>
      <w:r>
        <w:rPr/>
        <w:t>）终止经营 终止经营，是指满足下列条件之一的、能够单独区分的组成部分，且该组成部分已经处置或划分为持有待售类别：</w:t>
      </w:r>
    </w:p>
    <w:p>
      <w:pPr>
        <w:pStyle w:val="BodyText"/>
        <w:spacing w:line="224" w:lineRule="exact"/>
        <w:ind w:left="514" w:right="0"/>
        <w:jc w:val="left"/>
      </w:pPr>
      <w:r>
        <w:rPr/>
        <w:t>（</w:t>
      </w:r>
      <w:r>
        <w:rPr>
          <w:rFonts w:ascii="宋体" w:hAnsi="宋体" w:cs="宋体" w:eastAsia="宋体" w:hint="default"/>
        </w:rPr>
        <w:t>1</w:t>
      </w:r>
      <w:r>
        <w:rPr/>
        <w:t>）该组成部分代表一项独立的主要业务或一个单独的主要经营地区；</w:t>
      </w:r>
    </w:p>
    <w:p>
      <w:pPr>
        <w:pStyle w:val="BodyText"/>
        <w:spacing w:line="240" w:lineRule="auto" w:before="76"/>
        <w:ind w:left="514" w:right="0"/>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pStyle w:val="BodyText"/>
        <w:spacing w:line="316" w:lineRule="auto" w:before="76"/>
        <w:ind w:left="514" w:right="0"/>
        <w:jc w:val="left"/>
      </w:pPr>
      <w:r>
        <w:rPr/>
        <w:t>（</w:t>
      </w:r>
      <w:r>
        <w:rPr>
          <w:rFonts w:ascii="宋体" w:hAnsi="宋体" w:cs="宋体" w:eastAsia="宋体" w:hint="default"/>
        </w:rPr>
        <w:t>3</w:t>
      </w:r>
      <w:r>
        <w:rPr/>
        <w:t>）该组成部分是专为转售而取得的子公司。 </w:t>
      </w:r>
      <w:r>
        <w:rPr>
          <w:spacing w:val="-2"/>
        </w:rPr>
        <w:t>本公司在利润表中分别列示持续经营损益和终止经营损益。不符合终止经营定义的持有待售的非流动资产或处置组，其</w:t>
      </w:r>
    </w:p>
    <w:p>
      <w:pPr>
        <w:pStyle w:val="BodyText"/>
        <w:spacing w:line="316" w:lineRule="auto" w:before="19"/>
        <w:ind w:right="1123"/>
        <w:jc w:val="left"/>
      </w:pP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pStyle w:val="BodyText"/>
        <w:spacing w:line="316" w:lineRule="auto" w:before="19"/>
        <w:ind w:right="1032" w:firstLine="360"/>
        <w:jc w:val="left"/>
      </w:pPr>
      <w:r>
        <w:rPr>
          <w:spacing w:val="-2"/>
        </w:rPr>
        <w:t>对于当期列报的终止经营，在当期财务报表中，将原来作为持续经营损益列报的信息重新作为可比会计期间的终止经营</w:t>
      </w:r>
      <w:r>
        <w:rPr/>
        <w:t> 损益列报。拟结束使用而非出售的处置组满足终止经营定义中有关组成部分的条件的，自停止使用日起作为终止经营列报。</w:t>
      </w:r>
      <w:r>
        <w:rPr>
          <w:spacing w:val="-85"/>
        </w:rPr>
        <w:t> </w:t>
      </w:r>
      <w:r>
        <w:rPr>
          <w:spacing w:val="-85"/>
        </w:rPr>
      </w:r>
      <w:r>
        <w:rPr>
          <w:spacing w:val="-2"/>
        </w:rPr>
        <w:t>因出售对子公司的投资等原因导致其丧失对子公司控制权，且该子公司符合终止经营定义的，在合并利润表中列报相关终止</w:t>
      </w:r>
      <w:r>
        <w:rPr>
          <w:spacing w:val="-64"/>
        </w:rPr>
        <w:t> </w:t>
      </w:r>
      <w:r>
        <w:rPr>
          <w:spacing w:val="-64"/>
        </w:rPr>
      </w:r>
      <w:r>
        <w:rPr/>
        <w:t>经营损益。</w:t>
      </w:r>
    </w:p>
    <w:p>
      <w:pPr>
        <w:pStyle w:val="BodyText"/>
        <w:spacing w:line="357" w:lineRule="auto" w:before="59"/>
        <w:ind w:left="514" w:right="1123"/>
        <w:jc w:val="left"/>
      </w:pPr>
      <w:r>
        <w:rPr/>
        <w:t>（</w:t>
      </w:r>
      <w:r>
        <w:rPr>
          <w:rFonts w:ascii="宋体" w:hAnsi="宋体" w:cs="宋体" w:eastAsia="宋体" w:hint="default"/>
        </w:rPr>
        <w:t>3</w:t>
      </w:r>
      <w:r>
        <w:rPr/>
        <w:t>）分部报告 </w:t>
      </w:r>
      <w:r>
        <w:rPr>
          <w:spacing w:val="-2"/>
        </w:rPr>
        <w:t>本公司以内部组织结构、管理要求、内部报告制度为依据确定经营分部，以经营分部为基础确定报告分部并披露分部信</w:t>
      </w:r>
    </w:p>
    <w:p>
      <w:pPr>
        <w:pStyle w:val="BodyText"/>
        <w:spacing w:line="225" w:lineRule="exact"/>
        <w:ind w:right="0"/>
        <w:jc w:val="left"/>
      </w:pPr>
      <w:r>
        <w:rPr/>
        <w:t>息。</w:t>
      </w:r>
    </w:p>
    <w:p>
      <w:pPr>
        <w:pStyle w:val="BodyText"/>
        <w:spacing w:line="319" w:lineRule="auto" w:before="116"/>
        <w:ind w:right="1130" w:firstLine="360"/>
        <w:jc w:val="both"/>
      </w:pPr>
      <w:r>
        <w:rPr>
          <w:spacing w:val="-2"/>
        </w:rPr>
        <w:t>经营分部是指本公司内同时满足下列条件的组成部分：</w:t>
      </w:r>
      <w:r>
        <w:rPr>
          <w:rFonts w:ascii="宋体" w:hAnsi="宋体" w:cs="宋体" w:eastAsia="宋体" w:hint="default"/>
          <w:spacing w:val="-2"/>
        </w:rPr>
        <w:t>A</w:t>
      </w:r>
      <w:r>
        <w:rPr>
          <w:spacing w:val="-2"/>
        </w:rPr>
        <w:t>、该组成部分能够在日常活动中产生收入、发生费用；</w:t>
      </w:r>
      <w:r>
        <w:rPr>
          <w:rFonts w:ascii="宋体" w:hAnsi="宋体" w:cs="宋体" w:eastAsia="宋体" w:hint="default"/>
          <w:spacing w:val="-2"/>
        </w:rPr>
        <w:t>B</w:t>
      </w:r>
      <w:r>
        <w:rPr>
          <w:spacing w:val="-2"/>
        </w:rPr>
        <w:t>、本公</w:t>
      </w:r>
      <w:r>
        <w:rPr/>
        <w:t> 司管理层能够定期评价该组成部分的经营成果，以决定向其配置资源、评价其业绩；</w:t>
      </w:r>
      <w:r>
        <w:rPr>
          <w:rFonts w:ascii="宋体" w:hAnsi="宋体" w:cs="宋体" w:eastAsia="宋体" w:hint="default"/>
        </w:rPr>
        <w:t>C</w:t>
      </w:r>
      <w:r>
        <w:rPr/>
        <w:t>、本公司能够取得该组成部分的财务</w:t>
      </w:r>
      <w:r>
        <w:rPr>
          <w:spacing w:val="-82"/>
        </w:rPr>
        <w:t> </w:t>
      </w:r>
      <w:r>
        <w:rPr>
          <w:spacing w:val="-82"/>
        </w:rPr>
      </w:r>
      <w:r>
        <w:rPr>
          <w:spacing w:val="-2"/>
        </w:rPr>
        <w:t>状况、经营成果和现金流量等有关会计信息。两个或多个经营分部具有相似的经济特征，并且满足一定条件的，则可合并为</w:t>
      </w:r>
      <w:r>
        <w:rPr>
          <w:spacing w:val="-66"/>
        </w:rPr>
        <w:t> </w:t>
      </w:r>
      <w:r>
        <w:rPr>
          <w:spacing w:val="-66"/>
        </w:rPr>
      </w:r>
      <w:r>
        <w:rPr/>
        <w:t>一个经营分部。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9、重要会计政策和会计估计变更" w:id="217"/>
      <w:bookmarkEnd w:id="217"/>
      <w:r>
        <w:rPr>
          <w:b w:val="0"/>
          <w:bCs w:val="0"/>
        </w:rPr>
      </w:r>
      <w:r>
        <w:rPr>
          <w:rFonts w:ascii="宋体" w:hAnsi="宋体" w:cs="宋体" w:eastAsia="宋体" w:hint="default"/>
        </w:rPr>
        <w:t>29</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重要会计政策变更" w:id="218"/>
      <w:bookmarkEnd w:id="218"/>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2694"/>
        <w:gridCol w:w="2197"/>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9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6"/>
                <w:sz w:val="18"/>
                <w:szCs w:val="18"/>
              </w:rPr>
              <w:t>月发布了《关于修订印发</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年度一般 </w:t>
            </w:r>
            <w:r>
              <w:rPr>
                <w:rFonts w:ascii="宋体" w:hAnsi="宋体" w:cs="宋体" w:eastAsia="宋体" w:hint="default"/>
                <w:spacing w:val="-4"/>
                <w:sz w:val="18"/>
                <w:szCs w:val="18"/>
              </w:rPr>
              <w:t>企业财务报表格式的通知》（财会</w:t>
            </w:r>
            <w:r>
              <w:rPr>
                <w:rFonts w:ascii="宋体" w:hAnsi="宋体" w:cs="宋体" w:eastAsia="宋体" w:hint="default"/>
                <w:spacing w:val="-4"/>
                <w:sz w:val="18"/>
                <w:szCs w:val="18"/>
              </w:rPr>
              <w:t>[2018]15</w:t>
            </w:r>
            <w:r>
              <w:rPr>
                <w:rFonts w:ascii="宋体" w:hAnsi="宋体" w:cs="宋体" w:eastAsia="宋体" w:hint="default"/>
                <w:spacing w:val="-46"/>
                <w:sz w:val="18"/>
                <w:szCs w:val="18"/>
              </w:rPr>
              <w:t> </w:t>
            </w:r>
            <w:r>
              <w:rPr>
                <w:rFonts w:ascii="宋体" w:hAnsi="宋体" w:cs="宋体" w:eastAsia="宋体" w:hint="default"/>
                <w:spacing w:val="-13"/>
                <w:sz w:val="18"/>
                <w:szCs w:val="18"/>
              </w:rPr>
              <w:t>号），本公司根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据相关要求按照一般企业财务报表格式（适用于尚未执行新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金融准则和新收入准则的企业）编制财务报表：（</w:t>
            </w:r>
            <w:r>
              <w:rPr>
                <w:rFonts w:ascii="宋体" w:hAnsi="宋体" w:cs="宋体" w:eastAsia="宋体" w:hint="default"/>
                <w:spacing w:val="-6"/>
                <w:sz w:val="18"/>
                <w:szCs w:val="18"/>
              </w:rPr>
              <w:t>1</w:t>
            </w:r>
            <w:r>
              <w:rPr>
                <w:rFonts w:ascii="宋体" w:hAnsi="宋体" w:cs="宋体" w:eastAsia="宋体" w:hint="default"/>
                <w:spacing w:val="-6"/>
                <w:sz w:val="18"/>
                <w:szCs w:val="18"/>
              </w:rPr>
              <w:t>）原“应</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已经</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日召开的公司 第七届董事会第十四次会议审议 批准。</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根据上述列报要求，应相应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追溯重述比较报表。</w:t>
            </w:r>
          </w:p>
        </w:tc>
      </w:tr>
    </w:tbl>
    <w:p>
      <w:pPr>
        <w:spacing w:after="0" w:line="316"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8"/>
        <w:gridCol w:w="2694"/>
        <w:gridCol w:w="2197"/>
      </w:tblGrid>
      <w:tr>
        <w:trPr>
          <w:trHeight w:val="4107"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pacing w:val="-3"/>
                <w:sz w:val="18"/>
                <w:szCs w:val="18"/>
              </w:rPr>
              <w:t>收票据”和“应收账款”项目，合并为“应收票据及应收账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2"/>
                <w:sz w:val="18"/>
                <w:szCs w:val="18"/>
              </w:rPr>
              <w:t>款”项目；（</w:t>
            </w:r>
            <w:r>
              <w:rPr>
                <w:rFonts w:ascii="宋体" w:hAnsi="宋体" w:cs="宋体" w:eastAsia="宋体" w:hint="default"/>
                <w:spacing w:val="-12"/>
                <w:sz w:val="18"/>
                <w:szCs w:val="18"/>
              </w:rPr>
              <w:t>2</w:t>
            </w:r>
            <w:r>
              <w:rPr>
                <w:rFonts w:ascii="宋体" w:hAnsi="宋体" w:cs="宋体" w:eastAsia="宋体" w:hint="default"/>
                <w:spacing w:val="-12"/>
                <w:sz w:val="18"/>
                <w:szCs w:val="18"/>
              </w:rPr>
              <w:t>）原“应收利息”、“应收股利”项目并入“其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他应收款”项目列报；（</w:t>
            </w:r>
            <w:r>
              <w:rPr>
                <w:rFonts w:ascii="宋体" w:hAnsi="宋体" w:cs="宋体" w:eastAsia="宋体" w:hint="default"/>
                <w:spacing w:val="-4"/>
                <w:sz w:val="18"/>
                <w:szCs w:val="18"/>
              </w:rPr>
              <w:t>3</w:t>
            </w:r>
            <w:r>
              <w:rPr>
                <w:rFonts w:ascii="宋体" w:hAnsi="宋体" w:cs="宋体" w:eastAsia="宋体" w:hint="default"/>
                <w:spacing w:val="-4"/>
                <w:sz w:val="18"/>
                <w:szCs w:val="18"/>
              </w:rPr>
              <w:t>）原“固定资产清理”项目并入</w:t>
            </w:r>
            <w:r>
              <w:rPr>
                <w:rFonts w:ascii="宋体" w:hAnsi="宋体" w:cs="宋体" w:eastAsia="宋体" w:hint="default"/>
                <w:spacing w:val="-76"/>
                <w:sz w:val="18"/>
                <w:szCs w:val="18"/>
              </w:rPr>
              <w:t> </w:t>
            </w:r>
            <w:r>
              <w:rPr>
                <w:rFonts w:ascii="宋体" w:hAnsi="宋体" w:cs="宋体" w:eastAsia="宋体" w:hint="default"/>
                <w:spacing w:val="-4"/>
                <w:sz w:val="18"/>
                <w:szCs w:val="18"/>
              </w:rPr>
              <w:t>“固定资产”项目中列报；（</w:t>
            </w:r>
            <w:r>
              <w:rPr>
                <w:rFonts w:ascii="宋体" w:hAnsi="宋体" w:cs="宋体" w:eastAsia="宋体" w:hint="default"/>
                <w:spacing w:val="-4"/>
                <w:sz w:val="18"/>
                <w:szCs w:val="18"/>
              </w:rPr>
              <w:t>4</w:t>
            </w:r>
            <w:r>
              <w:rPr>
                <w:rFonts w:ascii="宋体" w:hAnsi="宋体" w:cs="宋体" w:eastAsia="宋体" w:hint="default"/>
                <w:spacing w:val="-4"/>
                <w:sz w:val="18"/>
                <w:szCs w:val="18"/>
              </w:rPr>
              <w:t>）原“工程物资”项目并入</w:t>
            </w:r>
            <w:r>
              <w:rPr>
                <w:rFonts w:ascii="宋体" w:hAnsi="宋体" w:cs="宋体" w:eastAsia="宋体" w:hint="default"/>
                <w:spacing w:val="-76"/>
                <w:sz w:val="18"/>
                <w:szCs w:val="18"/>
              </w:rPr>
              <w:t> </w:t>
            </w:r>
            <w:r>
              <w:rPr>
                <w:rFonts w:ascii="宋体" w:hAnsi="宋体" w:cs="宋体" w:eastAsia="宋体" w:hint="default"/>
                <w:spacing w:val="-6"/>
                <w:sz w:val="18"/>
                <w:szCs w:val="18"/>
              </w:rPr>
              <w:t>“在建工程”项目中列报；（</w:t>
            </w:r>
            <w:r>
              <w:rPr>
                <w:rFonts w:ascii="宋体" w:hAnsi="宋体" w:cs="宋体" w:eastAsia="宋体" w:hint="default"/>
                <w:spacing w:val="-6"/>
                <w:sz w:val="18"/>
                <w:szCs w:val="18"/>
              </w:rPr>
              <w:t>5</w:t>
            </w:r>
            <w:r>
              <w:rPr>
                <w:rFonts w:ascii="宋体" w:hAnsi="宋体" w:cs="宋体" w:eastAsia="宋体" w:hint="default"/>
                <w:spacing w:val="-6"/>
                <w:sz w:val="18"/>
                <w:szCs w:val="18"/>
              </w:rPr>
              <w:t>）原“应付票据”和“应付账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2"/>
                <w:sz w:val="18"/>
                <w:szCs w:val="18"/>
              </w:rPr>
              <w:t>款”项目，合并为“应付票据及应付账款”项目；（</w:t>
            </w:r>
            <w:r>
              <w:rPr>
                <w:rFonts w:ascii="宋体" w:hAnsi="宋体" w:cs="宋体" w:eastAsia="宋体" w:hint="default"/>
                <w:spacing w:val="-12"/>
                <w:sz w:val="18"/>
                <w:szCs w:val="18"/>
              </w:rPr>
              <w:t>6</w:t>
            </w:r>
            <w:r>
              <w:rPr>
                <w:rFonts w:ascii="宋体" w:hAnsi="宋体" w:cs="宋体" w:eastAsia="宋体" w:hint="default"/>
                <w:spacing w:val="-12"/>
                <w:sz w:val="18"/>
                <w:szCs w:val="18"/>
              </w:rPr>
              <w:t>）原“应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付利息”、“应付股利”项目并入“其他应付款”项目列 </w:t>
            </w:r>
            <w:r>
              <w:rPr>
                <w:rFonts w:ascii="宋体" w:hAnsi="宋体" w:cs="宋体" w:eastAsia="宋体" w:hint="default"/>
                <w:spacing w:val="-6"/>
                <w:sz w:val="18"/>
                <w:szCs w:val="18"/>
              </w:rPr>
              <w:t>报；（</w:t>
            </w:r>
            <w:r>
              <w:rPr>
                <w:rFonts w:ascii="宋体" w:hAnsi="宋体" w:cs="宋体" w:eastAsia="宋体" w:hint="default"/>
                <w:spacing w:val="-6"/>
                <w:sz w:val="18"/>
                <w:szCs w:val="18"/>
              </w:rPr>
              <w:t>7</w:t>
            </w:r>
            <w:r>
              <w:rPr>
                <w:rFonts w:ascii="宋体" w:hAnsi="宋体" w:cs="宋体" w:eastAsia="宋体" w:hint="default"/>
                <w:spacing w:val="-6"/>
                <w:sz w:val="18"/>
                <w:szCs w:val="18"/>
              </w:rPr>
              <w:t>）原“专项应付款”项目并入“长期应付款”项目中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列报；（</w:t>
            </w:r>
            <w:r>
              <w:rPr>
                <w:rFonts w:ascii="宋体" w:hAnsi="宋体" w:cs="宋体" w:eastAsia="宋体" w:hint="default"/>
                <w:spacing w:val="-6"/>
                <w:sz w:val="18"/>
                <w:szCs w:val="18"/>
              </w:rPr>
              <w:t>8</w:t>
            </w:r>
            <w:r>
              <w:rPr>
                <w:rFonts w:ascii="宋体" w:hAnsi="宋体" w:cs="宋体" w:eastAsia="宋体" w:hint="default"/>
                <w:spacing w:val="-6"/>
                <w:sz w:val="18"/>
                <w:szCs w:val="18"/>
              </w:rPr>
              <w:t>）进行研究与开发过程中发生的费用化支出，列示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于“研发费用”项目，不再列示于“管理费用”项目；（</w:t>
            </w:r>
            <w:r>
              <w:rPr>
                <w:rFonts w:ascii="宋体" w:hAnsi="宋体" w:cs="宋体" w:eastAsia="宋体" w:hint="default"/>
                <w:spacing w:val="-4"/>
                <w:sz w:val="18"/>
                <w:szCs w:val="18"/>
              </w:rPr>
              <w:t>9</w:t>
            </w:r>
            <w:r>
              <w:rPr>
                <w:rFonts w:ascii="宋体" w:hAnsi="宋体" w:cs="宋体" w:eastAsia="宋体" w:hint="default"/>
                <w:spacing w:val="-4"/>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在财务费用项目下分拆“利息费用”和“利息收入”明细 </w:t>
            </w:r>
            <w:r>
              <w:rPr>
                <w:rFonts w:ascii="宋体" w:hAnsi="宋体" w:cs="宋体" w:eastAsia="宋体" w:hint="default"/>
                <w:spacing w:val="-4"/>
                <w:sz w:val="18"/>
                <w:szCs w:val="18"/>
              </w:rPr>
              <w:t>项目；（</w:t>
            </w:r>
            <w:r>
              <w:rPr>
                <w:rFonts w:ascii="宋体" w:hAnsi="宋体" w:cs="宋体" w:eastAsia="宋体" w:hint="default"/>
                <w:spacing w:val="-4"/>
                <w:sz w:val="18"/>
                <w:szCs w:val="18"/>
              </w:rPr>
              <w:t>10</w:t>
            </w:r>
            <w:r>
              <w:rPr>
                <w:rFonts w:ascii="宋体" w:hAnsi="宋体" w:cs="宋体" w:eastAsia="宋体" w:hint="default"/>
                <w:spacing w:val="-4"/>
                <w:sz w:val="18"/>
                <w:szCs w:val="18"/>
              </w:rPr>
              <w:t>）股东权益变动表中新增“设定受益计划变动额</w:t>
            </w:r>
            <w:r>
              <w:rPr>
                <w:rFonts w:ascii="宋体" w:hAnsi="宋体" w:cs="宋体" w:eastAsia="宋体" w:hint="default"/>
                <w:spacing w:val="-72"/>
                <w:sz w:val="18"/>
                <w:szCs w:val="18"/>
              </w:rPr>
              <w:t> </w:t>
            </w:r>
            <w:r>
              <w:rPr>
                <w:rFonts w:ascii="宋体" w:hAnsi="宋体" w:cs="宋体" w:eastAsia="宋体" w:hint="default"/>
                <w:sz w:val="18"/>
                <w:szCs w:val="18"/>
              </w:rPr>
              <w:t>结转留存收益”项目。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4097" w:lineRule="exact"/>
              <w:ind w:right="-50"/>
              <w:jc w:val="left"/>
              <w:rPr>
                <w:rFonts w:ascii="宋体" w:hAnsi="宋体" w:cs="宋体" w:eastAsia="宋体" w:hint="default"/>
                <w:sz w:val="20"/>
                <w:szCs w:val="20"/>
              </w:rPr>
            </w:pPr>
            <w:r>
              <w:rPr>
                <w:rFonts w:ascii="宋体" w:hAnsi="宋体" w:cs="宋体" w:eastAsia="宋体" w:hint="default"/>
                <w:position w:val="-81"/>
                <w:sz w:val="20"/>
                <w:szCs w:val="20"/>
              </w:rPr>
              <w:pict>
                <v:group style="width:134.2pt;height:204.9pt;mso-position-horizontal-relative:char;mso-position-vertical-relative:line" coordorigin="0,0" coordsize="2684,4098">
                  <v:group style="position:absolute;left:0;top:0;width:2684;height:4098" coordorigin="0,0" coordsize="2684,4098">
                    <v:shape style="position:absolute;left:0;top:0;width:2684;height:4098" coordorigin="0,0" coordsize="2684,4098" path="m0,4097l2684,4097,2684,0,0,0,0,4097xe" filled="true" fillcolor="#ffffff" stroked="false">
                      <v:path arrowok="t"/>
                      <v:fill type="solid"/>
                    </v:shape>
                  </v:group>
                </v:group>
              </w:pict>
            </w:r>
            <w:r>
              <w:rPr>
                <w:rFonts w:ascii="宋体" w:hAnsi="宋体" w:cs="宋体" w:eastAsia="宋体" w:hint="default"/>
                <w:position w:val="-81"/>
                <w:sz w:val="20"/>
                <w:szCs w:val="20"/>
              </w:rPr>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pacing w:val="-9"/>
                <w:sz w:val="18"/>
                <w:szCs w:val="18"/>
              </w:rPr>
              <w:t>月发布了《关于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年度一般企业财务 </w:t>
            </w:r>
            <w:r>
              <w:rPr>
                <w:rFonts w:ascii="宋体" w:hAnsi="宋体" w:cs="宋体" w:eastAsia="宋体" w:hint="default"/>
                <w:spacing w:val="-4"/>
                <w:sz w:val="18"/>
                <w:szCs w:val="18"/>
              </w:rPr>
              <w:t>报表格式有关问题的解读》，根据《中华人民共和国个人所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得税法》收到的扣缴税款手续费，应作为其他与日常活动相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关的项目在利润表的“其他收益”项目中填列。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已经</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日召开的公司 第七届董事会第十四次会议审议 批准。</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根据财务报表列报相关规 </w:t>
            </w:r>
            <w:r>
              <w:rPr>
                <w:rFonts w:ascii="宋体" w:hAnsi="宋体" w:cs="宋体" w:eastAsia="宋体" w:hint="default"/>
                <w:spacing w:val="-2"/>
                <w:sz w:val="18"/>
                <w:szCs w:val="18"/>
              </w:rPr>
              <w:t>定，应对可比期间的比较数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据进行调整。</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上述变更仅涉及公司财务报表项目的列报变化</w:t>
      </w:r>
      <w:r>
        <w:rPr>
          <w:spacing w:val="-88"/>
        </w:rPr>
        <w:t>，</w:t>
      </w:r>
      <w:r>
        <w:rPr/>
        <w:t>对公司资产总额</w:t>
      </w:r>
      <w:r>
        <w:rPr>
          <w:spacing w:val="-88"/>
        </w:rPr>
        <w:t>、</w:t>
      </w:r>
      <w:r>
        <w:rPr/>
        <w:t>负债总额</w:t>
      </w:r>
      <w:r>
        <w:rPr>
          <w:spacing w:val="-88"/>
        </w:rPr>
        <w:t>、</w:t>
      </w:r>
      <w:r>
        <w:rPr/>
        <w:t>所有者权益以及净利润均不产</w:t>
      </w:r>
      <w:r>
        <w:rPr>
          <w:spacing w:val="1"/>
        </w:rPr>
        <w:t>生</w:t>
      </w:r>
      <w:r>
        <w:rPr/>
        <w:t>重大影响。</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会计估计变更" w:id="219"/>
      <w:bookmarkEnd w:id="219"/>
      <w:r>
        <w:rPr>
          <w:b w:val="0"/>
          <w:bCs w:val="0"/>
        </w:rPr>
      </w: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税项" w:id="220"/>
      <w:bookmarkEnd w:id="22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1"/>
      <w:bookmarkEnd w:id="221"/>
      <w:r>
        <w:rPr>
          <w:b w:val="0"/>
          <w:bCs w:val="0"/>
        </w:rPr>
      </w: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收入为基础计算的销项税额扣除允许抵 扣的进项税后的余额缴纳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0.5%</w:t>
            </w:r>
          </w:p>
        </w:tc>
      </w:tr>
    </w:tbl>
    <w:p>
      <w:pPr>
        <w:spacing w:line="240" w:lineRule="auto" w:before="9"/>
        <w:rPr>
          <w:rFonts w:ascii="宋体" w:hAnsi="宋体" w:cs="宋体" w:eastAsia="宋体" w:hint="default"/>
          <w:b/>
          <w:bCs/>
          <w:sz w:val="6"/>
          <w:szCs w:val="6"/>
        </w:rPr>
      </w:pPr>
    </w:p>
    <w:p>
      <w:pPr>
        <w:pStyle w:val="BodyText"/>
        <w:spacing w:line="240" w:lineRule="auto" w:before="44"/>
        <w:ind w:right="0"/>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2"/>
      <w:bookmarkEnd w:id="222"/>
      <w:r>
        <w:rPr>
          <w:b w:val="0"/>
          <w:bCs w:val="0"/>
        </w:rPr>
      </w:r>
      <w:r>
        <w:rPr>
          <w:rFonts w:ascii="宋体" w:hAnsi="宋体" w:cs="宋体" w:eastAsia="宋体" w:hint="default"/>
        </w:rPr>
        <w:t>2</w:t>
      </w:r>
      <w:r>
        <w:rPr/>
        <w:t>、税收优惠</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1116"/>
        <w:jc w:val="left"/>
      </w:pPr>
      <w:r>
        <w:rPr/>
        <w:t>公司</w:t>
      </w:r>
      <w:r>
        <w:rPr>
          <w:rFonts w:ascii="宋体" w:hAnsi="宋体" w:cs="宋体" w:eastAsia="宋体" w:hint="default"/>
        </w:rPr>
        <w:t>2017</w:t>
      </w:r>
      <w:r>
        <w:rPr/>
        <w:t>年被认定为高新技术企业，证书号为</w:t>
      </w:r>
      <w:r>
        <w:rPr>
          <w:rFonts w:ascii="宋体" w:hAnsi="宋体" w:cs="宋体" w:eastAsia="宋体" w:hint="default"/>
        </w:rPr>
        <w:t>GR201742000738</w:t>
      </w:r>
      <w:r>
        <w:rPr/>
        <w:t>，有效期</w:t>
      </w:r>
      <w:r>
        <w:rPr>
          <w:rFonts w:ascii="宋体" w:hAnsi="宋体" w:cs="宋体" w:eastAsia="宋体" w:hint="default"/>
        </w:rPr>
        <w:t>3</w:t>
      </w:r>
      <w:r>
        <w:rPr/>
        <w:t>年，企业所得税率按</w:t>
      </w:r>
      <w:r>
        <w:rPr>
          <w:rFonts w:ascii="宋体" w:hAnsi="宋体" w:cs="宋体" w:eastAsia="宋体" w:hint="default"/>
        </w:rPr>
        <w:t>15%</w:t>
      </w:r>
      <w:r>
        <w:rPr/>
        <w:t>的优惠税率征收。 </w:t>
      </w:r>
      <w:r>
        <w:rPr>
          <w:spacing w:val="-5"/>
        </w:rPr>
        <w:t>子公司擎动网络</w:t>
      </w:r>
      <w:r>
        <w:rPr>
          <w:rFonts w:ascii="宋体" w:hAnsi="宋体" w:cs="宋体" w:eastAsia="宋体" w:hint="default"/>
          <w:spacing w:val="-5"/>
        </w:rPr>
        <w:t>2016</w:t>
      </w:r>
      <w:r>
        <w:rPr>
          <w:spacing w:val="-5"/>
        </w:rPr>
        <w:t>年被认定为高新技术企业，证书号</w:t>
      </w:r>
      <w:r>
        <w:rPr>
          <w:rFonts w:ascii="宋体" w:hAnsi="宋体" w:cs="宋体" w:eastAsia="宋体" w:hint="default"/>
          <w:spacing w:val="-5"/>
        </w:rPr>
        <w:t>GR201642000751</w:t>
      </w:r>
      <w:r>
        <w:rPr>
          <w:spacing w:val="-5"/>
        </w:rPr>
        <w:t>，有效期</w:t>
      </w:r>
      <w:r>
        <w:rPr>
          <w:rFonts w:ascii="宋体" w:hAnsi="宋体" w:cs="宋体" w:eastAsia="宋体" w:hint="default"/>
          <w:spacing w:val="-5"/>
        </w:rPr>
        <w:t>3</w:t>
      </w:r>
      <w:r>
        <w:rPr>
          <w:spacing w:val="-5"/>
        </w:rPr>
        <w:t>年，企业所得税按</w:t>
      </w:r>
      <w:r>
        <w:rPr>
          <w:rFonts w:ascii="宋体" w:hAnsi="宋体" w:cs="宋体" w:eastAsia="宋体" w:hint="default"/>
          <w:spacing w:val="-5"/>
        </w:rPr>
        <w:t>15%</w:t>
      </w:r>
      <w:r>
        <w:rPr>
          <w:spacing w:val="-5"/>
        </w:rPr>
        <w:t>的优惠税率征收。</w:t>
      </w:r>
      <w:r>
        <w:rPr>
          <w:spacing w:val="-34"/>
        </w:rPr>
        <w:t> </w:t>
      </w:r>
      <w:r>
        <w:rPr>
          <w:spacing w:val="-5"/>
        </w:rPr>
        <w:t>子公司湖北百旺</w:t>
      </w:r>
      <w:r>
        <w:rPr>
          <w:rFonts w:ascii="宋体" w:hAnsi="宋体" w:cs="宋体" w:eastAsia="宋体" w:hint="default"/>
          <w:spacing w:val="-5"/>
        </w:rPr>
        <w:t>2017</w:t>
      </w:r>
      <w:r>
        <w:rPr>
          <w:spacing w:val="-5"/>
        </w:rPr>
        <w:t>年被认定为高新技术企业，证书号</w:t>
      </w:r>
      <w:r>
        <w:rPr>
          <w:rFonts w:ascii="宋体" w:hAnsi="宋体" w:cs="宋体" w:eastAsia="宋体" w:hint="default"/>
          <w:spacing w:val="-5"/>
        </w:rPr>
        <w:t>GR201742000506</w:t>
      </w:r>
      <w:r>
        <w:rPr>
          <w:spacing w:val="-5"/>
        </w:rPr>
        <w:t>，有效期</w:t>
      </w:r>
      <w:r>
        <w:rPr>
          <w:rFonts w:ascii="宋体" w:hAnsi="宋体" w:cs="宋体" w:eastAsia="宋体" w:hint="default"/>
          <w:spacing w:val="-5"/>
        </w:rPr>
        <w:t>3</w:t>
      </w:r>
      <w:r>
        <w:rPr>
          <w:spacing w:val="-5"/>
        </w:rPr>
        <w:t>年，企业所得税按</w:t>
      </w:r>
      <w:r>
        <w:rPr>
          <w:rFonts w:ascii="宋体" w:hAnsi="宋体" w:cs="宋体" w:eastAsia="宋体" w:hint="default"/>
          <w:spacing w:val="-5"/>
        </w:rPr>
        <w:t>15%</w:t>
      </w:r>
      <w:r>
        <w:rPr>
          <w:spacing w:val="-5"/>
        </w:rPr>
        <w:t>的优惠税率征收。</w:t>
      </w:r>
      <w:r>
        <w:rPr>
          <w:spacing w:val="-34"/>
        </w:rPr>
        <w:t> </w:t>
      </w:r>
      <w:r>
        <w:rPr>
          <w:spacing w:val="-5"/>
        </w:rPr>
        <w:t>子公司聚联网络</w:t>
      </w:r>
      <w:r>
        <w:rPr>
          <w:rFonts w:ascii="宋体" w:hAnsi="宋体" w:cs="宋体" w:eastAsia="宋体" w:hint="default"/>
          <w:spacing w:val="-5"/>
        </w:rPr>
        <w:t>2018</w:t>
      </w:r>
      <w:r>
        <w:rPr>
          <w:spacing w:val="-5"/>
        </w:rPr>
        <w:t>年被认定为高新技术企业，证书号</w:t>
      </w:r>
      <w:r>
        <w:rPr>
          <w:rFonts w:ascii="宋体" w:hAnsi="宋体" w:cs="宋体" w:eastAsia="宋体" w:hint="default"/>
          <w:spacing w:val="-5"/>
        </w:rPr>
        <w:t>GR201842001293</w:t>
      </w:r>
      <w:r>
        <w:rPr>
          <w:spacing w:val="-5"/>
        </w:rPr>
        <w:t>，有效期</w:t>
      </w:r>
      <w:r>
        <w:rPr>
          <w:rFonts w:ascii="宋体" w:hAnsi="宋体" w:cs="宋体" w:eastAsia="宋体" w:hint="default"/>
          <w:spacing w:val="-5"/>
        </w:rPr>
        <w:t>3</w:t>
      </w:r>
      <w:r>
        <w:rPr>
          <w:spacing w:val="-5"/>
        </w:rPr>
        <w:t>年，企业所得税按</w:t>
      </w:r>
      <w:r>
        <w:rPr>
          <w:rFonts w:ascii="宋体" w:hAnsi="宋体" w:cs="宋体" w:eastAsia="宋体" w:hint="default"/>
          <w:spacing w:val="-5"/>
        </w:rPr>
        <w:t>15%</w:t>
      </w:r>
      <w:r>
        <w:rPr>
          <w:spacing w:val="-5"/>
        </w:rPr>
        <w:t>的优惠税率征收。</w:t>
      </w:r>
      <w:r>
        <w:rPr>
          <w:spacing w:val="-34"/>
        </w:rPr>
        <w:t> </w:t>
      </w:r>
      <w:r>
        <w:rPr>
          <w:spacing w:val="-10"/>
        </w:rPr>
        <w:t>根据《财政部</w:t>
      </w:r>
      <w:r>
        <w:rPr>
          <w:spacing w:val="36"/>
        </w:rPr>
        <w:t> </w:t>
      </w:r>
      <w:r>
        <w:rPr>
          <w:spacing w:val="-3"/>
        </w:rPr>
        <w:t>国家税务总局关于进一步鼓励软件产业和集成电路产业发展企业所得税政策的通知》（财税</w:t>
      </w:r>
      <w:r>
        <w:rPr>
          <w:rFonts w:ascii="宋体" w:hAnsi="宋体" w:cs="宋体" w:eastAsia="宋体" w:hint="default"/>
          <w:spacing w:val="-3"/>
        </w:rPr>
        <w:t>[2012]27</w:t>
      </w:r>
      <w:r>
        <w:rPr>
          <w:spacing w:val="-3"/>
        </w:rPr>
        <w:t>号）</w:t>
      </w:r>
    </w:p>
    <w:p>
      <w:pPr>
        <w:pStyle w:val="BodyText"/>
        <w:spacing w:line="224" w:lineRule="exact"/>
        <w:ind w:right="0"/>
        <w:jc w:val="left"/>
      </w:pPr>
      <w:r>
        <w:rPr/>
        <w:t>相关规定，我国境内新办的集成电路设计企业和符合条件的软件企业，经认定后，在</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日前自获利年度起计算优</w:t>
      </w:r>
    </w:p>
    <w:p>
      <w:pPr>
        <w:pStyle w:val="BodyText"/>
        <w:spacing w:line="319" w:lineRule="auto" w:before="76"/>
        <w:ind w:right="1122"/>
        <w:jc w:val="left"/>
      </w:pPr>
      <w:r>
        <w:rPr/>
        <w:t>惠期，第一年至第二年免征企业所得税，第三年至第五年按照</w:t>
      </w:r>
      <w:r>
        <w:rPr>
          <w:rFonts w:ascii="宋体" w:hAnsi="宋体" w:cs="宋体" w:eastAsia="宋体" w:hint="default"/>
        </w:rPr>
        <w:t>25%</w:t>
      </w:r>
      <w:r>
        <w:rPr/>
        <w:t>的法定税率减半征收企业所得税，并享受至期满为止。报 告期内，子公司现代教育企业所得税率按</w:t>
      </w:r>
      <w:r>
        <w:rPr>
          <w:rFonts w:ascii="宋体" w:hAnsi="宋体" w:cs="宋体" w:eastAsia="宋体" w:hint="default"/>
        </w:rPr>
        <w:t>25%</w:t>
      </w:r>
      <w:r>
        <w:rPr/>
        <w:t>的法定税率减半征收。</w:t>
      </w:r>
    </w:p>
    <w:p>
      <w:pPr>
        <w:pStyle w:val="BodyText"/>
        <w:spacing w:line="319" w:lineRule="auto" w:before="55"/>
        <w:ind w:right="1119" w:firstLine="360"/>
        <w:jc w:val="left"/>
      </w:pPr>
      <w:r>
        <w:rPr>
          <w:spacing w:val="-3"/>
        </w:rPr>
        <w:t>根据《财政部</w:t>
      </w:r>
      <w:r>
        <w:rPr>
          <w:spacing w:val="31"/>
        </w:rPr>
        <w:t> </w:t>
      </w:r>
      <w:r>
        <w:rPr>
          <w:spacing w:val="-2"/>
        </w:rPr>
        <w:t>国家税务总局关于软件产品增值税政策的通知》（财税</w:t>
      </w:r>
      <w:r>
        <w:rPr>
          <w:rFonts w:ascii="宋体" w:hAnsi="宋体" w:cs="宋体" w:eastAsia="宋体" w:hint="default"/>
          <w:spacing w:val="-2"/>
        </w:rPr>
        <w:t>[2011]100</w:t>
      </w:r>
      <w:r>
        <w:rPr>
          <w:spacing w:val="-2"/>
        </w:rPr>
        <w:t>号）相关规定，增值税一般纳税人销售</w:t>
      </w:r>
      <w:r>
        <w:rPr/>
        <w:t> 其自行开发生产的软件产品，按适用税率征收增值税后，对其增值税实际税负超过</w:t>
      </w:r>
      <w:r>
        <w:rPr>
          <w:rFonts w:ascii="宋体" w:hAnsi="宋体" w:cs="宋体" w:eastAsia="宋体" w:hint="default"/>
        </w:rPr>
        <w:t>3%</w:t>
      </w:r>
      <w:r>
        <w:rPr/>
        <w:t>的部分实行即征即退政策。</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23"/>
      <w:bookmarkEnd w:id="223"/>
      <w:r>
        <w:rPr>
          <w:b w:val="0"/>
          <w:bCs w:val="0"/>
        </w:rPr>
      </w: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4"/>
      <w:bookmarkEnd w:id="224"/>
      <w:r>
        <w:rPr>
          <w:b w:val="0"/>
          <w:bCs w:val="0"/>
        </w:rPr>
      </w:r>
      <w:r>
        <w:rPr>
          <w:rFonts w:ascii="宋体" w:hAnsi="宋体" w:cs="宋体" w:eastAsia="宋体" w:hint="default"/>
        </w:rPr>
        <w:t>1</w:t>
      </w:r>
      <w:r>
        <w:rPr/>
        <w:t>、货币资金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376,895,420.50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365,697,927.58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75,474,739.14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19,170,493.51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452,372,720.29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384,869,771.51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票据及应收账款" w:id="225"/>
      <w:bookmarkEnd w:id="225"/>
      <w:r>
        <w:rPr>
          <w:b w:val="0"/>
          <w:bCs w:val="0"/>
        </w:rPr>
      </w:r>
      <w:r>
        <w:rPr>
          <w:rFonts w:ascii="宋体" w:hAnsi="宋体" w:cs="宋体" w:eastAsia="宋体" w:hint="default"/>
        </w:rPr>
        <w:t>2</w:t>
      </w:r>
      <w:r>
        <w:rPr/>
        <w:t>、应收票据及应收账款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107,813,149.59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732,900,766.71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514,420,932.15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840,713,916.30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514,820,932.15</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535" w:lineRule="auto" w:before="35"/>
        <w:ind w:left="534" w:right="8749"/>
        <w:jc w:val="left"/>
        <w:rPr>
          <w:b w:val="0"/>
          <w:bCs w:val="0"/>
        </w:rPr>
      </w:pPr>
      <w:bookmarkStart w:name="（1）应收票据" w:id="226"/>
      <w:bookmarkEnd w:id="226"/>
      <w:r>
        <w:rPr>
          <w:b w:val="0"/>
          <w:bCs w:val="0"/>
        </w:rPr>
      </w:r>
      <w:r>
        <w:rPr/>
        <w:t>（</w:t>
      </w:r>
      <w:r>
        <w:rPr>
          <w:rFonts w:ascii="宋体" w:hAnsi="宋体" w:cs="宋体" w:eastAsia="宋体" w:hint="default"/>
        </w:rPr>
        <w:t>1</w:t>
      </w:r>
      <w:r>
        <w:rPr/>
        <w:t>）应收票据</w:t>
      </w:r>
      <w:r>
        <w:rPr>
          <w:w w:val="99"/>
        </w:rPr>
        <w:t> </w:t>
      </w:r>
      <w:bookmarkStart w:name="1）应收票据分类列示" w:id="227"/>
      <w:bookmarkEnd w:id="227"/>
      <w:r>
        <w:rPr>
          <w:w w:val="99"/>
        </w:rPr>
      </w:r>
      <w:r>
        <w:rPr>
          <w:rFonts w:ascii="宋体" w:hAnsi="宋体" w:cs="宋体" w:eastAsia="宋体" w:hint="default"/>
        </w:rPr>
        <w:t>1</w:t>
      </w:r>
      <w:r>
        <w:rPr/>
        <w:t>）应收票据分类列示</w:t>
      </w:r>
      <w:r>
        <w:rPr>
          <w:b w:val="0"/>
          <w:bCs w:val="0"/>
        </w:rPr>
      </w:r>
    </w:p>
    <w:p>
      <w:pPr>
        <w:pStyle w:val="BodyText"/>
        <w:spacing w:line="240" w:lineRule="auto" w:before="10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107,508,149.59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107,813,149.59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400,000.00</w:t>
            </w:r>
          </w:p>
        </w:tc>
      </w:tr>
    </w:tbl>
    <w:p>
      <w:pPr>
        <w:spacing w:line="240" w:lineRule="auto" w:before="2"/>
        <w:rPr>
          <w:rFonts w:ascii="宋体" w:hAnsi="宋体" w:cs="宋体" w:eastAsia="宋体" w:hint="default"/>
          <w:sz w:val="19"/>
          <w:szCs w:val="19"/>
        </w:rPr>
      </w:pPr>
    </w:p>
    <w:p>
      <w:pPr>
        <w:pStyle w:val="Heading3"/>
        <w:spacing w:line="240" w:lineRule="auto" w:before="35"/>
        <w:ind w:left="534" w:right="116"/>
        <w:jc w:val="left"/>
        <w:rPr>
          <w:b w:val="0"/>
          <w:bCs w:val="0"/>
        </w:rPr>
      </w:pPr>
      <w:bookmarkStart w:name="2）期末公司已背书或贴现且在资产负债表日尚未到期的应收票据" w:id="228"/>
      <w:bookmarkEnd w:id="228"/>
      <w:r>
        <w:rPr>
          <w:b w:val="0"/>
          <w:bCs w:val="0"/>
        </w:rPr>
      </w:r>
      <w:r>
        <w:rPr>
          <w:rFonts w:ascii="宋体" w:hAnsi="宋体" w:cs="宋体" w:eastAsia="宋体" w:hint="default"/>
        </w:rPr>
        <w:t>2</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147,171,000.00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147,171,000.00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34" w:right="8749"/>
        <w:jc w:val="left"/>
      </w:pPr>
      <w:r>
        <w:rPr/>
        <w:t>其他说明：</w:t>
      </w:r>
    </w:p>
    <w:p>
      <w:pPr>
        <w:spacing w:before="98"/>
        <w:ind w:left="894" w:right="116" w:firstLine="0"/>
        <w:jc w:val="left"/>
        <w:rPr>
          <w:rFonts w:ascii="宋体" w:hAnsi="宋体" w:cs="宋体" w:eastAsia="宋体" w:hint="default"/>
          <w:sz w:val="20"/>
          <w:szCs w:val="20"/>
        </w:rPr>
      </w:pPr>
      <w:r>
        <w:rPr>
          <w:rFonts w:ascii="宋体" w:hAnsi="宋体" w:cs="宋体" w:eastAsia="宋体" w:hint="default"/>
          <w:sz w:val="18"/>
          <w:szCs w:val="18"/>
        </w:rPr>
        <w:t>报告期末应收票据较期初增加</w:t>
      </w:r>
      <w:r>
        <w:rPr>
          <w:rFonts w:ascii="宋体" w:hAnsi="宋体" w:cs="宋体" w:eastAsia="宋体" w:hint="default"/>
          <w:sz w:val="18"/>
          <w:szCs w:val="18"/>
        </w:rPr>
        <w:t>26853.29%</w:t>
      </w:r>
      <w:r>
        <w:rPr>
          <w:rFonts w:ascii="宋体" w:hAnsi="宋体" w:cs="宋体" w:eastAsia="宋体" w:hint="default"/>
          <w:sz w:val="18"/>
          <w:szCs w:val="18"/>
        </w:rPr>
        <w:t>，</w:t>
      </w:r>
      <w:r>
        <w:rPr>
          <w:rFonts w:ascii="宋体" w:hAnsi="宋体" w:cs="宋体" w:eastAsia="宋体" w:hint="default"/>
          <w:sz w:val="20"/>
          <w:szCs w:val="20"/>
        </w:rPr>
        <w:t>主要由于金融终端业务票据结算量大幅增长。</w:t>
      </w:r>
    </w:p>
    <w:p>
      <w:pPr>
        <w:spacing w:line="240" w:lineRule="auto" w:before="2"/>
        <w:rPr>
          <w:rFonts w:ascii="宋体" w:hAnsi="宋体" w:cs="宋体" w:eastAsia="宋体" w:hint="default"/>
          <w:sz w:val="26"/>
          <w:szCs w:val="26"/>
        </w:rPr>
      </w:pPr>
    </w:p>
    <w:p>
      <w:pPr>
        <w:pStyle w:val="Heading3"/>
        <w:spacing w:line="535" w:lineRule="auto"/>
        <w:ind w:left="534" w:right="8749"/>
        <w:jc w:val="left"/>
        <w:rPr>
          <w:b w:val="0"/>
          <w:bCs w:val="0"/>
        </w:rPr>
      </w:pPr>
      <w:bookmarkStart w:name="（2）应收账款" w:id="229"/>
      <w:bookmarkEnd w:id="229"/>
      <w:r>
        <w:rPr>
          <w:b w:val="0"/>
          <w:bCs w:val="0"/>
        </w:rPr>
      </w:r>
      <w:r>
        <w:rPr/>
        <w:t>（</w:t>
      </w:r>
      <w:r>
        <w:rPr>
          <w:rFonts w:ascii="宋体" w:hAnsi="宋体" w:cs="宋体" w:eastAsia="宋体" w:hint="default"/>
        </w:rPr>
        <w:t>2</w:t>
      </w:r>
      <w:r>
        <w:rPr/>
        <w:t>）应收账款</w:t>
      </w:r>
      <w:r>
        <w:rPr>
          <w:w w:val="99"/>
        </w:rPr>
        <w:t> </w:t>
      </w:r>
      <w:bookmarkStart w:name="1）应收账款分类披露" w:id="230"/>
      <w:bookmarkEnd w:id="230"/>
      <w:r>
        <w:rPr>
          <w:w w:val="99"/>
        </w:rPr>
      </w:r>
      <w:r>
        <w:rPr>
          <w:rFonts w:ascii="宋体" w:hAnsi="宋体" w:cs="宋体" w:eastAsia="宋体" w:hint="default"/>
        </w:rPr>
        <w:t>1</w:t>
      </w:r>
      <w:r>
        <w:rPr/>
        <w:t>）应收账款分类披露</w:t>
      </w:r>
      <w:r>
        <w:rPr>
          <w:b w:val="0"/>
          <w:bCs w:val="0"/>
        </w:rPr>
      </w:r>
    </w:p>
    <w:p>
      <w:pPr>
        <w:pStyle w:val="BodyText"/>
        <w:spacing w:line="240" w:lineRule="auto" w:before="105"/>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134"/>
        <w:gridCol w:w="1134"/>
        <w:gridCol w:w="709"/>
        <w:gridCol w:w="1134"/>
        <w:gridCol w:w="551"/>
        <w:gridCol w:w="1294"/>
        <w:gridCol w:w="1134"/>
        <w:gridCol w:w="602"/>
        <w:gridCol w:w="1134"/>
        <w:gridCol w:w="533"/>
        <w:gridCol w:w="1133"/>
      </w:tblGrid>
      <w:tr>
        <w:trPr>
          <w:trHeight w:val="402"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8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134" w:type="dxa"/>
            <w:vMerge/>
            <w:tcBorders>
              <w:left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3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4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5"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20" w:right="119"/>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29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10" w:right="110"/>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33" w:type="dxa"/>
            <w:vMerge/>
            <w:tcBorders>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51"/>
              <w:jc w:val="both"/>
              <w:rPr>
                <w:rFonts w:ascii="宋体" w:hAnsi="宋体" w:cs="宋体" w:eastAsia="宋体" w:hint="default"/>
                <w:sz w:val="15"/>
                <w:szCs w:val="15"/>
              </w:rPr>
            </w:pPr>
            <w:r>
              <w:rPr>
                <w:rFonts w:ascii="宋体" w:hAnsi="宋体" w:cs="宋体" w:eastAsia="宋体" w:hint="default"/>
                <w:sz w:val="15"/>
                <w:szCs w:val="15"/>
              </w:rPr>
              <w:t>按信用风险特征 组合计提坏账准 备的应收账款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874,042,673.23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141,141,906.52</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5"/>
                <w:szCs w:val="15"/>
              </w:rPr>
            </w:pPr>
            <w:r>
              <w:rPr>
                <w:rFonts w:ascii="宋体"/>
                <w:spacing w:val="-1"/>
                <w:sz w:val="15"/>
              </w:rPr>
              <w:t>16.15%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732,900,766.71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635,629,464.35</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121,208,532.20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19.07%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514,420,932.15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874,042,673.23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1" w:right="0"/>
              <w:jc w:val="left"/>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141,141,906.52</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3"/>
              <w:jc w:val="right"/>
              <w:rPr>
                <w:rFonts w:ascii="宋体" w:hAnsi="宋体" w:cs="宋体" w:eastAsia="宋体" w:hint="default"/>
                <w:sz w:val="15"/>
                <w:szCs w:val="15"/>
              </w:rPr>
            </w:pPr>
            <w:r>
              <w:rPr>
                <w:rFonts w:ascii="宋体"/>
                <w:spacing w:val="-1"/>
                <w:sz w:val="15"/>
              </w:rPr>
              <w:t>16.15%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732,900,766.71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635,629,464.35</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center"/>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121,208,532.20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19.07%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514,420,932.15</w:t>
            </w:r>
          </w:p>
        </w:tc>
      </w:tr>
    </w:tbl>
    <w:p>
      <w:pPr>
        <w:spacing w:line="240" w:lineRule="auto" w:before="9"/>
        <w:rPr>
          <w:rFonts w:ascii="宋体" w:hAnsi="宋体" w:cs="宋体" w:eastAsia="宋体" w:hint="default"/>
          <w:sz w:val="6"/>
          <w:szCs w:val="6"/>
        </w:rPr>
      </w:pPr>
    </w:p>
    <w:p>
      <w:pPr>
        <w:pStyle w:val="BodyText"/>
        <w:spacing w:line="240" w:lineRule="auto" w:before="44"/>
        <w:ind w:left="534" w:right="116"/>
        <w:jc w:val="left"/>
      </w:pPr>
      <w:r>
        <w:rPr/>
        <w:t>期末单项金额重大并单项计提坏账准备的应收账款：</w:t>
      </w:r>
    </w:p>
    <w:p>
      <w:pPr>
        <w:pStyle w:val="BodyText"/>
        <w:spacing w:line="439" w:lineRule="auto" w:before="116"/>
        <w:ind w:left="534" w:right="6792"/>
        <w:jc w:val="left"/>
      </w:pPr>
      <w:r>
        <w:rPr/>
        <w:t>□ 适用 √ 不适用 组合中，按账龄分析法计提坏账准备的应收账款：</w:t>
      </w:r>
    </w:p>
    <w:p>
      <w:pPr>
        <w:pStyle w:val="BodyText"/>
        <w:spacing w:line="204" w:lineRule="exact"/>
        <w:ind w:left="534" w:right="8749"/>
        <w:jc w:val="left"/>
      </w:pPr>
      <w:r>
        <w:rPr/>
        <w:t>√ 适用 □ 不适用</w:t>
      </w:r>
    </w:p>
    <w:p>
      <w:pPr>
        <w:spacing w:after="0" w:line="204" w:lineRule="exact"/>
        <w:jc w:val="left"/>
        <w:sectPr>
          <w:pgSz w:w="11910" w:h="16840"/>
          <w:pgMar w:header="877" w:footer="1187" w:top="1100" w:bottom="1380" w:left="60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740,453,561.81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37,022,678.09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22,006,693.26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2,200,669.33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13,805,512.94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4,141,653.88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17,464,045.25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17,464,045.25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5,586,465.10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5,586,465.10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74,726,394.87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74,726,394.87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874,042,673.23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141,141,906.52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16.15%</w:t>
            </w:r>
          </w:p>
        </w:tc>
      </w:tr>
    </w:tbl>
    <w:p>
      <w:pPr>
        <w:spacing w:line="240" w:lineRule="auto" w:before="9"/>
        <w:rPr>
          <w:rFonts w:ascii="宋体" w:hAnsi="宋体" w:cs="宋体" w:eastAsia="宋体" w:hint="default"/>
          <w:sz w:val="6"/>
          <w:szCs w:val="6"/>
        </w:rPr>
      </w:pPr>
    </w:p>
    <w:p>
      <w:pPr>
        <w:pStyle w:val="BodyText"/>
        <w:spacing w:line="357" w:lineRule="auto" w:before="44"/>
        <w:ind w:right="6432"/>
        <w:jc w:val="left"/>
      </w:pPr>
      <w:r>
        <w:rPr/>
        <w:t>确定该组合依据的说明： 组合中，采用余额百分比法计提坏账准备的应收账款：</w:t>
      </w:r>
    </w:p>
    <w:p>
      <w:pPr>
        <w:pStyle w:val="BodyText"/>
        <w:spacing w:line="439" w:lineRule="auto" w:before="28"/>
        <w:ind w:right="6792"/>
        <w:jc w:val="left"/>
      </w:pPr>
      <w:r>
        <w:rPr/>
        <w:t>□ 适用 √ 不适用 组合中，采用其他方法计提坏账准备的应收账款：</w:t>
      </w:r>
    </w:p>
    <w:p>
      <w:pPr>
        <w:pStyle w:val="BodyText"/>
        <w:spacing w:line="203" w:lineRule="exact"/>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1"/>
      <w:bookmarkEnd w:id="231"/>
      <w:r>
        <w:rPr>
          <w:b w:val="0"/>
          <w:bCs w:val="0"/>
        </w:rPr>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本期计提坏账准备金额</w:t>
      </w:r>
      <w:r>
        <w:rPr>
          <w:spacing w:val="-46"/>
        </w:rPr>
        <w:t> </w:t>
      </w:r>
      <w:r>
        <w:rPr>
          <w:rFonts w:ascii="宋体" w:hAnsi="宋体" w:cs="宋体" w:eastAsia="宋体" w:hint="default"/>
        </w:rPr>
        <w:t>19,413,962.72</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332,200.00</w:t>
      </w:r>
      <w:r>
        <w:rPr>
          <w:rFonts w:ascii="宋体" w:hAnsi="宋体" w:cs="宋体" w:eastAsia="宋体" w:hint="default"/>
          <w:spacing w:val="-44"/>
        </w:rPr>
        <w:t> </w:t>
      </w:r>
      <w:r>
        <w:rPr/>
        <w:t>元。</w:t>
      </w:r>
    </w:p>
    <w:p>
      <w:pPr>
        <w:spacing w:line="240" w:lineRule="auto" w:before="7"/>
        <w:rPr>
          <w:rFonts w:ascii="宋体" w:hAnsi="宋体" w:cs="宋体" w:eastAsia="宋体" w:hint="default"/>
          <w:sz w:val="11"/>
          <w:szCs w:val="11"/>
        </w:rPr>
      </w:pPr>
    </w:p>
    <w:p>
      <w:pPr>
        <w:pStyle w:val="BodyText"/>
        <w:spacing w:line="240" w:lineRule="auto" w:before="44"/>
        <w:ind w:left="514" w:right="0"/>
        <w:jc w:val="left"/>
      </w:pPr>
      <w:r>
        <w:rPr/>
        <w:t>其中本期坏账准备收回或转回金额重要的：</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87"/>
        <w:gridCol w:w="2693"/>
        <w:gridCol w:w="3190"/>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0" w:right="0"/>
              <w:jc w:val="left"/>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江苏紫金万成自动化控制设备有限公司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0" w:right="0"/>
              <w:jc w:val="left"/>
              <w:rPr>
                <w:rFonts w:ascii="宋体" w:hAnsi="宋体" w:cs="宋体" w:eastAsia="宋体" w:hint="default"/>
                <w:sz w:val="18"/>
                <w:szCs w:val="18"/>
              </w:rPr>
            </w:pPr>
            <w:r>
              <w:rPr>
                <w:rFonts w:ascii="宋体" w:hAnsi="宋体" w:cs="宋体" w:eastAsia="宋体" w:hint="default"/>
                <w:sz w:val="18"/>
                <w:szCs w:val="18"/>
              </w:rPr>
              <w:t>现金回款</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名的应收账款情况" w:id="232"/>
      <w:bookmarkEnd w:id="232"/>
      <w:r>
        <w:rPr>
          <w:b w:val="0"/>
          <w:bCs w:val="0"/>
        </w:rPr>
      </w:r>
      <w:r>
        <w:rPr>
          <w:rFonts w:ascii="宋体" w:hAnsi="宋体" w:cs="宋体" w:eastAsia="宋体"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4" w:right="7692" w:hanging="360"/>
        <w:jc w:val="left"/>
      </w:pPr>
      <w:r>
        <w:rPr/>
        <w:t>公司是否需要遵守特殊行业的披露要求 否</w:t>
      </w:r>
    </w:p>
    <w:p>
      <w:pPr>
        <w:pStyle w:val="BodyText"/>
        <w:spacing w:line="319" w:lineRule="auto" w:before="107"/>
        <w:ind w:right="1392" w:firstLine="360"/>
        <w:jc w:val="left"/>
      </w:pPr>
      <w:r>
        <w:rPr/>
        <w:t>截至期末按欠款方归集的期末余额前五名应收账款合计为</w:t>
      </w:r>
      <w:r>
        <w:rPr>
          <w:rFonts w:ascii="宋体" w:hAnsi="宋体" w:cs="宋体" w:eastAsia="宋体" w:hint="default"/>
        </w:rPr>
        <w:t>356,065,625.00</w:t>
      </w:r>
      <w:r>
        <w:rPr/>
        <w:t>元，占应收账款期末余额合计数的比例为 </w:t>
      </w:r>
      <w:r>
        <w:rPr>
          <w:rFonts w:ascii="宋体" w:hAnsi="宋体" w:cs="宋体" w:eastAsia="宋体" w:hint="default"/>
        </w:rPr>
        <w:t>40.74%</w:t>
      </w:r>
      <w:r>
        <w:rPr/>
        <w:t>，相应计提的坏账准备期末余额合计为</w:t>
      </w:r>
      <w:r>
        <w:rPr>
          <w:rFonts w:ascii="宋体" w:hAnsi="宋体" w:cs="宋体" w:eastAsia="宋体" w:hint="default"/>
        </w:rPr>
        <w:t>41,737,780.75</w:t>
      </w:r>
      <w:r>
        <w:rPr/>
        <w:t>元。</w:t>
      </w:r>
    </w:p>
    <w:p>
      <w:pPr>
        <w:pStyle w:val="BodyText"/>
        <w:spacing w:line="240" w:lineRule="auto" w:before="136"/>
        <w:ind w:left="514" w:right="0"/>
        <w:jc w:val="left"/>
      </w:pPr>
      <w:r>
        <w:rPr/>
        <w:t>报告期末应收账款较期初增加</w:t>
      </w:r>
      <w:r>
        <w:rPr>
          <w:rFonts w:ascii="宋体" w:hAnsi="宋体" w:cs="宋体" w:eastAsia="宋体" w:hint="default"/>
        </w:rPr>
        <w:t>42.47%</w:t>
      </w:r>
      <w:r>
        <w:rPr/>
        <w:t>，主要由于金融终端产品销售收入大幅增长，使得未达结算期的应收款项增加。</w:t>
      </w:r>
    </w:p>
    <w:p>
      <w:pPr>
        <w:spacing w:after="0" w:line="240"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534" w:right="8749"/>
        <w:jc w:val="left"/>
        <w:rPr>
          <w:b w:val="0"/>
          <w:bCs w:val="0"/>
        </w:rPr>
      </w:pPr>
      <w:bookmarkStart w:name="3、预付款项" w:id="233"/>
      <w:bookmarkEnd w:id="233"/>
      <w:r>
        <w:rPr>
          <w:b w:val="0"/>
          <w:bCs w:val="0"/>
        </w:rPr>
      </w:r>
      <w:r>
        <w:rPr>
          <w:rFonts w:ascii="宋体" w:hAnsi="宋体" w:cs="宋体" w:eastAsia="宋体" w:hint="default"/>
        </w:rPr>
        <w:t>3</w:t>
      </w:r>
      <w:r>
        <w:rPr/>
        <w:t>、预付款项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534" w:right="116"/>
        <w:jc w:val="left"/>
        <w:rPr>
          <w:b w:val="0"/>
          <w:bCs w:val="0"/>
        </w:rPr>
      </w:pPr>
      <w:bookmarkStart w:name="（1）预付款项按账龄列示" w:id="234"/>
      <w:bookmarkEnd w:id="234"/>
      <w:r>
        <w:rPr>
          <w:b w:val="0"/>
          <w:bCs w:val="0"/>
        </w:rPr>
      </w:r>
      <w:r>
        <w:rPr/>
        <w:t>（</w:t>
      </w:r>
      <w:r>
        <w:rPr>
          <w:rFonts w:ascii="宋体" w:hAnsi="宋体" w:cs="宋体" w:eastAsia="宋体" w:hint="default"/>
        </w:rPr>
        <w:t>1</w:t>
      </w:r>
      <w:r>
        <w:rPr/>
        <w:t>）预付款项按账龄列示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3,377,307.17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14,931,201.52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435,381.22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1,156,738.08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1,016,180.72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221,848.43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464,713.64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337,204.83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5,293,582.75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16,646,992.86</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534" w:right="116"/>
        <w:jc w:val="left"/>
        <w:rPr>
          <w:b w:val="0"/>
          <w:bCs w:val="0"/>
        </w:rPr>
      </w:pPr>
      <w:bookmarkStart w:name="（2）按预付对象归集的期末余额前五名的预付款情况" w:id="235"/>
      <w:bookmarkEnd w:id="23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7"/>
          <w:szCs w:val="27"/>
        </w:rPr>
      </w:pPr>
    </w:p>
    <w:p>
      <w:pPr>
        <w:pStyle w:val="BodyText"/>
        <w:spacing w:line="441" w:lineRule="auto"/>
        <w:ind w:left="534" w:right="116" w:firstLine="360"/>
        <w:jc w:val="left"/>
      </w:pPr>
      <w:r>
        <w:rPr>
          <w:spacing w:val="-2"/>
        </w:rPr>
        <w:t>截至期末按供应商归集的期末余额前五名预付款项合计为</w:t>
      </w:r>
      <w:r>
        <w:rPr>
          <w:rFonts w:ascii="宋体" w:hAnsi="宋体" w:cs="宋体" w:eastAsia="宋体" w:hint="default"/>
          <w:spacing w:val="-2"/>
        </w:rPr>
        <w:t>2,583,937.24</w:t>
      </w:r>
      <w:r>
        <w:rPr>
          <w:spacing w:val="-2"/>
        </w:rPr>
        <w:t>元，占预付款项期末余额合计数的比例为</w:t>
      </w:r>
      <w:r>
        <w:rPr>
          <w:rFonts w:ascii="宋体" w:hAnsi="宋体" w:cs="宋体" w:eastAsia="宋体" w:hint="default"/>
          <w:spacing w:val="-2"/>
        </w:rPr>
        <w:t>48.81%</w:t>
      </w:r>
      <w:r>
        <w:rPr>
          <w:spacing w:val="-2"/>
        </w:rPr>
        <w:t>。</w:t>
      </w:r>
      <w:r>
        <w:rPr/>
        <w:t> 其他说明：</w:t>
      </w:r>
    </w:p>
    <w:p>
      <w:pPr>
        <w:pStyle w:val="BodyText"/>
        <w:spacing w:line="199" w:lineRule="exact"/>
        <w:ind w:left="894" w:right="116"/>
        <w:jc w:val="left"/>
      </w:pPr>
      <w:r>
        <w:rPr/>
        <w:t>报告期末预付款项较期初减少</w:t>
      </w:r>
      <w:r>
        <w:rPr>
          <w:rFonts w:ascii="宋体" w:hAnsi="宋体" w:cs="宋体" w:eastAsia="宋体" w:hint="default"/>
        </w:rPr>
        <w:t>68.20%</w:t>
      </w:r>
      <w:r>
        <w:rPr/>
        <w:t>，主要由于预付款业务已按合同履约执行。</w:t>
      </w:r>
    </w:p>
    <w:p>
      <w:pPr>
        <w:spacing w:line="240" w:lineRule="auto" w:before="12"/>
        <w:rPr>
          <w:rFonts w:ascii="宋体" w:hAnsi="宋体" w:cs="宋体" w:eastAsia="宋体" w:hint="default"/>
          <w:sz w:val="26"/>
          <w:szCs w:val="26"/>
        </w:rPr>
      </w:pPr>
    </w:p>
    <w:p>
      <w:pPr>
        <w:pStyle w:val="Heading3"/>
        <w:spacing w:line="240" w:lineRule="auto"/>
        <w:ind w:left="534" w:right="8749"/>
        <w:jc w:val="left"/>
        <w:rPr>
          <w:b w:val="0"/>
          <w:bCs w:val="0"/>
        </w:rPr>
      </w:pPr>
      <w:bookmarkStart w:name="4、其他应收款" w:id="236"/>
      <w:bookmarkEnd w:id="236"/>
      <w:r>
        <w:rPr>
          <w:b w:val="0"/>
          <w:bCs w:val="0"/>
        </w:rPr>
      </w:r>
      <w:r>
        <w:rPr>
          <w:rFonts w:ascii="宋体" w:hAnsi="宋体" w:cs="宋体" w:eastAsia="宋体" w:hint="default"/>
        </w:rPr>
        <w:t>4</w:t>
      </w:r>
      <w:r>
        <w:rPr/>
        <w:t>、其他应收款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21,638,247.94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14,499,667.80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21,638,247.94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14,499,667.80</w:t>
            </w:r>
          </w:p>
        </w:tc>
      </w:tr>
    </w:tbl>
    <w:p>
      <w:pPr>
        <w:spacing w:line="240" w:lineRule="auto" w:before="2"/>
        <w:rPr>
          <w:rFonts w:ascii="宋体" w:hAnsi="宋体" w:cs="宋体" w:eastAsia="宋体" w:hint="default"/>
          <w:sz w:val="19"/>
          <w:szCs w:val="19"/>
        </w:rPr>
      </w:pPr>
    </w:p>
    <w:p>
      <w:pPr>
        <w:pStyle w:val="Heading3"/>
        <w:spacing w:line="240" w:lineRule="auto" w:before="35"/>
        <w:ind w:left="534" w:right="116"/>
        <w:jc w:val="left"/>
        <w:rPr>
          <w:b w:val="0"/>
          <w:bCs w:val="0"/>
        </w:rPr>
      </w:pPr>
      <w:bookmarkStart w:name="（1）其他应收款分类披露" w:id="237"/>
      <w:bookmarkEnd w:id="237"/>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136"/>
        <w:gridCol w:w="1134"/>
        <w:gridCol w:w="709"/>
        <w:gridCol w:w="1003"/>
        <w:gridCol w:w="546"/>
        <w:gridCol w:w="1064"/>
        <w:gridCol w:w="1063"/>
        <w:gridCol w:w="660"/>
        <w:gridCol w:w="1049"/>
        <w:gridCol w:w="532"/>
        <w:gridCol w:w="1097"/>
      </w:tblGrid>
      <w:tr>
        <w:trPr>
          <w:trHeight w:val="40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4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136" w:type="dxa"/>
            <w:vMerge/>
            <w:tcBorders>
              <w:left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7"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5" w:hRule="exact"/>
        </w:trPr>
        <w:tc>
          <w:tcPr>
            <w:tcW w:w="113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18" w:right="117"/>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064"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95"/>
              <w:ind w:left="184" w:right="35" w:hanging="150"/>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1097" w:type="dxa"/>
            <w:vMerge/>
            <w:tcBorders>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51"/>
              <w:jc w:val="both"/>
              <w:rPr>
                <w:rFonts w:ascii="宋体" w:hAnsi="宋体" w:cs="宋体" w:eastAsia="宋体" w:hint="default"/>
                <w:sz w:val="15"/>
                <w:szCs w:val="15"/>
              </w:rPr>
            </w:pPr>
            <w:r>
              <w:rPr>
                <w:rFonts w:ascii="宋体" w:hAnsi="宋体" w:cs="宋体" w:eastAsia="宋体" w:hint="default"/>
                <w:sz w:val="15"/>
                <w:szCs w:val="15"/>
              </w:rPr>
              <w:t>按信用风险特征 组合计提坏账准 备的其他应收款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15"/>
                <w:szCs w:val="15"/>
              </w:rPr>
            </w:pPr>
            <w:r>
              <w:rPr>
                <w:rFonts w:ascii="宋体"/>
                <w:sz w:val="15"/>
              </w:rPr>
              <w:t>28,599,522.66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5"/>
                <w:szCs w:val="15"/>
              </w:rPr>
            </w:pPr>
            <w:r>
              <w:rPr>
                <w:rFonts w:ascii="宋体"/>
                <w:sz w:val="15"/>
              </w:rPr>
              <w:t>100.00%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 w:right="0"/>
              <w:jc w:val="center"/>
              <w:rPr>
                <w:rFonts w:ascii="宋体" w:hAnsi="宋体" w:cs="宋体" w:eastAsia="宋体" w:hint="default"/>
                <w:sz w:val="15"/>
                <w:szCs w:val="15"/>
              </w:rPr>
            </w:pPr>
            <w:r>
              <w:rPr>
                <w:rFonts w:ascii="宋体"/>
                <w:sz w:val="15"/>
              </w:rPr>
              <w:t>6,961,274.72</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 w:right="0"/>
              <w:jc w:val="center"/>
              <w:rPr>
                <w:rFonts w:ascii="宋体" w:hAnsi="宋体" w:cs="宋体" w:eastAsia="宋体" w:hint="default"/>
                <w:sz w:val="15"/>
                <w:szCs w:val="15"/>
              </w:rPr>
            </w:pPr>
            <w:r>
              <w:rPr>
                <w:rFonts w:ascii="宋体"/>
                <w:sz w:val="15"/>
              </w:rPr>
              <w:t>24.34%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5"/>
                <w:szCs w:val="15"/>
              </w:rPr>
            </w:pPr>
            <w:r>
              <w:rPr>
                <w:rFonts w:ascii="宋体"/>
                <w:sz w:val="15"/>
              </w:rPr>
              <w:t>21,638,247.94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 w:right="0"/>
              <w:jc w:val="center"/>
              <w:rPr>
                <w:rFonts w:ascii="宋体" w:hAnsi="宋体" w:cs="宋体" w:eastAsia="宋体" w:hint="default"/>
                <w:sz w:val="15"/>
                <w:szCs w:val="15"/>
              </w:rPr>
            </w:pPr>
            <w:r>
              <w:rPr>
                <w:rFonts w:ascii="宋体"/>
                <w:sz w:val="15"/>
              </w:rPr>
              <w:t>20,137,239.97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8" w:right="0"/>
              <w:jc w:val="center"/>
              <w:rPr>
                <w:rFonts w:ascii="宋体" w:hAnsi="宋体" w:cs="宋体" w:eastAsia="宋体" w:hint="default"/>
                <w:sz w:val="15"/>
                <w:szCs w:val="15"/>
              </w:rPr>
            </w:pPr>
            <w:r>
              <w:rPr>
                <w:rFonts w:ascii="宋体"/>
                <w:sz w:val="15"/>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5"/>
                <w:szCs w:val="15"/>
              </w:rPr>
            </w:pPr>
            <w:r>
              <w:rPr>
                <w:rFonts w:ascii="宋体"/>
                <w:sz w:val="15"/>
              </w:rPr>
              <w:t>5,637,572.17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28.00%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6" w:right="0"/>
              <w:jc w:val="center"/>
              <w:rPr>
                <w:rFonts w:ascii="宋体" w:hAnsi="宋体" w:cs="宋体" w:eastAsia="宋体" w:hint="default"/>
                <w:sz w:val="15"/>
                <w:szCs w:val="15"/>
              </w:rPr>
            </w:pPr>
            <w:r>
              <w:rPr>
                <w:rFonts w:ascii="宋体"/>
                <w:sz w:val="15"/>
              </w:rPr>
              <w:t>14,499,667.80</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center"/>
              <w:rPr>
                <w:rFonts w:ascii="宋体" w:hAnsi="宋体" w:cs="宋体" w:eastAsia="宋体" w:hint="default"/>
                <w:sz w:val="15"/>
                <w:szCs w:val="15"/>
              </w:rPr>
            </w:pPr>
            <w:r>
              <w:rPr>
                <w:rFonts w:ascii="宋体"/>
                <w:sz w:val="15"/>
              </w:rPr>
              <w:t>28,599,522.66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1" w:right="0"/>
              <w:jc w:val="left"/>
              <w:rPr>
                <w:rFonts w:ascii="宋体" w:hAnsi="宋体" w:cs="宋体" w:eastAsia="宋体" w:hint="default"/>
                <w:sz w:val="15"/>
                <w:szCs w:val="15"/>
              </w:rPr>
            </w:pPr>
            <w:r>
              <w:rPr>
                <w:rFonts w:ascii="宋体"/>
                <w:sz w:val="15"/>
              </w:rPr>
              <w:t>100.00%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 w:right="0"/>
              <w:jc w:val="center"/>
              <w:rPr>
                <w:rFonts w:ascii="宋体" w:hAnsi="宋体" w:cs="宋体" w:eastAsia="宋体" w:hint="default"/>
                <w:sz w:val="15"/>
                <w:szCs w:val="15"/>
              </w:rPr>
            </w:pPr>
            <w:r>
              <w:rPr>
                <w:rFonts w:ascii="宋体"/>
                <w:sz w:val="15"/>
              </w:rPr>
              <w:t>6,961,274.72</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 w:right="0"/>
              <w:jc w:val="center"/>
              <w:rPr>
                <w:rFonts w:ascii="宋体" w:hAnsi="宋体" w:cs="宋体" w:eastAsia="宋体" w:hint="default"/>
                <w:sz w:val="15"/>
                <w:szCs w:val="15"/>
              </w:rPr>
            </w:pPr>
            <w:r>
              <w:rPr>
                <w:rFonts w:ascii="宋体"/>
                <w:sz w:val="15"/>
              </w:rPr>
              <w:t>24.34%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 w:right="0"/>
              <w:jc w:val="center"/>
              <w:rPr>
                <w:rFonts w:ascii="宋体" w:hAnsi="宋体" w:cs="宋体" w:eastAsia="宋体" w:hint="default"/>
                <w:sz w:val="15"/>
                <w:szCs w:val="15"/>
              </w:rPr>
            </w:pPr>
            <w:r>
              <w:rPr>
                <w:rFonts w:ascii="宋体"/>
                <w:sz w:val="15"/>
              </w:rPr>
              <w:t>21,638,247.94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 w:right="0"/>
              <w:jc w:val="center"/>
              <w:rPr>
                <w:rFonts w:ascii="宋体" w:hAnsi="宋体" w:cs="宋体" w:eastAsia="宋体" w:hint="default"/>
                <w:sz w:val="15"/>
                <w:szCs w:val="15"/>
              </w:rPr>
            </w:pPr>
            <w:r>
              <w:rPr>
                <w:rFonts w:ascii="宋体"/>
                <w:sz w:val="15"/>
              </w:rPr>
              <w:t>20,137,239.97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1" w:right="0"/>
              <w:jc w:val="center"/>
              <w:rPr>
                <w:rFonts w:ascii="宋体" w:hAnsi="宋体" w:cs="宋体" w:eastAsia="宋体" w:hint="default"/>
                <w:sz w:val="15"/>
                <w:szCs w:val="15"/>
              </w:rPr>
            </w:pPr>
            <w:r>
              <w:rPr>
                <w:rFonts w:ascii="宋体"/>
                <w:sz w:val="15"/>
              </w:rPr>
              <w:t>5,637,572.17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28.00%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6" w:right="0"/>
              <w:jc w:val="center"/>
              <w:rPr>
                <w:rFonts w:ascii="宋体" w:hAnsi="宋体" w:cs="宋体" w:eastAsia="宋体" w:hint="default"/>
                <w:sz w:val="15"/>
                <w:szCs w:val="15"/>
              </w:rPr>
            </w:pPr>
            <w:r>
              <w:rPr>
                <w:rFonts w:ascii="宋体"/>
                <w:sz w:val="15"/>
              </w:rPr>
              <w:t>14,499,667.80</w:t>
            </w:r>
          </w:p>
        </w:tc>
      </w:tr>
    </w:tbl>
    <w:p>
      <w:pPr>
        <w:spacing w:line="240" w:lineRule="auto" w:before="9"/>
        <w:rPr>
          <w:rFonts w:ascii="宋体" w:hAnsi="宋体" w:cs="宋体" w:eastAsia="宋体" w:hint="default"/>
          <w:sz w:val="6"/>
          <w:szCs w:val="6"/>
        </w:rPr>
      </w:pPr>
    </w:p>
    <w:p>
      <w:pPr>
        <w:pStyle w:val="BodyText"/>
        <w:spacing w:line="240" w:lineRule="auto" w:before="44"/>
        <w:ind w:left="534" w:right="116"/>
        <w:jc w:val="left"/>
      </w:pPr>
      <w:r>
        <w:rPr/>
        <w:t>期末单项金额重大并单项计提坏账准备的其他应收款：</w:t>
      </w:r>
    </w:p>
    <w:p>
      <w:pPr>
        <w:pStyle w:val="BodyText"/>
        <w:spacing w:line="240" w:lineRule="auto" w:before="116"/>
        <w:ind w:left="534" w:right="8749"/>
        <w:jc w:val="left"/>
      </w:pPr>
      <w:r>
        <w:rPr/>
        <w:t>□ 适用 √ 不适用</w:t>
      </w:r>
    </w:p>
    <w:p>
      <w:pPr>
        <w:spacing w:after="0" w:line="240" w:lineRule="auto"/>
        <w:jc w:val="left"/>
        <w:sectPr>
          <w:pgSz w:w="11910" w:h="16840"/>
          <w:pgMar w:header="877" w:footer="1187" w:top="1100" w:bottom="1380" w:left="600" w:right="0"/>
        </w:sect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187" w:top="1100" w:bottom="1380" w:left="980" w:right="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16,443,348.29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822,167.43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3,336,195.78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333,619.57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4,306,415.53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1,291,924.66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704,715.29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704,715.29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1,259,348.51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1,259,348.51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2,549,499.26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2,549,499.26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28,599,522.66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6,961,274.72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24.34%</w:t>
            </w:r>
          </w:p>
        </w:tc>
      </w:tr>
    </w:tbl>
    <w:p>
      <w:pPr>
        <w:spacing w:line="240" w:lineRule="auto" w:before="9"/>
        <w:rPr>
          <w:rFonts w:ascii="宋体" w:hAnsi="宋体" w:cs="宋体" w:eastAsia="宋体" w:hint="default"/>
          <w:sz w:val="6"/>
          <w:szCs w:val="6"/>
        </w:rPr>
      </w:pPr>
    </w:p>
    <w:p>
      <w:pPr>
        <w:pStyle w:val="BodyText"/>
        <w:spacing w:line="360" w:lineRule="auto" w:before="44"/>
        <w:ind w:right="6252"/>
        <w:jc w:val="left"/>
      </w:pPr>
      <w:r>
        <w:rPr/>
        <w:t>确定该组合依据的说明： 组合中，采用余额百分比法计提坏账准备的其他应收款：</w:t>
      </w:r>
    </w:p>
    <w:p>
      <w:pPr>
        <w:pStyle w:val="BodyText"/>
        <w:spacing w:line="439" w:lineRule="auto" w:before="26"/>
        <w:ind w:right="6612"/>
        <w:jc w:val="left"/>
      </w:pPr>
      <w:r>
        <w:rPr/>
        <w:t>□ 适用 √ 不适用 组合中，采用其他方法计提坏账准备的其他应收款：</w:t>
      </w:r>
    </w:p>
    <w:p>
      <w:pPr>
        <w:pStyle w:val="BodyText"/>
        <w:spacing w:line="203" w:lineRule="exact"/>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8"/>
      <w:bookmarkEnd w:id="238"/>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本期计提坏账准备金额</w:t>
      </w:r>
      <w:r>
        <w:rPr>
          <w:spacing w:val="-46"/>
        </w:rPr>
        <w:t> </w:t>
      </w:r>
      <w:r>
        <w:rPr>
          <w:rFonts w:ascii="宋体" w:hAnsi="宋体" w:cs="宋体" w:eastAsia="宋体" w:hint="default"/>
        </w:rPr>
        <w:t>1,243,026.51</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按款项性质分类情况" w:id="239"/>
      <w:bookmarkEnd w:id="239"/>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16,157,482.01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9,550,871.88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3,384,370.46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2,136,085.84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526,754.00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8,641,040.04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7,790,803.05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63,430.15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132,725.20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28,599,522.66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20,137,239.97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40"/>
      <w:bookmarkEnd w:id="240"/>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348"/>
        <w:gridCol w:w="1840"/>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348"/>
        <w:gridCol w:w="1840"/>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成都市成华区教育 局电化教育馆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1,924,576.00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p>
            <w:pPr>
              <w:pStyle w:val="TableParagraph"/>
              <w:spacing w:line="240" w:lineRule="auto" w:before="77"/>
              <w:ind w:left="22" w:right="0"/>
              <w:jc w:val="left"/>
              <w:rPr>
                <w:rFonts w:ascii="宋体" w:hAnsi="宋体" w:cs="宋体" w:eastAsia="宋体" w:hint="default"/>
                <w:sz w:val="18"/>
                <w:szCs w:val="18"/>
              </w:rPr>
            </w:pPr>
            <w:r>
              <w:rPr>
                <w:rFonts w:ascii="宋体"/>
                <w:sz w:val="18"/>
              </w:rPr>
              <w:t>1,924,576.00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96,228.80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中信银行宁波分行 营业部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对非关联公司的应 收款项</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1,573,201.00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1,573,201.00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471,960.30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河南日盛信息技术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保证金及对非关联 公司的应收款项</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1,190,000.00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p>
            <w:pPr>
              <w:pStyle w:val="TableParagraph"/>
              <w:spacing w:line="240" w:lineRule="auto" w:before="77"/>
              <w:ind w:left="22" w:right="0"/>
              <w:jc w:val="left"/>
              <w:rPr>
                <w:rFonts w:ascii="宋体" w:hAnsi="宋体" w:cs="宋体" w:eastAsia="宋体" w:hint="default"/>
                <w:sz w:val="18"/>
                <w:szCs w:val="18"/>
              </w:rPr>
            </w:pPr>
            <w:r>
              <w:rPr>
                <w:rFonts w:ascii="宋体"/>
                <w:sz w:val="18"/>
              </w:rPr>
              <w:t>1,190,000.00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59,500.00</w:t>
            </w:r>
          </w:p>
        </w:tc>
      </w:tr>
      <w:tr>
        <w:trPr>
          <w:trHeight w:val="7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北京市政交通一卡 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1,171,275.00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758,175.00</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413,100.00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79,218.75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上海市电化教育馆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1,069,200.00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1,069,200.00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320,760.00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6,928,252.00</w:t>
            </w:r>
          </w:p>
        </w:tc>
        <w:tc>
          <w:tcPr>
            <w:tcW w:w="18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1,027,667.85</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514" w:right="0"/>
        <w:jc w:val="left"/>
      </w:pPr>
      <w:r>
        <w:rPr/>
        <w:t>报告期末其他应收款较期初增加</w:t>
      </w:r>
      <w:r>
        <w:rPr>
          <w:spacing w:val="-46"/>
        </w:rPr>
        <w:t> </w:t>
      </w:r>
      <w:r>
        <w:rPr>
          <w:rFonts w:ascii="宋体" w:hAnsi="宋体" w:cs="宋体" w:eastAsia="宋体" w:hint="default"/>
        </w:rPr>
        <w:t>49.23%</w:t>
      </w:r>
      <w:r>
        <w:rPr/>
        <w:t>，主要由于业务履约保证金增加。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存货" w:id="241"/>
      <w:bookmarkEnd w:id="241"/>
      <w:r>
        <w:rPr>
          <w:b w:val="0"/>
          <w:bCs w:val="0"/>
        </w:rPr>
      </w:r>
      <w:r>
        <w:rPr>
          <w:rFonts w:ascii="宋体" w:hAnsi="宋体" w:cs="宋体" w:eastAsia="宋体" w:hint="default"/>
        </w:rPr>
        <w:t>5</w:t>
      </w:r>
      <w:r>
        <w:rPr/>
        <w:t>、存货</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7512" w:hanging="360"/>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42"/>
      <w:bookmarkEnd w:id="242"/>
      <w:r>
        <w:rPr>
          <w:b w:val="0"/>
          <w:bCs w:val="0"/>
        </w:rPr>
      </w:r>
      <w:r>
        <w:rPr/>
        <w:t>（</w:t>
      </w:r>
      <w:r>
        <w:rPr>
          <w:rFonts w:ascii="宋体" w:hAnsi="宋体" w:cs="宋体" w:eastAsia="宋体" w:hint="default"/>
        </w:rPr>
        <w:t>1</w:t>
      </w:r>
      <w:r>
        <w:rPr/>
        <w:t>）存货分类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106,090,956.57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31,063,756.56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75,027,200.01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107,393,981.13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17,378,091.11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90,015,890.02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4,676,265.72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4,676,265.72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8,742,613.87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8,742,613.87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42,664,396.60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17,983,705.67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24,680,690.93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44,160,355.04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7,602,101.04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36,558,254.00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3,560,688.32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3,560,688.32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4,915,381.18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4,915,381.18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204,012,421.15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82,993,585.27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121,018,835.88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242,388,464.07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49,325,030.79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193,063,433.28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8,370,741.18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8,370,741.18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2,962,141.10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2,962,141.10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24,871,680.56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24,871,680.56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22,055,244.61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22,055,244.61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394,247,150.10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132,041,047.50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262,206,102.60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432,618,181.00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74,305,222.94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358,312,958.06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3"/>
      <w:bookmarkEnd w:id="243"/>
      <w:r>
        <w:rPr>
          <w:b w:val="0"/>
          <w:bCs w:val="0"/>
        </w:rPr>
      </w:r>
      <w:r>
        <w:rPr/>
        <w:t>（</w:t>
      </w:r>
      <w:r>
        <w:rPr>
          <w:rFonts w:ascii="宋体" w:hAnsi="宋体" w:cs="宋体" w:eastAsia="宋体" w:hint="default"/>
        </w:rPr>
        <w:t>2</w:t>
      </w:r>
      <w:r>
        <w:rPr/>
        <w:t>）存货跌价准备</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17,378,091.11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14,767,714.10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1,082,048.65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31,063,756.56</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7,602,101.04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11,005,532.02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623,927.39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17,983,705.67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49,325,030.79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37,784,603.41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4,116,048.93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82,993,585.27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74,305,222.94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63,557,849.53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5,822,024.97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132,041,047.50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其他流动资产" w:id="244"/>
      <w:bookmarkEnd w:id="244"/>
      <w:r>
        <w:rPr>
          <w:b w:val="0"/>
          <w:bCs w:val="0"/>
        </w:rPr>
      </w:r>
      <w:r>
        <w:rPr>
          <w:rFonts w:ascii="宋体" w:hAnsi="宋体" w:cs="宋体" w:eastAsia="宋体" w:hint="default"/>
        </w:rPr>
        <w:t>6</w:t>
      </w:r>
      <w:r>
        <w:rPr/>
        <w:t>、其他流动资产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1,149,537.18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1,231,540.63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258,629.87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288,613.75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公共设施维修费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36,661.36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277,893.66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329,959.47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59,829.69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物业费、网络使用费等其他费用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1,164,743.24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854,391.16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926,934.91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1,831,473.49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3,866,466.03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84,543,742.38</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5"/>
        <w:ind w:left="514" w:right="0"/>
        <w:jc w:val="left"/>
      </w:pPr>
      <w:r>
        <w:rPr/>
        <w:t>报告期末其他流动资产较期初减少</w:t>
      </w:r>
      <w:r>
        <w:rPr>
          <w:rFonts w:ascii="宋体" w:hAnsi="宋体" w:cs="宋体" w:eastAsia="宋体" w:hint="default"/>
        </w:rPr>
        <w:t>95.43%</w:t>
      </w:r>
      <w:r>
        <w:rPr/>
        <w:t>，主要由于上年末公司持有的银行理财产品于本报告期到期赎回。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可供出售金融资产" w:id="245"/>
      <w:bookmarkEnd w:id="245"/>
      <w:r>
        <w:rPr>
          <w:b w:val="0"/>
          <w:bCs w:val="0"/>
        </w:rPr>
      </w:r>
      <w:r>
        <w:rPr>
          <w:rFonts w:ascii="宋体" w:hAnsi="宋体" w:cs="宋体" w:eastAsia="宋体" w:hint="default"/>
        </w:rPr>
        <w:t>7</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可供出售金融资产情况" w:id="246"/>
      <w:bookmarkEnd w:id="246"/>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402"/>
        <w:gridCol w:w="989"/>
        <w:gridCol w:w="1421"/>
        <w:gridCol w:w="1419"/>
        <w:gridCol w:w="972"/>
        <w:gridCol w:w="1367"/>
      </w:tblGrid>
      <w:tr>
        <w:trPr>
          <w:trHeight w:val="402" w:hRule="exact"/>
        </w:trPr>
        <w:tc>
          <w:tcPr>
            <w:tcW w:w="20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105,853,064.80</w:t>
            </w:r>
          </w:p>
        </w:tc>
        <w:tc>
          <w:tcPr>
            <w:tcW w:w="98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105,853,064.80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150,774,906.40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103,953,064.80</w:t>
            </w:r>
          </w:p>
        </w:tc>
        <w:tc>
          <w:tcPr>
            <w:tcW w:w="98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103,953,064.80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148,874,906.40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148,874,906.40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1,900,000.00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105,853,064.80</w:t>
            </w:r>
          </w:p>
        </w:tc>
        <w:tc>
          <w:tcPr>
            <w:tcW w:w="98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105,853,064.80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150,774,906.40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7"/>
        <w:gridCol w:w="1984"/>
        <w:gridCol w:w="1876"/>
        <w:gridCol w:w="2058"/>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债务工具的摊余成本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13,532,000.00</w:t>
            </w:r>
          </w:p>
        </w:tc>
        <w:tc>
          <w:tcPr>
            <w:tcW w:w="1876"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13,532,000.00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103,953,064.80</w:t>
            </w:r>
          </w:p>
        </w:tc>
        <w:tc>
          <w:tcPr>
            <w:tcW w:w="1876"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103,953,064.80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90,421,064.80</w:t>
            </w:r>
          </w:p>
        </w:tc>
        <w:tc>
          <w:tcPr>
            <w:tcW w:w="1876"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90,421,064.80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674" w:right="0"/>
        <w:jc w:val="left"/>
        <w:rPr>
          <w:b w:val="0"/>
          <w:bCs w:val="0"/>
        </w:rPr>
      </w:pPr>
      <w:bookmarkStart w:name="（3）期末按成本计量的可供出售金融资产" w:id="248"/>
      <w:bookmarkEnd w:id="248"/>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1419"/>
        <w:gridCol w:w="1276"/>
        <w:gridCol w:w="425"/>
        <w:gridCol w:w="851"/>
        <w:gridCol w:w="1276"/>
        <w:gridCol w:w="709"/>
        <w:gridCol w:w="566"/>
        <w:gridCol w:w="432"/>
        <w:gridCol w:w="561"/>
        <w:gridCol w:w="992"/>
        <w:gridCol w:w="1195"/>
      </w:tblGrid>
      <w:tr>
        <w:trPr>
          <w:trHeight w:val="40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8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899" w:hRule="exact"/>
        </w:trPr>
        <w:tc>
          <w:tcPr>
            <w:tcW w:w="1419"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3"/>
              <w:ind w:left="26" w:right="2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3"/>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3"/>
              <w:ind w:left="29" w:right="3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2"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武汉城市一卡通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贵州百旺金赋科 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777,968.57</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黑龙江百旺金赋 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1,800,000.00</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湖南百旺金赋科 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3,577,968.57</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8、长期股权投资" w:id="249"/>
      <w:bookmarkEnd w:id="249"/>
      <w:r>
        <w:rPr>
          <w:b w:val="0"/>
          <w:bCs w:val="0"/>
        </w:rPr>
      </w:r>
      <w:r>
        <w:rPr>
          <w:rFonts w:ascii="宋体" w:hAnsi="宋体" w:cs="宋体" w:eastAsia="宋体" w:hint="default"/>
        </w:rPr>
        <w:t>8</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062"/>
        <w:gridCol w:w="1288"/>
        <w:gridCol w:w="1274"/>
        <w:gridCol w:w="604"/>
        <w:gridCol w:w="1233"/>
        <w:gridCol w:w="676"/>
        <w:gridCol w:w="691"/>
        <w:gridCol w:w="876"/>
        <w:gridCol w:w="554"/>
        <w:gridCol w:w="566"/>
        <w:gridCol w:w="1285"/>
        <w:gridCol w:w="644"/>
      </w:tblGrid>
      <w:tr>
        <w:trPr>
          <w:trHeight w:val="402" w:hRule="exact"/>
        </w:trPr>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4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062" w:type="dxa"/>
            <w:vMerge/>
            <w:tcBorders>
              <w:left w:val="single" w:sz="4" w:space="0" w:color="000000"/>
              <w:bottom w:val="single" w:sz="4" w:space="0" w:color="000000"/>
              <w:right w:val="single" w:sz="4" w:space="0" w:color="000000"/>
            </w:tcBorders>
          </w:tcPr>
          <w:p>
            <w:pPr/>
          </w:p>
        </w:tc>
        <w:tc>
          <w:tcPr>
            <w:tcW w:w="1288"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60" w:lineRule="auto"/>
              <w:ind w:left="116" w:right="115"/>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2" w:right="6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8" w:right="6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7" w:right="66"/>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1" w:right="9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5"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r>
      <w:tr>
        <w:trPr>
          <w:trHeight w:val="402" w:hRule="exact"/>
        </w:trPr>
        <w:tc>
          <w:tcPr>
            <w:tcW w:w="107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武汉中天慧 购电商服务 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343,577.10</w:t>
            </w: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-184,878.53</w:t>
            </w:r>
          </w:p>
        </w:tc>
        <w:tc>
          <w:tcPr>
            <w:tcW w:w="67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158,698.57</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343,577.10</w:t>
            </w: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-184,878.53</w:t>
            </w:r>
          </w:p>
        </w:tc>
        <w:tc>
          <w:tcPr>
            <w:tcW w:w="67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158,698.57</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福建中教网 络教育服务 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1,157,861.06</w:t>
            </w: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-385,190.07</w:t>
            </w:r>
          </w:p>
        </w:tc>
        <w:tc>
          <w:tcPr>
            <w:tcW w:w="67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772,670.99</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武汉星合数 媒科技有限 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4,699,025.57</w:t>
            </w: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-2,173.32</w:t>
            </w:r>
          </w:p>
        </w:tc>
        <w:tc>
          <w:tcPr>
            <w:tcW w:w="67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4,696,852.25</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武汉国广天 喻信息技术 有限公司</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2,424,809.32</w:t>
            </w: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-1,424,489.56</w:t>
            </w:r>
          </w:p>
        </w:tc>
        <w:tc>
          <w:tcPr>
            <w:tcW w:w="67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1,000,319.76</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张家口聚思</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241,587.71</w:t>
            </w: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-94,219.81</w:t>
            </w:r>
          </w:p>
        </w:tc>
        <w:tc>
          <w:tcPr>
            <w:tcW w:w="67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147,367.90</w:t>
            </w: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46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062"/>
        <w:gridCol w:w="1288"/>
        <w:gridCol w:w="1274"/>
        <w:gridCol w:w="604"/>
        <w:gridCol w:w="1233"/>
        <w:gridCol w:w="690"/>
        <w:gridCol w:w="658"/>
        <w:gridCol w:w="896"/>
        <w:gridCol w:w="554"/>
        <w:gridCol w:w="566"/>
        <w:gridCol w:w="1285"/>
        <w:gridCol w:w="644"/>
      </w:tblGrid>
      <w:tr>
        <w:trPr>
          <w:trHeight w:val="674"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教育科技有 限公司</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武汉武信天 喻科技投资 有限公司</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 w:right="0"/>
              <w:jc w:val="center"/>
              <w:rPr>
                <w:rFonts w:ascii="宋体" w:hAnsi="宋体" w:cs="宋体" w:eastAsia="宋体" w:hint="default"/>
                <w:sz w:val="18"/>
                <w:szCs w:val="18"/>
              </w:rPr>
            </w:pPr>
            <w:r>
              <w:rPr>
                <w:rFonts w:ascii="宋体"/>
                <w:sz w:val="18"/>
              </w:rPr>
              <w:t>50,000,000.00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59,799.36</w:t>
            </w:r>
          </w:p>
        </w:tc>
        <w:tc>
          <w:tcPr>
            <w:tcW w:w="6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center"/>
              <w:rPr>
                <w:rFonts w:ascii="宋体" w:hAnsi="宋体" w:cs="宋体" w:eastAsia="宋体" w:hint="default"/>
                <w:sz w:val="18"/>
                <w:szCs w:val="18"/>
              </w:rPr>
            </w:pPr>
            <w:r>
              <w:rPr>
                <w:rFonts w:ascii="宋体"/>
                <w:sz w:val="18"/>
              </w:rPr>
              <w:t>50,059,799.36</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湖北兴华教 投信息技术 有限公司</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9" w:right="0"/>
              <w:jc w:val="center"/>
              <w:rPr>
                <w:rFonts w:ascii="宋体" w:hAnsi="宋体" w:cs="宋体" w:eastAsia="宋体" w:hint="default"/>
                <w:sz w:val="18"/>
                <w:szCs w:val="18"/>
              </w:rPr>
            </w:pPr>
            <w:r>
              <w:rPr>
                <w:rFonts w:ascii="宋体"/>
                <w:sz w:val="18"/>
              </w:rPr>
              <w:t>3,200,000.00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17.28</w:t>
            </w:r>
          </w:p>
        </w:tc>
        <w:tc>
          <w:tcPr>
            <w:tcW w:w="6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9" w:right="0"/>
              <w:jc w:val="center"/>
              <w:rPr>
                <w:rFonts w:ascii="宋体" w:hAnsi="宋体" w:cs="宋体" w:eastAsia="宋体" w:hint="default"/>
                <w:sz w:val="18"/>
                <w:szCs w:val="18"/>
              </w:rPr>
            </w:pPr>
            <w:r>
              <w:rPr>
                <w:rFonts w:ascii="宋体"/>
                <w:sz w:val="18"/>
              </w:rPr>
              <w:t>3,200,017.28</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河南聚联智 慧大数据科 技有限公司</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 w:right="0"/>
              <w:jc w:val="center"/>
              <w:rPr>
                <w:rFonts w:ascii="宋体" w:hAnsi="宋体" w:cs="宋体" w:eastAsia="宋体" w:hint="default"/>
                <w:sz w:val="18"/>
                <w:szCs w:val="18"/>
              </w:rPr>
            </w:pPr>
            <w:r>
              <w:rPr>
                <w:rFonts w:ascii="宋体"/>
                <w:sz w:val="18"/>
              </w:rPr>
              <w:t>12,000,000.00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center"/>
              <w:rPr>
                <w:rFonts w:ascii="宋体" w:hAnsi="宋体" w:cs="宋体" w:eastAsia="宋体" w:hint="default"/>
                <w:sz w:val="18"/>
                <w:szCs w:val="18"/>
              </w:rPr>
            </w:pPr>
            <w:r>
              <w:rPr>
                <w:rFonts w:ascii="宋体"/>
                <w:sz w:val="18"/>
              </w:rPr>
              <w:t>11,999,960.00</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8,523,283.66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65,200,000.00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-1,846,296.12</w:t>
            </w:r>
          </w:p>
        </w:tc>
        <w:tc>
          <w:tcPr>
            <w:tcW w:w="6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71,876,987.54</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8,866,860.76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65,200,000.00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-2,031,174.65</w:t>
            </w:r>
          </w:p>
        </w:tc>
        <w:tc>
          <w:tcPr>
            <w:tcW w:w="6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72,035,686.11</w:t>
            </w: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674" w:right="0"/>
        <w:jc w:val="left"/>
      </w:pPr>
      <w:r>
        <w:rPr/>
        <w:t>其他说明：</w:t>
      </w:r>
    </w:p>
    <w:p>
      <w:pPr>
        <w:pStyle w:val="BodyText"/>
        <w:spacing w:line="240" w:lineRule="auto" w:before="115"/>
        <w:ind w:left="1034" w:right="0"/>
        <w:jc w:val="left"/>
      </w:pPr>
      <w:r>
        <w:rPr/>
        <w:t>报告期末长期股权投资较期初增加</w:t>
      </w:r>
      <w:r>
        <w:rPr>
          <w:rFonts w:ascii="宋体" w:hAnsi="宋体" w:cs="宋体" w:eastAsia="宋体" w:hint="default"/>
        </w:rPr>
        <w:t>712.41%</w:t>
      </w:r>
      <w:r>
        <w:rPr/>
        <w:t>，主要由于公司参与投资设立了武信天喻、兴华教投以及聚联智慧。</w:t>
      </w:r>
    </w:p>
    <w:p>
      <w:pPr>
        <w:spacing w:line="240" w:lineRule="auto" w:before="12"/>
        <w:rPr>
          <w:rFonts w:ascii="宋体" w:hAnsi="宋体" w:cs="宋体" w:eastAsia="宋体" w:hint="default"/>
          <w:sz w:val="26"/>
          <w:szCs w:val="26"/>
        </w:rPr>
      </w:pPr>
    </w:p>
    <w:p>
      <w:pPr>
        <w:pStyle w:val="Heading3"/>
        <w:spacing w:line="240" w:lineRule="auto"/>
        <w:ind w:left="674" w:right="0"/>
        <w:jc w:val="left"/>
        <w:rPr>
          <w:b w:val="0"/>
          <w:bCs w:val="0"/>
        </w:rPr>
      </w:pPr>
      <w:bookmarkStart w:name="9、固定资产" w:id="250"/>
      <w:bookmarkEnd w:id="250"/>
      <w:r>
        <w:rPr>
          <w:b w:val="0"/>
          <w:bCs w:val="0"/>
        </w:rPr>
      </w:r>
      <w:r>
        <w:rPr>
          <w:rFonts w:ascii="宋体" w:hAnsi="宋体" w:cs="宋体" w:eastAsia="宋体" w:hint="default"/>
        </w:rPr>
        <w:t>9</w:t>
      </w:r>
      <w:r>
        <w:rPr/>
        <w:t>、固定资产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181,733,226.62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194,066,073.15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181,733,226.62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194,066,073.15</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1）固定资产情况" w:id="251"/>
      <w:bookmarkEnd w:id="251"/>
      <w:r>
        <w:rPr>
          <w:b w:val="0"/>
          <w:bCs w:val="0"/>
        </w:rPr>
      </w:r>
      <w:r>
        <w:rPr/>
        <w:t>（</w:t>
      </w:r>
      <w:r>
        <w:rPr>
          <w:rFonts w:ascii="宋体" w:hAnsi="宋体" w:cs="宋体" w:eastAsia="宋体" w:hint="default"/>
        </w:rPr>
        <w:t>1</w:t>
      </w:r>
      <w:r>
        <w:rPr/>
        <w:t>）固定资产情况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2073"/>
        <w:gridCol w:w="1344"/>
        <w:gridCol w:w="1404"/>
        <w:gridCol w:w="1555"/>
        <w:gridCol w:w="1595"/>
        <w:gridCol w:w="1594"/>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6"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114,330,800.89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137,394,226.26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109,763,884.36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9,762,267.53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371,251,179.04</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4,838,789.52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5,290,194.74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4,379,242.62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485,119.93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14,993,346.81</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5,036,763.72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4,379,242.62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9,636,006.34</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4,838,789.52</w:t>
            </w: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4,838,789.52</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253,431.02</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265,119.93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518,550.95</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319,969.08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7,633,672.02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190,493.17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1,521,796.37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9,665,930.64</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319,969.08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7,633,672.02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190,493.17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1,521,796.37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9,665,930.64</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118,849,621.33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135,050,748.98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113,952,633.81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8,725,591.09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376,578,595.21</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17,184,745.18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105,375,602.15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48,839,328.76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5,785,429.80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177,185,105.89</w:t>
            </w:r>
          </w:p>
        </w:tc>
      </w:tr>
    </w:tbl>
    <w:p>
      <w:pPr>
        <w:spacing w:after="0" w:line="240" w:lineRule="auto"/>
        <w:jc w:val="right"/>
        <w:rPr>
          <w:rFonts w:ascii="宋体" w:hAnsi="宋体" w:cs="宋体" w:eastAsia="宋体" w:hint="default"/>
          <w:sz w:val="18"/>
          <w:szCs w:val="18"/>
        </w:rPr>
        <w:sectPr>
          <w:pgSz w:w="11910" w:h="16840"/>
          <w:pgMar w:header="877" w:footer="1187" w:top="1100" w:bottom="1380" w:left="460" w:right="0"/>
        </w:sectPr>
      </w:pPr>
    </w:p>
    <w:p>
      <w:pPr>
        <w:spacing w:line="240" w:lineRule="auto" w:before="6"/>
        <w:rPr>
          <w:rFonts w:ascii="宋体" w:hAnsi="宋体" w:cs="宋体" w:eastAsia="宋体" w:hint="default"/>
          <w:sz w:val="24"/>
          <w:szCs w:val="24"/>
        </w:rPr>
      </w:pPr>
    </w:p>
    <w:tbl>
      <w:tblPr>
        <w:tblW w:w="0" w:type="auto"/>
        <w:jc w:val="left"/>
        <w:tblInd w:w="229" w:type="dxa"/>
        <w:tblLayout w:type="fixed"/>
        <w:tblCellMar>
          <w:top w:w="0" w:type="dxa"/>
          <w:left w:w="0" w:type="dxa"/>
          <w:bottom w:w="0" w:type="dxa"/>
          <w:right w:w="0" w:type="dxa"/>
        </w:tblCellMar>
        <w:tblLook w:val="01E0"/>
      </w:tblPr>
      <w:tblGrid>
        <w:gridCol w:w="2073"/>
        <w:gridCol w:w="1344"/>
        <w:gridCol w:w="1404"/>
        <w:gridCol w:w="1555"/>
        <w:gridCol w:w="1595"/>
        <w:gridCol w:w="1594"/>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3,094,880.38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9,740,216.14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12,306,784.68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1,040,511.61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26,182,392.81</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3,094,880.38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9,617,340.87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12,306,784.68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919,009.22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25,938,015.15</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122,875.27</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121,502.39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244,377.66</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250,896.08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7,118,751.59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92,293.52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1,060,188.92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8,522,130.11</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250,896.08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7,118,751.59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92,293.52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1,060,188.92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8,522,130.11</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20,028,729.48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107,997,066.70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61,053,819.92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5,765,752.49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194,845,368.59</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98,820,891.85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27,053,682.28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52,898,813.89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2,959,838.60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181,733,226.62</w:t>
            </w:r>
          </w:p>
        </w:tc>
      </w:tr>
      <w:tr>
        <w:trPr>
          <w:trHeight w:val="402" w:hRule="exact"/>
        </w:trPr>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97,146,055.71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32,018,624.11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60,924,555.60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3,976,837.73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194,066,073.15</w:t>
            </w:r>
          </w:p>
        </w:tc>
      </w:tr>
    </w:tbl>
    <w:p>
      <w:pPr>
        <w:spacing w:line="240" w:lineRule="auto" w:before="3"/>
        <w:rPr>
          <w:rFonts w:ascii="宋体" w:hAnsi="宋体" w:cs="宋体" w:eastAsia="宋体" w:hint="default"/>
          <w:sz w:val="19"/>
          <w:szCs w:val="19"/>
        </w:rPr>
      </w:pPr>
    </w:p>
    <w:p>
      <w:pPr>
        <w:pStyle w:val="Heading3"/>
        <w:spacing w:line="240" w:lineRule="auto" w:before="35"/>
        <w:ind w:left="234" w:right="0"/>
        <w:jc w:val="left"/>
        <w:rPr>
          <w:b w:val="0"/>
          <w:bCs w:val="0"/>
        </w:rPr>
      </w:pPr>
      <w:bookmarkStart w:name="10、无形资产" w:id="252"/>
      <w:bookmarkEnd w:id="252"/>
      <w:r>
        <w:rPr>
          <w:b w:val="0"/>
          <w:bCs w:val="0"/>
        </w:rPr>
      </w:r>
      <w:r>
        <w:rPr>
          <w:rFonts w:ascii="宋体" w:hAnsi="宋体" w:cs="宋体" w:eastAsia="宋体" w:hint="default"/>
        </w:rPr>
        <w:t>10</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34" w:right="0"/>
        <w:jc w:val="left"/>
        <w:rPr>
          <w:b w:val="0"/>
          <w:bCs w:val="0"/>
        </w:rPr>
      </w:pPr>
      <w:bookmarkStart w:name="（1）无形资产情况" w:id="253"/>
      <w:bookmarkEnd w:id="253"/>
      <w:r>
        <w:rPr>
          <w:b w:val="0"/>
          <w:bCs w:val="0"/>
        </w:rPr>
      </w:r>
      <w:r>
        <w:rPr/>
        <w:t>（</w:t>
      </w:r>
      <w:r>
        <w:rPr>
          <w:rFonts w:ascii="宋体" w:hAnsi="宋体" w:cs="宋体" w:eastAsia="宋体" w:hint="default"/>
        </w:rPr>
        <w:t>1</w:t>
      </w:r>
      <w:r>
        <w:rPr/>
        <w:t>）无形资产情况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234" w:right="0"/>
        <w:jc w:val="left"/>
      </w:pPr>
      <w:r>
        <w:rPr/>
        <w:t>公司是否需遵守《深圳证券交易所创业板行业信息披露指引第</w:t>
      </w:r>
      <w:r>
        <w:rPr>
          <w:spacing w:val="-45"/>
        </w:rPr>
        <w:t> </w:t>
      </w:r>
      <w:r>
        <w:rPr>
          <w:rFonts w:ascii="宋体" w:hAnsi="宋体" w:cs="宋体" w:eastAsia="宋体" w:hint="default"/>
        </w:rPr>
        <w:t>5</w:t>
      </w:r>
      <w:r>
        <w:rPr>
          <w:rFonts w:ascii="宋体" w:hAnsi="宋体" w:cs="宋体" w:eastAsia="宋体" w:hint="default"/>
          <w:spacing w:val="-46"/>
        </w:rPr>
        <w:t> </w:t>
      </w:r>
      <w:r>
        <w:rPr/>
        <w:t>号——上市公司从事互联网游戏业务》的披露要求</w:t>
      </w:r>
    </w:p>
    <w:p>
      <w:pPr>
        <w:pStyle w:val="BodyText"/>
        <w:spacing w:line="240" w:lineRule="auto" w:before="117"/>
        <w:ind w:left="234" w:right="0"/>
        <w:jc w:val="left"/>
      </w:pPr>
      <w:r>
        <w:rPr/>
        <w:t>□ 是 √ 否</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096"/>
        <w:gridCol w:w="1363"/>
        <w:gridCol w:w="622"/>
        <w:gridCol w:w="1058"/>
        <w:gridCol w:w="1244"/>
        <w:gridCol w:w="1260"/>
        <w:gridCol w:w="982"/>
        <w:gridCol w:w="1267"/>
      </w:tblGrid>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38,642,727.53</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26,471,955.46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7,872,302.13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6" w:right="0"/>
              <w:jc w:val="center"/>
              <w:rPr>
                <w:rFonts w:ascii="宋体" w:hAnsi="宋体" w:cs="宋体" w:eastAsia="宋体" w:hint="default"/>
                <w:sz w:val="18"/>
                <w:szCs w:val="18"/>
              </w:rPr>
            </w:pPr>
            <w:r>
              <w:rPr>
                <w:rFonts w:ascii="宋体"/>
                <w:sz w:val="18"/>
              </w:rPr>
              <w:t>88,000.00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73,074,985.12</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324,833.35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324,833.35</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324,833.35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324,833.35</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38,642,727.53</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26,796,788.81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7,872,302.13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6" w:right="0"/>
              <w:jc w:val="center"/>
              <w:rPr>
                <w:rFonts w:ascii="宋体" w:hAnsi="宋体" w:cs="宋体" w:eastAsia="宋体" w:hint="default"/>
                <w:sz w:val="18"/>
                <w:szCs w:val="18"/>
              </w:rPr>
            </w:pPr>
            <w:r>
              <w:rPr>
                <w:rFonts w:ascii="宋体"/>
                <w:sz w:val="18"/>
              </w:rPr>
              <w:t>88,000.00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73,399,818.47</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5,589,214.92</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19,817,829.23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3,083,318.44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6" w:right="0"/>
              <w:jc w:val="center"/>
              <w:rPr>
                <w:rFonts w:ascii="宋体" w:hAnsi="宋体" w:cs="宋体" w:eastAsia="宋体" w:hint="default"/>
                <w:sz w:val="18"/>
                <w:szCs w:val="18"/>
              </w:rPr>
            </w:pPr>
            <w:r>
              <w:rPr>
                <w:rFonts w:ascii="宋体"/>
                <w:sz w:val="18"/>
              </w:rPr>
              <w:t>25,666.55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28,516,029.14</w:t>
            </w:r>
          </w:p>
        </w:tc>
      </w:tr>
    </w:tbl>
    <w:p>
      <w:pPr>
        <w:spacing w:after="0" w:line="240" w:lineRule="auto"/>
        <w:jc w:val="right"/>
        <w:rPr>
          <w:rFonts w:ascii="宋体" w:hAnsi="宋体" w:cs="宋体" w:eastAsia="宋体" w:hint="default"/>
          <w:sz w:val="18"/>
          <w:szCs w:val="18"/>
        </w:rPr>
        <w:sectPr>
          <w:pgSz w:w="11910" w:h="16840"/>
          <w:pgMar w:header="877" w:footer="1187" w:top="1100" w:bottom="1380" w:left="90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096"/>
        <w:gridCol w:w="1363"/>
        <w:gridCol w:w="622"/>
        <w:gridCol w:w="1058"/>
        <w:gridCol w:w="1244"/>
        <w:gridCol w:w="1260"/>
        <w:gridCol w:w="982"/>
        <w:gridCol w:w="1267"/>
      </w:tblGrid>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772,854.60</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center"/>
              <w:rPr>
                <w:rFonts w:ascii="宋体" w:hAnsi="宋体" w:cs="宋体" w:eastAsia="宋体" w:hint="default"/>
                <w:sz w:val="18"/>
                <w:szCs w:val="18"/>
              </w:rPr>
            </w:pPr>
            <w:r>
              <w:rPr>
                <w:rFonts w:ascii="宋体"/>
                <w:sz w:val="18"/>
              </w:rPr>
              <w:t>1,510,264.11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787,230.24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8,799.96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3,079,148.91</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772,854.60</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center"/>
              <w:rPr>
                <w:rFonts w:ascii="宋体" w:hAnsi="宋体" w:cs="宋体" w:eastAsia="宋体" w:hint="default"/>
                <w:sz w:val="18"/>
                <w:szCs w:val="18"/>
              </w:rPr>
            </w:pPr>
            <w:r>
              <w:rPr>
                <w:rFonts w:ascii="宋体"/>
                <w:sz w:val="18"/>
              </w:rPr>
              <w:t>1,510,264.11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787,230.24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8,799.96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3,079,148.91</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6,362,069.52</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sz w:val="18"/>
              </w:rPr>
              <w:t>21,328,093.34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3,870,548.68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34,466.51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31,595,178.05</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32,280,658.01</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center"/>
              <w:rPr>
                <w:rFonts w:ascii="宋体" w:hAnsi="宋体" w:cs="宋体" w:eastAsia="宋体" w:hint="default"/>
                <w:sz w:val="18"/>
                <w:szCs w:val="18"/>
              </w:rPr>
            </w:pPr>
            <w:r>
              <w:rPr>
                <w:rFonts w:ascii="宋体"/>
                <w:sz w:val="18"/>
              </w:rPr>
              <w:t>5,468,695.47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4,001,753.45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53,533.49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41,804,640.42</w:t>
            </w:r>
          </w:p>
        </w:tc>
      </w:tr>
      <w:tr>
        <w:trPr>
          <w:trHeight w:val="40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33,053,512.61</w:t>
            </w:r>
          </w:p>
        </w:tc>
        <w:tc>
          <w:tcPr>
            <w:tcW w:w="6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center"/>
              <w:rPr>
                <w:rFonts w:ascii="宋体" w:hAnsi="宋体" w:cs="宋体" w:eastAsia="宋体" w:hint="default"/>
                <w:sz w:val="18"/>
                <w:szCs w:val="18"/>
              </w:rPr>
            </w:pPr>
            <w:r>
              <w:rPr>
                <w:rFonts w:ascii="宋体"/>
                <w:sz w:val="18"/>
              </w:rPr>
              <w:t>6,654,126.23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4,788,983.69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62,333.45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44,558,955.98</w:t>
            </w:r>
          </w:p>
        </w:tc>
      </w:tr>
    </w:tbl>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87" w:top="1100" w:bottom="1380" w:left="900" w:right="0"/>
        </w:sectPr>
      </w:pPr>
    </w:p>
    <w:p>
      <w:pPr>
        <w:pStyle w:val="Heading3"/>
        <w:spacing w:line="240" w:lineRule="auto" w:before="35"/>
        <w:ind w:left="234" w:right="0"/>
        <w:jc w:val="left"/>
        <w:rPr>
          <w:b w:val="0"/>
          <w:bCs w:val="0"/>
        </w:rPr>
      </w:pPr>
      <w:bookmarkStart w:name="11、开发支出" w:id="254"/>
      <w:bookmarkEnd w:id="254"/>
      <w:r>
        <w:rPr>
          <w:b w:val="0"/>
          <w:bCs w:val="0"/>
        </w:rPr>
      </w:r>
      <w:r>
        <w:rPr>
          <w:rFonts w:ascii="宋体" w:hAnsi="宋体" w:cs="宋体" w:eastAsia="宋体" w:hint="default"/>
          <w:w w:val="95"/>
        </w:rPr>
        <w:t>11</w:t>
      </w:r>
      <w:r>
        <w:rPr>
          <w:w w:val="95"/>
        </w:rPr>
        <w:t>、开发支出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3"/>
          <w:szCs w:val="13"/>
        </w:rPr>
      </w:pPr>
    </w:p>
    <w:p>
      <w:pPr>
        <w:pStyle w:val="BodyText"/>
        <w:spacing w:line="240" w:lineRule="auto"/>
        <w:ind w:left="233" w:right="0"/>
        <w:jc w:val="left"/>
      </w:pPr>
      <w:r>
        <w:rPr/>
        <w:t>单位： 元</w:t>
      </w:r>
    </w:p>
    <w:p>
      <w:pPr>
        <w:spacing w:after="0" w:line="240" w:lineRule="auto"/>
        <w:jc w:val="left"/>
        <w:sectPr>
          <w:type w:val="continuous"/>
          <w:pgSz w:w="11910" w:h="16840"/>
          <w:pgMar w:top="1580" w:bottom="700" w:left="900" w:right="0"/>
          <w:cols w:num="2" w:equalWidth="0">
            <w:col w:w="1499" w:space="7331"/>
            <w:col w:w="2180"/>
          </w:cols>
        </w:sectPr>
      </w:pP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844"/>
        <w:gridCol w:w="992"/>
        <w:gridCol w:w="1276"/>
        <w:gridCol w:w="851"/>
        <w:gridCol w:w="850"/>
        <w:gridCol w:w="852"/>
        <w:gridCol w:w="778"/>
        <w:gridCol w:w="781"/>
        <w:gridCol w:w="134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基于大数据技术的智 能推送平台</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5,615,185.28</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5,615,185.28</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基于实时数据交换技 术的互联互通平台</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4,374,115.18</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4,374,115.18</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2"/>
                <w:sz w:val="18"/>
                <w:szCs w:val="18"/>
              </w:rPr>
              <w:t> </w:t>
            </w:r>
            <w:r>
              <w:rPr>
                <w:rFonts w:ascii="宋体" w:hAnsi="宋体" w:cs="宋体" w:eastAsia="宋体" w:hint="default"/>
                <w:sz w:val="18"/>
                <w:szCs w:val="18"/>
              </w:rPr>
              <w:t>PPT</w:t>
            </w:r>
            <w:r>
              <w:rPr>
                <w:rFonts w:ascii="宋体" w:hAnsi="宋体" w:cs="宋体" w:eastAsia="宋体" w:hint="default"/>
                <w:spacing w:val="-52"/>
                <w:sz w:val="18"/>
                <w:szCs w:val="18"/>
              </w:rPr>
              <w:t> </w:t>
            </w:r>
            <w:r>
              <w:rPr>
                <w:rFonts w:ascii="宋体" w:hAnsi="宋体" w:cs="宋体" w:eastAsia="宋体" w:hint="default"/>
                <w:sz w:val="18"/>
                <w:szCs w:val="18"/>
              </w:rPr>
              <w:t>的互动性课件 制作软件</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4,778,730.36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4,778,730.36</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基于无线广播技术的 互动课堂软件</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5,298,782.49</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5,298,782.49</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基于人工智能的走班 排课软件</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2,753,078.44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2,753,078.44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22,819,891.75</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22,819,891.75</w:t>
            </w:r>
          </w:p>
        </w:tc>
      </w:tr>
    </w:tbl>
    <w:p>
      <w:pPr>
        <w:spacing w:line="240" w:lineRule="auto" w:before="9"/>
        <w:rPr>
          <w:rFonts w:ascii="宋体" w:hAnsi="宋体" w:cs="宋体" w:eastAsia="宋体" w:hint="default"/>
          <w:sz w:val="6"/>
          <w:szCs w:val="6"/>
        </w:rPr>
      </w:pPr>
    </w:p>
    <w:p>
      <w:pPr>
        <w:pStyle w:val="BodyText"/>
        <w:spacing w:line="240" w:lineRule="auto" w:before="44"/>
        <w:ind w:left="234" w:right="0"/>
        <w:jc w:val="left"/>
      </w:pPr>
      <w:r>
        <w:rPr/>
        <w:t>其他说明：</w:t>
      </w:r>
    </w:p>
    <w:p>
      <w:pPr>
        <w:spacing w:line="240" w:lineRule="auto" w:before="1"/>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3512"/>
        <w:gridCol w:w="1728"/>
        <w:gridCol w:w="2667"/>
        <w:gridCol w:w="1949"/>
      </w:tblGrid>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资本化的具体依据</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截至期末的研发进度</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基于大数据技术的智能推送平台</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经审批后的项目开发立项报告</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50%</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基于实时数据交换技术的互联互通平台</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经审批后的项目开发立项报告</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90%</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z w:val="18"/>
                <w:szCs w:val="18"/>
              </w:rPr>
              <w:t>PPT</w:t>
            </w:r>
            <w:r>
              <w:rPr>
                <w:rFonts w:ascii="宋体" w:hAnsi="宋体" w:cs="宋体" w:eastAsia="宋体" w:hint="default"/>
                <w:sz w:val="18"/>
                <w:szCs w:val="18"/>
              </w:rPr>
              <w:t>的互动性课件制作软件</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经审批后的项目开发立项报告</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90%</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基于无线广播技术的互动课堂软件</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经审批后的项目开发立项报告</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基于人工智能的走班排课软件</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经审批后的项目开发立项报告</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w:t>
            </w:r>
          </w:p>
        </w:tc>
      </w:tr>
    </w:tbl>
    <w:p>
      <w:pPr>
        <w:spacing w:after="0" w:line="240" w:lineRule="auto"/>
        <w:jc w:val="center"/>
        <w:rPr>
          <w:rFonts w:ascii="宋体" w:hAnsi="宋体" w:cs="宋体" w:eastAsia="宋体" w:hint="default"/>
          <w:sz w:val="18"/>
          <w:szCs w:val="18"/>
        </w:rPr>
        <w:sectPr>
          <w:type w:val="continuous"/>
          <w:pgSz w:w="11910" w:h="16840"/>
          <w:pgMar w:top="1580" w:bottom="700" w:left="900" w:right="0"/>
        </w:sectPr>
      </w:pPr>
    </w:p>
    <w:p>
      <w:pPr>
        <w:spacing w:line="240" w:lineRule="auto" w:before="12"/>
        <w:rPr>
          <w:rFonts w:ascii="宋体" w:hAnsi="宋体" w:cs="宋体" w:eastAsia="宋体" w:hint="default"/>
          <w:sz w:val="21"/>
          <w:szCs w:val="21"/>
        </w:rPr>
      </w:pPr>
    </w:p>
    <w:p>
      <w:pPr>
        <w:pStyle w:val="BodyText"/>
        <w:spacing w:line="319" w:lineRule="auto" w:before="44"/>
        <w:ind w:right="1131" w:firstLine="360"/>
        <w:jc w:val="both"/>
      </w:pPr>
      <w:r>
        <w:rPr>
          <w:spacing w:val="-2"/>
        </w:rPr>
        <w:t>报告期内，公司子公司天喻教育全力构建依托于智慧教育云平台的产品应用生态体系，从充分挖掘平台数据价值的角度</w:t>
      </w:r>
      <w:r>
        <w:rPr/>
        <w:t> </w:t>
      </w:r>
      <w:r>
        <w:rPr>
          <w:spacing w:val="-2"/>
        </w:rPr>
        <w:t>重点在精准教学和精准管理方向进行了技术开发战略布局。该类技术方向具备较强的市场前瞻性，且能充分体现公司智慧教</w:t>
      </w:r>
      <w:r>
        <w:rPr>
          <w:spacing w:val="-64"/>
        </w:rPr>
        <w:t> </w:t>
      </w:r>
      <w:r>
        <w:rPr>
          <w:spacing w:val="-64"/>
        </w:rPr>
      </w:r>
      <w:r>
        <w:rPr>
          <w:spacing w:val="-2"/>
        </w:rPr>
        <w:t>育业务技术开发水平，未来借助公司在智慧教育云平台的服务优势将能实现较好的产品经济效益。因此，报告期内，天喻教</w:t>
      </w:r>
      <w:r>
        <w:rPr>
          <w:spacing w:val="-66"/>
        </w:rPr>
        <w:t> </w:t>
      </w:r>
      <w:r>
        <w:rPr>
          <w:spacing w:val="-66"/>
        </w:rPr>
      </w:r>
      <w:r>
        <w:rPr/>
        <w:t>育对上述技术开发项目符合资本化条件的开发支出予以资本化处理。</w:t>
      </w:r>
    </w:p>
    <w:p>
      <w:pPr>
        <w:pStyle w:val="BodyText"/>
        <w:spacing w:line="319" w:lineRule="auto" w:before="56"/>
        <w:ind w:right="1133" w:firstLine="360"/>
        <w:jc w:val="both"/>
      </w:pPr>
      <w:r>
        <w:rPr>
          <w:spacing w:val="-2"/>
        </w:rPr>
        <w:t>天喻教育内部研究开发项目分为研究阶段与开发阶段，在完成研究阶段后，对项目开发计划进行立项审批，开发项目立</w:t>
      </w:r>
      <w:r>
        <w:rPr/>
        <w:t> 项通过审批作为资本化开始时点。</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2、商誉" w:id="255"/>
      <w:bookmarkEnd w:id="255"/>
      <w:r>
        <w:rPr>
          <w:b w:val="0"/>
          <w:bCs w:val="0"/>
        </w:rPr>
      </w:r>
      <w:r>
        <w:rPr>
          <w:rFonts w:ascii="宋体" w:hAnsi="宋体" w:cs="宋体" w:eastAsia="宋体" w:hint="default"/>
        </w:rPr>
        <w:t>12</w:t>
      </w:r>
      <w:r>
        <w:rPr/>
        <w:t>、商誉</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商誉账面原值" w:id="256"/>
      <w:bookmarkEnd w:id="256"/>
      <w:r>
        <w:rPr>
          <w:b w:val="0"/>
          <w:bCs w:val="0"/>
        </w:rPr>
      </w:r>
      <w:r>
        <w:rPr/>
        <w:t>（</w:t>
      </w:r>
      <w:r>
        <w:rPr>
          <w:rFonts w:ascii="宋体" w:hAnsi="宋体" w:cs="宋体" w:eastAsia="宋体" w:hint="default"/>
        </w:rPr>
        <w:t>1</w:t>
      </w:r>
      <w:r>
        <w:rPr/>
        <w:t>）商誉账面原值</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700"/>
        <w:gridCol w:w="1419"/>
        <w:gridCol w:w="1134"/>
        <w:gridCol w:w="1134"/>
        <w:gridCol w:w="972"/>
        <w:gridCol w:w="1367"/>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75" w:right="106"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深圳市易考乐学测评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2,648,493.25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2,648,493.25</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无锡尚蠡信息科技有 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3,575,642.19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3,575,642.19</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山东天喻爱书人现代 教育科技有限公司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14,890,687.37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14,890,687.37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6,224,135.44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14,890,687.37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21,114,822.81</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5"/>
        <w:ind w:right="0" w:firstLine="360"/>
        <w:jc w:val="left"/>
      </w:pPr>
      <w:r>
        <w:rPr>
          <w:spacing w:val="-2"/>
        </w:rPr>
        <w:t>报告期末商誉较期初增加</w:t>
      </w:r>
      <w:r>
        <w:rPr>
          <w:rFonts w:ascii="宋体" w:hAnsi="宋体" w:cs="宋体" w:eastAsia="宋体" w:hint="default"/>
          <w:spacing w:val="-2"/>
        </w:rPr>
        <w:t>239.24%</w:t>
      </w:r>
      <w:r>
        <w:rPr>
          <w:spacing w:val="-2"/>
        </w:rPr>
        <w:t>，主要由于公司子公司天喻教育完成对现代教育</w:t>
      </w:r>
      <w:r>
        <w:rPr>
          <w:rFonts w:ascii="宋体" w:hAnsi="宋体" w:cs="宋体" w:eastAsia="宋体" w:hint="default"/>
          <w:spacing w:val="-2"/>
        </w:rPr>
        <w:t>51%</w:t>
      </w:r>
      <w:r>
        <w:rPr>
          <w:spacing w:val="-2"/>
        </w:rPr>
        <w:t>股权的收购，按照非同一控制下的</w:t>
      </w:r>
      <w:r>
        <w:rPr/>
        <w:t> 企业合并产生的商誉。</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3、长期待摊费用" w:id="257"/>
      <w:bookmarkEnd w:id="257"/>
      <w:r>
        <w:rPr>
          <w:b w:val="0"/>
          <w:bCs w:val="0"/>
        </w:rPr>
      </w:r>
      <w:r>
        <w:rPr>
          <w:rFonts w:ascii="宋体" w:hAnsi="宋体" w:cs="宋体" w:eastAsia="宋体" w:hint="default"/>
        </w:rPr>
        <w:t>13</w:t>
      </w:r>
      <w:r>
        <w:rPr/>
        <w:t>、长期待摊费用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8,195,805.57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782,231.81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2,880,698.37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6,097,339.01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技术许可及服务费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9,406,926.45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1,188,335.40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5,029,455.54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5,565,806.31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教育云平台技术服 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319,925.40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263,216.53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56,708.87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1,329,949.87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245,549.61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1,213,517.85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361,981.63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宋体" w:hAnsi="宋体" w:cs="宋体" w:eastAsia="宋体" w:hint="default"/>
                <w:sz w:val="18"/>
                <w:szCs w:val="18"/>
              </w:rPr>
              <w:t>e</w:t>
            </w:r>
            <w:r>
              <w:rPr>
                <w:rFonts w:ascii="宋体" w:hAnsi="宋体" w:cs="宋体" w:eastAsia="宋体" w:hint="default"/>
                <w:spacing w:val="-46"/>
                <w:sz w:val="18"/>
                <w:szCs w:val="18"/>
              </w:rPr>
              <w:t> </w:t>
            </w:r>
            <w:r>
              <w:rPr>
                <w:rFonts w:ascii="宋体" w:hAnsi="宋体" w:cs="宋体" w:eastAsia="宋体" w:hint="default"/>
                <w:sz w:val="18"/>
                <w:szCs w:val="18"/>
              </w:rPr>
              <w:t>付终端服务费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1,027,995.09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2,674,172.55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1,038,591.13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2,663,576.51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378,457.62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165,239.25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304,931.67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238,765.20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20,659,060.00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5,055,528.62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10,730,411.09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14,984,177.53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4、递延所得税资产/递延所得税负债" w:id="258"/>
      <w:bookmarkEnd w:id="258"/>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9"/>
      <w:bookmarkEnd w:id="259"/>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260,005,538.43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38,951,727.78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176,526,522.37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26,478,978.35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6,923.85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62,693.56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9,404.03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16,161,116.80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2,424,167.52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15,688,931.57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2,353,339.74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53,598,998.69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8,039,849.80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42,309,605.59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6,346,440.84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2,212,723.72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331,908.55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329,772,577.77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49,416,783.68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236,800,476.81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35,520,071.51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60"/>
      <w:bookmarkEnd w:id="260"/>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90,421,064.80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13,563,159.72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135,342,906.40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20,301,435.96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1,940,321.46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291,048.22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92,361,386.26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13,854,207.94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135,342,906.40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20,301,435.96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61"/>
      <w:bookmarkEnd w:id="261"/>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49,416,783.68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35,520,071.51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13,854,207.94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20,301,435.96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62"/>
      <w:bookmarkEnd w:id="262"/>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59,017,362.06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39,321,698.95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154,191,700.12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136,976,593.38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213,209,062.18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176,298,292.33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未确认递延所得税资产的可抵扣亏损将于以下年度到期" w:id="263"/>
      <w:bookmarkEnd w:id="263"/>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15,459,980.35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15,459,980.35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19,512,549.73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19,512,549.73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47,957,305.50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47,957,305.50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54,046,757.80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54,046,757.80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17,215,106.74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154,191,700.12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136,976,593.38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5"/>
        <w:ind w:right="1131" w:firstLine="360"/>
        <w:jc w:val="both"/>
      </w:pPr>
      <w:r>
        <w:rPr>
          <w:spacing w:val="-2"/>
        </w:rPr>
        <w:t>报告期末递延所得税资产较期初增加</w:t>
      </w:r>
      <w:r>
        <w:rPr>
          <w:rFonts w:ascii="宋体" w:hAnsi="宋体" w:cs="宋体" w:eastAsia="宋体" w:hint="default"/>
          <w:spacing w:val="-2"/>
        </w:rPr>
        <w:t>39.12%</w:t>
      </w:r>
      <w:r>
        <w:rPr>
          <w:spacing w:val="-2"/>
        </w:rPr>
        <w:t>，主要由于计提的资产减值准备等可抵扣税暂时性差异增加，导致递延所得</w:t>
      </w:r>
      <w:r>
        <w:rPr/>
        <w:t> </w:t>
      </w:r>
      <w:r>
        <w:rPr>
          <w:spacing w:val="-2"/>
        </w:rPr>
        <w:t>税资产增加；报告期末递延所得税负债较期初减少</w:t>
      </w:r>
      <w:r>
        <w:rPr>
          <w:rFonts w:ascii="宋体" w:hAnsi="宋体" w:cs="宋体" w:eastAsia="宋体" w:hint="default"/>
          <w:spacing w:val="-2"/>
        </w:rPr>
        <w:t>31.76%</w:t>
      </w:r>
      <w:r>
        <w:rPr>
          <w:spacing w:val="-2"/>
        </w:rPr>
        <w:t>，主要由于公司持有的韦尔股份股权公允价值变动产生的应纳税暂</w:t>
      </w:r>
      <w:r>
        <w:rPr>
          <w:spacing w:val="-58"/>
        </w:rPr>
        <w:t> </w:t>
      </w:r>
      <w:r>
        <w:rPr>
          <w:spacing w:val="-58"/>
        </w:rPr>
      </w:r>
      <w:r>
        <w:rPr/>
        <w:t>时性差异减少。</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其他非流动资产" w:id="264"/>
      <w:bookmarkEnd w:id="264"/>
      <w:r>
        <w:rPr>
          <w:b w:val="0"/>
          <w:bCs w:val="0"/>
        </w:rPr>
      </w:r>
      <w:r>
        <w:rPr>
          <w:rFonts w:ascii="宋体" w:hAnsi="宋体" w:cs="宋体" w:eastAsia="宋体" w:hint="default"/>
        </w:rPr>
        <w:t>15</w:t>
      </w:r>
      <w:r>
        <w:rPr/>
        <w:t>、其他非流动资产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预付设备及软件款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545,792.89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776,275.03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545,792.89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776,275.03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短期借款" w:id="265"/>
      <w:bookmarkEnd w:id="265"/>
      <w:r>
        <w:rPr>
          <w:b w:val="0"/>
          <w:bCs w:val="0"/>
        </w:rPr>
      </w:r>
      <w:r>
        <w:rPr>
          <w:rFonts w:ascii="宋体" w:hAnsi="宋体" w:cs="宋体" w:eastAsia="宋体" w:hint="default"/>
        </w:rPr>
        <w:t>16</w:t>
      </w:r>
      <w:r>
        <w:rPr/>
        <w:t>、短期借款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短期借款分类" w:id="266"/>
      <w:bookmarkEnd w:id="266"/>
      <w:r>
        <w:rPr>
          <w:b w:val="0"/>
          <w:bCs w:val="0"/>
        </w:rPr>
      </w: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20,000,000.00</w:t>
            </w:r>
          </w:p>
        </w:tc>
      </w:tr>
    </w:tbl>
    <w:p>
      <w:pPr>
        <w:spacing w:line="240" w:lineRule="auto" w:before="9"/>
        <w:rPr>
          <w:rFonts w:ascii="宋体" w:hAnsi="宋体" w:cs="宋体" w:eastAsia="宋体" w:hint="default"/>
          <w:sz w:val="6"/>
          <w:szCs w:val="6"/>
        </w:rPr>
      </w:pPr>
    </w:p>
    <w:p>
      <w:pPr>
        <w:pStyle w:val="BodyText"/>
        <w:spacing w:line="357" w:lineRule="auto" w:before="44"/>
        <w:ind w:left="514" w:right="4272" w:hanging="360"/>
        <w:jc w:val="left"/>
      </w:pPr>
      <w:r>
        <w:rPr/>
        <w:t>短期借款分类的说明： 报告期末短期借款较期初增加</w:t>
      </w:r>
      <w:r>
        <w:rPr>
          <w:rFonts w:ascii="宋体" w:hAnsi="宋体" w:cs="宋体" w:eastAsia="宋体" w:hint="default"/>
        </w:rPr>
        <w:t>275%</w:t>
      </w:r>
      <w:r>
        <w:rPr/>
        <w:t>，主要由于经营活动产生的融资需求增加。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7、应付票据及应付账款" w:id="267"/>
      <w:bookmarkEnd w:id="267"/>
      <w:r>
        <w:rPr>
          <w:b w:val="0"/>
          <w:bCs w:val="0"/>
        </w:rPr>
      </w:r>
      <w:r>
        <w:rPr>
          <w:rFonts w:ascii="宋体" w:hAnsi="宋体" w:cs="宋体" w:eastAsia="宋体" w:hint="default"/>
        </w:rPr>
        <w:t>17</w:t>
      </w:r>
      <w:r>
        <w:rPr/>
        <w:t>、应付票据及应付账款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97" w:right="0"/>
              <w:jc w:val="left"/>
              <w:rPr>
                <w:rFonts w:ascii="宋体" w:hAnsi="宋体" w:cs="宋体" w:eastAsia="宋体" w:hint="default"/>
                <w:sz w:val="18"/>
                <w:szCs w:val="18"/>
              </w:rPr>
            </w:pPr>
            <w:r>
              <w:rPr>
                <w:rFonts w:ascii="宋体"/>
                <w:sz w:val="18"/>
              </w:rPr>
              <w:t>152,354,465.20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97" w:right="0"/>
              <w:jc w:val="left"/>
              <w:rPr>
                <w:rFonts w:ascii="宋体" w:hAnsi="宋体" w:cs="宋体" w:eastAsia="宋体" w:hint="default"/>
                <w:sz w:val="18"/>
                <w:szCs w:val="18"/>
              </w:rPr>
            </w:pPr>
            <w:r>
              <w:rPr>
                <w:rFonts w:ascii="宋体"/>
                <w:sz w:val="18"/>
              </w:rPr>
              <w:t>150,993,361.82</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339,487,187.04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256,914,216.78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491,841,652.24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407,907,578.60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68"/>
      <w:bookmarkEnd w:id="268"/>
      <w:r>
        <w:rPr>
          <w:b w:val="0"/>
          <w:bCs w:val="0"/>
        </w:rPr>
      </w:r>
      <w:r>
        <w:rPr/>
        <w:t>（</w:t>
      </w:r>
      <w:r>
        <w:rPr>
          <w:rFonts w:ascii="宋体" w:hAnsi="宋体" w:cs="宋体" w:eastAsia="宋体" w:hint="default"/>
        </w:rPr>
        <w:t>1</w:t>
      </w:r>
      <w:r>
        <w:rPr/>
        <w:t>）应付票据分类列示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152,354,465.20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150,993,361.82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152,354,465.20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150,993,361.82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账款列示" w:id="269"/>
      <w:bookmarkEnd w:id="269"/>
      <w:r>
        <w:rPr>
          <w:b w:val="0"/>
          <w:bCs w:val="0"/>
        </w:rPr>
      </w:r>
      <w:r>
        <w:rPr/>
        <w:t>（</w:t>
      </w:r>
      <w:r>
        <w:rPr>
          <w:rFonts w:ascii="宋体" w:hAnsi="宋体" w:cs="宋体" w:eastAsia="宋体" w:hint="default"/>
        </w:rPr>
        <w:t>2</w:t>
      </w:r>
      <w:r>
        <w:rPr/>
        <w:t>）应付账款列示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321,847,325.40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238,608,619.60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6,649,641.85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5,402,783.06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2,512,008.23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7,677,173.85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8,478,211.56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5,225,640.27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339,487,187.04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256,914,216.78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预收款项" w:id="270"/>
      <w:bookmarkEnd w:id="270"/>
      <w:r>
        <w:rPr>
          <w:b w:val="0"/>
          <w:bCs w:val="0"/>
        </w:rPr>
      </w:r>
      <w:r>
        <w:rPr>
          <w:rFonts w:ascii="宋体" w:hAnsi="宋体" w:cs="宋体" w:eastAsia="宋体" w:hint="default"/>
        </w:rPr>
        <w:t>18</w:t>
      </w:r>
      <w:r>
        <w:rPr/>
        <w:t>、预收款项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预收款项列示" w:id="271"/>
      <w:bookmarkEnd w:id="271"/>
      <w:r>
        <w:rPr>
          <w:b w:val="0"/>
          <w:bCs w:val="0"/>
        </w:rPr>
      </w:r>
      <w:r>
        <w:rPr/>
        <w:t>（</w:t>
      </w:r>
      <w:r>
        <w:rPr>
          <w:rFonts w:ascii="宋体" w:hAnsi="宋体" w:cs="宋体" w:eastAsia="宋体" w:hint="default"/>
        </w:rPr>
        <w:t>1</w:t>
      </w:r>
      <w:r>
        <w:rPr/>
        <w:t>）预收款项列示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39,358,445.28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37,648,881.22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6,837,018.05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2,331,352.34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1,728,317.42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1,457,372.21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3,403,233.76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3,338,577.95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51,327,014.51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44,776,183.72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职工薪酬" w:id="272"/>
      <w:bookmarkEnd w:id="272"/>
      <w:r>
        <w:rPr>
          <w:b w:val="0"/>
          <w:bCs w:val="0"/>
        </w:rPr>
      </w:r>
      <w:r>
        <w:rPr>
          <w:rFonts w:ascii="宋体" w:hAnsi="宋体" w:cs="宋体" w:eastAsia="宋体" w:hint="default"/>
        </w:rPr>
        <w:t>19</w:t>
      </w:r>
      <w:r>
        <w:rPr/>
        <w:t>、应付职工薪酬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付职工薪酬列示" w:id="273"/>
      <w:bookmarkEnd w:id="273"/>
      <w:r>
        <w:rPr>
          <w:b w:val="0"/>
          <w:bCs w:val="0"/>
        </w:rPr>
      </w: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843"/>
        <w:gridCol w:w="1702"/>
        <w:gridCol w:w="177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843"/>
        <w:gridCol w:w="1702"/>
        <w:gridCol w:w="177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56,719,078.31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342,789,826.41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314,334,838.95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85,174,065.77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26,571,836.87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26,515,994.27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55,842.60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837,115.30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837,115.30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56,719,078.31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370,198,778.58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341,687,948.52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85,229,908.37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74"/>
      <w:bookmarkEnd w:id="274"/>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53,941,417.96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304,191,854.85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276,013,271.29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82,120,001.52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235,638.75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10,767,285.55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10,774,863.75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228,060.55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12,576,824.50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12,555,902.12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20,922.38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11,006,859.66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10,987,802.40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19,057.26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659,963.40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659,255.98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707.42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910,001.44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908,843.74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1,157.70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1,139,862.46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9,316,376.21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9,243,555.57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1,212,683.10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1,402,159.14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5,132,412.27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4,942,173.19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1,592,398.22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805,073.03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805,073.03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56,719,078.31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342,789,826.41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314,334,838.95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85,174,065.77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5"/>
      <w:bookmarkEnd w:id="275"/>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25,658,631.10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25,603,312.62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55,318.48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913,205.77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912,681.65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524.12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26,571,836.87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26,515,994.27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55,842.60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5"/>
        <w:ind w:left="514" w:right="0"/>
        <w:jc w:val="left"/>
      </w:pPr>
      <w:r>
        <w:rPr/>
        <w:t>报告期末应付职工薪酬较期初增加</w:t>
      </w:r>
      <w:r>
        <w:rPr>
          <w:rFonts w:ascii="宋体" w:hAnsi="宋体" w:cs="宋体" w:eastAsia="宋体" w:hint="default"/>
        </w:rPr>
        <w:t>50.27%</w:t>
      </w:r>
      <w:r>
        <w:rPr/>
        <w:t>，主要是计提的员工年终绩效考核奖金增加。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应交税费" w:id="276"/>
      <w:bookmarkEnd w:id="276"/>
      <w:r>
        <w:rPr>
          <w:b w:val="0"/>
          <w:bCs w:val="0"/>
        </w:rPr>
      </w:r>
      <w:r>
        <w:rPr>
          <w:rFonts w:ascii="宋体" w:hAnsi="宋体" w:cs="宋体" w:eastAsia="宋体" w:hint="default"/>
        </w:rPr>
        <w:t>20</w:t>
      </w:r>
      <w:r>
        <w:rPr/>
        <w:t>、应交税费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18,099,703.23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10,763,946.99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11,919,485.31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1,761,516.79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496,914.44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967,753.91</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1,270,013.49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754,739.55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544,291.51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323,459.81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278,636.62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161,886.67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111,966.19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112,240.73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164,559.16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112,810.42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272,300.86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187,176.04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6,453.64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33,164,324.45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15,145,530.91</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514" w:right="0"/>
        <w:jc w:val="left"/>
      </w:pPr>
      <w:r>
        <w:rPr/>
        <w:t>报告期末应交税费较期初增加</w:t>
      </w:r>
      <w:r>
        <w:rPr>
          <w:rFonts w:ascii="宋体" w:hAnsi="宋体" w:cs="宋体" w:eastAsia="宋体" w:hint="default"/>
        </w:rPr>
        <w:t>118.97%</w:t>
      </w:r>
      <w:r>
        <w:rPr/>
        <w:t>，主要由于销售收入和利润增加产生的应交增值税和企业所得税增加。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其他应付款" w:id="277"/>
      <w:bookmarkEnd w:id="277"/>
      <w:r>
        <w:rPr>
          <w:b w:val="0"/>
          <w:bCs w:val="0"/>
        </w:rPr>
      </w:r>
      <w:r>
        <w:rPr>
          <w:rFonts w:ascii="宋体" w:hAnsi="宋体" w:cs="宋体" w:eastAsia="宋体" w:hint="default"/>
        </w:rPr>
        <w:t>21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121,041.67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37,740,453.87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52,368,883.37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37,861,495.54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52,368,883.37</w:t>
            </w:r>
          </w:p>
        </w:tc>
      </w:tr>
    </w:tbl>
    <w:p>
      <w:pPr>
        <w:spacing w:line="240" w:lineRule="auto" w:before="8"/>
        <w:rPr>
          <w:rFonts w:ascii="宋体" w:hAnsi="宋体" w:cs="宋体" w:eastAsia="宋体" w:hint="default"/>
          <w:sz w:val="14"/>
          <w:szCs w:val="14"/>
        </w:rPr>
      </w:pPr>
    </w:p>
    <w:p>
      <w:pPr>
        <w:pStyle w:val="Heading3"/>
        <w:spacing w:line="240" w:lineRule="auto" w:before="35"/>
        <w:ind w:right="0"/>
        <w:jc w:val="left"/>
        <w:rPr>
          <w:b w:val="0"/>
          <w:bCs w:val="0"/>
        </w:rPr>
      </w:pPr>
      <w:bookmarkStart w:name="（1）应付利息" w:id="278"/>
      <w:bookmarkEnd w:id="278"/>
      <w:r>
        <w:rPr>
          <w:b w:val="0"/>
          <w:bCs w:val="0"/>
        </w:rPr>
      </w:r>
      <w:r>
        <w:rPr/>
        <w:t>（</w:t>
      </w:r>
      <w:r>
        <w:rPr>
          <w:rFonts w:ascii="宋体" w:hAnsi="宋体" w:cs="宋体" w:eastAsia="宋体" w:hint="default"/>
        </w:rPr>
        <w:t>1</w:t>
      </w:r>
      <w:r>
        <w:rPr/>
        <w:t>）应付利息</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121,041.67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121,041.67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4"/>
          <w:szCs w:val="14"/>
        </w:rPr>
      </w:pPr>
    </w:p>
    <w:p>
      <w:pPr>
        <w:pStyle w:val="Heading3"/>
        <w:spacing w:line="240" w:lineRule="auto" w:before="35"/>
        <w:ind w:right="0"/>
        <w:jc w:val="left"/>
        <w:rPr>
          <w:b w:val="0"/>
          <w:bCs w:val="0"/>
        </w:rPr>
      </w:pPr>
      <w:bookmarkStart w:name="（2）其他应付款" w:id="279"/>
      <w:bookmarkEnd w:id="279"/>
      <w:r>
        <w:rPr>
          <w:b w:val="0"/>
          <w:bCs w:val="0"/>
        </w:rPr>
      </w:r>
      <w:r>
        <w:rPr/>
        <w:t>（</w:t>
      </w:r>
      <w:r>
        <w:rPr>
          <w:rFonts w:ascii="宋体" w:hAnsi="宋体" w:cs="宋体" w:eastAsia="宋体" w:hint="default"/>
        </w:rPr>
        <w:t>2</w:t>
      </w:r>
      <w:r>
        <w:rPr/>
        <w:t>）其他应付款</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right="0"/>
        <w:jc w:val="left"/>
      </w:pPr>
      <w:r>
        <w:rPr>
          <w:rFonts w:ascii="宋体" w:hAnsi="宋体" w:cs="宋体" w:eastAsia="宋体" w:hint="default"/>
        </w:rPr>
        <w:t>1)</w:t>
      </w:r>
      <w:r>
        <w:rPr/>
        <w:t>按款项性质列示其他应付款</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5,263,991.03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2,806,096.11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保证金和押金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643,100.00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398,658.55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429,848.43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14,291,706.83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31,195,328.38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16,970,408.90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16,324,304.57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172,588.56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1,412,205.88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37,740,453.87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52,368,883.37</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2、持有待售负债" w:id="280"/>
      <w:bookmarkEnd w:id="280"/>
      <w:r>
        <w:rPr>
          <w:b w:val="0"/>
          <w:bCs w:val="0"/>
        </w:rPr>
      </w:r>
      <w:r>
        <w:rPr>
          <w:rFonts w:ascii="宋体" w:hAnsi="宋体" w:cs="宋体" w:eastAsia="宋体" w:hint="default"/>
        </w:rPr>
        <w:t>22</w:t>
      </w:r>
      <w:r>
        <w:rPr/>
        <w:t>、持有待售负债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固定资产——房屋建筑物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5"/>
        <w:ind w:right="0" w:firstLine="360"/>
        <w:jc w:val="left"/>
      </w:pPr>
      <w:r>
        <w:rPr>
          <w:spacing w:val="-2"/>
        </w:rPr>
        <w:t>报告期末持有待售负债较期初减少</w:t>
      </w:r>
      <w:r>
        <w:rPr>
          <w:rFonts w:ascii="宋体" w:hAnsi="宋体" w:cs="宋体" w:eastAsia="宋体" w:hint="default"/>
          <w:spacing w:val="-2"/>
        </w:rPr>
        <w:t>100%</w:t>
      </w:r>
      <w:r>
        <w:rPr>
          <w:spacing w:val="-2"/>
        </w:rPr>
        <w:t>，主要由于上年末已签订存量房买卖居间合同的紫菘花园房产在报告期内完成了</w:t>
      </w:r>
      <w:r>
        <w:rPr/>
        <w:t> 产权过户手续，公司将划分为持有待售负债的购房定金冲抵了房款。</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长期应付款" w:id="281"/>
      <w:bookmarkEnd w:id="281"/>
      <w:r>
        <w:rPr>
          <w:b w:val="0"/>
          <w:bCs w:val="0"/>
        </w:rPr>
      </w:r>
      <w:r>
        <w:rPr>
          <w:rFonts w:ascii="宋体" w:hAnsi="宋体" w:cs="宋体" w:eastAsia="宋体" w:hint="default"/>
        </w:rPr>
        <w:t>23</w:t>
      </w:r>
      <w:r>
        <w:rPr/>
        <w:t>、长期应付款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22,464,000.00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22,464,000.00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282"/>
      <w:bookmarkEnd w:id="282"/>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长期应付款原值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25,194,240.00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2,730,240.00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22,464,000.00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5"/>
        <w:ind w:right="0" w:firstLine="360"/>
        <w:jc w:val="left"/>
      </w:pPr>
      <w:r>
        <w:rPr>
          <w:spacing w:val="-2"/>
        </w:rPr>
        <w:t>报告期末新增长期应付款</w:t>
      </w:r>
      <w:r>
        <w:rPr>
          <w:rFonts w:ascii="宋体" w:hAnsi="宋体" w:cs="宋体" w:eastAsia="宋体" w:hint="default"/>
          <w:spacing w:val="-2"/>
        </w:rPr>
        <w:t>2,246.40</w:t>
      </w:r>
      <w:r>
        <w:rPr>
          <w:spacing w:val="-2"/>
        </w:rPr>
        <w:t>万元，主要由于公司对子公司天喻教育引进的外部投资者存在股权收购承诺，公司将</w:t>
      </w:r>
      <w:r>
        <w:rPr/>
        <w:t> 天喻教育的该项增资判断为公司的负债，因此将收到的增资款及其应付利息列报于长期应付款。</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递延收益" w:id="283"/>
      <w:bookmarkEnd w:id="283"/>
      <w:r>
        <w:rPr>
          <w:b w:val="0"/>
          <w:bCs w:val="0"/>
        </w:rPr>
      </w:r>
      <w:r>
        <w:rPr>
          <w:rFonts w:ascii="宋体" w:hAnsi="宋体" w:cs="宋体" w:eastAsia="宋体" w:hint="default"/>
        </w:rPr>
        <w:t>24</w:t>
      </w:r>
      <w:r>
        <w:rPr/>
        <w:t>、递延收益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sz w:val="18"/>
              </w:rPr>
              <w:t>6,600,000.00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sz w:val="18"/>
              </w:rPr>
              <w:t>6,600,000.00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85"/>
        <w:gridCol w:w="1210"/>
        <w:gridCol w:w="708"/>
        <w:gridCol w:w="851"/>
        <w:gridCol w:w="1277"/>
        <w:gridCol w:w="952"/>
        <w:gridCol w:w="963"/>
        <w:gridCol w:w="1062"/>
        <w:gridCol w:w="1063"/>
      </w:tblGrid>
      <w:tr>
        <w:trPr>
          <w:trHeight w:val="1026" w:hRule="exact"/>
        </w:trPr>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本期新 增补助 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2" w:right="92"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338" w:hRule="exact"/>
        </w:trPr>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面向移动互联网 的个人金融终端 产品研发与产业 化项目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4,500,000.00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金融支付服务平 台项目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无线城市移动文 化生活综合服务 系统与应用示范 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“3551</w:t>
            </w:r>
            <w:r>
              <w:rPr>
                <w:rFonts w:ascii="宋体" w:hAnsi="宋体" w:cs="宋体" w:eastAsia="宋体" w:hint="default"/>
                <w:spacing w:val="-46"/>
                <w:sz w:val="18"/>
                <w:szCs w:val="18"/>
              </w:rPr>
              <w:t> </w:t>
            </w:r>
            <w:r>
              <w:rPr>
                <w:rFonts w:ascii="宋体" w:hAnsi="宋体" w:cs="宋体" w:eastAsia="宋体" w:hint="default"/>
                <w:sz w:val="18"/>
                <w:szCs w:val="18"/>
              </w:rPr>
              <w:t>光谷人才</w:t>
            </w:r>
            <w:r>
              <w:rPr>
                <w:rFonts w:ascii="宋体" w:hAnsi="宋体" w:cs="宋体" w:eastAsia="宋体" w:hint="default"/>
                <w:sz w:val="18"/>
                <w:szCs w:val="18"/>
              </w:rPr>
              <w:t> 计划”项目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630,000.00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6,130,000.00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270,000.00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5"/>
        <w:ind w:left="514" w:right="0"/>
        <w:jc w:val="left"/>
      </w:pPr>
      <w:r>
        <w:rPr/>
        <w:t>报告期末递延收益较期初减少</w:t>
      </w:r>
      <w:r>
        <w:rPr>
          <w:rFonts w:ascii="宋体" w:hAnsi="宋体" w:cs="宋体" w:eastAsia="宋体" w:hint="default"/>
        </w:rPr>
        <w:t>96.97%</w:t>
      </w:r>
      <w:r>
        <w:rPr/>
        <w:t>，主要由于政府补助项目验收结转。</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股本" w:id="284"/>
      <w:bookmarkEnd w:id="284"/>
      <w:r>
        <w:rPr>
          <w:b w:val="0"/>
          <w:bCs w:val="0"/>
        </w:rPr>
      </w:r>
      <w:r>
        <w:rPr>
          <w:rFonts w:ascii="宋体" w:hAnsi="宋体" w:cs="宋体" w:eastAsia="宋体" w:hint="default"/>
        </w:rPr>
        <w:t>25</w:t>
      </w:r>
      <w:r>
        <w:rPr/>
        <w:t>、股本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640"/>
        <w:gridCol w:w="1276"/>
        <w:gridCol w:w="992"/>
        <w:gridCol w:w="1134"/>
        <w:gridCol w:w="939"/>
        <w:gridCol w:w="904"/>
        <w:gridCol w:w="1488"/>
      </w:tblGrid>
      <w:tr>
        <w:trPr>
          <w:trHeight w:val="402"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8" w:type="dxa"/>
            <w:vMerge/>
            <w:tcBorders>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6" w:right="0"/>
              <w:jc w:val="left"/>
              <w:rPr>
                <w:rFonts w:ascii="宋体" w:hAnsi="宋体" w:cs="宋体" w:eastAsia="宋体" w:hint="default"/>
                <w:sz w:val="18"/>
                <w:szCs w:val="18"/>
              </w:rPr>
            </w:pPr>
            <w:r>
              <w:rPr>
                <w:rFonts w:ascii="宋体"/>
                <w:sz w:val="18"/>
              </w:rPr>
              <w:t>430,056,000.00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宋体" w:hAnsi="宋体" w:cs="宋体" w:eastAsia="宋体" w:hint="default"/>
                <w:sz w:val="18"/>
                <w:szCs w:val="18"/>
              </w:rPr>
            </w:pPr>
            <w:r>
              <w:rPr>
                <w:rFonts w:ascii="宋体"/>
                <w:sz w:val="18"/>
              </w:rPr>
              <w:t>430,056,000.00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资本公积" w:id="285"/>
      <w:bookmarkEnd w:id="285"/>
      <w:r>
        <w:rPr>
          <w:b w:val="0"/>
          <w:bCs w:val="0"/>
        </w:rPr>
      </w:r>
      <w:r>
        <w:rPr>
          <w:rFonts w:ascii="宋体" w:hAnsi="宋体" w:cs="宋体" w:eastAsia="宋体" w:hint="default"/>
        </w:rPr>
        <w:t>26</w:t>
      </w:r>
      <w:r>
        <w:rPr/>
        <w:t>、资本公积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397,552,448.17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721,458.20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5,674,145.33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392,599,761.04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15,305,112.02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15,305,112.02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412,857,560.19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721,458.20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5,674,145.33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407,904,873.06</w:t>
            </w:r>
          </w:p>
        </w:tc>
      </w:tr>
    </w:tbl>
    <w:p>
      <w:pPr>
        <w:spacing w:line="240" w:lineRule="auto" w:before="9"/>
        <w:rPr>
          <w:rFonts w:ascii="宋体" w:hAnsi="宋体" w:cs="宋体" w:eastAsia="宋体" w:hint="default"/>
          <w:sz w:val="6"/>
          <w:szCs w:val="6"/>
        </w:rPr>
      </w:pPr>
    </w:p>
    <w:p>
      <w:pPr>
        <w:pStyle w:val="BodyText"/>
        <w:spacing w:line="357" w:lineRule="auto" w:before="44"/>
        <w:ind w:left="514" w:right="0" w:hanging="360"/>
        <w:jc w:val="left"/>
      </w:pPr>
      <w:r>
        <w:rPr/>
        <w:t>其他说明，包括本期增减变动情况、变动原因说明： </w:t>
      </w:r>
      <w:r>
        <w:rPr>
          <w:spacing w:val="-2"/>
        </w:rPr>
        <w:t>报告期内，子公司天喻教育向易考乐学分期实缴出资，导致资本公积减少</w:t>
      </w:r>
      <w:r>
        <w:rPr>
          <w:rFonts w:ascii="宋体" w:hAnsi="宋体" w:cs="宋体" w:eastAsia="宋体" w:hint="default"/>
          <w:spacing w:val="-2"/>
        </w:rPr>
        <w:t>98</w:t>
      </w:r>
      <w:r>
        <w:rPr>
          <w:spacing w:val="-2"/>
        </w:rPr>
        <w:t>万元；子公司聚联网络少数股东认缴其新增</w:t>
      </w:r>
    </w:p>
    <w:p>
      <w:pPr>
        <w:pStyle w:val="BodyText"/>
        <w:spacing w:line="224" w:lineRule="exact"/>
        <w:ind w:right="0"/>
        <w:jc w:val="left"/>
      </w:pPr>
      <w:r>
        <w:rPr/>
        <w:t>注册资本，导致资本公积增加</w:t>
      </w:r>
      <w:r>
        <w:rPr>
          <w:rFonts w:ascii="宋体" w:hAnsi="宋体" w:cs="宋体" w:eastAsia="宋体" w:hint="default"/>
        </w:rPr>
        <w:t>43.18</w:t>
      </w:r>
      <w:r>
        <w:rPr/>
        <w:t>万元；子公司现代教育确认股份支付费用导致资本公积增加</w:t>
      </w:r>
      <w:r>
        <w:rPr>
          <w:rFonts w:ascii="宋体" w:hAnsi="宋体" w:cs="宋体" w:eastAsia="宋体" w:hint="default"/>
        </w:rPr>
        <w:t>28.97</w:t>
      </w:r>
      <w:r>
        <w:rPr/>
        <w:t>万元；深圳前海富美资</w:t>
      </w:r>
    </w:p>
    <w:p>
      <w:pPr>
        <w:pStyle w:val="BodyText"/>
        <w:spacing w:line="240" w:lineRule="auto" w:before="76"/>
        <w:ind w:right="0"/>
        <w:jc w:val="left"/>
      </w:pPr>
      <w:r>
        <w:rPr/>
        <w:t>源投资有限公司向子公司天喻教育增资，导致资本公积减少</w:t>
      </w:r>
      <w:r>
        <w:rPr>
          <w:rFonts w:ascii="宋体" w:hAnsi="宋体" w:cs="宋体" w:eastAsia="宋体" w:hint="default"/>
        </w:rPr>
        <w:t>469.41</w:t>
      </w:r>
      <w:r>
        <w:rPr/>
        <w:t>万元。</w:t>
      </w:r>
    </w:p>
    <w:p>
      <w:pPr>
        <w:spacing w:after="0" w:line="240"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294" w:right="2832"/>
        <w:jc w:val="left"/>
        <w:rPr>
          <w:b w:val="0"/>
          <w:bCs w:val="0"/>
        </w:rPr>
      </w:pPr>
      <w:bookmarkStart w:name="27、其他综合收益" w:id="286"/>
      <w:bookmarkEnd w:id="286"/>
      <w:r>
        <w:rPr>
          <w:b w:val="0"/>
          <w:bCs w:val="0"/>
        </w:rPr>
      </w:r>
      <w:r>
        <w:rPr>
          <w:rFonts w:ascii="宋体" w:hAnsi="宋体" w:cs="宋体" w:eastAsia="宋体" w:hint="default"/>
        </w:rPr>
        <w:t>27</w:t>
      </w:r>
      <w:r>
        <w:rPr/>
        <w:t>、其他综合收益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02"/>
        <w:gridCol w:w="1406"/>
        <w:gridCol w:w="1386"/>
        <w:gridCol w:w="958"/>
        <w:gridCol w:w="1286"/>
        <w:gridCol w:w="1317"/>
        <w:gridCol w:w="665"/>
        <w:gridCol w:w="1267"/>
      </w:tblGrid>
      <w:tr>
        <w:trPr>
          <w:trHeight w:val="402"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702"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07" w:right="57" w:hanging="450"/>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5"/>
                <w:sz w:val="18"/>
                <w:szCs w:val="18"/>
              </w:rPr>
              <w:t>减：所得税费用</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60" w:lineRule="auto"/>
              <w:ind w:left="382" w:right="202"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6"/>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267" w:type="dxa"/>
            <w:vMerge/>
            <w:tcBorders>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一、不能重分类进损 益的其他综合收益</w:t>
            </w:r>
          </w:p>
        </w:tc>
        <w:tc>
          <w:tcPr>
            <w:tcW w:w="140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115,041,470.44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-44,921,841.60</w:t>
            </w:r>
          </w:p>
        </w:tc>
        <w:tc>
          <w:tcPr>
            <w:tcW w:w="95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-6,738,276.24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-38,183,565.36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sz w:val="18"/>
              </w:rPr>
              <w:t>76,857,905.08</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both"/>
              <w:rPr>
                <w:rFonts w:ascii="宋体" w:hAnsi="宋体" w:cs="宋体" w:eastAsia="宋体" w:hint="default"/>
                <w:sz w:val="18"/>
                <w:szCs w:val="18"/>
              </w:rPr>
            </w:pPr>
            <w:r>
              <w:rPr>
                <w:rFonts w:ascii="宋体" w:hAnsi="宋体" w:cs="宋体" w:eastAsia="宋体" w:hint="default"/>
                <w:sz w:val="18"/>
                <w:szCs w:val="18"/>
              </w:rPr>
              <w:t>其中：可供出售金融 资产公允价值变动损 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115,041,470.44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-44,921,841.60</w:t>
            </w:r>
          </w:p>
        </w:tc>
        <w:tc>
          <w:tcPr>
            <w:tcW w:w="95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-6,738,276.24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-38,183,565.36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 w:right="0"/>
              <w:jc w:val="center"/>
              <w:rPr>
                <w:rFonts w:ascii="宋体" w:hAnsi="宋体" w:cs="宋体" w:eastAsia="宋体" w:hint="default"/>
                <w:sz w:val="18"/>
                <w:szCs w:val="18"/>
              </w:rPr>
            </w:pPr>
            <w:r>
              <w:rPr>
                <w:rFonts w:ascii="宋体"/>
                <w:sz w:val="18"/>
              </w:rPr>
              <w:t>76,857,905.08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115,041,470.44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-44,921,841.60</w:t>
            </w:r>
          </w:p>
        </w:tc>
        <w:tc>
          <w:tcPr>
            <w:tcW w:w="95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-6,738,276.24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-38,183,565.36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center"/>
              <w:rPr>
                <w:rFonts w:ascii="宋体" w:hAnsi="宋体" w:cs="宋体" w:eastAsia="宋体" w:hint="default"/>
                <w:sz w:val="18"/>
                <w:szCs w:val="18"/>
              </w:rPr>
            </w:pPr>
            <w:r>
              <w:rPr>
                <w:rFonts w:ascii="宋体"/>
                <w:sz w:val="18"/>
              </w:rPr>
              <w:t>76,857,905.08</w:t>
            </w:r>
          </w:p>
        </w:tc>
      </w:tr>
    </w:tbl>
    <w:p>
      <w:pPr>
        <w:spacing w:line="240" w:lineRule="auto" w:before="9"/>
        <w:rPr>
          <w:rFonts w:ascii="宋体" w:hAnsi="宋体" w:cs="宋体" w:eastAsia="宋体" w:hint="default"/>
          <w:sz w:val="6"/>
          <w:szCs w:val="6"/>
        </w:rPr>
      </w:pPr>
    </w:p>
    <w:p>
      <w:pPr>
        <w:pStyle w:val="BodyText"/>
        <w:spacing w:line="357" w:lineRule="auto" w:before="44"/>
        <w:ind w:left="654" w:right="2832" w:hanging="360"/>
        <w:jc w:val="left"/>
      </w:pPr>
      <w:r>
        <w:rPr/>
        <w:t>其他说明，包括对现金流量套期损益的有效部分转为被套期项目初始确认金额调整： 报告期末其他综合收益较期初减少</w:t>
      </w:r>
      <w:r>
        <w:rPr>
          <w:rFonts w:ascii="宋体" w:hAnsi="宋体" w:cs="宋体" w:eastAsia="宋体" w:hint="default"/>
        </w:rPr>
        <w:t>33.19%</w:t>
      </w:r>
      <w:r>
        <w:rPr/>
        <w:t>，主要受公司持有的韦尔股份股权公允价值变动影响。</w:t>
      </w:r>
    </w:p>
    <w:p>
      <w:pPr>
        <w:spacing w:line="240" w:lineRule="auto" w:before="2"/>
        <w:rPr>
          <w:rFonts w:ascii="宋体" w:hAnsi="宋体" w:cs="宋体" w:eastAsia="宋体" w:hint="default"/>
          <w:sz w:val="20"/>
          <w:szCs w:val="20"/>
        </w:rPr>
      </w:pPr>
    </w:p>
    <w:p>
      <w:pPr>
        <w:pStyle w:val="Heading3"/>
        <w:spacing w:line="240" w:lineRule="auto"/>
        <w:ind w:left="294" w:right="2832"/>
        <w:jc w:val="left"/>
        <w:rPr>
          <w:b w:val="0"/>
          <w:bCs w:val="0"/>
        </w:rPr>
      </w:pPr>
      <w:bookmarkStart w:name="28、盈余公积" w:id="287"/>
      <w:bookmarkEnd w:id="287"/>
      <w:r>
        <w:rPr>
          <w:b w:val="0"/>
          <w:bCs w:val="0"/>
        </w:rPr>
      </w:r>
      <w:r>
        <w:rPr>
          <w:rFonts w:ascii="宋体" w:hAnsi="宋体" w:cs="宋体" w:eastAsia="宋体" w:hint="default"/>
        </w:rPr>
        <w:t>28</w:t>
      </w:r>
      <w:r>
        <w:rPr/>
        <w:t>、盈余公积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62,426,948.52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7,519,856.02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69,946,804.54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62,426,948.52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7,519,856.02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69,946,804.54</w:t>
            </w:r>
          </w:p>
        </w:tc>
      </w:tr>
    </w:tbl>
    <w:p>
      <w:pPr>
        <w:spacing w:line="240" w:lineRule="auto" w:before="2"/>
        <w:rPr>
          <w:rFonts w:ascii="宋体" w:hAnsi="宋体" w:cs="宋体" w:eastAsia="宋体" w:hint="default"/>
          <w:sz w:val="19"/>
          <w:szCs w:val="19"/>
        </w:rPr>
      </w:pPr>
    </w:p>
    <w:p>
      <w:pPr>
        <w:pStyle w:val="Heading3"/>
        <w:spacing w:line="240" w:lineRule="auto" w:before="35"/>
        <w:ind w:left="294" w:right="2832"/>
        <w:jc w:val="left"/>
        <w:rPr>
          <w:b w:val="0"/>
          <w:bCs w:val="0"/>
        </w:rPr>
      </w:pPr>
      <w:bookmarkStart w:name="29、未分配利润" w:id="288"/>
      <w:bookmarkEnd w:id="288"/>
      <w:r>
        <w:rPr>
          <w:b w:val="0"/>
          <w:bCs w:val="0"/>
        </w:rPr>
      </w:r>
      <w:r>
        <w:rPr>
          <w:rFonts w:ascii="宋体" w:hAnsi="宋体" w:cs="宋体" w:eastAsia="宋体" w:hint="default"/>
        </w:rPr>
        <w:t>29</w:t>
      </w:r>
      <w:r>
        <w:rPr/>
        <w:t>、未分配利润</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206,317,721.77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203,075,186.92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206,317,721.77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203,075,186.92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101,022,715.51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22,596,900.58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7,519,856.02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6,452,685.73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12,901,680.00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12,901,680.00</w:t>
            </w:r>
          </w:p>
        </w:tc>
      </w:tr>
      <w:tr>
        <w:trPr>
          <w:trHeight w:val="404"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286,918,901.26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206,317,721.77</w:t>
            </w:r>
          </w:p>
        </w:tc>
      </w:tr>
    </w:tbl>
    <w:p>
      <w:pPr>
        <w:spacing w:after="0" w:line="240" w:lineRule="auto"/>
        <w:jc w:val="right"/>
        <w:rPr>
          <w:rFonts w:ascii="宋体" w:hAnsi="宋体" w:cs="宋体" w:eastAsia="宋体" w:hint="default"/>
          <w:sz w:val="18"/>
          <w:szCs w:val="18"/>
        </w:rPr>
        <w:sectPr>
          <w:pgSz w:w="11910" w:h="16840"/>
          <w:pgMar w:header="877" w:footer="1187" w:top="1100" w:bottom="1380" w:left="84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0、营业收入和营业成本" w:id="289"/>
      <w:bookmarkEnd w:id="289"/>
      <w:r>
        <w:rPr>
          <w:b w:val="0"/>
          <w:bCs w:val="0"/>
        </w:rPr>
      </w:r>
      <w:r>
        <w:rPr>
          <w:rFonts w:ascii="宋体" w:hAnsi="宋体" w:cs="宋体" w:eastAsia="宋体" w:hint="default"/>
        </w:rPr>
        <w:t>30</w:t>
      </w:r>
      <w:r>
        <w:rPr/>
        <w:t>、营业收入和营业成本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2,392,607,583.85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1,735,773,709.38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1,931,962,306.16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1,459,247,763.02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4,379,295.79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1,210,599.27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4,108,084.43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1,140,107.65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2,396,986,879.64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1,736,984,308.65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1,936,070,390.59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1,460,387,870.67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税金及附加" w:id="290"/>
      <w:bookmarkEnd w:id="290"/>
      <w:r>
        <w:rPr>
          <w:b w:val="0"/>
          <w:bCs w:val="0"/>
        </w:rPr>
      </w:r>
      <w:r>
        <w:rPr>
          <w:rFonts w:ascii="宋体" w:hAnsi="宋体" w:cs="宋体" w:eastAsia="宋体" w:hint="default"/>
        </w:rPr>
        <w:t>31</w:t>
      </w:r>
      <w:r>
        <w:rPr/>
        <w:t>、税金及附加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8,740,366.56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6,343,862.36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3,668,391.08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2,715,517.10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928,780.44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750,901.41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448,106.03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448,962.92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17,164.36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21,844.36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1,074,781.25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834,488.07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1,845,911.53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1,361,104.59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10,953.34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16,734,454.59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12,476,680.81</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514" w:right="0"/>
        <w:jc w:val="left"/>
      </w:pPr>
      <w:r>
        <w:rPr/>
        <w:t>税金及附加较上年同期增加</w:t>
      </w:r>
      <w:r>
        <w:rPr>
          <w:rFonts w:ascii="宋体" w:hAnsi="宋体" w:cs="宋体" w:eastAsia="宋体" w:hint="default"/>
        </w:rPr>
        <w:t>34.13%</w:t>
      </w:r>
      <w:r>
        <w:rPr/>
        <w:t>，主要由于营业收入增长，应纳增值税额增加产生的附加税增加。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2、销售费用" w:id="291"/>
      <w:bookmarkEnd w:id="291"/>
      <w:r>
        <w:rPr>
          <w:b w:val="0"/>
          <w:bCs w:val="0"/>
        </w:rPr>
      </w:r>
      <w:r>
        <w:rPr>
          <w:rFonts w:ascii="宋体" w:hAnsi="宋体" w:cs="宋体" w:eastAsia="宋体" w:hint="default"/>
        </w:rPr>
        <w:t>32</w:t>
      </w:r>
      <w:r>
        <w:rPr/>
        <w:t>、销售费用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101,103,796.98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89,558,640.36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58,831,162.11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48,123,455.16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14,029,206.30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11,321,784.51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搬运、货运及运保费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8,439,470.72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9,619,511.67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13,423,999.35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10,675,092.36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1,790,592.93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3,692,046.67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30,967,918.89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28,319,961.52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6,236,848.80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4,485,128.79</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4,825,336.86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4,913,366.44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7,395,666.30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6,386,929.38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247,043,999.24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217,095,916.86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3、管理费用" w:id="292"/>
      <w:bookmarkEnd w:id="292"/>
      <w:r>
        <w:rPr>
          <w:b w:val="0"/>
          <w:bCs w:val="0"/>
        </w:rPr>
      </w:r>
      <w:r>
        <w:rPr>
          <w:rFonts w:ascii="宋体" w:hAnsi="宋体" w:cs="宋体" w:eastAsia="宋体" w:hint="default"/>
        </w:rPr>
        <w:t>33</w:t>
      </w:r>
      <w:r>
        <w:rPr/>
        <w:t>、管理费用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44,107,878.55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39,677,727.81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7,638,440.09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4,001,886.90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9,162,416.95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8,518,905.32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3,467,316.27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3,746,625.95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856,035.26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867,302.39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2,163,162.40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1,498,405.82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1,558,511.17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1,059,785.86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4,901,277.18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4,697,889.59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73,855,037.87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64,068,529.64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4、研发费用" w:id="293"/>
      <w:bookmarkEnd w:id="293"/>
      <w:r>
        <w:rPr>
          <w:b w:val="0"/>
          <w:bCs w:val="0"/>
        </w:rPr>
      </w:r>
      <w:r>
        <w:rPr>
          <w:rFonts w:ascii="宋体" w:hAnsi="宋体" w:cs="宋体" w:eastAsia="宋体" w:hint="default"/>
        </w:rPr>
        <w:t>34</w:t>
      </w:r>
      <w:r>
        <w:rPr/>
        <w:t>、研发费用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132,221,596.54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115,944,726.68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35,344,961.17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35,063,877.78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2,534,573.71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2,040,436.64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4,862,217.87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5,281,625.53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4,249,645.07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3,671,711.68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1,057,827.53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918,446.08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405,875.78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165,063.56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1,653,335.68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1,668,674.88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182,330,033.35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164,754,562.83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财务费用" w:id="294"/>
      <w:bookmarkEnd w:id="294"/>
      <w:r>
        <w:rPr>
          <w:b w:val="0"/>
          <w:bCs w:val="0"/>
        </w:rPr>
      </w:r>
      <w:r>
        <w:rPr>
          <w:rFonts w:ascii="宋体" w:hAnsi="宋体" w:cs="宋体" w:eastAsia="宋体" w:hint="default"/>
        </w:rPr>
        <w:t>35</w:t>
      </w:r>
      <w:r>
        <w:rPr/>
        <w:t>、财务费用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87" w:right="0"/>
              <w:jc w:val="left"/>
              <w:rPr>
                <w:rFonts w:ascii="宋体" w:hAnsi="宋体" w:cs="宋体" w:eastAsia="宋体" w:hint="default"/>
                <w:sz w:val="18"/>
                <w:szCs w:val="18"/>
              </w:rPr>
            </w:pPr>
            <w:r>
              <w:rPr>
                <w:rFonts w:ascii="宋体"/>
                <w:sz w:val="18"/>
              </w:rPr>
              <w:t>10,948,906.29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7" w:right="0"/>
              <w:jc w:val="left"/>
              <w:rPr>
                <w:rFonts w:ascii="宋体" w:hAnsi="宋体" w:cs="宋体" w:eastAsia="宋体" w:hint="default"/>
                <w:sz w:val="18"/>
                <w:szCs w:val="18"/>
              </w:rPr>
            </w:pPr>
            <w:r>
              <w:rPr>
                <w:rFonts w:ascii="宋体"/>
                <w:sz w:val="18"/>
              </w:rPr>
              <w:t>8,440,748.74</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2,877,159.16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2,077,087.94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1,609,910.60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446,987.70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824,161.63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855,784.48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962,197.65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1,863,209.00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9,543,621.71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5,803,223.98</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6"/>
        <w:ind w:right="0" w:firstLine="360"/>
        <w:jc w:val="left"/>
      </w:pPr>
      <w:r>
        <w:rPr>
          <w:spacing w:val="-2"/>
        </w:rPr>
        <w:t>财务费用较上年同期增加</w:t>
      </w:r>
      <w:r>
        <w:rPr>
          <w:rFonts w:ascii="宋体" w:hAnsi="宋体" w:cs="宋体" w:eastAsia="宋体" w:hint="default"/>
          <w:spacing w:val="-2"/>
        </w:rPr>
        <w:t>64.45%</w:t>
      </w:r>
      <w:r>
        <w:rPr>
          <w:spacing w:val="-2"/>
        </w:rPr>
        <w:t>，主要受银行收紧人民币贷款影响，融资成本上升使得利息支出同比增加；下半年人民</w:t>
      </w:r>
      <w:r>
        <w:rPr/>
        <w:t> 币持续贬值，美元负债增加产生的汇兑损失增加。</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6、资产减值损失" w:id="295"/>
      <w:bookmarkEnd w:id="295"/>
      <w:r>
        <w:rPr>
          <w:b w:val="0"/>
          <w:bCs w:val="0"/>
        </w:rPr>
      </w:r>
      <w:r>
        <w:rPr>
          <w:rFonts w:ascii="宋体" w:hAnsi="宋体" w:cs="宋体" w:eastAsia="宋体" w:hint="default"/>
        </w:rPr>
        <w:t>36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20,656,989.23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13,399,273.65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63,557,849.53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26,937,627.01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84,214,838.76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40,336,900.66</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6"/>
        <w:ind w:right="1132" w:firstLine="360"/>
        <w:jc w:val="both"/>
      </w:pPr>
      <w:r>
        <w:rPr/>
        <w:t>资产减值损失较上年同期增加</w:t>
      </w:r>
      <w:r>
        <w:rPr>
          <w:rFonts w:ascii="宋体" w:hAnsi="宋体" w:cs="宋体" w:eastAsia="宋体" w:hint="default"/>
        </w:rPr>
        <w:t>108.78%</w:t>
      </w:r>
      <w:r>
        <w:rPr/>
        <w:t>，主要由于营业收入增长，公司根据会计政策对未达结算期的应收账款计提的坏 </w:t>
      </w:r>
      <w:r>
        <w:rPr>
          <w:spacing w:val="-2"/>
        </w:rPr>
        <w:t>账准备同比增加，以及金融</w:t>
      </w:r>
      <w:r>
        <w:rPr>
          <w:rFonts w:ascii="宋体" w:hAnsi="宋体" w:cs="宋体" w:eastAsia="宋体" w:hint="default"/>
          <w:spacing w:val="-2"/>
        </w:rPr>
        <w:t>IC</w:t>
      </w:r>
      <w:r>
        <w:rPr>
          <w:spacing w:val="-2"/>
        </w:rPr>
        <w:t>卡新一轮招标价格降幅较大，公司按照存货的预计可变现净值情况，计提的存货跌价准备同比</w:t>
      </w:r>
      <w:r>
        <w:rPr>
          <w:spacing w:val="-64"/>
        </w:rPr>
        <w:t> </w:t>
      </w:r>
      <w:r>
        <w:rPr>
          <w:spacing w:val="-64"/>
        </w:rPr>
      </w:r>
      <w:r>
        <w:rPr/>
        <w:t>增加。</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7、其他收益" w:id="296"/>
      <w:bookmarkEnd w:id="296"/>
      <w:r>
        <w:rPr>
          <w:b w:val="0"/>
          <w:bCs w:val="0"/>
        </w:rPr>
      </w:r>
      <w:r>
        <w:rPr>
          <w:rFonts w:ascii="宋体" w:hAnsi="宋体" w:cs="宋体" w:eastAsia="宋体" w:hint="default"/>
        </w:rPr>
        <w:t>37</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政府补助及扣缴税款手续费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70,393,974.82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52,066,175.13</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7"/>
        <w:ind w:left="514" w:right="0"/>
        <w:jc w:val="left"/>
      </w:pPr>
      <w:r>
        <w:rPr/>
        <w:t>其他收益较上年同期增加</w:t>
      </w:r>
      <w:r>
        <w:rPr>
          <w:spacing w:val="-46"/>
        </w:rPr>
        <w:t> </w:t>
      </w:r>
      <w:r>
        <w:rPr>
          <w:rFonts w:ascii="宋体" w:hAnsi="宋体" w:cs="宋体" w:eastAsia="宋体" w:hint="default"/>
        </w:rPr>
        <w:t>35.2%</w:t>
      </w:r>
      <w:r>
        <w:rPr/>
        <w:t>，主要由于收到的增值税返还增加。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投资收益" w:id="297"/>
      <w:bookmarkEnd w:id="297"/>
      <w:r>
        <w:rPr>
          <w:b w:val="0"/>
          <w:bCs w:val="0"/>
        </w:rPr>
      </w:r>
      <w:r>
        <w:rPr>
          <w:rFonts w:ascii="宋体" w:hAnsi="宋体" w:cs="宋体" w:eastAsia="宋体" w:hint="default"/>
        </w:rPr>
        <w:t>38</w:t>
      </w:r>
      <w:r>
        <w:rPr/>
        <w:t>、投资收益</w:t>
      </w:r>
      <w:r>
        <w:rPr>
          <w:b w:val="0"/>
          <w:bCs w:val="0"/>
        </w:rPr>
      </w:r>
    </w:p>
    <w:p>
      <w:pPr>
        <w:spacing w:line="240" w:lineRule="auto" w:before="10"/>
        <w:rPr>
          <w:rFonts w:ascii="宋体" w:hAnsi="宋体" w:cs="宋体" w:eastAsia="宋体" w:hint="default"/>
          <w:b/>
          <w:bCs/>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-2,031,174.65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-3,272,957.49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6,534,931.67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1,782,080.00</w:t>
            </w:r>
          </w:p>
        </w:tc>
      </w:tr>
      <w:tr>
        <w:trPr>
          <w:trHeight w:val="40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4,503,757.02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-1,490,877.49</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5"/>
        <w:ind w:right="1122" w:firstLine="360"/>
        <w:jc w:val="left"/>
      </w:pPr>
      <w:r>
        <w:rPr/>
        <w:t>投资收益较上年同期增加</w:t>
      </w:r>
      <w:r>
        <w:rPr>
          <w:rFonts w:ascii="宋体" w:hAnsi="宋体" w:cs="宋体" w:eastAsia="宋体" w:hint="default"/>
        </w:rPr>
        <w:t>402.09%</w:t>
      </w:r>
      <w:r>
        <w:rPr/>
        <w:t>，主要由于联营企业和合营企业亏损额同比减少，参股公司现金分红增加以及新增委 托理财收益。</w:t>
      </w:r>
    </w:p>
    <w:p>
      <w:pPr>
        <w:spacing w:after="0" w:line="316"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254" w:right="1032"/>
        <w:jc w:val="left"/>
        <w:rPr>
          <w:b w:val="0"/>
          <w:bCs w:val="0"/>
        </w:rPr>
      </w:pPr>
      <w:bookmarkStart w:name="39、资产处置收益" w:id="298"/>
      <w:bookmarkEnd w:id="298"/>
      <w:r>
        <w:rPr>
          <w:b w:val="0"/>
          <w:bCs w:val="0"/>
        </w:rPr>
      </w:r>
      <w:r>
        <w:rPr>
          <w:rFonts w:ascii="宋体" w:hAnsi="宋体" w:cs="宋体" w:eastAsia="宋体" w:hint="default"/>
        </w:rPr>
        <w:t>39</w:t>
      </w:r>
      <w:r>
        <w:rPr/>
        <w:t>、资产处置收益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处置非流动资产的利得（损失“</w:t>
            </w:r>
            <w:r>
              <w:rPr>
                <w:rFonts w:ascii="宋体" w:hAnsi="宋体" w:cs="宋体" w:eastAsia="宋体"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6,020,393.34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1,467,762.19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6,020,393.34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1,467,762.19</w:t>
            </w:r>
          </w:p>
        </w:tc>
      </w:tr>
    </w:tbl>
    <w:p>
      <w:pPr>
        <w:spacing w:line="240" w:lineRule="auto" w:before="9"/>
        <w:rPr>
          <w:rFonts w:ascii="宋体" w:hAnsi="宋体" w:cs="宋体" w:eastAsia="宋体" w:hint="default"/>
          <w:sz w:val="6"/>
          <w:szCs w:val="6"/>
        </w:rPr>
      </w:pPr>
    </w:p>
    <w:p>
      <w:pPr>
        <w:pStyle w:val="BodyText"/>
        <w:spacing w:line="240" w:lineRule="auto" w:before="44"/>
        <w:ind w:left="254" w:right="1032"/>
        <w:jc w:val="left"/>
      </w:pPr>
      <w:r>
        <w:rPr/>
        <w:t>其他说明：</w:t>
      </w:r>
    </w:p>
    <w:p>
      <w:pPr>
        <w:pStyle w:val="BodyText"/>
        <w:spacing w:line="240" w:lineRule="auto" w:before="116"/>
        <w:ind w:left="614" w:right="1032"/>
        <w:jc w:val="left"/>
      </w:pPr>
      <w:r>
        <w:rPr/>
        <w:t>资产处置收益较上年同期增加</w:t>
      </w:r>
      <w:r>
        <w:rPr>
          <w:spacing w:val="-46"/>
        </w:rPr>
        <w:t> </w:t>
      </w:r>
      <w:r>
        <w:rPr>
          <w:rFonts w:ascii="宋体" w:hAnsi="宋体" w:cs="宋体" w:eastAsia="宋体" w:hint="default"/>
        </w:rPr>
        <w:t>310.17%</w:t>
      </w:r>
      <w:r>
        <w:rPr/>
        <w:t>，主要是报告期内处置紫菘花园房产产生收益增加影响。</w:t>
      </w:r>
    </w:p>
    <w:p>
      <w:pPr>
        <w:spacing w:line="240" w:lineRule="auto" w:before="10"/>
        <w:rPr>
          <w:rFonts w:ascii="宋体" w:hAnsi="宋体" w:cs="宋体" w:eastAsia="宋体" w:hint="default"/>
          <w:sz w:val="26"/>
          <w:szCs w:val="26"/>
        </w:rPr>
      </w:pPr>
    </w:p>
    <w:p>
      <w:pPr>
        <w:pStyle w:val="Heading3"/>
        <w:spacing w:line="240" w:lineRule="auto"/>
        <w:ind w:left="254" w:right="1032"/>
        <w:jc w:val="left"/>
        <w:rPr>
          <w:b w:val="0"/>
          <w:bCs w:val="0"/>
        </w:rPr>
      </w:pPr>
      <w:bookmarkStart w:name="40、营业外收入" w:id="299"/>
      <w:bookmarkEnd w:id="299"/>
      <w:r>
        <w:rPr>
          <w:b w:val="0"/>
          <w:bCs w:val="0"/>
        </w:rPr>
      </w:r>
      <w:r>
        <w:rPr>
          <w:rFonts w:ascii="宋体" w:hAnsi="宋体" w:cs="宋体" w:eastAsia="宋体" w:hint="default"/>
        </w:rPr>
        <w:t>40</w:t>
      </w:r>
      <w:r>
        <w:rPr/>
        <w:t>、营业外收入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8"/>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243,760.66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243,760.66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103,079.38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282,461.49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103,079.38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8"/>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346,840.04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412,461.49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346,840.04</w:t>
            </w:r>
          </w:p>
        </w:tc>
      </w:tr>
    </w:tbl>
    <w:p>
      <w:pPr>
        <w:spacing w:line="240" w:lineRule="auto" w:before="9"/>
        <w:rPr>
          <w:rFonts w:ascii="宋体" w:hAnsi="宋体" w:cs="宋体" w:eastAsia="宋体" w:hint="default"/>
          <w:sz w:val="6"/>
          <w:szCs w:val="6"/>
        </w:rPr>
      </w:pPr>
    </w:p>
    <w:p>
      <w:pPr>
        <w:pStyle w:val="BodyText"/>
        <w:spacing w:line="240" w:lineRule="auto" w:before="44"/>
        <w:ind w:left="254" w:right="1032"/>
        <w:jc w:val="left"/>
      </w:pPr>
      <w:r>
        <w:rPr/>
        <w:t>计入当期损益的政府补助：</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93"/>
        <w:gridCol w:w="1559"/>
        <w:gridCol w:w="491"/>
        <w:gridCol w:w="1920"/>
        <w:gridCol w:w="991"/>
        <w:gridCol w:w="709"/>
        <w:gridCol w:w="851"/>
        <w:gridCol w:w="1277"/>
        <w:gridCol w:w="1063"/>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5" w:right="30"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质量提升补 贴及奖励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武汉东湖新技术开 发区管理委员会</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奖励</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东湖高 新区高企认 定奖励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武汉东湖新技术开 发区管理委员会</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奖励</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54" w:right="1032"/>
        <w:jc w:val="left"/>
        <w:rPr>
          <w:b w:val="0"/>
          <w:bCs w:val="0"/>
        </w:rPr>
      </w:pPr>
      <w:bookmarkStart w:name="41、营业外支出" w:id="300"/>
      <w:bookmarkEnd w:id="300"/>
      <w:r>
        <w:rPr>
          <w:b w:val="0"/>
          <w:bCs w:val="0"/>
        </w:rPr>
      </w:r>
      <w:r>
        <w:rPr>
          <w:rFonts w:ascii="宋体" w:hAnsi="宋体" w:cs="宋体" w:eastAsia="宋体" w:hint="default"/>
        </w:rPr>
        <w:t>41</w:t>
      </w:r>
      <w:r>
        <w:rPr/>
        <w:t>、营业外支出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1,450,000.00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1,450,000.00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182,781.92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226,022.40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182,781.92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1,880.94</w:t>
            </w:r>
          </w:p>
        </w:tc>
      </w:tr>
    </w:tbl>
    <w:p>
      <w:pPr>
        <w:spacing w:after="0" w:line="240" w:lineRule="auto"/>
        <w:jc w:val="right"/>
        <w:rPr>
          <w:rFonts w:ascii="宋体" w:hAnsi="宋体" w:cs="宋体" w:eastAsia="宋体" w:hint="default"/>
          <w:sz w:val="18"/>
          <w:szCs w:val="18"/>
        </w:rPr>
        <w:sectPr>
          <w:pgSz w:w="11910" w:h="16840"/>
          <w:pgMar w:header="877" w:footer="1187" w:top="1100" w:bottom="1380" w:left="8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313,602.26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77,849.73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313,602.26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1,948,265.12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305,687.44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1,948,265.12</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6"/>
        <w:ind w:right="0" w:firstLine="360"/>
        <w:jc w:val="left"/>
      </w:pPr>
      <w:r>
        <w:rPr>
          <w:spacing w:val="-2"/>
        </w:rPr>
        <w:t>营业外支出较上年同期增加</w:t>
      </w:r>
      <w:r>
        <w:rPr>
          <w:rFonts w:ascii="宋体" w:hAnsi="宋体" w:cs="宋体" w:eastAsia="宋体" w:hint="default"/>
          <w:spacing w:val="-2"/>
        </w:rPr>
        <w:t>537.34%</w:t>
      </w:r>
      <w:r>
        <w:rPr>
          <w:spacing w:val="-2"/>
        </w:rPr>
        <w:t>，主要由于公司向云南省临沧市临翔区蚂蚁堆乡蚂蚁堆村捐赠扶贫款项</w:t>
      </w:r>
      <w:r>
        <w:rPr>
          <w:rFonts w:ascii="宋体" w:hAnsi="宋体" w:cs="宋体" w:eastAsia="宋体" w:hint="default"/>
          <w:spacing w:val="-2"/>
        </w:rPr>
        <w:t>100</w:t>
      </w:r>
      <w:r>
        <w:rPr>
          <w:spacing w:val="-2"/>
        </w:rPr>
        <w:t>万元，向</w:t>
      </w:r>
      <w:r>
        <w:rPr/>
        <w:t> 中国初级卫生保健基金会捐赠</w:t>
      </w:r>
      <w:r>
        <w:rPr>
          <w:rFonts w:ascii="宋体" w:hAnsi="宋体" w:cs="宋体" w:eastAsia="宋体" w:hint="default"/>
        </w:rPr>
        <w:t>25</w:t>
      </w:r>
      <w:r>
        <w:rPr/>
        <w:t>万元，向湖北省春辉助学基金会捐赠</w:t>
      </w:r>
      <w:r>
        <w:rPr>
          <w:rFonts w:ascii="宋体" w:hAnsi="宋体" w:cs="宋体" w:eastAsia="宋体" w:hint="default"/>
        </w:rPr>
        <w:t>20</w:t>
      </w:r>
      <w:r>
        <w:rPr/>
        <w:t>万元。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2、所得税费用" w:id="301"/>
      <w:bookmarkEnd w:id="301"/>
      <w:r>
        <w:rPr>
          <w:b w:val="0"/>
          <w:bCs w:val="0"/>
        </w:rPr>
      </w:r>
      <w:r>
        <w:rPr>
          <w:rFonts w:ascii="宋体" w:hAnsi="宋体" w:cs="宋体" w:eastAsia="宋体" w:hint="default"/>
        </w:rPr>
        <w:t>42</w:t>
      </w:r>
      <w:r>
        <w:rPr/>
        <w:t>、所得税费用</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所得税费用表" w:id="302"/>
      <w:bookmarkEnd w:id="302"/>
      <w:r>
        <w:rPr>
          <w:b w:val="0"/>
          <w:bCs w:val="0"/>
        </w:rPr>
      </w:r>
      <w:r>
        <w:rPr/>
        <w:t>（</w:t>
      </w:r>
      <w:r>
        <w:rPr>
          <w:rFonts w:ascii="宋体" w:hAnsi="宋体" w:cs="宋体" w:eastAsia="宋体" w:hint="default"/>
        </w:rPr>
        <w:t>1</w:t>
      </w:r>
      <w:r>
        <w:rPr/>
        <w:t>）所得税费用表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25,148,937.31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17,758,400.53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-13,572,177.99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-5,937,204.15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11,576,759.32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11,821,196.38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03"/>
      <w:bookmarkEnd w:id="303"/>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955"/>
        <w:gridCol w:w="3614"/>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125,597,285.57</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19,389,172.23</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2,432,792.36</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-710,660.30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-1,601,730.77</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9,351,140.45</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-13,677,840.54</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6,012,975.69</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-9,619,089.80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11,576,759.32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其他综合收益" w:id="304"/>
      <w:bookmarkEnd w:id="304"/>
      <w:r>
        <w:rPr>
          <w:b w:val="0"/>
          <w:bCs w:val="0"/>
        </w:rPr>
      </w:r>
      <w:r>
        <w:rPr>
          <w:rFonts w:ascii="宋体" w:hAnsi="宋体" w:cs="宋体" w:eastAsia="宋体" w:hint="default"/>
        </w:rPr>
        <w:t>43</w:t>
      </w:r>
      <w:r>
        <w:rPr/>
        <w:t>、其他综合收益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详见附注七、</w:t>
      </w:r>
      <w:r>
        <w:rPr>
          <w:rFonts w:ascii="宋体" w:hAnsi="宋体" w:cs="宋体" w:eastAsia="宋体" w:hint="default"/>
        </w:rPr>
        <w:t>27</w:t>
      </w:r>
      <w:r>
        <w:rPr/>
        <w:t>。</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4、现金流量表项目" w:id="305"/>
      <w:bookmarkEnd w:id="305"/>
      <w:r>
        <w:rPr>
          <w:b w:val="0"/>
          <w:bCs w:val="0"/>
        </w:rPr>
      </w:r>
      <w:r>
        <w:rPr>
          <w:rFonts w:ascii="宋体" w:hAnsi="宋体" w:cs="宋体" w:eastAsia="宋体" w:hint="default"/>
        </w:rPr>
        <w:t>44</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收到的其他与经营活动有关的现金" w:id="306"/>
      <w:bookmarkEnd w:id="306"/>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2,657,442.75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2,019,059.91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18,872,402.41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8,562,769.57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21,556,254.38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43,499,298.62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11,532,453.35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2,382,300.42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54,618,552.89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56,463,428.52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07"/>
      <w:bookmarkEnd w:id="307"/>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217,571,453.25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196,385,789.79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82,899,021.81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53,759,902.92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2,132,983.20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139,919.04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302,603,458.26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250,285,611.75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筹资活动有关的现金" w:id="308"/>
      <w:bookmarkEnd w:id="308"/>
      <w:r>
        <w:rPr>
          <w:b w:val="0"/>
          <w:bCs w:val="0"/>
        </w:rPr>
      </w:r>
      <w:r>
        <w:rPr/>
        <w:t>（</w:t>
      </w:r>
      <w:r>
        <w:rPr>
          <w:rFonts w:ascii="宋体" w:hAnsi="宋体" w:cs="宋体" w:eastAsia="宋体" w:hint="default"/>
        </w:rPr>
        <w:t>3</w:t>
      </w:r>
      <w:r>
        <w:rPr/>
        <w:t>）支付的其他与筹资活动有关的现金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购买少数股东股权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现金流量表补充资料" w:id="309"/>
      <w:bookmarkEnd w:id="309"/>
      <w:r>
        <w:rPr>
          <w:b w:val="0"/>
          <w:bCs w:val="0"/>
        </w:rPr>
      </w:r>
      <w:r>
        <w:rPr>
          <w:rFonts w:ascii="宋体" w:hAnsi="宋体" w:cs="宋体" w:eastAsia="宋体" w:hint="default"/>
        </w:rPr>
        <w:t>45</w:t>
      </w:r>
      <w:r>
        <w:rPr/>
        <w:t>、现金流量表补充资料</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现金流量表补充资料" w:id="310"/>
      <w:bookmarkEnd w:id="310"/>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2693"/>
        <w:gridCol w:w="276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114,020,526.25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11,475,342.64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78,392,813.79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36,884,895.05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25,938,015.15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30,424,112.06</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12"/>
        <w:gridCol w:w="2693"/>
        <w:gridCol w:w="276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3,079,148.91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2,988,934.80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10,730,411.09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10,469,990.77</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-6,020,393.34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-1,241,739.79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182,781.92</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12,845,819.49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10,027,957.64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-4,503,757.02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1,490,877.49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-13,863,226.21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-5,937,204.15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291,048.22</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45,147,238.21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4,952,769.87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-381,872,640.09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-26,662,224.40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104,437,922.88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111,473,655.40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-11,194,290.75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186,347,367.38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1" w:right="0"/>
              <w:jc w:val="left"/>
              <w:rPr>
                <w:rFonts w:ascii="宋体" w:hAnsi="宋体" w:cs="宋体" w:eastAsia="宋体" w:hint="default"/>
                <w:sz w:val="18"/>
                <w:szCs w:val="18"/>
              </w:rPr>
            </w:pPr>
            <w:r>
              <w:rPr>
                <w:rFonts w:ascii="宋体"/>
                <w:sz w:val="18"/>
              </w:rPr>
              <w:t>--</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6" w:right="0"/>
              <w:jc w:val="left"/>
              <w:rPr>
                <w:rFonts w:ascii="宋体" w:hAnsi="宋体" w:cs="宋体" w:eastAsia="宋体" w:hint="default"/>
                <w:sz w:val="18"/>
                <w:szCs w:val="18"/>
              </w:rPr>
            </w:pPr>
            <w:r>
              <w:rPr>
                <w:rFonts w:ascii="宋体"/>
                <w:sz w:val="18"/>
              </w:rPr>
              <w:t>--</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1" w:right="0"/>
              <w:jc w:val="left"/>
              <w:rPr>
                <w:rFonts w:ascii="宋体" w:hAnsi="宋体" w:cs="宋体" w:eastAsia="宋体" w:hint="default"/>
                <w:sz w:val="18"/>
                <w:szCs w:val="18"/>
              </w:rPr>
            </w:pPr>
            <w:r>
              <w:rPr>
                <w:rFonts w:ascii="宋体"/>
                <w:sz w:val="18"/>
              </w:rPr>
              <w:t>--</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6" w:right="0"/>
              <w:jc w:val="left"/>
              <w:rPr>
                <w:rFonts w:ascii="宋体" w:hAnsi="宋体" w:cs="宋体" w:eastAsia="宋体" w:hint="default"/>
                <w:sz w:val="18"/>
                <w:szCs w:val="18"/>
              </w:rPr>
            </w:pPr>
            <w:r>
              <w:rPr>
                <w:rFonts w:ascii="宋体"/>
                <w:sz w:val="18"/>
              </w:rPr>
              <w:t>--</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377,293,615.81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365,907,692.65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365,907,692.65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383,859,935.15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11,385,923.16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-17,952,242.50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11"/>
      <w:bookmarkEnd w:id="311"/>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189,081.11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189,081.11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19,810,918.89</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现金和现金等价物的构成" w:id="312"/>
      <w:bookmarkEnd w:id="312"/>
      <w:r>
        <w:rPr>
          <w:b w:val="0"/>
          <w:bCs w:val="0"/>
        </w:rPr>
      </w:r>
      <w:r>
        <w:rPr/>
        <w:t>（</w:t>
      </w:r>
      <w:r>
        <w:rPr>
          <w:rFonts w:ascii="宋体" w:hAnsi="宋体" w:cs="宋体" w:eastAsia="宋体" w:hint="default"/>
        </w:rPr>
        <w:t>3</w:t>
      </w:r>
      <w:r>
        <w:rPr/>
        <w:t>）现金和现金等价物的构成</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377,293,615.81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365,907,692.65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2,560.65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1,350.42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376,895,420.50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365,697,927.58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395,634.66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208,414.65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377,293,615.81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365,907,692.65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所有权或使用权受到限制的资产" w:id="313"/>
      <w:bookmarkEnd w:id="313"/>
      <w:r>
        <w:rPr>
          <w:b w:val="0"/>
          <w:bCs w:val="0"/>
        </w:rPr>
      </w:r>
      <w:r>
        <w:rPr>
          <w:rFonts w:ascii="宋体" w:hAnsi="宋体" w:cs="宋体" w:eastAsia="宋体" w:hint="default"/>
        </w:rPr>
        <w:t>46</w:t>
      </w:r>
      <w:r>
        <w:rPr/>
        <w:t>、所有权或使用权受到限制的资产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75,079,104.48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使用权受到限制的其他货币资金主要是 银行承兑汇票保证金及保函保证金。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75,079,104.48</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外币货币性项目" w:id="314"/>
      <w:bookmarkEnd w:id="314"/>
      <w:r>
        <w:rPr>
          <w:b w:val="0"/>
          <w:bCs w:val="0"/>
        </w:rPr>
      </w:r>
      <w:r>
        <w:rPr>
          <w:rFonts w:ascii="宋体" w:hAnsi="宋体" w:cs="宋体" w:eastAsia="宋体" w:hint="default"/>
        </w:rPr>
        <w:t>47</w:t>
      </w:r>
      <w:r>
        <w:rPr/>
        <w:t>、外币货币性项目</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bookmarkStart w:name="（1）外币货币性项目" w:id="315"/>
      <w:bookmarkEnd w:id="315"/>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7,685,538.23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1,119,792.37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7,685,358.99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19,337,881.83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1,496,749.55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10,272,491.51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1,155,224.13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9,065,390.32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4,616,972.80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658,988.99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4,522,773.24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72,509.06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21,690.50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394" w:right="1392"/>
        <w:jc w:val="left"/>
        <w:rPr>
          <w:b w:val="0"/>
          <w:bCs w:val="0"/>
        </w:rPr>
      </w:pPr>
      <w:bookmarkStart w:name="48、政府补助" w:id="316"/>
      <w:bookmarkEnd w:id="316"/>
      <w:r>
        <w:rPr>
          <w:b w:val="0"/>
          <w:bCs w:val="0"/>
        </w:rPr>
      </w:r>
      <w:r>
        <w:rPr>
          <w:rFonts w:ascii="宋体" w:hAnsi="宋体" w:cs="宋体" w:eastAsia="宋体" w:hint="default"/>
        </w:rPr>
        <w:t>48</w:t>
      </w:r>
      <w:r>
        <w:rPr/>
        <w:t>、政府补助</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394" w:right="1392"/>
        <w:jc w:val="left"/>
        <w:rPr>
          <w:b w:val="0"/>
          <w:bCs w:val="0"/>
        </w:rPr>
      </w:pPr>
      <w:bookmarkStart w:name="（1）政府补助基本情况" w:id="317"/>
      <w:bookmarkEnd w:id="317"/>
      <w:r>
        <w:rPr>
          <w:b w:val="0"/>
          <w:bCs w:val="0"/>
        </w:rPr>
      </w:r>
      <w:r>
        <w:rPr/>
        <w:t>（</w:t>
      </w:r>
      <w:r>
        <w:rPr>
          <w:rFonts w:ascii="宋体" w:hAnsi="宋体" w:cs="宋体" w:eastAsia="宋体" w:hint="default"/>
        </w:rPr>
        <w:t>1</w:t>
      </w:r>
      <w:r>
        <w:rPr/>
        <w:t>）政府补助基本情况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即征即退增值税返还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44,706,646.01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44,706,646.01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419,800.00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419,800.00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18,452,602.41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18,452,602.41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63,579,048.42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63,579,048.42</w:t>
            </w:r>
          </w:p>
        </w:tc>
      </w:tr>
    </w:tbl>
    <w:p>
      <w:pPr>
        <w:spacing w:line="240" w:lineRule="auto" w:before="2"/>
        <w:rPr>
          <w:rFonts w:ascii="宋体" w:hAnsi="宋体" w:cs="宋体" w:eastAsia="宋体" w:hint="default"/>
          <w:sz w:val="19"/>
          <w:szCs w:val="19"/>
        </w:rPr>
      </w:pPr>
    </w:p>
    <w:p>
      <w:pPr>
        <w:pStyle w:val="Heading3"/>
        <w:spacing w:line="240" w:lineRule="auto" w:before="35"/>
        <w:ind w:left="394" w:right="1392"/>
        <w:jc w:val="left"/>
        <w:rPr>
          <w:b w:val="0"/>
          <w:bCs w:val="0"/>
        </w:rPr>
      </w:pPr>
      <w:bookmarkStart w:name="（2）政府补助退回情况" w:id="318"/>
      <w:bookmarkEnd w:id="318"/>
      <w:r>
        <w:rPr>
          <w:b w:val="0"/>
          <w:bCs w:val="0"/>
        </w:rPr>
      </w:r>
      <w:r>
        <w:rPr/>
        <w:t>（</w:t>
      </w:r>
      <w:r>
        <w:rPr>
          <w:rFonts w:ascii="宋体" w:hAnsi="宋体" w:cs="宋体" w:eastAsia="宋体" w:hint="default"/>
        </w:rPr>
        <w:t>2</w:t>
      </w:r>
      <w:r>
        <w:rPr/>
        <w:t>）政府补助退回情况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94" w:right="139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394" w:right="1392"/>
        <w:jc w:val="left"/>
        <w:rPr>
          <w:b w:val="0"/>
          <w:bCs w:val="0"/>
        </w:rPr>
      </w:pPr>
      <w:bookmarkStart w:name="八、合并范围的变更" w:id="319"/>
      <w:bookmarkEnd w:id="319"/>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94" w:right="1392"/>
        <w:jc w:val="left"/>
        <w:rPr>
          <w:b w:val="0"/>
          <w:bCs w:val="0"/>
        </w:rPr>
      </w:pPr>
      <w:bookmarkStart w:name="1、非同一控制下企业合并" w:id="320"/>
      <w:bookmarkEnd w:id="320"/>
      <w:r>
        <w:rPr>
          <w:b w:val="0"/>
          <w:bCs w:val="0"/>
        </w:rPr>
      </w:r>
      <w:r>
        <w:rPr>
          <w:rFonts w:ascii="宋体" w:hAnsi="宋体" w:cs="宋体" w:eastAsia="宋体" w:hint="default"/>
        </w:rPr>
        <w:t>1</w:t>
      </w:r>
      <w:r>
        <w:rPr/>
        <w:t>、非同一控制下企业合并</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394" w:right="1392"/>
        <w:jc w:val="left"/>
        <w:rPr>
          <w:b w:val="0"/>
          <w:bCs w:val="0"/>
        </w:rPr>
      </w:pPr>
      <w:bookmarkStart w:name="（1）本期发生的非同一控制下企业合并" w:id="321"/>
      <w:bookmarkEnd w:id="321"/>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348"/>
        <w:gridCol w:w="938"/>
        <w:gridCol w:w="1260"/>
        <w:gridCol w:w="850"/>
        <w:gridCol w:w="845"/>
        <w:gridCol w:w="998"/>
        <w:gridCol w:w="1031"/>
        <w:gridCol w:w="1379"/>
        <w:gridCol w:w="1417"/>
      </w:tblGrid>
      <w:tr>
        <w:trPr>
          <w:trHeight w:val="714"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4" w:right="102"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9" w:right="58"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3" w:right="53" w:hanging="90"/>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3" w:right="72"/>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1027"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2"/>
              <w:jc w:val="both"/>
              <w:rPr>
                <w:rFonts w:ascii="宋体" w:hAnsi="宋体" w:cs="宋体" w:eastAsia="宋体" w:hint="default"/>
                <w:sz w:val="18"/>
                <w:szCs w:val="18"/>
              </w:rPr>
            </w:pPr>
            <w:r>
              <w:rPr>
                <w:rFonts w:ascii="宋体" w:hAnsi="宋体" w:cs="宋体" w:eastAsia="宋体" w:hint="default"/>
                <w:sz w:val="18"/>
                <w:szCs w:val="18"/>
              </w:rPr>
              <w:t>山东天喻爱书人 现代教育科技有 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6" w:right="0"/>
              <w:jc w:val="left"/>
              <w:rPr>
                <w:rFonts w:ascii="宋体" w:hAnsi="宋体" w:cs="宋体" w:eastAsia="宋体" w:hint="default"/>
                <w:sz w:val="18"/>
                <w:szCs w:val="18"/>
              </w:rPr>
            </w:pPr>
            <w:r>
              <w:rPr>
                <w:rFonts w:ascii="宋体"/>
                <w:sz w:val="18"/>
              </w:rPr>
              <w:t>24,000,000.00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7" w:right="0"/>
              <w:jc w:val="left"/>
              <w:rPr>
                <w:rFonts w:ascii="宋体" w:hAnsi="宋体" w:cs="宋体" w:eastAsia="宋体" w:hint="default"/>
                <w:sz w:val="18"/>
                <w:szCs w:val="18"/>
              </w:rPr>
            </w:pPr>
            <w:r>
              <w:rPr>
                <w:rFonts w:ascii="宋体"/>
                <w:sz w:val="18"/>
              </w:rPr>
              <w:t>51.00%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6"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取得对被收 购方的控制 权</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5" w:right="0"/>
              <w:jc w:val="left"/>
              <w:rPr>
                <w:rFonts w:ascii="宋体" w:hAnsi="宋体" w:cs="宋体" w:eastAsia="宋体" w:hint="default"/>
                <w:sz w:val="18"/>
                <w:szCs w:val="18"/>
              </w:rPr>
            </w:pPr>
            <w:r>
              <w:rPr>
                <w:rFonts w:ascii="宋体"/>
                <w:sz w:val="18"/>
              </w:rPr>
              <w:t>64,249,226.66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sz w:val="18"/>
              </w:rPr>
              <w:t>10,239,015.77</w:t>
            </w:r>
          </w:p>
        </w:tc>
      </w:tr>
    </w:tbl>
    <w:p>
      <w:pPr>
        <w:spacing w:line="240" w:lineRule="auto" w:before="2"/>
        <w:rPr>
          <w:rFonts w:ascii="宋体" w:hAnsi="宋体" w:cs="宋体" w:eastAsia="宋体" w:hint="default"/>
          <w:sz w:val="19"/>
          <w:szCs w:val="19"/>
        </w:rPr>
      </w:pPr>
    </w:p>
    <w:p>
      <w:pPr>
        <w:pStyle w:val="Heading3"/>
        <w:spacing w:line="240" w:lineRule="auto" w:before="35"/>
        <w:ind w:left="394" w:right="1392"/>
        <w:jc w:val="left"/>
        <w:rPr>
          <w:b w:val="0"/>
          <w:bCs w:val="0"/>
        </w:rPr>
      </w:pPr>
      <w:bookmarkStart w:name="（2）合并成本及商誉" w:id="322"/>
      <w:bookmarkEnd w:id="322"/>
      <w:r>
        <w:rPr>
          <w:b w:val="0"/>
          <w:bCs w:val="0"/>
        </w:rPr>
      </w:r>
      <w:r>
        <w:rPr/>
        <w:t>（</w:t>
      </w:r>
      <w:r>
        <w:rPr>
          <w:rFonts w:ascii="宋体" w:hAnsi="宋体" w:cs="宋体" w:eastAsia="宋体" w:hint="default"/>
        </w:rPr>
        <w:t>2</w:t>
      </w:r>
      <w:r>
        <w:rPr/>
        <w:t>）合并成本及商誉</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5246"/>
        <w:gridCol w:w="4323"/>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山东天喻爱书人现代教育科技有限公司</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24,000,000.00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24,000,000.00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9,109,312.63</w:t>
            </w:r>
          </w:p>
        </w:tc>
      </w:tr>
      <w:tr>
        <w:trPr>
          <w:trHeight w:val="40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合并成本小于取得的可辨认净资产公允价值份额的金额</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14,890,687.37</w:t>
            </w:r>
          </w:p>
        </w:tc>
      </w:tr>
    </w:tbl>
    <w:p>
      <w:pPr>
        <w:spacing w:line="240" w:lineRule="auto" w:before="9"/>
        <w:rPr>
          <w:rFonts w:ascii="宋体" w:hAnsi="宋体" w:cs="宋体" w:eastAsia="宋体" w:hint="default"/>
          <w:sz w:val="6"/>
          <w:szCs w:val="6"/>
        </w:rPr>
      </w:pPr>
    </w:p>
    <w:p>
      <w:pPr>
        <w:pStyle w:val="BodyText"/>
        <w:spacing w:line="357" w:lineRule="auto" w:before="44"/>
        <w:ind w:left="754" w:right="0" w:hanging="360"/>
        <w:jc w:val="left"/>
      </w:pPr>
      <w:r>
        <w:rPr/>
        <w:t>大额商誉形成的主要原因： </w:t>
      </w:r>
      <w:r>
        <w:rPr>
          <w:spacing w:val="-2"/>
        </w:rPr>
        <w:t>现代教育是山东智慧教育市场中具有丰富教育产品销售和运营经验的教育信息化集成服务运营商，通过对其收购，有助</w:t>
      </w:r>
    </w:p>
    <w:p>
      <w:pPr>
        <w:pStyle w:val="BodyText"/>
        <w:spacing w:line="224" w:lineRule="exact"/>
        <w:ind w:left="394" w:right="0"/>
        <w:jc w:val="left"/>
      </w:pPr>
      <w:r>
        <w:rPr/>
        <w:t>于公司子公司天喻教育尽快在山东地区占据市场领先地位，进一步增强获利能力，因此收购成本高于购买日获取的可辨认净</w:t>
      </w:r>
    </w:p>
    <w:p>
      <w:pPr>
        <w:pStyle w:val="BodyText"/>
        <w:spacing w:line="240" w:lineRule="auto" w:before="77"/>
        <w:ind w:left="394" w:right="1392"/>
        <w:jc w:val="left"/>
      </w:pPr>
      <w:r>
        <w:rPr/>
        <w:t>资产公允价值份额，产生商誉。</w:t>
      </w:r>
    </w:p>
    <w:p>
      <w:pPr>
        <w:spacing w:after="0" w:line="240" w:lineRule="auto"/>
        <w:jc w:val="left"/>
        <w:sectPr>
          <w:pgSz w:w="11910" w:h="16840"/>
          <w:pgMar w:header="877" w:footer="1187" w:top="1100" w:bottom="1380" w:left="74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被购买方于购买日可辨认资产、负债" w:id="323"/>
      <w:bookmarkEnd w:id="323"/>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56" w:right="0"/>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山东天喻爱书人现代教育科技有限公司</w:t>
            </w:r>
          </w:p>
        </w:tc>
      </w:tr>
      <w:tr>
        <w:trPr>
          <w:trHeight w:val="402" w:hRule="exact"/>
        </w:trPr>
        <w:tc>
          <w:tcPr>
            <w:tcW w:w="3190" w:type="dxa"/>
            <w:vMerge/>
            <w:tcBorders>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189,081.11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189,081.11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3,341,393.40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3,341,393.40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6,776,207.31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6,776,207.31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274,173.29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274,173.29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1,706,875.88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1,706,875.88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11,452,609.73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11,452,609.73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33,485.96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33,485.96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26,173,826.68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26,173,826.68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7,507,068.28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7,507,068.28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333,613.63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333,613.63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-30,587.28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-30,587.28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502,334.74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502,334.74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8,312,429.37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8,312,429.37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17,861,397.31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17,861,397.31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8,752,084.68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8,752,084.68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9,109,312.63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9,109,312.63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购买日之前持有的股权按照公允价值重新计量产生的利得或损失" w:id="324"/>
      <w:bookmarkEnd w:id="324"/>
      <w:r>
        <w:rPr>
          <w:b w:val="0"/>
          <w:bCs w:val="0"/>
        </w:rPr>
      </w: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原因的合并范围变动" w:id="325"/>
      <w:bookmarkEnd w:id="325"/>
      <w:r>
        <w:rPr>
          <w:b w:val="0"/>
          <w:bCs w:val="0"/>
        </w:rPr>
      </w:r>
      <w:r>
        <w:rPr>
          <w:rFonts w:ascii="宋体" w:hAnsi="宋体" w:cs="宋体" w:eastAsia="宋体" w:hint="default"/>
        </w:rPr>
        <w:t>2</w:t>
      </w:r>
      <w:r>
        <w:rPr/>
        <w:t>、其他原因的合并范围变动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说明其他原因导致的合并范围变动（如，新设子公司、清算子公司等）及其相关情况：</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570"/>
        <w:gridCol w:w="2416"/>
        <w:gridCol w:w="1575"/>
        <w:gridCol w:w="2294"/>
      </w:tblGrid>
      <w:tr>
        <w:trPr>
          <w:trHeight w:val="426"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新纳入合并范围的时间</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合并日至期末净利润</w:t>
            </w:r>
          </w:p>
        </w:tc>
      </w:tr>
      <w:tr>
        <w:trPr>
          <w:trHeight w:val="42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河南喻周教育科技有限公司</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1,958,948.02</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-91,051.98</w:t>
            </w:r>
          </w:p>
        </w:tc>
      </w:tr>
      <w:tr>
        <w:trPr>
          <w:trHeight w:val="42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武汉鱼渔课堂教育科技有限公司</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1,532,220.00</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-1,467,780.00</w:t>
            </w:r>
          </w:p>
        </w:tc>
      </w:tr>
      <w:tr>
        <w:trPr>
          <w:trHeight w:val="42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23,403,132.63</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-879,523.34</w:t>
            </w:r>
          </w:p>
        </w:tc>
      </w:tr>
    </w:tbl>
    <w:p>
      <w:pPr>
        <w:spacing w:line="240" w:lineRule="auto" w:before="8"/>
        <w:rPr>
          <w:rFonts w:ascii="宋体" w:hAnsi="宋体" w:cs="宋体" w:eastAsia="宋体" w:hint="default"/>
          <w:sz w:val="6"/>
          <w:szCs w:val="6"/>
        </w:rPr>
      </w:pPr>
    </w:p>
    <w:p>
      <w:pPr>
        <w:pStyle w:val="BodyText"/>
        <w:spacing w:line="319" w:lineRule="auto" w:before="44"/>
        <w:ind w:right="1032" w:firstLine="360"/>
        <w:jc w:val="left"/>
      </w:pPr>
      <w:r>
        <w:rPr/>
        <w:t>报告期内，公司子公司天喻教育参与投资设立河南喻周，河南喻周于</w:t>
      </w:r>
      <w:r>
        <w:rPr>
          <w:rFonts w:ascii="宋体" w:hAnsi="宋体" w:cs="宋体" w:eastAsia="宋体" w:hint="default"/>
        </w:rPr>
        <w:t>2018</w:t>
      </w:r>
      <w:r>
        <w:rPr/>
        <w:t>年</w:t>
      </w:r>
      <w:r>
        <w:rPr>
          <w:rFonts w:ascii="宋体" w:hAnsi="宋体" w:cs="宋体" w:eastAsia="宋体" w:hint="default"/>
        </w:rPr>
        <w:t>8</w:t>
      </w:r>
      <w:r>
        <w:rPr/>
        <w:t>月完成工商注册登记，注册资本</w:t>
      </w:r>
      <w:r>
        <w:rPr>
          <w:rFonts w:ascii="宋体" w:hAnsi="宋体" w:cs="宋体" w:eastAsia="宋体" w:hint="default"/>
        </w:rPr>
        <w:t>500</w:t>
      </w:r>
      <w:r>
        <w:rPr/>
        <w:t>万元， 天喻教育出资比例为</w:t>
      </w:r>
      <w:r>
        <w:rPr>
          <w:rFonts w:ascii="宋体" w:hAnsi="宋体" w:cs="宋体" w:eastAsia="宋体" w:hint="default"/>
        </w:rPr>
        <w:t>51%</w:t>
      </w:r>
      <w:r>
        <w:rPr/>
        <w:t>，河南喻周纳入公司合并财务报表范围。</w:t>
      </w:r>
    </w:p>
    <w:p>
      <w:pPr>
        <w:spacing w:after="0" w:line="319" w:lineRule="auto"/>
        <w:jc w:val="left"/>
        <w:sectPr>
          <w:pgSz w:w="11910" w:h="16840"/>
          <w:pgMar w:header="877" w:footer="1187" w:top="1100" w:bottom="138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294" w:right="1039" w:firstLine="360"/>
        <w:jc w:val="both"/>
      </w:pPr>
      <w:r>
        <w:rPr/>
        <w:t>报告期内，公司子公司天喻教育参与投资设立鱼渔课堂，鱼渔课堂于</w:t>
      </w:r>
      <w:r>
        <w:rPr>
          <w:rFonts w:ascii="宋体" w:hAnsi="宋体" w:cs="宋体" w:eastAsia="宋体" w:hint="default"/>
        </w:rPr>
        <w:t>2018</w:t>
      </w:r>
      <w:r>
        <w:rPr/>
        <w:t>年</w:t>
      </w:r>
      <w:r>
        <w:rPr>
          <w:rFonts w:ascii="宋体" w:hAnsi="宋体" w:cs="宋体" w:eastAsia="宋体" w:hint="default"/>
        </w:rPr>
        <w:t>4</w:t>
      </w:r>
      <w:r>
        <w:rPr/>
        <w:t>月完成工商注册登记，注册资本</w:t>
      </w:r>
      <w:r>
        <w:rPr>
          <w:rFonts w:ascii="宋体" w:hAnsi="宋体" w:cs="宋体" w:eastAsia="宋体" w:hint="default"/>
        </w:rPr>
        <w:t>500</w:t>
      </w:r>
      <w:r>
        <w:rPr/>
        <w:t>万元， 天喻教育出资比例为</w:t>
      </w:r>
      <w:r>
        <w:rPr>
          <w:rFonts w:ascii="宋体" w:hAnsi="宋体" w:cs="宋体" w:eastAsia="宋体" w:hint="default"/>
        </w:rPr>
        <w:t>60%</w:t>
      </w:r>
      <w:r>
        <w:rPr/>
        <w:t>，鱼渔课堂纳入公司合并财务报表范围。</w:t>
      </w:r>
    </w:p>
    <w:p>
      <w:pPr>
        <w:pStyle w:val="BodyText"/>
        <w:spacing w:line="319" w:lineRule="auto" w:before="55"/>
        <w:ind w:left="294" w:right="1130" w:firstLine="360"/>
        <w:jc w:val="both"/>
      </w:pPr>
      <w:r>
        <w:rPr>
          <w:spacing w:val="-2"/>
        </w:rPr>
        <w:t>报告期内，公司与公司子公司湖北百旺的自然人股东分别以各自持有的湖北百旺股权和现金共同投资设立百望信息，百</w:t>
      </w:r>
      <w:r>
        <w:rPr/>
        <w:t> 望信息于</w:t>
      </w:r>
      <w:r>
        <w:rPr>
          <w:rFonts w:ascii="宋体" w:hAnsi="宋体" w:cs="宋体" w:eastAsia="宋体" w:hint="default"/>
        </w:rPr>
        <w:t>2018</w:t>
      </w:r>
      <w:r>
        <w:rPr/>
        <w:t>年</w:t>
      </w:r>
      <w:r>
        <w:rPr>
          <w:rFonts w:ascii="宋体" w:hAnsi="宋体" w:cs="宋体" w:eastAsia="宋体" w:hint="default"/>
        </w:rPr>
        <w:t>2</w:t>
      </w:r>
      <w:r>
        <w:rPr/>
        <w:t>月完成工商注册登记，注册资本</w:t>
      </w:r>
      <w:r>
        <w:rPr>
          <w:rFonts w:ascii="宋体" w:hAnsi="宋体" w:cs="宋体" w:eastAsia="宋体" w:hint="default"/>
        </w:rPr>
        <w:t>2,140</w:t>
      </w:r>
      <w:r>
        <w:rPr/>
        <w:t>万元，公司出资比例为</w:t>
      </w:r>
      <w:r>
        <w:rPr>
          <w:rFonts w:ascii="宋体" w:hAnsi="宋体" w:cs="宋体" w:eastAsia="宋体" w:hint="default"/>
        </w:rPr>
        <w:t>80%</w:t>
      </w:r>
      <w:r>
        <w:rPr/>
        <w:t>，百望信息纳入公司合并财务报表范围。</w:t>
      </w:r>
      <w:r>
        <w:rPr>
          <w:spacing w:val="-83"/>
        </w:rPr>
        <w:t> </w:t>
      </w:r>
      <w:r>
        <w:rPr>
          <w:spacing w:val="-83"/>
        </w:rPr>
      </w:r>
      <w:r>
        <w:rPr/>
        <w:t>湖北百旺于</w:t>
      </w:r>
      <w:r>
        <w:rPr>
          <w:rFonts w:ascii="宋体" w:hAnsi="宋体" w:cs="宋体" w:eastAsia="宋体" w:hint="default"/>
        </w:rPr>
        <w:t>2018</w:t>
      </w:r>
      <w:r>
        <w:rPr/>
        <w:t>年</w:t>
      </w:r>
      <w:r>
        <w:rPr>
          <w:rFonts w:ascii="宋体" w:hAnsi="宋体" w:cs="宋体" w:eastAsia="宋体" w:hint="default"/>
        </w:rPr>
        <w:t>5</w:t>
      </w:r>
      <w:r>
        <w:rPr/>
        <w:t>月完成股东变更的工商登记，成为百望信息全资子公司，纳入百望信息合并财务报表范围。</w:t>
      </w:r>
    </w:p>
    <w:p>
      <w:pPr>
        <w:spacing w:line="240" w:lineRule="auto" w:before="7"/>
        <w:rPr>
          <w:rFonts w:ascii="宋体" w:hAnsi="宋体" w:cs="宋体" w:eastAsia="宋体" w:hint="default"/>
          <w:sz w:val="20"/>
          <w:szCs w:val="20"/>
        </w:rPr>
      </w:pPr>
    </w:p>
    <w:p>
      <w:pPr>
        <w:pStyle w:val="Heading2"/>
        <w:spacing w:line="240" w:lineRule="auto"/>
        <w:ind w:left="294" w:right="2832"/>
        <w:jc w:val="left"/>
        <w:rPr>
          <w:b w:val="0"/>
          <w:bCs w:val="0"/>
        </w:rPr>
      </w:pPr>
      <w:bookmarkStart w:name="九、在其他主体中的权益" w:id="326"/>
      <w:bookmarkEnd w:id="32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94" w:right="2832"/>
        <w:jc w:val="left"/>
        <w:rPr>
          <w:b w:val="0"/>
          <w:bCs w:val="0"/>
        </w:rPr>
      </w:pPr>
      <w:bookmarkStart w:name="1、在子公司中的权益" w:id="327"/>
      <w:bookmarkEnd w:id="327"/>
      <w:r>
        <w:rPr>
          <w:b w:val="0"/>
          <w:bCs w:val="0"/>
        </w:rPr>
      </w:r>
      <w:r>
        <w:rPr>
          <w:rFonts w:ascii="宋体" w:hAnsi="宋体" w:cs="宋体" w:eastAsia="宋体" w:hint="default"/>
        </w:rPr>
        <w:t>1</w:t>
      </w:r>
      <w:r>
        <w:rPr/>
        <w:t>、在子公司中的权益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94" w:right="2832"/>
        <w:jc w:val="left"/>
        <w:rPr>
          <w:b w:val="0"/>
          <w:bCs w:val="0"/>
        </w:rPr>
      </w:pPr>
      <w:bookmarkStart w:name="（1）企业集团的构成" w:id="328"/>
      <w:bookmarkEnd w:id="328"/>
      <w:r>
        <w:rPr>
          <w:b w:val="0"/>
          <w:bCs w:val="0"/>
        </w:rPr>
      </w:r>
      <w:r>
        <w:rPr/>
        <w:t>（</w:t>
      </w:r>
      <w:r>
        <w:rPr>
          <w:rFonts w:ascii="宋体" w:hAnsi="宋体" w:cs="宋体" w:eastAsia="宋体" w:hint="default"/>
        </w:rPr>
        <w:t>1</w:t>
      </w:r>
      <w:r>
        <w:rPr/>
        <w:t>）企业集团的构成</w:t>
      </w:r>
      <w:r>
        <w:rPr>
          <w:b w:val="0"/>
          <w:bCs w:val="0"/>
        </w:rPr>
      </w:r>
    </w:p>
    <w:p>
      <w:pPr>
        <w:spacing w:line="240" w:lineRule="auto" w:before="13"/>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2622"/>
        <w:gridCol w:w="851"/>
        <w:gridCol w:w="780"/>
        <w:gridCol w:w="2338"/>
        <w:gridCol w:w="710"/>
        <w:gridCol w:w="709"/>
        <w:gridCol w:w="1984"/>
      </w:tblGrid>
      <w:tr>
        <w:trPr>
          <w:trHeight w:val="402" w:hRule="exact"/>
        </w:trPr>
        <w:tc>
          <w:tcPr>
            <w:tcW w:w="262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1" w:type="dxa"/>
            <w:vMerge w:val="restart"/>
            <w:tcBorders>
              <w:top w:val="single" w:sz="4" w:space="0" w:color="000000"/>
              <w:left w:val="single" w:sz="4" w:space="0" w:color="000000"/>
              <w:right w:val="single" w:sz="4" w:space="0" w:color="000000"/>
            </w:tcBorders>
          </w:tcPr>
          <w:p>
            <w:pPr>
              <w:pStyle w:val="TableParagraph"/>
              <w:spacing w:line="357" w:lineRule="auto" w:before="76"/>
              <w:ind w:left="150" w:right="149"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62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4" w:type="dxa"/>
            <w:vMerge/>
            <w:tcBorders>
              <w:left w:val="single" w:sz="4" w:space="0" w:color="000000"/>
              <w:bottom w:val="single" w:sz="4" w:space="0" w:color="000000"/>
              <w:right w:val="single" w:sz="4" w:space="0" w:color="000000"/>
            </w:tcBorders>
          </w:tcPr>
          <w:p>
            <w:pP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80.74%</w:t>
            </w: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深圳市易考乐学测评有限公司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无锡尚蠡信息科技有限公司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上海天喻云企业发展有限公司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贵州天喻通慧教育科技有限公司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贵安新区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贵安新区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山东天喻爱书人现代教育科技有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济南市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武汉鱼渔课堂教育科技有限公司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河南喻周教育科技有限公司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周口市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周口市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湖北天喻教育研究院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3"/>
        <w:spacing w:line="240" w:lineRule="auto" w:before="35"/>
        <w:ind w:left="294" w:right="2832"/>
        <w:jc w:val="left"/>
        <w:rPr>
          <w:b w:val="0"/>
          <w:bCs w:val="0"/>
        </w:rPr>
      </w:pPr>
      <w:bookmarkStart w:name="（2）重要的非全资子公司" w:id="329"/>
      <w:bookmarkEnd w:id="329"/>
      <w:r>
        <w:rPr>
          <w:b w:val="0"/>
          <w:bCs w:val="0"/>
        </w:rPr>
      </w:r>
      <w:r>
        <w:rPr/>
        <w:t>（</w:t>
      </w:r>
      <w:r>
        <w:rPr>
          <w:rFonts w:ascii="宋体" w:hAnsi="宋体" w:cs="宋体" w:eastAsia="宋体" w:hint="default"/>
        </w:rPr>
        <w:t>2</w:t>
      </w:r>
      <w:r>
        <w:rPr/>
        <w:t>）重要的非全资子公司</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2553"/>
        <w:gridCol w:w="1701"/>
        <w:gridCol w:w="1702"/>
        <w:gridCol w:w="1703"/>
        <w:gridCol w:w="1913"/>
      </w:tblGrid>
      <w:tr>
        <w:trPr>
          <w:trHeight w:val="76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6"/>
              <w:ind w:left="574"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6"/>
              <w:ind w:left="396"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937,653.55</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3,159,487.63</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8,984,399.96</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3,501,682.57</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2,366,566.97</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7,223,098.16</w:t>
            </w:r>
          </w:p>
        </w:tc>
      </w:tr>
    </w:tbl>
    <w:p>
      <w:pPr>
        <w:spacing w:after="0" w:line="240" w:lineRule="auto"/>
        <w:jc w:val="right"/>
        <w:rPr>
          <w:rFonts w:ascii="宋体" w:hAnsi="宋体" w:cs="宋体" w:eastAsia="宋体" w:hint="default"/>
          <w:sz w:val="18"/>
          <w:szCs w:val="18"/>
        </w:rPr>
        <w:sectPr>
          <w:pgSz w:w="11910" w:h="16840"/>
          <w:pgMar w:header="877" w:footer="1187" w:top="1100" w:bottom="1380" w:left="840" w:right="0"/>
        </w:sectPr>
      </w:pPr>
    </w:p>
    <w:p>
      <w:pPr>
        <w:pStyle w:val="BodyText"/>
        <w:spacing w:line="240" w:lineRule="auto" w:before="15"/>
        <w:ind w:left="0" w:right="136"/>
        <w:jc w:val="righ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3"/>
        <w:spacing w:line="240" w:lineRule="auto" w:before="35"/>
        <w:ind w:left="140" w:right="0"/>
        <w:jc w:val="left"/>
        <w:rPr>
          <w:b w:val="0"/>
          <w:bCs w:val="0"/>
        </w:rPr>
      </w:pPr>
      <w:bookmarkStart w:name="（3）重要非全资子公司的主要财务信息" w:id="330"/>
      <w:bookmarkEnd w:id="330"/>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235"/>
        <w:jc w:val="right"/>
      </w:pPr>
      <w:r>
        <w:rPr/>
        <w:t>单位： 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008"/>
        <w:gridCol w:w="1204"/>
        <w:gridCol w:w="1050"/>
        <w:gridCol w:w="1134"/>
        <w:gridCol w:w="1134"/>
        <w:gridCol w:w="850"/>
        <w:gridCol w:w="1134"/>
        <w:gridCol w:w="1134"/>
        <w:gridCol w:w="1082"/>
        <w:gridCol w:w="1044"/>
        <w:gridCol w:w="1134"/>
        <w:gridCol w:w="845"/>
        <w:gridCol w:w="1140"/>
      </w:tblGrid>
      <w:tr>
        <w:trPr>
          <w:trHeight w:val="402" w:hRule="exact"/>
        </w:trPr>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23"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5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3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00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6"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5"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4"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71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73"/>
              <w:jc w:val="left"/>
              <w:rPr>
                <w:rFonts w:ascii="宋体" w:hAnsi="宋体" w:cs="宋体" w:eastAsia="宋体" w:hint="default"/>
                <w:sz w:val="15"/>
                <w:szCs w:val="15"/>
              </w:rPr>
            </w:pPr>
            <w:r>
              <w:rPr>
                <w:rFonts w:ascii="宋体" w:hAnsi="宋体" w:cs="宋体" w:eastAsia="宋体" w:hint="default"/>
                <w:sz w:val="15"/>
                <w:szCs w:val="15"/>
              </w:rPr>
              <w:t>武汉天喻聚联 网络有限公司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11,723,457.15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197,454.47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1" w:right="0"/>
              <w:jc w:val="center"/>
              <w:rPr>
                <w:rFonts w:ascii="宋体" w:hAnsi="宋体" w:cs="宋体" w:eastAsia="宋体" w:hint="default"/>
                <w:sz w:val="15"/>
                <w:szCs w:val="15"/>
              </w:rPr>
            </w:pPr>
            <w:r>
              <w:rPr>
                <w:rFonts w:ascii="宋体"/>
                <w:sz w:val="15"/>
              </w:rPr>
              <w:t>11,920,911.62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1,595,426.66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5" w:right="0"/>
              <w:jc w:val="center"/>
              <w:rPr>
                <w:rFonts w:ascii="宋体" w:hAnsi="宋体" w:cs="宋体" w:eastAsia="宋体" w:hint="default"/>
                <w:sz w:val="15"/>
                <w:szCs w:val="15"/>
              </w:rPr>
            </w:pPr>
            <w:r>
              <w:rPr>
                <w:rFonts w:ascii="宋体"/>
                <w:sz w:val="15"/>
              </w:rPr>
              <w:t>1,595,426.66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9,476,809.94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center"/>
              <w:rPr>
                <w:rFonts w:ascii="宋体" w:hAnsi="宋体" w:cs="宋体" w:eastAsia="宋体" w:hint="default"/>
                <w:sz w:val="15"/>
                <w:szCs w:val="15"/>
              </w:rPr>
            </w:pPr>
            <w:r>
              <w:rPr>
                <w:rFonts w:ascii="宋体"/>
                <w:sz w:val="15"/>
              </w:rPr>
              <w:t>1,657,167.25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宋体" w:hAnsi="宋体" w:cs="宋体" w:eastAsia="宋体" w:hint="default"/>
                <w:sz w:val="15"/>
                <w:szCs w:val="15"/>
              </w:rPr>
            </w:pPr>
            <w:r>
              <w:rPr>
                <w:rFonts w:ascii="宋体"/>
                <w:sz w:val="15"/>
              </w:rPr>
              <w:t>11,133,977.19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2,288,602.94</w:t>
            </w:r>
          </w:p>
        </w:tc>
        <w:tc>
          <w:tcPr>
            <w:tcW w:w="84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2,288,602.94</w:t>
            </w:r>
          </w:p>
        </w:tc>
      </w:tr>
      <w:tr>
        <w:trPr>
          <w:trHeight w:val="71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73"/>
              <w:jc w:val="left"/>
              <w:rPr>
                <w:rFonts w:ascii="宋体" w:hAnsi="宋体" w:cs="宋体" w:eastAsia="宋体" w:hint="default"/>
                <w:sz w:val="15"/>
                <w:szCs w:val="15"/>
              </w:rPr>
            </w:pPr>
            <w:r>
              <w:rPr>
                <w:rFonts w:ascii="宋体" w:hAnsi="宋体" w:cs="宋体" w:eastAsia="宋体" w:hint="default"/>
                <w:sz w:val="15"/>
                <w:szCs w:val="15"/>
              </w:rPr>
              <w:t>武汉天喻教育 科技有限公司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199,729,892.25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53,782,074.56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 w:right="0"/>
              <w:jc w:val="center"/>
              <w:rPr>
                <w:rFonts w:ascii="宋体" w:hAnsi="宋体" w:cs="宋体" w:eastAsia="宋体" w:hint="default"/>
                <w:sz w:val="15"/>
                <w:szCs w:val="15"/>
              </w:rPr>
            </w:pPr>
            <w:r>
              <w:rPr>
                <w:rFonts w:ascii="宋体"/>
                <w:sz w:val="15"/>
              </w:rPr>
              <w:t>253,511,966.81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298,890,787.54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 w:right="0"/>
              <w:jc w:val="center"/>
              <w:rPr>
                <w:rFonts w:ascii="宋体" w:hAnsi="宋体" w:cs="宋体" w:eastAsia="宋体" w:hint="default"/>
                <w:sz w:val="15"/>
                <w:szCs w:val="15"/>
              </w:rPr>
            </w:pPr>
            <w:r>
              <w:rPr>
                <w:rFonts w:ascii="宋体"/>
                <w:sz w:val="15"/>
              </w:rPr>
              <w:t>298,890,787.54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84,734,219.50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 w:right="0"/>
              <w:jc w:val="center"/>
              <w:rPr>
                <w:rFonts w:ascii="宋体" w:hAnsi="宋体" w:cs="宋体" w:eastAsia="宋体" w:hint="default"/>
                <w:sz w:val="15"/>
                <w:szCs w:val="15"/>
              </w:rPr>
            </w:pPr>
            <w:r>
              <w:rPr>
                <w:rFonts w:ascii="宋体"/>
                <w:sz w:val="15"/>
              </w:rPr>
              <w:t>15,128,609.93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宋体" w:hAnsi="宋体" w:cs="宋体" w:eastAsia="宋体" w:hint="default"/>
                <w:sz w:val="15"/>
                <w:szCs w:val="15"/>
              </w:rPr>
            </w:pPr>
            <w:r>
              <w:rPr>
                <w:rFonts w:ascii="宋体"/>
                <w:sz w:val="15"/>
              </w:rPr>
              <w:t>99,862,829.43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214,352,662.04</w:t>
            </w:r>
          </w:p>
        </w:tc>
        <w:tc>
          <w:tcPr>
            <w:tcW w:w="84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214,352,662.04</w:t>
            </w:r>
          </w:p>
        </w:tc>
      </w:tr>
      <w:tr>
        <w:trPr>
          <w:trHeight w:val="716"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6"/>
              <w:ind w:left="22" w:right="73"/>
              <w:jc w:val="left"/>
              <w:rPr>
                <w:rFonts w:ascii="宋体" w:hAnsi="宋体" w:cs="宋体" w:eastAsia="宋体" w:hint="default"/>
                <w:sz w:val="15"/>
                <w:szCs w:val="15"/>
              </w:rPr>
            </w:pPr>
            <w:r>
              <w:rPr>
                <w:rFonts w:ascii="宋体" w:hAnsi="宋体" w:cs="宋体" w:eastAsia="宋体" w:hint="default"/>
                <w:sz w:val="15"/>
                <w:szCs w:val="15"/>
              </w:rPr>
              <w:t>武汉百望信息 技术有限公司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47,731,121.03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6,385,705.83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center"/>
              <w:rPr>
                <w:rFonts w:ascii="宋体" w:hAnsi="宋体" w:cs="宋体" w:eastAsia="宋体" w:hint="default"/>
                <w:sz w:val="15"/>
                <w:szCs w:val="15"/>
              </w:rPr>
            </w:pPr>
            <w:r>
              <w:rPr>
                <w:rFonts w:ascii="宋体"/>
                <w:sz w:val="15"/>
              </w:rPr>
              <w:t>54,116,826.86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18,001,336.06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center"/>
              <w:rPr>
                <w:rFonts w:ascii="宋体" w:hAnsi="宋体" w:cs="宋体" w:eastAsia="宋体" w:hint="default"/>
                <w:sz w:val="15"/>
                <w:szCs w:val="15"/>
              </w:rPr>
            </w:pPr>
            <w:r>
              <w:rPr>
                <w:rFonts w:ascii="宋体"/>
                <w:sz w:val="15"/>
              </w:rPr>
              <w:t>18,001,336.06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0" w:right="235"/>
        <w:jc w:val="right"/>
      </w:pPr>
      <w:r>
        <w:rPr/>
        <w:t>单位： 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836"/>
        <w:gridCol w:w="1560"/>
        <w:gridCol w:w="1428"/>
        <w:gridCol w:w="1265"/>
        <w:gridCol w:w="1276"/>
        <w:gridCol w:w="1337"/>
        <w:gridCol w:w="1356"/>
        <w:gridCol w:w="1417"/>
        <w:gridCol w:w="1419"/>
      </w:tblGrid>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5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5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54" w:hRule="exact"/>
        </w:trPr>
        <w:tc>
          <w:tcPr>
            <w:tcW w:w="283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452" w:right="91"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23" w:right="163"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6,025,731.14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1,480,110.71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1" w:right="0"/>
              <w:jc w:val="left"/>
              <w:rPr>
                <w:rFonts w:ascii="宋体" w:hAnsi="宋体" w:cs="宋体" w:eastAsia="宋体" w:hint="default"/>
                <w:sz w:val="18"/>
                <w:szCs w:val="18"/>
              </w:rPr>
            </w:pPr>
            <w:r>
              <w:rPr>
                <w:rFonts w:ascii="宋体"/>
                <w:sz w:val="18"/>
              </w:rPr>
              <w:t>1,480,110.71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center"/>
              <w:rPr>
                <w:rFonts w:ascii="宋体" w:hAnsi="宋体" w:cs="宋体" w:eastAsia="宋体" w:hint="default"/>
                <w:sz w:val="18"/>
                <w:szCs w:val="18"/>
              </w:rPr>
            </w:pPr>
            <w:r>
              <w:rPr>
                <w:rFonts w:ascii="宋体"/>
                <w:sz w:val="18"/>
              </w:rPr>
              <w:t>1,390,423.64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3,969,270.73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894,491.29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894,491.29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537,778.24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263,752,994.13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37,448,927.20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left"/>
              <w:rPr>
                <w:rFonts w:ascii="宋体" w:hAnsi="宋体" w:cs="宋体" w:eastAsia="宋体" w:hint="default"/>
                <w:sz w:val="18"/>
                <w:szCs w:val="18"/>
              </w:rPr>
            </w:pPr>
            <w:r>
              <w:rPr>
                <w:rFonts w:ascii="宋体"/>
                <w:sz w:val="18"/>
              </w:rPr>
              <w:t>37,448,927.20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57,516,008.81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90,919,231.59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-50,384,287.39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-50,384,287.39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-20,453,620.98</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54,902,960.64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11,832,834.83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left"/>
              <w:rPr>
                <w:rFonts w:ascii="宋体" w:hAnsi="宋体" w:cs="宋体" w:eastAsia="宋体" w:hint="default"/>
                <w:sz w:val="18"/>
                <w:szCs w:val="18"/>
              </w:rPr>
            </w:pPr>
            <w:r>
              <w:rPr>
                <w:rFonts w:ascii="宋体"/>
                <w:sz w:val="18"/>
              </w:rPr>
              <w:t>11,832,834.83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17,865,032.67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76"/>
        <w:ind w:left="6964" w:right="6964"/>
        <w:jc w:val="center"/>
        <w:rPr>
          <w:rFonts w:ascii="Times New Roman" w:hAnsi="Times New Roman" w:cs="Times New Roman" w:eastAsia="Times New Roman" w:hint="default"/>
        </w:rPr>
      </w:pPr>
      <w:r>
        <w:rPr>
          <w:rFonts w:ascii="Times New Roman"/>
        </w:rPr>
        <w:t>136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3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45"/>
          <w:footerReference w:type="default" r:id="rId46"/>
          <w:pgSz w:w="16840" w:h="11910" w:orient="landscape"/>
          <w:pgMar w:header="0" w:footer="0" w:top="800" w:bottom="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537" w:lineRule="auto" w:before="35"/>
        <w:ind w:left="254" w:right="1122"/>
        <w:jc w:val="left"/>
        <w:rPr>
          <w:b w:val="0"/>
          <w:bCs w:val="0"/>
        </w:rPr>
      </w:pPr>
      <w:bookmarkStart w:name="2、在子公司的所有者权益份额发生变化且仍控制子公司的交易" w:id="331"/>
      <w:bookmarkEnd w:id="331"/>
      <w:r>
        <w:rPr>
          <w:b w:val="0"/>
          <w:bCs w:val="0"/>
        </w:rPr>
      </w:r>
      <w:r>
        <w:rPr>
          <w:rFonts w:ascii="宋体" w:hAnsi="宋体" w:cs="宋体" w:eastAsia="宋体" w:hint="default"/>
          <w:w w:val="95"/>
        </w:rPr>
        <w:t>2</w:t>
      </w:r>
      <w:r>
        <w:rPr>
          <w:w w:val="95"/>
        </w:rPr>
        <w:t>、在子公司的所有者权益份额发生变化且仍控制子公司的交易</w:t>
      </w:r>
      <w:r>
        <w:rPr>
          <w:spacing w:val="82"/>
          <w:w w:val="95"/>
        </w:rPr>
        <w:t> </w:t>
      </w:r>
      <w:r>
        <w:rPr>
          <w:spacing w:val="82"/>
          <w:w w:val="95"/>
        </w:rPr>
      </w:r>
      <w:bookmarkStart w:name="在子公司所有者权益份额发生变化的情况说明" w:id="332"/>
      <w:bookmarkEnd w:id="332"/>
      <w:r>
        <w:rPr/>
        <w:t>在</w:t>
      </w:r>
      <w:r>
        <w:rPr/>
        <w:t>子公司所有者权益份额发生变化的情况说明</w:t>
      </w:r>
      <w:r>
        <w:rPr>
          <w:b w:val="0"/>
          <w:bCs w:val="0"/>
        </w:rPr>
      </w:r>
    </w:p>
    <w:p>
      <w:pPr>
        <w:pStyle w:val="BodyText"/>
        <w:spacing w:line="319" w:lineRule="auto" w:before="102"/>
        <w:ind w:left="254" w:right="1132" w:firstLine="360"/>
        <w:jc w:val="both"/>
      </w:pPr>
      <w:r>
        <w:rPr>
          <w:spacing w:val="-2"/>
        </w:rPr>
        <w:t>报告期内，公司子公司聚联网络少数股东认缴增资</w:t>
      </w:r>
      <w:r>
        <w:rPr>
          <w:rFonts w:ascii="宋体" w:hAnsi="宋体" w:cs="宋体" w:eastAsia="宋体" w:hint="default"/>
          <w:spacing w:val="-2"/>
        </w:rPr>
        <w:t>373</w:t>
      </w:r>
      <w:r>
        <w:rPr>
          <w:spacing w:val="-2"/>
        </w:rPr>
        <w:t>万元，聚联网络注册资本由</w:t>
      </w:r>
      <w:r>
        <w:rPr>
          <w:rFonts w:ascii="宋体" w:hAnsi="宋体" w:cs="宋体" w:eastAsia="宋体" w:hint="default"/>
          <w:spacing w:val="-2"/>
        </w:rPr>
        <w:t>1,000</w:t>
      </w:r>
      <w:r>
        <w:rPr>
          <w:spacing w:val="-2"/>
        </w:rPr>
        <w:t>万元增至</w:t>
      </w:r>
      <w:r>
        <w:rPr>
          <w:rFonts w:ascii="宋体" w:hAnsi="宋体" w:cs="宋体" w:eastAsia="宋体" w:hint="default"/>
          <w:spacing w:val="-2"/>
        </w:rPr>
        <w:t>1,373</w:t>
      </w:r>
      <w:r>
        <w:rPr>
          <w:spacing w:val="-2"/>
        </w:rPr>
        <w:t>万元，于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rFonts w:ascii="宋体" w:hAnsi="宋体" w:cs="宋体" w:eastAsia="宋体" w:hint="default"/>
        </w:rPr>
        <w:t> </w:t>
      </w:r>
      <w:r>
        <w:rPr/>
        <w:t>月</w:t>
      </w:r>
      <w:r>
        <w:rPr>
          <w:rFonts w:ascii="宋体" w:hAnsi="宋体" w:cs="宋体" w:eastAsia="宋体" w:hint="default"/>
        </w:rPr>
        <w:t>26</w:t>
      </w:r>
      <w:r>
        <w:rPr/>
        <w:t>日完成增资的工商变更登记，公司持有聚联网络的股权比例由</w:t>
      </w:r>
      <w:r>
        <w:rPr>
          <w:rFonts w:ascii="宋体" w:hAnsi="宋体" w:cs="宋体" w:eastAsia="宋体" w:hint="default"/>
        </w:rPr>
        <w:t>70%</w:t>
      </w:r>
      <w:r>
        <w:rPr/>
        <w:t>降至</w:t>
      </w:r>
      <w:r>
        <w:rPr>
          <w:rFonts w:ascii="宋体" w:hAnsi="宋体" w:cs="宋体" w:eastAsia="宋体" w:hint="default"/>
        </w:rPr>
        <w:t>51%</w:t>
      </w:r>
      <w:r>
        <w:rPr/>
        <w:t>，聚联网络仍为公司的控股子公司。</w:t>
      </w:r>
    </w:p>
    <w:p>
      <w:pPr>
        <w:pStyle w:val="BodyText"/>
        <w:spacing w:line="319" w:lineRule="auto" w:before="55"/>
        <w:ind w:left="254" w:right="1129" w:firstLine="360"/>
        <w:jc w:val="both"/>
      </w:pPr>
      <w:r>
        <w:rPr/>
        <w:t>报告期内，公司子公司天喻教育引进的外部投资者向天喻教育增资后，天喻教育注册资本由</w:t>
      </w:r>
      <w:r>
        <w:rPr>
          <w:rFonts w:ascii="宋体" w:hAnsi="宋体" w:cs="宋体" w:eastAsia="宋体" w:hint="default"/>
        </w:rPr>
        <w:t>5,000</w:t>
      </w:r>
      <w:r>
        <w:rPr/>
        <w:t>万元变更为</w:t>
      </w:r>
      <w:r>
        <w:rPr>
          <w:rFonts w:ascii="宋体" w:hAnsi="宋体" w:cs="宋体" w:eastAsia="宋体" w:hint="default"/>
        </w:rPr>
        <w:t>5,192.31 </w:t>
      </w:r>
      <w:r>
        <w:rPr>
          <w:spacing w:val="-2"/>
        </w:rPr>
        <w:t>万元，于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日完成增资的工商变更登记，但由于公司对该项增资有股权回购承诺，由此判断该项增资实质为公司</w:t>
      </w:r>
      <w:r>
        <w:rPr>
          <w:spacing w:val="-57"/>
        </w:rPr>
        <w:t> </w:t>
      </w:r>
      <w:r>
        <w:rPr>
          <w:spacing w:val="-57"/>
        </w:rPr>
      </w:r>
      <w:r>
        <w:rPr/>
        <w:t>对天喻教育的增资，因此公司对天喻教育的持股比例由</w:t>
      </w:r>
      <w:r>
        <w:rPr>
          <w:rFonts w:ascii="宋体" w:hAnsi="宋体" w:cs="宋体" w:eastAsia="宋体" w:hint="default"/>
        </w:rPr>
        <w:t>80%</w:t>
      </w:r>
      <w:r>
        <w:rPr/>
        <w:t>增至</w:t>
      </w:r>
      <w:r>
        <w:rPr>
          <w:rFonts w:ascii="宋体" w:hAnsi="宋体" w:cs="宋体" w:eastAsia="宋体" w:hint="default"/>
        </w:rPr>
        <w:t>80.74%</w:t>
      </w:r>
      <w:r>
        <w:rPr/>
        <w:t>，天喻教育仍为公司的控股子公司。</w:t>
      </w:r>
    </w:p>
    <w:p>
      <w:pPr>
        <w:spacing w:line="240" w:lineRule="auto" w:before="3"/>
        <w:rPr>
          <w:rFonts w:ascii="宋体" w:hAnsi="宋体" w:cs="宋体" w:eastAsia="宋体" w:hint="default"/>
          <w:sz w:val="22"/>
          <w:szCs w:val="22"/>
        </w:rPr>
      </w:pPr>
    </w:p>
    <w:p>
      <w:pPr>
        <w:pStyle w:val="Heading3"/>
        <w:spacing w:line="240" w:lineRule="auto"/>
        <w:ind w:left="254" w:right="1032"/>
        <w:jc w:val="left"/>
        <w:rPr>
          <w:b w:val="0"/>
          <w:bCs w:val="0"/>
        </w:rPr>
      </w:pPr>
      <w:bookmarkStart w:name="3、在合营安排或联营企业中的权益" w:id="333"/>
      <w:bookmarkEnd w:id="333"/>
      <w:r>
        <w:rPr>
          <w:b w:val="0"/>
          <w:bCs w:val="0"/>
        </w:rPr>
      </w:r>
      <w:r>
        <w:rPr>
          <w:rFonts w:ascii="宋体" w:hAnsi="宋体" w:cs="宋体" w:eastAsia="宋体" w:hint="default"/>
        </w:rPr>
        <w:t>3</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254" w:right="1032"/>
        <w:jc w:val="left"/>
        <w:rPr>
          <w:b w:val="0"/>
          <w:bCs w:val="0"/>
        </w:rPr>
      </w:pPr>
      <w:bookmarkStart w:name="（1）重要的合营企业或联营企业" w:id="334"/>
      <w:bookmarkEnd w:id="334"/>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1560"/>
        <w:gridCol w:w="1276"/>
        <w:gridCol w:w="1276"/>
        <w:gridCol w:w="2410"/>
        <w:gridCol w:w="957"/>
        <w:gridCol w:w="870"/>
        <w:gridCol w:w="1366"/>
      </w:tblGrid>
      <w:tr>
        <w:trPr>
          <w:trHeight w:val="402"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504" w:right="54" w:hanging="450"/>
              <w:jc w:val="left"/>
              <w:rPr>
                <w:rFonts w:ascii="宋体" w:hAnsi="宋体" w:cs="宋体" w:eastAsia="宋体" w:hint="default"/>
                <w:sz w:val="18"/>
                <w:szCs w:val="18"/>
              </w:rPr>
            </w:pPr>
            <w:r>
              <w:rPr>
                <w:rFonts w:ascii="宋体" w:hAnsi="宋体" w:cs="宋体" w:eastAsia="宋体" w:hint="default"/>
                <w:sz w:val="18"/>
                <w:szCs w:val="18"/>
              </w:rPr>
              <w:t>合营企业或联营企 业名称</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56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武汉武信天喻科技 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5"/>
                <w:sz w:val="18"/>
                <w:szCs w:val="18"/>
              </w:rPr>
              <w:t>对科技产业、教育、</w:t>
            </w:r>
            <w:r>
              <w:rPr>
                <w:rFonts w:ascii="宋体" w:hAnsi="宋体" w:cs="宋体" w:eastAsia="宋体" w:hint="default"/>
                <w:spacing w:val="-35"/>
                <w:sz w:val="18"/>
                <w:szCs w:val="18"/>
              </w:rPr>
              <w:t> </w:t>
            </w:r>
            <w:r>
              <w:rPr>
                <w:rFonts w:ascii="宋体" w:hAnsi="宋体" w:cs="宋体" w:eastAsia="宋体" w:hint="default"/>
                <w:sz w:val="18"/>
                <w:szCs w:val="18"/>
              </w:rPr>
              <w:t>物联网产</w:t>
            </w:r>
            <w:r>
              <w:rPr>
                <w:rFonts w:ascii="宋体" w:hAnsi="宋体" w:cs="宋体" w:eastAsia="宋体" w:hint="default"/>
                <w:sz w:val="18"/>
                <w:szCs w:val="18"/>
              </w:rPr>
              <w:t> 业、</w:t>
            </w:r>
            <w:r>
              <w:rPr>
                <w:rFonts w:ascii="宋体" w:hAnsi="宋体" w:cs="宋体" w:eastAsia="宋体" w:hint="default"/>
                <w:spacing w:val="-36"/>
                <w:sz w:val="18"/>
                <w:szCs w:val="18"/>
              </w:rPr>
              <w:t> </w:t>
            </w:r>
            <w:r>
              <w:rPr>
                <w:rFonts w:ascii="宋体" w:hAnsi="宋体" w:cs="宋体" w:eastAsia="宋体" w:hint="default"/>
                <w:spacing w:val="-4"/>
                <w:sz w:val="18"/>
                <w:szCs w:val="18"/>
              </w:rPr>
              <w:t>互联网产业、汽车电子产</w:t>
            </w:r>
            <w:r>
              <w:rPr>
                <w:rFonts w:ascii="宋体" w:hAnsi="宋体" w:cs="宋体" w:eastAsia="宋体" w:hint="default"/>
                <w:sz w:val="18"/>
                <w:szCs w:val="18"/>
              </w:rPr>
              <w:t> 业的投资</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25.00%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河南聚联智慧大数 据科技有限公司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南阳市内乡县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南阳市内乡县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19.90%</w:t>
            </w:r>
          </w:p>
        </w:tc>
        <w:tc>
          <w:tcPr>
            <w:tcW w:w="8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left="254" w:right="1032"/>
        <w:jc w:val="left"/>
        <w:rPr>
          <w:b w:val="0"/>
          <w:bCs w:val="0"/>
        </w:rPr>
      </w:pPr>
      <w:bookmarkStart w:name="（2）重要联营企业的主要财务信息" w:id="335"/>
      <w:bookmarkEnd w:id="335"/>
      <w:r>
        <w:rPr>
          <w:b w:val="0"/>
          <w:bCs w:val="0"/>
        </w:rPr>
      </w:r>
      <w:r>
        <w:rPr/>
        <w:t>（</w:t>
      </w:r>
      <w:r>
        <w:rPr>
          <w:rFonts w:ascii="宋体" w:hAnsi="宋体" w:cs="宋体" w:eastAsia="宋体" w:hint="default"/>
        </w:rPr>
        <w:t>2</w:t>
      </w:r>
      <w:r>
        <w:rPr/>
        <w:t>）重要联营企业的主要财务信息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170"/>
        <w:gridCol w:w="2793"/>
        <w:gridCol w:w="2836"/>
        <w:gridCol w:w="1770"/>
      </w:tblGrid>
      <w:tr>
        <w:trPr>
          <w:trHeight w:val="402" w:hRule="exact"/>
        </w:trPr>
        <w:tc>
          <w:tcPr>
            <w:tcW w:w="21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2170" w:type="dxa"/>
            <w:vMerge/>
            <w:tcBorders>
              <w:left w:val="single" w:sz="4" w:space="0" w:color="000000"/>
              <w:bottom w:val="single" w:sz="4" w:space="0" w:color="000000"/>
              <w:right w:val="single" w:sz="4" w:space="0" w:color="000000"/>
            </w:tcBorders>
          </w:tcPr>
          <w:p>
            <w:pP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武汉武信天喻科技投资有限公司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hAnsi="宋体" w:cs="宋体" w:eastAsia="宋体" w:hint="default"/>
                <w:sz w:val="18"/>
                <w:szCs w:val="18"/>
              </w:rPr>
              <w:t>河南聚联智慧大数据科技有限公司</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200,293,437.91</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16,799,800.00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200,293,437.91</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16,799,800.00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54,240.46</w:t>
            </w:r>
          </w:p>
        </w:tc>
        <w:tc>
          <w:tcPr>
            <w:tcW w:w="283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54,240.46</w:t>
            </w:r>
          </w:p>
        </w:tc>
        <w:tc>
          <w:tcPr>
            <w:tcW w:w="283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200,239,197.45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16,799,800.00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按持股比例计算的净资产 份额</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50,059,799.36</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3,343,160.00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93"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8,656,800.00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其中：股东未到位资本按持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股比例计算的权益</w:t>
            </w:r>
          </w:p>
        </w:tc>
        <w:tc>
          <w:tcPr>
            <w:tcW w:w="2793"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8,656,800.00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50,059,799.36</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11,999,960.00</w:t>
            </w: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7"/>
          <w:pgSz w:w="11910" w:h="16840"/>
          <w:pgMar w:footer="1187" w:header="0" w:top="1100" w:bottom="1380" w:left="880" w:right="0"/>
          <w:pgNumType w:start="137"/>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70"/>
        <w:gridCol w:w="2793"/>
        <w:gridCol w:w="2836"/>
        <w:gridCol w:w="1770"/>
      </w:tblGrid>
      <w:tr>
        <w:trPr>
          <w:trHeight w:val="36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2793"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239,197.45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239,197.45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w:t>
            </w: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36"/>
      <w:bookmarkEnd w:id="336"/>
      <w:r>
        <w:rPr>
          <w:b w:val="0"/>
          <w:bCs w:val="0"/>
        </w:rPr>
      </w:r>
      <w:r>
        <w:rPr/>
        <w:t>（</w:t>
      </w:r>
      <w:r>
        <w:rPr>
          <w:rFonts w:ascii="宋体" w:hAnsi="宋体" w:cs="宋体" w:eastAsia="宋体" w:hint="default"/>
        </w:rPr>
        <w:t>3</w:t>
      </w:r>
      <w:r>
        <w:rPr/>
        <w:t>）不重要的合营企业和联营企业的汇总财务信息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158,698.57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343,577.10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-221,464.55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-1,146,838.77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-221,464.55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-1,146,838.77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9,817,228.18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8,523,283.66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-2,031,960.82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-2,247,049.88</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-2,031,960.82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-2,247,049.88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37"/>
      <w:bookmarkEnd w:id="33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6"/>
        </w:rPr>
        <w:t>公司的主要金融工具，包括货币资金、可供出售金融资产、借款等，这些金融工具的主要目的在于为本公司的运营融资。</w:t>
      </w:r>
      <w:r>
        <w:rPr/>
        <w:t> 本公司还有多种因经营而直接产生的其他金融资产和负债，比如应收账款、应收票据、应付账款及应付票据等。</w:t>
      </w:r>
    </w:p>
    <w:p>
      <w:pPr>
        <w:pStyle w:val="BodyText"/>
        <w:spacing w:line="360" w:lineRule="auto" w:before="56"/>
        <w:ind w:left="514" w:right="3912"/>
        <w:jc w:val="left"/>
      </w:pPr>
      <w:r>
        <w:rPr/>
        <w:t>本公司金融工具导致的主要风险是信用风险、流动性风险和市场风险。 </w:t>
      </w:r>
      <w:r>
        <w:rPr>
          <w:rFonts w:ascii="宋体" w:hAnsi="宋体" w:cs="宋体" w:eastAsia="宋体" w:hint="default"/>
        </w:rPr>
        <w:t>1</w:t>
      </w:r>
      <w:r>
        <w:rPr/>
        <w:t>、信用风险 信用风险，是指金融工具的一方不能履行义务，造成另一方发生财务损失的风险。</w:t>
      </w:r>
    </w:p>
    <w:p>
      <w:pPr>
        <w:pStyle w:val="BodyText"/>
        <w:spacing w:line="319" w:lineRule="auto" w:before="25"/>
        <w:ind w:right="1131" w:firstLine="360"/>
        <w:jc w:val="both"/>
      </w:pPr>
      <w:r>
        <w:rPr>
          <w:spacing w:val="-2"/>
        </w:rPr>
        <w:t>本公司仅与经认可的、信誉良好的第三方进行交易。按照本公司的政策，需对所有要求采用信用方式进行交易的客户进</w:t>
      </w:r>
      <w:r>
        <w:rPr/>
        <w:t> </w:t>
      </w:r>
      <w:r>
        <w:rPr>
          <w:spacing w:val="-2"/>
        </w:rPr>
        <w:t>行信用审核。另外，本公司对应收账款余额进行持续监控，以确保本公司不致面临重大坏账风险。对于未采用相关经营单位</w:t>
      </w:r>
      <w:r>
        <w:rPr>
          <w:spacing w:val="-66"/>
        </w:rPr>
        <w:t> </w:t>
      </w:r>
      <w:r>
        <w:rPr>
          <w:spacing w:val="-66"/>
        </w:rPr>
      </w:r>
      <w:r>
        <w:rPr/>
        <w:t>的记账本位币结算的交易，除非本公司信用控制部门特别批准，否则本公司不提供信用交易条件。</w:t>
      </w:r>
    </w:p>
    <w:p>
      <w:pPr>
        <w:pStyle w:val="BodyText"/>
        <w:spacing w:line="319" w:lineRule="auto" w:before="55"/>
        <w:ind w:right="0" w:firstLine="360"/>
        <w:jc w:val="left"/>
      </w:pPr>
      <w:r>
        <w:rPr>
          <w:spacing w:val="-2"/>
        </w:rPr>
        <w:t>本公司的主要金融资产包括货币资金、可供出售金融资产、应收账款、应收票据等，这些金融资产的信用风险源自交易</w:t>
      </w:r>
      <w:r>
        <w:rPr/>
        <w:t> 对手违约，最大风险敞口等于这些工具的账面金额。</w:t>
      </w:r>
    </w:p>
    <w:p>
      <w:pPr>
        <w:pStyle w:val="BodyText"/>
        <w:spacing w:line="319" w:lineRule="auto" w:before="56"/>
        <w:ind w:right="0" w:firstLine="360"/>
        <w:jc w:val="left"/>
      </w:pPr>
      <w:r>
        <w:rPr>
          <w:spacing w:val="-4"/>
        </w:rPr>
        <w:t>本公司与客户间的贸易条款以信用交易为主，由于本公司仅与经认可的且信誉良好的第三方进行交易，所以无需担保物。</w:t>
      </w:r>
      <w:r>
        <w:rPr/>
        <w:t> 信用风险集中按照客户</w:t>
      </w:r>
      <w:r>
        <w:rPr>
          <w:rFonts w:ascii="宋体" w:hAnsi="宋体" w:cs="宋体" w:eastAsia="宋体" w:hint="default"/>
        </w:rPr>
        <w:t>/</w:t>
      </w:r>
      <w:r>
        <w:rPr/>
        <w:t>交易对手、地理区域和行业进行管理。本公司的应收账款客户群主要分布在金融、通信行业、各类</w:t>
      </w:r>
      <w:r>
        <w:rPr>
          <w:spacing w:val="-83"/>
        </w:rPr>
        <w:t> </w:t>
      </w:r>
      <w:r>
        <w:rPr>
          <w:spacing w:val="-83"/>
        </w:rPr>
      </w:r>
      <w:r>
        <w:rPr>
          <w:spacing w:val="-2"/>
        </w:rPr>
        <w:t>金融支付机构以及政府及公共事业单位等，由于前述客户资本实力较强，信誉度较高，资金回收较为可靠，因此在本公司内</w:t>
      </w:r>
      <w:r>
        <w:rPr>
          <w:spacing w:val="-66"/>
        </w:rPr>
        <w:t> </w:t>
      </w:r>
      <w:r>
        <w:rPr>
          <w:spacing w:val="-66"/>
        </w:rPr>
      </w:r>
      <w:r>
        <w:rPr>
          <w:spacing w:val="-4"/>
        </w:rPr>
        <w:t>部不存在重大信用风险集中。截至报告期末，本公司的应收账款中应收账款前五名客户的款项占</w:t>
      </w:r>
      <w:r>
        <w:rPr>
          <w:rFonts w:ascii="宋体" w:hAnsi="宋体" w:cs="宋体" w:eastAsia="宋体" w:hint="default"/>
          <w:spacing w:val="-4"/>
        </w:rPr>
        <w:t>40.74%(</w:t>
      </w:r>
      <w:r>
        <w:rPr>
          <w:spacing w:val="-4"/>
        </w:rPr>
        <w:t>上年末为</w:t>
      </w:r>
      <w:r>
        <w:rPr>
          <w:rFonts w:ascii="宋体" w:hAnsi="宋体" w:cs="宋体" w:eastAsia="宋体" w:hint="default"/>
          <w:spacing w:val="-4"/>
        </w:rPr>
        <w:t>25.70%</w:t>
      </w:r>
      <w:r>
        <w:rPr>
          <w:spacing w:val="-4"/>
        </w:rPr>
        <w:t>），</w:t>
      </w:r>
      <w:r>
        <w:rPr>
          <w:spacing w:val="-77"/>
        </w:rPr>
        <w:t> </w:t>
      </w:r>
      <w:r>
        <w:rPr/>
        <w:t>本公司并未面临重大信用集中风险。</w:t>
      </w:r>
    </w:p>
    <w:p>
      <w:pPr>
        <w:pStyle w:val="BodyText"/>
        <w:spacing w:line="357" w:lineRule="auto" w:before="56"/>
        <w:ind w:left="514" w:right="2292"/>
        <w:jc w:val="left"/>
      </w:pPr>
      <w:r>
        <w:rPr/>
        <w:t>本公司因应收账款和其他应收款产生的信用风险敞口的量化数据，参见附注七、</w:t>
      </w:r>
      <w:r>
        <w:rPr>
          <w:rFonts w:ascii="宋体" w:hAnsi="宋体" w:cs="宋体" w:eastAsia="宋体" w:hint="default"/>
        </w:rPr>
        <w:t>2</w:t>
      </w:r>
      <w:r>
        <w:rPr/>
        <w:t>和附注七、</w:t>
      </w:r>
      <w:r>
        <w:rPr>
          <w:rFonts w:ascii="宋体" w:hAnsi="宋体" w:cs="宋体" w:eastAsia="宋体" w:hint="default"/>
        </w:rPr>
        <w:t>4</w:t>
      </w:r>
      <w:r>
        <w:rPr/>
        <w:t>的披露。 </w:t>
      </w:r>
      <w:r>
        <w:rPr>
          <w:rFonts w:ascii="宋体" w:hAnsi="宋体" w:cs="宋体" w:eastAsia="宋体" w:hint="default"/>
        </w:rPr>
        <w:t>2</w:t>
      </w:r>
      <w:r>
        <w:rPr/>
        <w:t>、流动性风险</w:t>
      </w:r>
    </w:p>
    <w:p>
      <w:pPr>
        <w:pStyle w:val="BodyText"/>
        <w:spacing w:line="240" w:lineRule="auto" w:before="28"/>
        <w:ind w:left="514" w:right="0"/>
        <w:jc w:val="left"/>
      </w:pPr>
      <w:r>
        <w:rPr/>
        <w:t>流动性风险，是指企业在履行以交付现金或其他金融资产的方式结算的义务时发生资金短缺的风险。本公司通过利用经</w:t>
      </w:r>
    </w:p>
    <w:p>
      <w:pPr>
        <w:spacing w:after="0" w:line="240" w:lineRule="auto"/>
        <w:jc w:val="left"/>
        <w:sectPr>
          <w:pgSz w:w="11910" w:h="16840"/>
          <w:pgMar w:header="0"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营业务产生的资金、银行贷款及债务维持资金延续性与灵活性之间的平衡，以管理其流动性风险。</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87" w:top="1100" w:bottom="1380" w:left="980" w:right="0"/>
        </w:sectPr>
      </w:pPr>
    </w:p>
    <w:p>
      <w:pPr>
        <w:pStyle w:val="BodyText"/>
        <w:spacing w:line="360" w:lineRule="auto" w:before="44"/>
        <w:ind w:left="514" w:right="-20"/>
        <w:jc w:val="left"/>
      </w:pPr>
      <w:r>
        <w:rPr/>
        <w:t>金融负债按未折现的合同现金流量所作的到期期限分析如下： 期末余额：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513" w:right="0"/>
        <w:jc w:val="left"/>
      </w:pPr>
      <w:r>
        <w:rPr/>
        <w:t>单位</w:t>
      </w:r>
      <w:r>
        <w:rPr>
          <w:spacing w:val="-82"/>
        </w:rPr>
        <w:t>：</w:t>
      </w:r>
      <w:r>
        <w:rPr/>
        <w:t>元</w:t>
      </w:r>
    </w:p>
    <w:p>
      <w:pPr>
        <w:spacing w:after="0" w:line="240" w:lineRule="auto"/>
        <w:jc w:val="left"/>
        <w:sectPr>
          <w:type w:val="continuous"/>
          <w:pgSz w:w="11910" w:h="16840"/>
          <w:pgMar w:top="1580" w:bottom="700" w:left="980" w:right="0"/>
          <w:cols w:num="2" w:equalWidth="0">
            <w:col w:w="5375" w:space="3267"/>
            <w:col w:w="2288"/>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5"/>
        <w:gridCol w:w="1420"/>
        <w:gridCol w:w="1419"/>
        <w:gridCol w:w="847"/>
        <w:gridCol w:w="1008"/>
        <w:gridCol w:w="966"/>
        <w:gridCol w:w="1008"/>
        <w:gridCol w:w="1330"/>
      </w:tblGrid>
      <w:tr>
        <w:trPr>
          <w:trHeight w:val="422" w:hRule="exact"/>
        </w:trPr>
        <w:tc>
          <w:tcPr>
            <w:tcW w:w="1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774" w:hRule="exact"/>
        </w:trPr>
        <w:tc>
          <w:tcPr>
            <w:tcW w:w="1845"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p>
            <w:pPr>
              <w:pStyle w:val="TableParagraph"/>
              <w:spacing w:line="240" w:lineRule="auto" w:before="117"/>
              <w:ind w:left="300"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1</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2</w:t>
            </w:r>
            <w:r>
              <w:rPr>
                <w:rFonts w:ascii="宋体" w:hAnsi="宋体" w:cs="宋体" w:eastAsia="宋体" w:hint="default"/>
                <w:sz w:val="18"/>
                <w:szCs w:val="18"/>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3</w:t>
            </w:r>
            <w:r>
              <w:rPr>
                <w:rFonts w:ascii="宋体" w:hAnsi="宋体" w:cs="宋体" w:eastAsia="宋体" w:hint="default"/>
                <w:sz w:val="18"/>
                <w:szCs w:val="18"/>
              </w:rPr>
              <w:t>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4</w:t>
            </w:r>
            <w:r>
              <w:rPr>
                <w:rFonts w:ascii="宋体" w:hAnsi="宋体" w:cs="宋体" w:eastAsia="宋体" w:hint="default"/>
                <w:sz w:val="18"/>
                <w:szCs w:val="18"/>
              </w:rPr>
              <w:t>年）</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1"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短期借款（含息）</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77,239,270.83</w:t>
            </w: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0" w:right="0"/>
              <w:jc w:val="center"/>
              <w:rPr>
                <w:rFonts w:ascii="宋体" w:hAnsi="宋体" w:cs="宋体" w:eastAsia="宋体" w:hint="default"/>
                <w:sz w:val="18"/>
                <w:szCs w:val="18"/>
              </w:rPr>
            </w:pPr>
            <w:r>
              <w:rPr>
                <w:rFonts w:ascii="宋体"/>
                <w:sz w:val="18"/>
              </w:rPr>
              <w:t>77,239,270.83</w:t>
            </w:r>
          </w:p>
        </w:tc>
      </w:tr>
      <w:tr>
        <w:trPr>
          <w:trHeight w:val="4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491,841,652.24</w:t>
            </w: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宋体" w:hAnsi="宋体" w:cs="宋体" w:eastAsia="宋体" w:hint="default"/>
                <w:sz w:val="18"/>
                <w:szCs w:val="18"/>
              </w:rPr>
            </w:pPr>
            <w:r>
              <w:rPr>
                <w:rFonts w:ascii="宋体"/>
                <w:sz w:val="18"/>
              </w:rPr>
              <w:t>491,841,652.24</w:t>
            </w:r>
          </w:p>
        </w:tc>
      </w:tr>
      <w:tr>
        <w:trPr>
          <w:trHeight w:val="4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37,861,495.54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0" w:right="0"/>
              <w:jc w:val="center"/>
              <w:rPr>
                <w:rFonts w:ascii="宋体" w:hAnsi="宋体" w:cs="宋体" w:eastAsia="宋体" w:hint="default"/>
                <w:sz w:val="18"/>
                <w:szCs w:val="18"/>
              </w:rPr>
            </w:pPr>
            <w:r>
              <w:rPr>
                <w:rFonts w:ascii="宋体"/>
                <w:sz w:val="18"/>
              </w:rPr>
              <w:t>37,861,495.54</w:t>
            </w:r>
          </w:p>
        </w:tc>
      </w:tr>
      <w:tr>
        <w:trPr>
          <w:trHeight w:val="421"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2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25,194,240.00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0" w:right="0"/>
              <w:jc w:val="center"/>
              <w:rPr>
                <w:rFonts w:ascii="宋体" w:hAnsi="宋体" w:cs="宋体" w:eastAsia="宋体" w:hint="default"/>
                <w:sz w:val="18"/>
                <w:szCs w:val="18"/>
              </w:rPr>
            </w:pPr>
            <w:r>
              <w:rPr>
                <w:rFonts w:ascii="宋体"/>
                <w:sz w:val="18"/>
              </w:rPr>
              <w:t>25,194,240.00</w:t>
            </w:r>
          </w:p>
        </w:tc>
      </w:tr>
      <w:tr>
        <w:trPr>
          <w:trHeight w:val="439"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right"/>
              <w:rPr>
                <w:rFonts w:ascii="宋体" w:hAnsi="宋体" w:cs="宋体" w:eastAsia="宋体" w:hint="default"/>
                <w:sz w:val="18"/>
                <w:szCs w:val="18"/>
              </w:rPr>
            </w:pPr>
            <w:r>
              <w:rPr>
                <w:rFonts w:ascii="宋体"/>
                <w:sz w:val="18"/>
              </w:rPr>
              <w:t>606,942,418.61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
              <w:jc w:val="right"/>
              <w:rPr>
                <w:rFonts w:ascii="宋体" w:hAnsi="宋体" w:cs="宋体" w:eastAsia="宋体" w:hint="default"/>
                <w:sz w:val="18"/>
                <w:szCs w:val="18"/>
              </w:rPr>
            </w:pPr>
            <w:r>
              <w:rPr>
                <w:rFonts w:ascii="宋体"/>
                <w:sz w:val="18"/>
              </w:rPr>
              <w:t>25,194,240.00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0" w:right="0"/>
              <w:jc w:val="center"/>
              <w:rPr>
                <w:rFonts w:ascii="宋体" w:hAnsi="宋体" w:cs="宋体" w:eastAsia="宋体" w:hint="default"/>
                <w:sz w:val="18"/>
                <w:szCs w:val="18"/>
              </w:rPr>
            </w:pPr>
            <w:r>
              <w:rPr>
                <w:rFonts w:ascii="宋体"/>
                <w:sz w:val="18"/>
              </w:rPr>
              <w:t>632,136,658.61</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期初余额：</w:t>
      </w:r>
    </w:p>
    <w:p>
      <w:pPr>
        <w:pStyle w:val="BodyText"/>
        <w:spacing w:line="240" w:lineRule="auto" w:before="116"/>
        <w:ind w:left="0" w:right="1130"/>
        <w:jc w:val="right"/>
      </w:pPr>
      <w:r>
        <w:rPr/>
        <w:t>单位</w:t>
      </w:r>
      <w:r>
        <w:rPr>
          <w:spacing w:val="-82"/>
        </w:rPr>
        <w:t>：</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34"/>
        <w:gridCol w:w="1442"/>
        <w:gridCol w:w="1401"/>
        <w:gridCol w:w="853"/>
        <w:gridCol w:w="991"/>
        <w:gridCol w:w="993"/>
        <w:gridCol w:w="992"/>
        <w:gridCol w:w="1333"/>
      </w:tblGrid>
      <w:tr>
        <w:trPr>
          <w:trHeight w:val="422" w:hRule="exact"/>
        </w:trPr>
        <w:tc>
          <w:tcPr>
            <w:tcW w:w="18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774" w:hRule="exact"/>
        </w:trPr>
        <w:tc>
          <w:tcPr>
            <w:tcW w:w="1834" w:type="dxa"/>
            <w:vMerge/>
            <w:tcBorders>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p>
            <w:pPr>
              <w:pStyle w:val="TableParagraph"/>
              <w:spacing w:line="240" w:lineRule="auto" w:before="116"/>
              <w:ind w:left="31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1</w:t>
            </w:r>
            <w:r>
              <w:rPr>
                <w:rFonts w:ascii="宋体" w:hAnsi="宋体" w:cs="宋体" w:eastAsia="宋体" w:hint="default"/>
                <w:sz w:val="18"/>
                <w:szCs w:val="18"/>
              </w:rPr>
              <w:t>年）</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2</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3</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4</w:t>
            </w:r>
            <w:r>
              <w:rPr>
                <w:rFonts w:ascii="宋体" w:hAnsi="宋体" w:cs="宋体" w:eastAsia="宋体" w:hint="default"/>
                <w:sz w:val="18"/>
                <w:szCs w:val="18"/>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短期借款（含息）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宋体" w:hAnsi="宋体" w:cs="宋体" w:eastAsia="宋体" w:hint="default"/>
                <w:sz w:val="18"/>
                <w:szCs w:val="18"/>
              </w:rPr>
            </w:pPr>
            <w:r>
              <w:rPr>
                <w:rFonts w:ascii="宋体"/>
                <w:sz w:val="18"/>
              </w:rPr>
              <w:t>20,000,000.00</w:t>
            </w:r>
          </w:p>
        </w:tc>
        <w:tc>
          <w:tcPr>
            <w:tcW w:w="1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3" w:right="0"/>
              <w:jc w:val="center"/>
              <w:rPr>
                <w:rFonts w:ascii="宋体" w:hAnsi="宋体" w:cs="宋体" w:eastAsia="宋体" w:hint="default"/>
                <w:sz w:val="18"/>
                <w:szCs w:val="18"/>
              </w:rPr>
            </w:pPr>
            <w:r>
              <w:rPr>
                <w:rFonts w:ascii="宋体"/>
                <w:sz w:val="18"/>
              </w:rPr>
              <w:t>20,000,000.00</w:t>
            </w:r>
          </w:p>
        </w:tc>
      </w:tr>
      <w:tr>
        <w:trPr>
          <w:trHeight w:val="43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宋体" w:hAnsi="宋体" w:cs="宋体" w:eastAsia="宋体" w:hint="default"/>
                <w:sz w:val="18"/>
                <w:szCs w:val="18"/>
              </w:rPr>
            </w:pPr>
            <w:r>
              <w:rPr>
                <w:rFonts w:ascii="宋体"/>
                <w:sz w:val="18"/>
              </w:rPr>
              <w:t>407,907,578.60</w:t>
            </w:r>
          </w:p>
        </w:tc>
        <w:tc>
          <w:tcPr>
            <w:tcW w:w="1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3" w:right="0"/>
              <w:jc w:val="center"/>
              <w:rPr>
                <w:rFonts w:ascii="宋体" w:hAnsi="宋体" w:cs="宋体" w:eastAsia="宋体" w:hint="default"/>
                <w:sz w:val="18"/>
                <w:szCs w:val="18"/>
              </w:rPr>
            </w:pPr>
            <w:r>
              <w:rPr>
                <w:rFonts w:ascii="宋体"/>
                <w:sz w:val="18"/>
              </w:rPr>
              <w:t>407,907,578.60</w:t>
            </w:r>
          </w:p>
        </w:tc>
      </w:tr>
      <w:tr>
        <w:trPr>
          <w:trHeight w:val="43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宋体" w:hAnsi="宋体" w:cs="宋体" w:eastAsia="宋体" w:hint="default"/>
                <w:sz w:val="18"/>
                <w:szCs w:val="18"/>
              </w:rPr>
            </w:pPr>
            <w:r>
              <w:rPr>
                <w:rFonts w:ascii="宋体"/>
                <w:sz w:val="18"/>
              </w:rPr>
              <w:t>52,368,883.37</w:t>
            </w:r>
          </w:p>
        </w:tc>
        <w:tc>
          <w:tcPr>
            <w:tcW w:w="1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3" w:right="0"/>
              <w:jc w:val="center"/>
              <w:rPr>
                <w:rFonts w:ascii="宋体" w:hAnsi="宋体" w:cs="宋体" w:eastAsia="宋体" w:hint="default"/>
                <w:sz w:val="18"/>
                <w:szCs w:val="18"/>
              </w:rPr>
            </w:pPr>
            <w:r>
              <w:rPr>
                <w:rFonts w:ascii="宋体"/>
                <w:sz w:val="18"/>
              </w:rPr>
              <w:t>52,368,883.37</w:t>
            </w:r>
          </w:p>
        </w:tc>
      </w:tr>
      <w:tr>
        <w:trPr>
          <w:trHeight w:val="43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宋体" w:hAnsi="宋体" w:cs="宋体" w:eastAsia="宋体" w:hint="default"/>
                <w:sz w:val="18"/>
                <w:szCs w:val="18"/>
              </w:rPr>
            </w:pPr>
            <w:r>
              <w:rPr>
                <w:rFonts w:ascii="宋体"/>
                <w:sz w:val="18"/>
              </w:rPr>
              <w:t>480,276,461.97</w:t>
            </w:r>
          </w:p>
        </w:tc>
        <w:tc>
          <w:tcPr>
            <w:tcW w:w="1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3" w:right="0"/>
              <w:jc w:val="center"/>
              <w:rPr>
                <w:rFonts w:ascii="宋体" w:hAnsi="宋体" w:cs="宋体" w:eastAsia="宋体" w:hint="default"/>
                <w:sz w:val="18"/>
                <w:szCs w:val="18"/>
              </w:rPr>
            </w:pPr>
            <w:r>
              <w:rPr>
                <w:rFonts w:ascii="宋体"/>
                <w:sz w:val="18"/>
              </w:rPr>
              <w:t>480,276,461.97</w:t>
            </w:r>
          </w:p>
        </w:tc>
      </w:tr>
    </w:tbl>
    <w:p>
      <w:pPr>
        <w:spacing w:line="240" w:lineRule="auto" w:before="9"/>
        <w:rPr>
          <w:rFonts w:ascii="宋体" w:hAnsi="宋体" w:cs="宋体" w:eastAsia="宋体" w:hint="default"/>
          <w:sz w:val="6"/>
          <w:szCs w:val="6"/>
        </w:rPr>
      </w:pPr>
    </w:p>
    <w:p>
      <w:pPr>
        <w:pStyle w:val="BodyText"/>
        <w:spacing w:line="357" w:lineRule="auto" w:before="44"/>
        <w:ind w:left="514" w:right="1123"/>
        <w:jc w:val="left"/>
      </w:pPr>
      <w:r>
        <w:rPr>
          <w:rFonts w:ascii="宋体" w:hAnsi="宋体" w:cs="宋体" w:eastAsia="宋体" w:hint="default"/>
        </w:rPr>
        <w:t>3</w:t>
      </w:r>
      <w:r>
        <w:rPr/>
        <w:t>、市场风险 </w:t>
      </w:r>
      <w:r>
        <w:rPr>
          <w:spacing w:val="-2"/>
        </w:rPr>
        <w:t>市场风险，是指金融工具的公允价值或未来现金流量因市场价格变动而发生波动的风险，包括汇率风险、利率风险和其</w:t>
      </w:r>
    </w:p>
    <w:p>
      <w:pPr>
        <w:pStyle w:val="BodyText"/>
        <w:spacing w:line="225" w:lineRule="exact"/>
        <w:ind w:right="0"/>
        <w:jc w:val="left"/>
      </w:pPr>
      <w:r>
        <w:rPr/>
        <w:t>他价格风险。</w:t>
      </w:r>
    </w:p>
    <w:p>
      <w:pPr>
        <w:pStyle w:val="BodyText"/>
        <w:spacing w:line="357" w:lineRule="auto" w:before="116"/>
        <w:ind w:left="514" w:right="3372"/>
        <w:jc w:val="left"/>
      </w:pPr>
      <w:r>
        <w:rPr>
          <w:rFonts w:ascii="宋体" w:hAnsi="宋体" w:cs="宋体" w:eastAsia="宋体" w:hint="default"/>
        </w:rPr>
        <w:t>A</w:t>
      </w:r>
      <w:r>
        <w:rPr/>
        <w:t>、汇率风险 汇率风险，是指金融工具的公允价值或未来现金流量因外汇汇率变动而发生波动的风险。</w:t>
      </w:r>
    </w:p>
    <w:p>
      <w:pPr>
        <w:pStyle w:val="BodyText"/>
        <w:spacing w:line="319" w:lineRule="auto" w:before="28"/>
        <w:ind w:right="0" w:firstLine="360"/>
        <w:jc w:val="left"/>
      </w:pPr>
      <w:r>
        <w:rPr>
          <w:spacing w:val="-2"/>
        </w:rPr>
        <w:t>汇率风险的敏感性分析见下表，反映了在其他变量不变的假设下，以下所列外币汇率发生合理、可能的变动时，由于货</w:t>
      </w:r>
      <w:r>
        <w:rPr/>
        <w:t> 币性资产和货币性负债的公允价值变化将对净利润和股东权益产生的影响。</w:t>
      </w: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04"/>
        <w:gridCol w:w="1593"/>
        <w:gridCol w:w="1856"/>
        <w:gridCol w:w="1746"/>
        <w:gridCol w:w="1856"/>
      </w:tblGrid>
      <w:tr>
        <w:trPr>
          <w:trHeight w:val="422"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3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1" w:hRule="exact"/>
        </w:trPr>
        <w:tc>
          <w:tcPr>
            <w:tcW w:w="2804"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4"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17"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2"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7"/>
              <w:jc w:val="right"/>
              <w:rPr>
                <w:rFonts w:ascii="宋体" w:hAnsi="宋体" w:cs="宋体" w:eastAsia="宋体" w:hint="default"/>
                <w:sz w:val="18"/>
                <w:szCs w:val="18"/>
              </w:rPr>
            </w:pPr>
            <w:r>
              <w:rPr>
                <w:rFonts w:ascii="宋体" w:hAnsi="宋体" w:cs="宋体" w:eastAsia="宋体" w:hint="default"/>
                <w:sz w:val="18"/>
                <w:szCs w:val="18"/>
              </w:rPr>
              <w:t>人民币对美元贬值</w:t>
            </w:r>
            <w:r>
              <w:rPr>
                <w:rFonts w:ascii="宋体" w:hAnsi="宋体" w:cs="宋体" w:eastAsia="宋体" w:hint="default"/>
                <w:sz w:val="18"/>
                <w:szCs w:val="18"/>
              </w:rPr>
              <w:t>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114,198.15</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89,186.56</w:t>
            </w:r>
          </w:p>
        </w:tc>
        <w:tc>
          <w:tcPr>
            <w:tcW w:w="1856"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7"/>
              <w:jc w:val="right"/>
              <w:rPr>
                <w:rFonts w:ascii="宋体" w:hAnsi="宋体" w:cs="宋体" w:eastAsia="宋体" w:hint="default"/>
                <w:sz w:val="18"/>
                <w:szCs w:val="18"/>
              </w:rPr>
            </w:pPr>
            <w:r>
              <w:rPr>
                <w:rFonts w:ascii="宋体" w:hAnsi="宋体" w:cs="宋体" w:eastAsia="宋体" w:hint="default"/>
                <w:sz w:val="18"/>
                <w:szCs w:val="18"/>
              </w:rPr>
              <w:t>人民币对美元升值</w:t>
            </w:r>
            <w:r>
              <w:rPr>
                <w:rFonts w:ascii="宋体" w:hAnsi="宋体" w:cs="宋体" w:eastAsia="宋体" w:hint="default"/>
                <w:sz w:val="18"/>
                <w:szCs w:val="18"/>
              </w:rPr>
              <w:t>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-114,198.15</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-89,186.56</w:t>
            </w:r>
          </w:p>
        </w:tc>
        <w:tc>
          <w:tcPr>
            <w:tcW w:w="1856"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87"/>
              <w:jc w:val="right"/>
              <w:rPr>
                <w:rFonts w:ascii="宋体" w:hAnsi="宋体" w:cs="宋体" w:eastAsia="宋体" w:hint="default"/>
                <w:sz w:val="18"/>
                <w:szCs w:val="18"/>
              </w:rPr>
            </w:pPr>
            <w:r>
              <w:rPr>
                <w:rFonts w:ascii="宋体" w:hAnsi="宋体" w:cs="宋体" w:eastAsia="宋体" w:hint="default"/>
                <w:sz w:val="18"/>
                <w:szCs w:val="18"/>
              </w:rPr>
              <w:t>人民币对欧元贬值</w:t>
            </w:r>
            <w:r>
              <w:rPr>
                <w:rFonts w:ascii="宋体" w:hAnsi="宋体" w:cs="宋体" w:eastAsia="宋体" w:hint="default"/>
                <w:sz w:val="18"/>
                <w:szCs w:val="18"/>
              </w:rPr>
              <w:t>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宋体" w:hAnsi="宋体" w:cs="宋体" w:eastAsia="宋体" w:hint="default"/>
                <w:sz w:val="18"/>
                <w:szCs w:val="18"/>
              </w:rPr>
            </w:pPr>
            <w:r>
              <w:rPr>
                <w:rFonts w:ascii="宋体"/>
                <w:sz w:val="18"/>
              </w:rPr>
              <w:t>76,441.01</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76,002.67</w:t>
            </w:r>
          </w:p>
        </w:tc>
        <w:tc>
          <w:tcPr>
            <w:tcW w:w="185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7"/>
              <w:jc w:val="right"/>
              <w:rPr>
                <w:rFonts w:ascii="宋体" w:hAnsi="宋体" w:cs="宋体" w:eastAsia="宋体" w:hint="default"/>
                <w:sz w:val="18"/>
                <w:szCs w:val="18"/>
              </w:rPr>
            </w:pPr>
            <w:r>
              <w:rPr>
                <w:rFonts w:ascii="宋体" w:hAnsi="宋体" w:cs="宋体" w:eastAsia="宋体" w:hint="default"/>
                <w:sz w:val="18"/>
                <w:szCs w:val="18"/>
              </w:rPr>
              <w:t>人民币对欧元升值</w:t>
            </w:r>
            <w:r>
              <w:rPr>
                <w:rFonts w:ascii="宋体" w:hAnsi="宋体" w:cs="宋体" w:eastAsia="宋体" w:hint="default"/>
                <w:sz w:val="18"/>
                <w:szCs w:val="18"/>
              </w:rPr>
              <w:t>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-76,441.01</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-76,002.67</w:t>
            </w:r>
          </w:p>
        </w:tc>
        <w:tc>
          <w:tcPr>
            <w:tcW w:w="18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04"/>
        <w:gridCol w:w="1593"/>
        <w:gridCol w:w="1856"/>
        <w:gridCol w:w="1746"/>
        <w:gridCol w:w="1856"/>
      </w:tblGrid>
      <w:tr>
        <w:trPr>
          <w:trHeight w:val="4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7"/>
              <w:jc w:val="right"/>
              <w:rPr>
                <w:rFonts w:ascii="宋体" w:hAnsi="宋体" w:cs="宋体" w:eastAsia="宋体" w:hint="default"/>
                <w:sz w:val="18"/>
                <w:szCs w:val="18"/>
              </w:rPr>
            </w:pPr>
            <w:r>
              <w:rPr>
                <w:rFonts w:ascii="宋体" w:hAnsi="宋体" w:cs="宋体" w:eastAsia="宋体" w:hint="default"/>
                <w:sz w:val="18"/>
                <w:szCs w:val="18"/>
              </w:rPr>
              <w:t>人民币对英镑贬值</w:t>
            </w:r>
            <w:r>
              <w:rPr>
                <w:rFonts w:ascii="宋体" w:hAnsi="宋体" w:cs="宋体" w:eastAsia="宋体" w:hint="default"/>
                <w:sz w:val="18"/>
                <w:szCs w:val="18"/>
              </w:rPr>
              <w:t>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-184.37</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-186.56</w:t>
            </w:r>
          </w:p>
        </w:tc>
        <w:tc>
          <w:tcPr>
            <w:tcW w:w="185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87"/>
              <w:jc w:val="right"/>
              <w:rPr>
                <w:rFonts w:ascii="宋体" w:hAnsi="宋体" w:cs="宋体" w:eastAsia="宋体" w:hint="default"/>
                <w:sz w:val="18"/>
                <w:szCs w:val="18"/>
              </w:rPr>
            </w:pPr>
            <w:r>
              <w:rPr>
                <w:rFonts w:ascii="宋体" w:hAnsi="宋体" w:cs="宋体" w:eastAsia="宋体" w:hint="default"/>
                <w:sz w:val="18"/>
                <w:szCs w:val="18"/>
              </w:rPr>
              <w:t>人民币对英镑升值</w:t>
            </w:r>
            <w:r>
              <w:rPr>
                <w:rFonts w:ascii="宋体" w:hAnsi="宋体" w:cs="宋体" w:eastAsia="宋体" w:hint="default"/>
                <w:sz w:val="18"/>
                <w:szCs w:val="18"/>
              </w:rPr>
              <w:t>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184.37</w:t>
            </w:r>
          </w:p>
        </w:tc>
        <w:tc>
          <w:tcPr>
            <w:tcW w:w="18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186.56</w:t>
            </w:r>
          </w:p>
        </w:tc>
        <w:tc>
          <w:tcPr>
            <w:tcW w:w="18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357" w:lineRule="auto" w:before="44"/>
        <w:ind w:left="514" w:right="4452"/>
        <w:jc w:val="left"/>
      </w:pPr>
      <w:r>
        <w:rPr/>
        <w:t>注：上表中正数表示增加，负数表示减少；股东权益变动不包括留存收益。 </w:t>
      </w:r>
      <w:r>
        <w:rPr>
          <w:rFonts w:ascii="宋体" w:hAnsi="宋体" w:cs="宋体" w:eastAsia="宋体" w:hint="default"/>
        </w:rPr>
        <w:t>B</w:t>
      </w:r>
      <w:r>
        <w:rPr/>
        <w:t>、利率风险</w:t>
      </w:r>
    </w:p>
    <w:p>
      <w:pPr>
        <w:pStyle w:val="BodyText"/>
        <w:spacing w:line="357" w:lineRule="auto" w:before="28"/>
        <w:ind w:left="514" w:right="0"/>
        <w:jc w:val="left"/>
      </w:pPr>
      <w:r>
        <w:rPr/>
        <w:t>利率风险，是指金融工具的公允价值或未来现金流量因市场利率变动而发生波动的风险。 </w:t>
      </w:r>
      <w:r>
        <w:rPr>
          <w:spacing w:val="-2"/>
        </w:rPr>
        <w:t>本公司的利率风险产生于银行借款等带息债务。浮动利率的金融负债使本公司面临现金流量利率风险，固定利率的金融</w:t>
      </w:r>
    </w:p>
    <w:p>
      <w:pPr>
        <w:pStyle w:val="BodyText"/>
        <w:spacing w:line="224" w:lineRule="exact"/>
        <w:ind w:right="0"/>
        <w:jc w:val="left"/>
        <w:rPr>
          <w:rFonts w:ascii="宋体" w:hAnsi="宋体" w:cs="宋体" w:eastAsia="宋体" w:hint="default"/>
        </w:rPr>
      </w:pPr>
      <w:r>
        <w:rPr/>
        <w:t>负债使本公司面临公允价值利率风险。本公司根据当时的市场环境来决定固定利率及浮动利率合同的相对比例。于</w:t>
      </w:r>
      <w:r>
        <w:rPr>
          <w:rFonts w:ascii="宋体" w:hAnsi="宋体" w:cs="宋体" w:eastAsia="宋体" w:hint="default"/>
        </w:rPr>
        <w:t>2018</w:t>
      </w:r>
      <w:r>
        <w:rPr/>
        <w:t>年</w:t>
      </w:r>
      <w:r>
        <w:rPr>
          <w:rFonts w:ascii="宋体" w:hAnsi="宋体" w:cs="宋体" w:eastAsia="宋体" w:hint="default"/>
        </w:rPr>
        <w:t>12</w:t>
      </w:r>
    </w:p>
    <w:p>
      <w:pPr>
        <w:pStyle w:val="BodyText"/>
        <w:spacing w:line="357" w:lineRule="auto" w:before="77"/>
        <w:ind w:left="514" w:right="2472" w:hanging="360"/>
        <w:jc w:val="left"/>
      </w:pPr>
      <w:r>
        <w:rPr/>
        <w:t>月</w:t>
      </w:r>
      <w:r>
        <w:rPr>
          <w:rFonts w:ascii="宋体" w:hAnsi="宋体" w:cs="宋体" w:eastAsia="宋体" w:hint="default"/>
        </w:rPr>
        <w:t>31</w:t>
      </w:r>
      <w:r>
        <w:rPr/>
        <w:t>日，本公司的带息债务均为以人民币计价的固定利率借款合同，期末和期初均无浮动利率借款合同。 </w:t>
      </w:r>
      <w:r>
        <w:rPr>
          <w:rFonts w:ascii="宋体" w:hAnsi="宋体" w:cs="宋体" w:eastAsia="宋体" w:hint="default"/>
        </w:rPr>
        <w:t>C</w:t>
      </w:r>
      <w:r>
        <w:rPr/>
        <w:t>、其他价格风险</w:t>
      </w:r>
    </w:p>
    <w:p>
      <w:pPr>
        <w:pStyle w:val="BodyText"/>
        <w:spacing w:line="319" w:lineRule="auto" w:before="26"/>
        <w:ind w:right="0" w:firstLine="360"/>
        <w:jc w:val="left"/>
      </w:pPr>
      <w:r>
        <w:rPr>
          <w:spacing w:val="-2"/>
        </w:rPr>
        <w:t>其他价格风险，是指汇率风险和利率风险以外的市场价格变动而发生波动的风险，无论这些变动是由于与单项金融工具</w:t>
      </w:r>
      <w:r>
        <w:rPr/>
        <w:t> 或其发行方有关的因素而引起的，还是由于与市场内交易的所有类似金融工具有关的因素而引起的。</w:t>
      </w:r>
    </w:p>
    <w:p>
      <w:pPr>
        <w:pStyle w:val="BodyText"/>
        <w:spacing w:line="319" w:lineRule="auto" w:before="56"/>
        <w:ind w:right="0" w:firstLine="360"/>
        <w:jc w:val="left"/>
      </w:pPr>
      <w:r>
        <w:rPr>
          <w:spacing w:val="-2"/>
        </w:rPr>
        <w:t>本公司持有的可供出售上市权益工具投资在上海证券交易所上市，并在资产负债表日以市场报价计量。该可供出售权益</w:t>
      </w:r>
      <w:r>
        <w:rPr/>
        <w:t> 工具投资产生了投资价格风险。</w:t>
      </w:r>
    </w:p>
    <w:p>
      <w:pPr>
        <w:pStyle w:val="BodyText"/>
        <w:spacing w:line="316" w:lineRule="auto" w:before="55"/>
        <w:ind w:right="0" w:firstLine="360"/>
        <w:jc w:val="left"/>
      </w:pPr>
      <w:r>
        <w:rPr>
          <w:spacing w:val="-4"/>
        </w:rPr>
        <w:t>权益工具投资的其他价格风险的敏感性分析见下表，反映了在其他变量不变的假设下，权益工具的公允价值发生变动时，</w:t>
      </w:r>
      <w:r>
        <w:rPr/>
        <w:t> 将对净利润和股东权益产生的影响。</w:t>
      </w:r>
    </w:p>
    <w:p>
      <w:pPr>
        <w:pStyle w:val="BodyText"/>
        <w:spacing w:line="240" w:lineRule="auto" w:before="140"/>
        <w:ind w:left="0" w:right="131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25"/>
        <w:gridCol w:w="1562"/>
        <w:gridCol w:w="1418"/>
        <w:gridCol w:w="1863"/>
        <w:gridCol w:w="1788"/>
      </w:tblGrid>
      <w:tr>
        <w:trPr>
          <w:trHeight w:val="422" w:hRule="exact"/>
        </w:trPr>
        <w:tc>
          <w:tcPr>
            <w:tcW w:w="32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2" w:hRule="exact"/>
        </w:trPr>
        <w:tc>
          <w:tcPr>
            <w:tcW w:w="3225"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5"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4"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5"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8"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2"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可供出售金融资产公允价值增加</w:t>
            </w:r>
            <w:r>
              <w:rPr>
                <w:rFonts w:ascii="宋体" w:hAnsi="宋体" w:cs="宋体" w:eastAsia="宋体" w:hint="default"/>
                <w:sz w:val="18"/>
                <w:szCs w:val="18"/>
              </w:rPr>
              <w:t>5%</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4,418,005.25</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6,327,183.52</w:t>
            </w:r>
          </w:p>
        </w:tc>
      </w:tr>
      <w:tr>
        <w:trPr>
          <w:trHeight w:val="422"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可供出售金融资产公允价值减少</w:t>
            </w:r>
            <w:r>
              <w:rPr>
                <w:rFonts w:ascii="宋体" w:hAnsi="宋体" w:cs="宋体" w:eastAsia="宋体" w:hint="default"/>
                <w:sz w:val="18"/>
                <w:szCs w:val="18"/>
              </w:rPr>
              <w:t>5%</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-4,418,005.25</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-6,327,183.52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公允价值的披露" w:id="338"/>
      <w:bookmarkEnd w:id="338"/>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39"/>
      <w:bookmarkEnd w:id="339"/>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984"/>
        <w:gridCol w:w="1985"/>
        <w:gridCol w:w="1984"/>
        <w:gridCol w:w="1490"/>
      </w:tblGrid>
      <w:tr>
        <w:trPr>
          <w:trHeight w:val="40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128"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103,953,064.80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103,953,064.80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103,953,064.80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103,953,064.80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持续以公允价值计量的资 产总额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103,953,064.80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103,953,064.80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340"/>
      <w:bookmarkEnd w:id="340"/>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本公司持有的可供出售金融资产的第一层次公允价值计量的市价依据为股票收盘价。</w:t>
      </w:r>
    </w:p>
    <w:p>
      <w:pPr>
        <w:spacing w:after="0" w:line="240" w:lineRule="auto"/>
        <w:jc w:val="left"/>
        <w:sectPr>
          <w:pgSz w:w="11910" w:h="16840"/>
          <w:pgMar w:header="0" w:footer="1187" w:top="1100" w:bottom="13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二、关联方及关联交易" w:id="341"/>
      <w:bookmarkEnd w:id="341"/>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42"/>
      <w:bookmarkEnd w:id="342"/>
      <w:r>
        <w:rPr>
          <w:b w:val="0"/>
          <w:bCs w:val="0"/>
        </w:rPr>
      </w:r>
      <w:r>
        <w:rPr>
          <w:rFonts w:ascii="宋体" w:hAnsi="宋体" w:cs="宋体" w:eastAsia="宋体" w:hint="default"/>
        </w:rPr>
        <w:t>1</w:t>
      </w:r>
      <w:r>
        <w:rPr/>
        <w:t>、本企业的母公司情况</w:t>
      </w:r>
      <w:r>
        <w:rPr>
          <w:b w:val="0"/>
          <w:bCs w:val="0"/>
        </w:rPr>
      </w:r>
    </w:p>
    <w:p>
      <w:pPr>
        <w:spacing w:line="240" w:lineRule="auto" w:before="4"/>
        <w:rPr>
          <w:rFonts w:ascii="宋体" w:hAnsi="宋体" w:cs="宋体" w:eastAsia="宋体" w:hint="default"/>
          <w:b/>
          <w:bCs/>
          <w:sz w:val="22"/>
          <w:szCs w:val="22"/>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2978"/>
        <w:gridCol w:w="1416"/>
        <w:gridCol w:w="1277"/>
        <w:gridCol w:w="1344"/>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4" w:right="91"/>
              <w:jc w:val="left"/>
              <w:rPr>
                <w:rFonts w:ascii="宋体" w:hAnsi="宋体" w:cs="宋体" w:eastAsia="宋体" w:hint="default"/>
                <w:sz w:val="18"/>
                <w:szCs w:val="18"/>
              </w:rPr>
            </w:pPr>
            <w:r>
              <w:rPr>
                <w:rFonts w:ascii="宋体" w:hAnsi="宋体" w:cs="宋体" w:eastAsia="宋体" w:hint="default"/>
                <w:sz w:val="18"/>
                <w:szCs w:val="18"/>
              </w:rPr>
              <w:t>母公司对本企 业的持股比例</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对高新技术产品和企业的投资；投资 咨询服务，企业管理咨询服务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13,660.00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4" w:right="0"/>
              <w:jc w:val="left"/>
              <w:rPr>
                <w:rFonts w:ascii="宋体" w:hAnsi="宋体" w:cs="宋体" w:eastAsia="宋体" w:hint="default"/>
                <w:sz w:val="18"/>
                <w:szCs w:val="18"/>
              </w:rPr>
            </w:pPr>
            <w:r>
              <w:rPr>
                <w:rFonts w:ascii="宋体"/>
                <w:sz w:val="18"/>
              </w:rPr>
              <w:t>26.14%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sz w:val="18"/>
              </w:rPr>
              <w:t>26.14%</w:t>
            </w:r>
          </w:p>
        </w:tc>
      </w:tr>
    </w:tbl>
    <w:p>
      <w:pPr>
        <w:spacing w:line="240" w:lineRule="auto" w:before="9"/>
        <w:rPr>
          <w:rFonts w:ascii="宋体" w:hAnsi="宋体" w:cs="宋体" w:eastAsia="宋体" w:hint="default"/>
          <w:b/>
          <w:bCs/>
          <w:sz w:val="6"/>
          <w:szCs w:val="6"/>
        </w:rPr>
      </w:pPr>
    </w:p>
    <w:p>
      <w:pPr>
        <w:pStyle w:val="BodyText"/>
        <w:spacing w:line="357" w:lineRule="auto" w:before="44"/>
        <w:ind w:left="514" w:right="1122" w:hanging="360"/>
        <w:jc w:val="left"/>
      </w:pPr>
      <w:r>
        <w:rPr/>
        <w:t>本企业的母公司情况的说明： 产业集团系华工创投的母公司，同时产业集团持有本公司</w:t>
      </w:r>
      <w:r>
        <w:rPr>
          <w:rFonts w:ascii="宋体" w:hAnsi="宋体" w:cs="宋体" w:eastAsia="宋体" w:hint="default"/>
        </w:rPr>
        <w:t>2,443.16</w:t>
      </w:r>
      <w:r>
        <w:rPr/>
        <w:t>万股，持股比例</w:t>
      </w:r>
      <w:r>
        <w:rPr>
          <w:rFonts w:ascii="宋体" w:hAnsi="宋体" w:cs="宋体" w:eastAsia="宋体" w:hint="default"/>
        </w:rPr>
        <w:t>5.68%</w:t>
      </w:r>
      <w:r>
        <w:rPr/>
        <w:t>。产业集团系华中科技大学全</w:t>
      </w:r>
    </w:p>
    <w:p>
      <w:pPr>
        <w:pStyle w:val="BodyText"/>
        <w:spacing w:line="224" w:lineRule="exact"/>
        <w:ind w:right="0"/>
        <w:jc w:val="left"/>
      </w:pPr>
      <w:r>
        <w:rPr/>
        <w:t>资子公司，因此华中科技大学为本公司实际控制人。</w:t>
      </w:r>
    </w:p>
    <w:p>
      <w:pPr>
        <w:spacing w:line="240" w:lineRule="auto" w:before="1"/>
        <w:rPr>
          <w:rFonts w:ascii="宋体" w:hAnsi="宋体" w:cs="宋体" w:eastAsia="宋体" w:hint="default"/>
          <w:sz w:val="15"/>
          <w:szCs w:val="15"/>
        </w:rPr>
      </w:pPr>
    </w:p>
    <w:p>
      <w:pPr>
        <w:pStyle w:val="BodyText"/>
        <w:spacing w:line="240" w:lineRule="auto"/>
        <w:ind w:left="514" w:right="0"/>
        <w:jc w:val="left"/>
      </w:pPr>
      <w:r>
        <w:rPr/>
        <w:t>本企业最终控制方是华中科技大学。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43"/>
      <w:bookmarkEnd w:id="343"/>
      <w:r>
        <w:rPr>
          <w:b w:val="0"/>
          <w:bCs w:val="0"/>
        </w:rPr>
      </w:r>
      <w:r>
        <w:rPr>
          <w:rFonts w:ascii="宋体" w:hAnsi="宋体" w:cs="宋体" w:eastAsia="宋体"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14" w:right="0"/>
        <w:jc w:val="left"/>
      </w:pPr>
      <w:r>
        <w:rPr/>
        <w:t>本企业子公司的情况详见附注九、</w:t>
      </w:r>
      <w:r>
        <w:rPr>
          <w:rFonts w:ascii="宋体" w:hAnsi="宋体" w:cs="宋体" w:eastAsia="宋体" w:hint="default"/>
        </w:rPr>
        <w:t>1</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44"/>
      <w:bookmarkEnd w:id="344"/>
      <w:r>
        <w:rPr>
          <w:b w:val="0"/>
          <w:bCs w:val="0"/>
        </w:rPr>
      </w:r>
      <w:r>
        <w:rPr>
          <w:rFonts w:ascii="宋体" w:hAnsi="宋体" w:cs="宋体" w:eastAsia="宋体" w:hint="default"/>
        </w:rPr>
        <w:t>3</w:t>
      </w:r>
      <w:r>
        <w:rPr/>
        <w:t>、本企业合营和联营企业情况</w:t>
      </w:r>
      <w:r>
        <w:rPr>
          <w:b w:val="0"/>
          <w:bCs w:val="0"/>
        </w:rPr>
      </w:r>
    </w:p>
    <w:p>
      <w:pPr>
        <w:spacing w:line="240" w:lineRule="auto" w:before="4"/>
        <w:rPr>
          <w:rFonts w:ascii="宋体" w:hAnsi="宋体" w:cs="宋体" w:eastAsia="宋体" w:hint="default"/>
          <w:b/>
          <w:bCs/>
          <w:sz w:val="23"/>
          <w:szCs w:val="23"/>
        </w:rPr>
      </w:pPr>
    </w:p>
    <w:p>
      <w:pPr>
        <w:pStyle w:val="BodyText"/>
        <w:spacing w:line="439" w:lineRule="auto"/>
        <w:ind w:left="514" w:right="1932"/>
        <w:jc w:val="left"/>
      </w:pPr>
      <w:r>
        <w:rPr/>
        <w:t>本企业重要的合营或联营企业详见附注九、</w:t>
      </w:r>
      <w:r>
        <w:rPr>
          <w:rFonts w:ascii="宋体" w:hAnsi="宋体" w:cs="宋体" w:eastAsia="宋体" w:hint="default"/>
        </w:rPr>
        <w:t>3</w:t>
      </w:r>
      <w:r>
        <w:rPr/>
        <w:t>。 本期与本公司发生关联方交易，或前期与本公司发生关联方交易形成余额的其他合营或联营企业情况如下：</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湖北兴华教投信息技术有限公司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方情况" w:id="345"/>
      <w:bookmarkEnd w:id="345"/>
      <w:r>
        <w:rPr>
          <w:b w:val="0"/>
          <w:bCs w:val="0"/>
        </w:rPr>
      </w:r>
      <w:r>
        <w:rPr>
          <w:rFonts w:ascii="宋体" w:hAnsi="宋体" w:cs="宋体" w:eastAsia="宋体" w:hint="default"/>
        </w:rPr>
        <w:t>4</w:t>
      </w:r>
      <w:r>
        <w:rPr/>
        <w:t>、其他关联方情况</w:t>
      </w:r>
      <w:r>
        <w:rPr>
          <w:b w:val="0"/>
          <w:bCs w:val="0"/>
        </w:rPr>
      </w:r>
    </w:p>
    <w:p>
      <w:pPr>
        <w:spacing w:line="240" w:lineRule="auto" w:before="4"/>
        <w:rPr>
          <w:rFonts w:ascii="宋体" w:hAnsi="宋体" w:cs="宋体" w:eastAsia="宋体" w:hint="default"/>
          <w:b/>
          <w:bCs/>
          <w:sz w:val="22"/>
          <w:szCs w:val="2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武汉华工图像技术开发有限公司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武汉新威奇机械有限公司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r>
    </w:tbl>
    <w:p>
      <w:pPr>
        <w:spacing w:after="0" w:line="240" w:lineRule="auto"/>
        <w:jc w:val="left"/>
        <w:rPr>
          <w:rFonts w:ascii="宋体" w:hAnsi="宋体" w:cs="宋体" w:eastAsia="宋体" w:hint="default"/>
          <w:sz w:val="18"/>
          <w:szCs w:val="18"/>
        </w:rPr>
        <w:sectPr>
          <w:pgSz w:w="11910" w:h="16840"/>
          <w:pgMar w:header="0" w:footer="1187" w:top="1100" w:bottom="1380" w:left="980" w:right="0"/>
        </w:sectPr>
      </w:pPr>
    </w:p>
    <w:p>
      <w:pPr>
        <w:spacing w:line="240" w:lineRule="auto" w:before="13"/>
        <w:rPr>
          <w:rFonts w:ascii="宋体" w:hAnsi="宋体" w:cs="宋体" w:eastAsia="宋体" w:hint="default"/>
          <w:b/>
          <w:bCs/>
          <w:sz w:val="21"/>
          <w:szCs w:val="21"/>
        </w:rPr>
      </w:pPr>
    </w:p>
    <w:p>
      <w:pPr>
        <w:pStyle w:val="BodyText"/>
        <w:spacing w:line="240" w:lineRule="auto" w:before="44"/>
        <w:ind w:right="0"/>
        <w:jc w:val="left"/>
      </w:pPr>
      <w:r>
        <w:rPr/>
        <w:t>其他说明：</w:t>
      </w:r>
    </w:p>
    <w:p>
      <w:pPr>
        <w:pStyle w:val="BodyText"/>
        <w:spacing w:line="319" w:lineRule="auto" w:before="115"/>
        <w:ind w:right="0" w:firstLine="360"/>
        <w:jc w:val="left"/>
      </w:pPr>
      <w:r>
        <w:rPr>
          <w:spacing w:val="-2"/>
        </w:rPr>
        <w:t>报告期内，公司监事岳蓉担任科华银赛创业投资有限公司董事、总经理，公司与该公司构成关联方；公司监事岳蓉担任</w:t>
      </w:r>
      <w:r>
        <w:rPr/>
        <w:t> 武汉固德银赛创业投资管理有限公司董事、总经理，公司与该公司构成关联方。</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5、关联交易情况" w:id="346"/>
      <w:bookmarkEnd w:id="346"/>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购销商品、提供和接受劳务的关联交易" w:id="347"/>
      <w:bookmarkEnd w:id="347"/>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采购商品</w:t>
      </w:r>
      <w:r>
        <w:rPr>
          <w:rFonts w:ascii="宋体" w:hAnsi="宋体" w:cs="宋体" w:eastAsia="宋体" w:hint="default"/>
        </w:rPr>
        <w:t>/</w:t>
      </w:r>
      <w:r>
        <w:rPr/>
        <w:t>接受劳务情况表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2"/>
        <w:gridCol w:w="1359"/>
        <w:gridCol w:w="1288"/>
        <w:gridCol w:w="1372"/>
        <w:gridCol w:w="1574"/>
        <w:gridCol w:w="1276"/>
      </w:tblGrid>
      <w:tr>
        <w:trPr>
          <w:trHeight w:val="402"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1,772,162.82</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1,896,495.13</w:t>
            </w:r>
          </w:p>
        </w:tc>
      </w:tr>
      <w:tr>
        <w:trPr>
          <w:trHeight w:val="402"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采购饮用水</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29,741.03</w:t>
            </w:r>
          </w:p>
        </w:tc>
      </w:tr>
      <w:tr>
        <w:trPr>
          <w:trHeight w:val="402"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采购激光打标机</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162,393.16</w:t>
            </w:r>
          </w:p>
        </w:tc>
      </w:tr>
      <w:tr>
        <w:trPr>
          <w:trHeight w:val="402"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武汉华工图像技术开发有限公司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采购烫金膜</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1,149,893.61</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1,395,242.72</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技术服务费及标 书费</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1,200,800.00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出售商品</w:t>
      </w:r>
      <w:r>
        <w:rPr>
          <w:rFonts w:ascii="宋体" w:hAnsi="宋体" w:cs="宋体" w:eastAsia="宋体" w:hint="default"/>
        </w:rPr>
        <w:t>/</w:t>
      </w:r>
      <w:r>
        <w:rPr/>
        <w:t>提供劳务情况表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2"/>
        <w:gridCol w:w="2409"/>
        <w:gridCol w:w="1844"/>
        <w:gridCol w:w="2054"/>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254,197.16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308,322.74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芯片等原材料</w:t>
            </w:r>
          </w:p>
        </w:tc>
        <w:tc>
          <w:tcPr>
            <w:tcW w:w="1844"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1,282.05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42,452.83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智慧课堂及技术服务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1,676,048.35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1,346,022.34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311.32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264.15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武汉新威奇机械有限公司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311.32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湖北兴华教投信息技术有限公司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34,867.92</w:t>
            </w: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48"/>
      <w:bookmarkEnd w:id="348"/>
      <w:r>
        <w:rPr>
          <w:b w:val="0"/>
          <w:bCs w:val="0"/>
        </w:rPr>
      </w:r>
      <w:r>
        <w:rPr/>
        <w:t>（</w:t>
      </w:r>
      <w:r>
        <w:rPr>
          <w:rFonts w:ascii="宋体" w:hAnsi="宋体" w:cs="宋体" w:eastAsia="宋体" w:hint="default"/>
        </w:rPr>
        <w:t>2</w:t>
      </w:r>
      <w:r>
        <w:rPr/>
        <w:t>）关联租赁情况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088"/>
        <w:gridCol w:w="2393"/>
        <w:gridCol w:w="239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办公室</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50" w:right="0"/>
              <w:jc w:val="left"/>
              <w:rPr>
                <w:rFonts w:ascii="宋体" w:hAnsi="宋体" w:cs="宋体" w:eastAsia="宋体" w:hint="default"/>
                <w:sz w:val="18"/>
                <w:szCs w:val="18"/>
              </w:rPr>
            </w:pPr>
            <w:r>
              <w:rPr>
                <w:rFonts w:ascii="宋体"/>
                <w:sz w:val="18"/>
              </w:rPr>
              <w:t>54,054.03</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本公司作为承租方：</w:t>
      </w:r>
    </w:p>
    <w:p>
      <w:pPr>
        <w:pStyle w:val="BodyText"/>
        <w:spacing w:line="240" w:lineRule="auto" w:before="116"/>
        <w:ind w:left="0" w:right="1130"/>
        <w:jc w:val="right"/>
      </w:pPr>
      <w:r>
        <w:rPr/>
        <w:t>单位： 元</w:t>
      </w:r>
    </w:p>
    <w:p>
      <w:pPr>
        <w:spacing w:after="0" w:line="240" w:lineRule="auto"/>
        <w:jc w:val="right"/>
        <w:sectPr>
          <w:pgSz w:w="11910" w:h="16840"/>
          <w:pgMar w:header="0"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78"/>
        <w:gridCol w:w="1808"/>
        <w:gridCol w:w="2392"/>
        <w:gridCol w:w="2392"/>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办公室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1,755,762.17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2,025,681.25</w:t>
            </w:r>
          </w:p>
        </w:tc>
      </w:tr>
    </w:tbl>
    <w:p>
      <w:pPr>
        <w:spacing w:line="240" w:lineRule="auto" w:before="9"/>
        <w:rPr>
          <w:rFonts w:ascii="宋体" w:hAnsi="宋体" w:cs="宋体" w:eastAsia="宋体" w:hint="default"/>
          <w:sz w:val="6"/>
          <w:szCs w:val="6"/>
        </w:rPr>
      </w:pPr>
    </w:p>
    <w:p>
      <w:pPr>
        <w:pStyle w:val="BodyText"/>
        <w:spacing w:line="357" w:lineRule="auto" w:before="44"/>
        <w:ind w:left="514" w:right="1122" w:hanging="360"/>
        <w:jc w:val="left"/>
      </w:pPr>
      <w:r>
        <w:rPr/>
        <w:t>关联租赁情况说明 </w:t>
      </w:r>
      <w:r>
        <w:rPr>
          <w:rFonts w:ascii="宋体" w:hAnsi="宋体" w:cs="宋体" w:eastAsia="宋体" w:hint="default"/>
        </w:rPr>
        <w:t>1</w:t>
      </w:r>
      <w:r>
        <w:rPr/>
        <w:t>、公司与武汉华工大学科技园发展有限公司签订《华工科技园创新基地研发楼租赁合同》，租赁建筑面积为</w:t>
      </w:r>
      <w:r>
        <w:rPr>
          <w:rFonts w:ascii="宋体" w:hAnsi="宋体" w:cs="宋体" w:eastAsia="宋体" w:hint="default"/>
        </w:rPr>
        <w:t>792.97</w:t>
      </w:r>
      <w:r>
        <w:rPr/>
        <w:t>平</w:t>
      </w:r>
    </w:p>
    <w:p>
      <w:pPr>
        <w:pStyle w:val="BodyText"/>
        <w:spacing w:line="357" w:lineRule="auto"/>
        <w:ind w:left="514" w:right="1122" w:hanging="360"/>
        <w:jc w:val="left"/>
        <w:rPr>
          <w:rFonts w:ascii="宋体" w:hAnsi="宋体" w:cs="宋体" w:eastAsia="宋体" w:hint="default"/>
        </w:rPr>
      </w:pPr>
      <w:r>
        <w:rPr/>
        <w:t>方米，租赁期为</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日。该合同已于</w:t>
      </w:r>
      <w:r>
        <w:rPr>
          <w:rFonts w:ascii="宋体" w:hAnsi="宋体" w:cs="宋体" w:eastAsia="宋体" w:hint="default"/>
        </w:rPr>
        <w:t>2017</w:t>
      </w:r>
      <w:r>
        <w:rPr/>
        <w:t>年</w:t>
      </w:r>
      <w:r>
        <w:rPr>
          <w:rFonts w:ascii="宋体" w:hAnsi="宋体" w:cs="宋体" w:eastAsia="宋体" w:hint="default"/>
        </w:rPr>
        <w:t>12</w:t>
      </w:r>
      <w:r>
        <w:rPr/>
        <w:t>月终止，双方签订离园协议。 </w:t>
      </w:r>
      <w:r>
        <w:rPr>
          <w:rFonts w:ascii="宋体" w:hAnsi="宋体" w:cs="宋体" w:eastAsia="宋体" w:hint="default"/>
        </w:rPr>
        <w:t>2</w:t>
      </w:r>
      <w:r>
        <w:rPr/>
        <w:t>、公司与武汉华工大学科技园发展有限公司签订《华工科技园创新基地研发楼租赁合同》，租赁建筑面积为</w:t>
      </w:r>
      <w:r>
        <w:rPr>
          <w:rFonts w:ascii="宋体" w:hAnsi="宋体" w:cs="宋体" w:eastAsia="宋体" w:hint="default"/>
        </w:rPr>
        <w:t>2,741.08</w:t>
      </w:r>
    </w:p>
    <w:p>
      <w:pPr>
        <w:pStyle w:val="BodyText"/>
        <w:spacing w:line="224" w:lineRule="exact"/>
        <w:ind w:right="0"/>
        <w:jc w:val="left"/>
      </w:pPr>
      <w:r>
        <w:rPr/>
        <w:t>平方米，租赁期为</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13</w:t>
      </w:r>
      <w:r>
        <w:rPr/>
        <w:t>日至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12</w:t>
      </w:r>
      <w:r>
        <w:rPr/>
        <w:t>日，租金每月</w:t>
      </w:r>
      <w:r>
        <w:rPr>
          <w:rFonts w:ascii="宋体" w:hAnsi="宋体" w:cs="宋体" w:eastAsia="宋体" w:hint="default"/>
        </w:rPr>
        <w:t>32</w:t>
      </w:r>
      <w:r>
        <w:rPr/>
        <w:t>元</w:t>
      </w:r>
      <w:r>
        <w:rPr>
          <w:rFonts w:ascii="宋体" w:hAnsi="宋体" w:cs="宋体" w:eastAsia="宋体" w:hint="default"/>
        </w:rPr>
        <w:t>/</w:t>
      </w:r>
      <w:r>
        <w:rPr/>
        <w:t>平方米，每月租金总额为</w:t>
      </w:r>
      <w:r>
        <w:rPr>
          <w:rFonts w:ascii="宋体" w:hAnsi="宋体" w:cs="宋体" w:eastAsia="宋体" w:hint="default"/>
        </w:rPr>
        <w:t>87,714.00</w:t>
      </w:r>
      <w:r>
        <w:rPr/>
        <w:t>元，</w:t>
      </w:r>
      <w:r>
        <w:rPr>
          <w:rFonts w:ascii="宋体" w:hAnsi="宋体" w:cs="宋体" w:eastAsia="宋体" w:hint="default"/>
        </w:rPr>
        <w:t>2018</w:t>
      </w:r>
      <w:r>
        <w:rPr/>
        <w:t>年度共发生</w:t>
      </w:r>
    </w:p>
    <w:p>
      <w:pPr>
        <w:pStyle w:val="BodyText"/>
        <w:spacing w:line="357" w:lineRule="auto" w:before="77"/>
        <w:ind w:left="514" w:right="1122" w:hanging="360"/>
        <w:jc w:val="left"/>
      </w:pPr>
      <w:r>
        <w:rPr/>
        <w:t>租金</w:t>
      </w:r>
      <w:r>
        <w:rPr>
          <w:rFonts w:ascii="宋体" w:hAnsi="宋体" w:cs="宋体" w:eastAsia="宋体" w:hint="default"/>
        </w:rPr>
        <w:t>1,022,118.01</w:t>
      </w:r>
      <w:r>
        <w:rPr/>
        <w:t>元（不含税）。 </w:t>
      </w:r>
      <w:r>
        <w:rPr>
          <w:rFonts w:ascii="宋体" w:hAnsi="宋体" w:cs="宋体" w:eastAsia="宋体" w:hint="default"/>
        </w:rPr>
        <w:t>3</w:t>
      </w:r>
      <w:r>
        <w:rPr/>
        <w:t>、公司子公司擎动网络与武汉华工大学科技园发展有限公司签订《华工科技园创新基地研发楼租赁合同》，租赁面积</w:t>
      </w:r>
    </w:p>
    <w:p>
      <w:pPr>
        <w:pStyle w:val="BodyText"/>
        <w:spacing w:line="224" w:lineRule="exact"/>
        <w:ind w:right="0"/>
        <w:jc w:val="left"/>
        <w:rPr>
          <w:rFonts w:ascii="宋体" w:hAnsi="宋体" w:cs="宋体" w:eastAsia="宋体" w:hint="default"/>
        </w:rPr>
      </w:pPr>
      <w:r>
        <w:rPr/>
        <w:t>为</w:t>
      </w:r>
      <w:r>
        <w:rPr>
          <w:rFonts w:ascii="宋体" w:hAnsi="宋体" w:cs="宋体" w:eastAsia="宋体" w:hint="default"/>
        </w:rPr>
        <w:t>1,457.93</w:t>
      </w:r>
      <w:r>
        <w:rPr/>
        <w:t>平方米，租赁期为</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10</w:t>
      </w:r>
      <w:r>
        <w:rPr/>
        <w:t>日至</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9</w:t>
      </w:r>
      <w:r>
        <w:rPr/>
        <w:t>日，租金每月</w:t>
      </w:r>
      <w:r>
        <w:rPr>
          <w:rFonts w:ascii="宋体" w:hAnsi="宋体" w:cs="宋体" w:eastAsia="宋体" w:hint="default"/>
        </w:rPr>
        <w:t>27</w:t>
      </w:r>
      <w:r>
        <w:rPr/>
        <w:t>元</w:t>
      </w:r>
      <w:r>
        <w:rPr>
          <w:rFonts w:ascii="宋体" w:hAnsi="宋体" w:cs="宋体" w:eastAsia="宋体" w:hint="default"/>
        </w:rPr>
        <w:t>/</w:t>
      </w:r>
      <w:r>
        <w:rPr/>
        <w:t>平方米，每月租金总额为</w:t>
      </w:r>
      <w:r>
        <w:rPr>
          <w:rFonts w:ascii="宋体" w:hAnsi="宋体" w:cs="宋体" w:eastAsia="宋体" w:hint="default"/>
        </w:rPr>
        <w:t>39,364.00</w:t>
      </w:r>
      <w:r>
        <w:rPr/>
        <w:t>元，</w:t>
      </w:r>
      <w:r>
        <w:rPr>
          <w:rFonts w:ascii="宋体" w:hAnsi="宋体" w:cs="宋体" w:eastAsia="宋体" w:hint="default"/>
        </w:rPr>
        <w:t>2018</w:t>
      </w:r>
    </w:p>
    <w:p>
      <w:pPr>
        <w:pStyle w:val="BodyText"/>
        <w:spacing w:line="357" w:lineRule="auto" w:before="77"/>
        <w:ind w:left="514" w:right="1122" w:hanging="360"/>
        <w:jc w:val="left"/>
      </w:pPr>
      <w:r>
        <w:rPr/>
        <w:t>年度</w:t>
      </w:r>
      <w:r>
        <w:rPr>
          <w:rFonts w:ascii="宋体" w:hAnsi="宋体" w:cs="宋体" w:eastAsia="宋体" w:hint="default"/>
        </w:rPr>
        <w:t>1</w:t>
      </w:r>
      <w:r>
        <w:rPr/>
        <w:t>月共发生租金</w:t>
      </w:r>
      <w:r>
        <w:rPr>
          <w:rFonts w:ascii="宋体" w:hAnsi="宋体" w:cs="宋体" w:eastAsia="宋体" w:hint="default"/>
        </w:rPr>
        <w:t>38,291.19</w:t>
      </w:r>
      <w:r>
        <w:rPr/>
        <w:t>元（不含税）。 </w:t>
      </w:r>
      <w:r>
        <w:rPr>
          <w:rFonts w:ascii="宋体" w:hAnsi="宋体" w:cs="宋体" w:eastAsia="宋体" w:hint="default"/>
        </w:rPr>
        <w:t>4</w:t>
      </w:r>
      <w:r>
        <w:rPr/>
        <w:t>、公司子公司擎动网络与武汉华工大学科技园发展有限公司签订《华工科技园创新基地研发楼租赁合同》，租赁面积</w:t>
      </w:r>
    </w:p>
    <w:p>
      <w:pPr>
        <w:pStyle w:val="BodyText"/>
        <w:spacing w:line="224" w:lineRule="exact"/>
        <w:ind w:right="0"/>
        <w:jc w:val="left"/>
      </w:pPr>
      <w:r>
        <w:rPr>
          <w:spacing w:val="3"/>
        </w:rPr>
        <w:t>为</w:t>
      </w:r>
      <w:r>
        <w:rPr>
          <w:rFonts w:ascii="宋体" w:hAnsi="宋体" w:cs="宋体" w:eastAsia="宋体" w:hint="default"/>
          <w:spacing w:val="3"/>
        </w:rPr>
        <w:t>1,457.93</w:t>
      </w:r>
      <w:r>
        <w:rPr>
          <w:spacing w:val="3"/>
        </w:rPr>
        <w:t>平方米，租赁期为</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10</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9</w:t>
      </w:r>
      <w:r>
        <w:rPr>
          <w:spacing w:val="3"/>
        </w:rPr>
        <w:t>日，租金每月</w:t>
      </w:r>
      <w:r>
        <w:rPr>
          <w:rFonts w:ascii="宋体" w:hAnsi="宋体" w:cs="宋体" w:eastAsia="宋体" w:hint="default"/>
          <w:spacing w:val="3"/>
        </w:rPr>
        <w:t>32</w:t>
      </w:r>
      <w:r>
        <w:rPr>
          <w:spacing w:val="3"/>
        </w:rPr>
        <w:t>元</w:t>
      </w:r>
      <w:r>
        <w:rPr>
          <w:rFonts w:ascii="宋体" w:hAnsi="宋体" w:cs="宋体" w:eastAsia="宋体" w:hint="default"/>
          <w:spacing w:val="3"/>
        </w:rPr>
        <w:t>/</w:t>
      </w:r>
      <w:r>
        <w:rPr>
          <w:spacing w:val="3"/>
        </w:rPr>
        <w:t>平方米（包含服务费），每月租金总额为</w:t>
      </w:r>
    </w:p>
    <w:p>
      <w:pPr>
        <w:pStyle w:val="BodyText"/>
        <w:spacing w:line="240" w:lineRule="auto" w:before="77"/>
        <w:ind w:right="0"/>
        <w:jc w:val="left"/>
      </w:pPr>
      <w:r>
        <w:rPr>
          <w:rFonts w:ascii="宋体" w:hAnsi="宋体" w:cs="宋体" w:eastAsia="宋体" w:hint="default"/>
        </w:rPr>
        <w:t>46,654.00</w:t>
      </w:r>
      <w:r>
        <w:rPr/>
        <w:t>元，</w:t>
      </w:r>
      <w:r>
        <w:rPr>
          <w:rFonts w:ascii="宋体" w:hAnsi="宋体" w:cs="宋体" w:eastAsia="宋体" w:hint="default"/>
        </w:rPr>
        <w:t>2018</w:t>
      </w:r>
      <w:r>
        <w:rPr/>
        <w:t>年度共发生租金</w:t>
      </w:r>
      <w:r>
        <w:rPr>
          <w:rFonts w:ascii="宋体" w:hAnsi="宋体" w:cs="宋体" w:eastAsia="宋体" w:hint="default"/>
        </w:rPr>
        <w:t>498,669.63</w:t>
      </w:r>
      <w:r>
        <w:rPr/>
        <w:t>元（不含税）。</w:t>
      </w:r>
    </w:p>
    <w:p>
      <w:pPr>
        <w:pStyle w:val="BodyText"/>
        <w:spacing w:line="319" w:lineRule="auto" w:before="115"/>
        <w:ind w:right="1131" w:firstLine="360"/>
        <w:jc w:val="both"/>
      </w:pPr>
      <w:r>
        <w:rPr>
          <w:rFonts w:ascii="宋体" w:hAnsi="宋体" w:cs="宋体" w:eastAsia="宋体" w:hint="default"/>
        </w:rPr>
        <w:t>5</w:t>
      </w:r>
      <w:r>
        <w:rPr/>
        <w:t>、公司子公司湖北百旺与武汉华工大学科技园发展有限公司签订《华工科技园创新基地研发楼租赁合同》，租赁建筑 </w:t>
      </w:r>
      <w:r>
        <w:rPr>
          <w:spacing w:val="-4"/>
        </w:rPr>
        <w:t>面积为</w:t>
      </w:r>
      <w:r>
        <w:rPr>
          <w:rFonts w:ascii="宋体" w:hAnsi="宋体" w:cs="宋体" w:eastAsia="宋体" w:hint="default"/>
          <w:spacing w:val="-4"/>
        </w:rPr>
        <w:t>652.25</w:t>
      </w:r>
      <w:r>
        <w:rPr>
          <w:spacing w:val="-4"/>
        </w:rPr>
        <w:t>平方米，租赁期为</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15</w:t>
      </w:r>
      <w:r>
        <w:rPr>
          <w:spacing w:val="-4"/>
        </w:rPr>
        <w:t>日至</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14</w:t>
      </w:r>
      <w:r>
        <w:rPr>
          <w:spacing w:val="-4"/>
        </w:rPr>
        <w:t>日，租金每月</w:t>
      </w:r>
      <w:r>
        <w:rPr>
          <w:rFonts w:ascii="宋体" w:hAnsi="宋体" w:cs="宋体" w:eastAsia="宋体" w:hint="default"/>
          <w:spacing w:val="-4"/>
        </w:rPr>
        <w:t>39</w:t>
      </w:r>
      <w:r>
        <w:rPr>
          <w:spacing w:val="-4"/>
        </w:rPr>
        <w:t>元</w:t>
      </w:r>
      <w:r>
        <w:rPr>
          <w:rFonts w:ascii="宋体" w:hAnsi="宋体" w:cs="宋体" w:eastAsia="宋体" w:hint="default"/>
          <w:spacing w:val="-4"/>
        </w:rPr>
        <w:t>/</w:t>
      </w:r>
      <w:r>
        <w:rPr>
          <w:spacing w:val="-4"/>
        </w:rPr>
        <w:t>平方米，每月租金总额为</w:t>
      </w:r>
      <w:r>
        <w:rPr>
          <w:rFonts w:ascii="宋体" w:hAnsi="宋体" w:cs="宋体" w:eastAsia="宋体" w:hint="default"/>
          <w:spacing w:val="-4"/>
        </w:rPr>
        <w:t>25,438.00</w:t>
      </w:r>
      <w:r>
        <w:rPr>
          <w:spacing w:val="-4"/>
        </w:rPr>
        <w:t>元，</w:t>
      </w:r>
      <w:r>
        <w:rPr>
          <w:rFonts w:ascii="宋体" w:hAnsi="宋体" w:cs="宋体" w:eastAsia="宋体" w:hint="default"/>
          <w:spacing w:val="-4"/>
        </w:rPr>
        <w:t>2018</w:t>
      </w:r>
      <w:r>
        <w:rPr>
          <w:rFonts w:ascii="宋体" w:hAnsi="宋体" w:cs="宋体" w:eastAsia="宋体" w:hint="default"/>
          <w:spacing w:val="-64"/>
        </w:rPr>
        <w:t> </w:t>
      </w:r>
      <w:r>
        <w:rPr>
          <w:rFonts w:ascii="宋体" w:hAnsi="宋体" w:cs="宋体" w:eastAsia="宋体" w:hint="default"/>
          <w:spacing w:val="-64"/>
        </w:rPr>
      </w:r>
      <w:r>
        <w:rPr/>
        <w:t>年度</w:t>
      </w:r>
      <w:r>
        <w:rPr>
          <w:rFonts w:ascii="宋体" w:hAnsi="宋体" w:cs="宋体" w:eastAsia="宋体" w:hint="default"/>
        </w:rPr>
        <w:t>1-7</w:t>
      </w:r>
      <w:r>
        <w:rPr/>
        <w:t>月共发生租金</w:t>
      </w:r>
      <w:r>
        <w:rPr>
          <w:rFonts w:ascii="宋体" w:hAnsi="宋体" w:cs="宋体" w:eastAsia="宋体" w:hint="default"/>
        </w:rPr>
        <w:t>196,683.34</w:t>
      </w:r>
      <w:r>
        <w:rPr/>
        <w:t>元（不含税）。该合同已于</w:t>
      </w:r>
      <w:r>
        <w:rPr>
          <w:rFonts w:ascii="宋体" w:hAnsi="宋体" w:cs="宋体" w:eastAsia="宋体" w:hint="default"/>
        </w:rPr>
        <w:t>2018</w:t>
      </w:r>
      <w:r>
        <w:rPr/>
        <w:t>年</w:t>
      </w:r>
      <w:r>
        <w:rPr>
          <w:rFonts w:ascii="宋体" w:hAnsi="宋体" w:cs="宋体" w:eastAsia="宋体" w:hint="default"/>
        </w:rPr>
        <w:t>8</w:t>
      </w:r>
      <w:r>
        <w:rPr/>
        <w:t>月终止，双方签订离园协议。</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关键管理人员报酬" w:id="349"/>
      <w:bookmarkEnd w:id="349"/>
      <w:r>
        <w:rPr>
          <w:b w:val="0"/>
          <w:bCs w:val="0"/>
        </w:rPr>
      </w:r>
      <w:r>
        <w:rPr/>
        <w:t>（</w:t>
      </w:r>
      <w:r>
        <w:rPr>
          <w:rFonts w:ascii="宋体" w:hAnsi="宋体" w:cs="宋体" w:eastAsia="宋体" w:hint="default"/>
        </w:rPr>
        <w:t>3</w:t>
      </w:r>
      <w:r>
        <w:rPr/>
        <w:t>）关键管理人员报酬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7" w:right="0"/>
              <w:jc w:val="left"/>
              <w:rPr>
                <w:rFonts w:ascii="宋体" w:hAnsi="宋体" w:cs="宋体" w:eastAsia="宋体" w:hint="default"/>
                <w:sz w:val="18"/>
                <w:szCs w:val="18"/>
              </w:rPr>
            </w:pPr>
            <w:r>
              <w:rPr>
                <w:rFonts w:ascii="宋体"/>
                <w:sz w:val="18"/>
              </w:rPr>
              <w:t>3,099,894.06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8" w:right="0"/>
              <w:jc w:val="left"/>
              <w:rPr>
                <w:rFonts w:ascii="宋体" w:hAnsi="宋体" w:cs="宋体" w:eastAsia="宋体" w:hint="default"/>
                <w:sz w:val="18"/>
                <w:szCs w:val="18"/>
              </w:rPr>
            </w:pPr>
            <w:r>
              <w:rPr>
                <w:rFonts w:ascii="宋体"/>
                <w:sz w:val="18"/>
              </w:rPr>
              <w:t>3,609,777.96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50"/>
      <w:bookmarkEnd w:id="350"/>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项目" w:id="351"/>
      <w:bookmarkEnd w:id="351"/>
      <w:r>
        <w:rPr>
          <w:b w:val="0"/>
          <w:bCs w:val="0"/>
        </w:rPr>
      </w:r>
      <w:r>
        <w:rPr/>
        <w:t>（</w:t>
      </w:r>
      <w:r>
        <w:rPr>
          <w:rFonts w:ascii="宋体" w:hAnsi="宋体" w:cs="宋体" w:eastAsia="宋体" w:hint="default"/>
        </w:rPr>
        <w:t>1</w:t>
      </w:r>
      <w:r>
        <w:rPr/>
        <w:t>）应收项目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17"/>
        <w:gridCol w:w="2937"/>
        <w:gridCol w:w="1361"/>
        <w:gridCol w:w="1372"/>
        <w:gridCol w:w="1379"/>
        <w:gridCol w:w="1202"/>
      </w:tblGrid>
      <w:tr>
        <w:trPr>
          <w:trHeight w:val="402" w:hRule="exact"/>
        </w:trPr>
        <w:tc>
          <w:tcPr>
            <w:tcW w:w="131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17" w:type="dxa"/>
            <w:vMerge/>
            <w:tcBorders>
              <w:left w:val="single" w:sz="4" w:space="0" w:color="000000"/>
              <w:bottom w:val="single" w:sz="4" w:space="0" w:color="000000"/>
              <w:right w:val="single" w:sz="4" w:space="0" w:color="000000"/>
            </w:tcBorders>
          </w:tcPr>
          <w:p>
            <w:pPr/>
          </w:p>
        </w:tc>
        <w:tc>
          <w:tcPr>
            <w:tcW w:w="2937"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40,232.00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40,232.00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40,232.00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40,232.00</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541,562.00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521,289.00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522,861.80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215,487.21</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87,731.61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87,731.61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87,731.61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87,731.61</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1,883,181.87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94,159.09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1,132,194.23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56,609.71</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477,554.00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360,266.20</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38,500.00</w:t>
            </w:r>
          </w:p>
        </w:tc>
      </w:tr>
      <w:tr>
        <w:trPr>
          <w:trHeight w:val="40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应付项目" w:id="352"/>
      <w:bookmarkEnd w:id="352"/>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06"/>
        <w:gridCol w:w="2979"/>
        <w:gridCol w:w="2392"/>
        <w:gridCol w:w="2392"/>
      </w:tblGrid>
      <w:tr>
        <w:trPr>
          <w:trHeight w:val="402" w:hRule="exact"/>
        </w:trPr>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武汉华工图像技术开发有限公司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150,855.15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445,665.13</w:t>
            </w:r>
          </w:p>
        </w:tc>
      </w:tr>
      <w:tr>
        <w:trPr>
          <w:trHeight w:val="402" w:hRule="exact"/>
        </w:trPr>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29,820.00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55,258.00</w:t>
            </w:r>
          </w:p>
        </w:tc>
      </w:tr>
      <w:tr>
        <w:trPr>
          <w:trHeight w:val="402" w:hRule="exact"/>
        </w:trPr>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194,838.55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191,085.92</w:t>
            </w:r>
          </w:p>
        </w:tc>
      </w:tr>
      <w:tr>
        <w:trPr>
          <w:trHeight w:val="402" w:hRule="exact"/>
        </w:trPr>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174,000.00</w:t>
            </w:r>
          </w:p>
        </w:tc>
      </w:tr>
      <w:tr>
        <w:trPr>
          <w:trHeight w:val="403" w:hRule="exact"/>
        </w:trPr>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9,504.51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承诺及或有事项" w:id="353"/>
      <w:bookmarkEnd w:id="353"/>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54"/>
      <w:bookmarkEnd w:id="354"/>
      <w:r>
        <w:rPr>
          <w:b w:val="0"/>
          <w:bCs w:val="0"/>
        </w:rPr>
      </w:r>
      <w:r>
        <w:rPr>
          <w:rFonts w:ascii="宋体" w:hAnsi="宋体" w:cs="宋体" w:eastAsia="宋体" w:hint="default"/>
        </w:rPr>
        <w:t>1</w:t>
      </w:r>
      <w:r>
        <w:rPr/>
        <w:t>、重要承诺事项</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日，本公司无需要披露的重要承诺事项。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或有事项" w:id="355"/>
      <w:bookmarkEnd w:id="355"/>
      <w:r>
        <w:rPr>
          <w:b w:val="0"/>
          <w:bCs w:val="0"/>
        </w:rPr>
      </w:r>
      <w:r>
        <w:rPr>
          <w:rFonts w:ascii="宋体" w:hAnsi="宋体" w:cs="宋体" w:eastAsia="宋体" w:hint="default"/>
        </w:rPr>
        <w:t>2</w:t>
      </w:r>
      <w:r>
        <w:rPr/>
        <w:t>、或有事项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日，本公司无需要披露的重要或有事项。</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56"/>
      <w:bookmarkEnd w:id="356"/>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利润分配情况" w:id="357"/>
      <w:bookmarkEnd w:id="357"/>
      <w:r>
        <w:rPr>
          <w:b w:val="0"/>
          <w:bCs w:val="0"/>
        </w:rPr>
      </w:r>
      <w:r>
        <w:rPr/>
        <w:t>利润分配情况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五、其他重要事项" w:id="358"/>
      <w:bookmarkEnd w:id="358"/>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59"/>
      <w:bookmarkEnd w:id="359"/>
      <w:r>
        <w:rPr>
          <w:b w:val="0"/>
          <w:bCs w:val="0"/>
        </w:rPr>
      </w:r>
      <w:r>
        <w:rPr>
          <w:rFonts w:ascii="宋体" w:hAnsi="宋体" w:cs="宋体" w:eastAsia="宋体" w:hint="default"/>
        </w:rPr>
        <w:t>1</w:t>
      </w:r>
      <w:r>
        <w:rPr/>
        <w:t>、分部信息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报告分部的确定依据与会计政策" w:id="360"/>
      <w:bookmarkEnd w:id="360"/>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032" w:firstLine="360"/>
        <w:jc w:val="left"/>
      </w:pPr>
      <w:r>
        <w:rPr/>
        <w:t>本公司的经营业务根据业务的性质以及所提供的产品和服务分开组织和管理。本公司的每个经营分部是一个业务主体， 提供面临不同于其他经营分部的风险并取得不同于其他经营分部的报酬的产品和服务。</w:t>
      </w:r>
    </w:p>
    <w:p>
      <w:pPr>
        <w:pStyle w:val="BodyText"/>
        <w:spacing w:line="357" w:lineRule="auto" w:before="56"/>
        <w:ind w:left="514" w:right="1122"/>
        <w:jc w:val="left"/>
      </w:pPr>
      <w:r>
        <w:rPr/>
        <w:t>本公司的经营分部的分类与内容如下： </w:t>
      </w:r>
      <w:r>
        <w:rPr>
          <w:rFonts w:ascii="宋体" w:hAnsi="宋体" w:cs="宋体" w:eastAsia="宋体" w:hint="default"/>
        </w:rPr>
        <w:t>A</w:t>
      </w:r>
      <w:r>
        <w:rPr/>
        <w:t>、数据安全业务：包括母公司及子公司百望信息、湖北百旺、聚联网络、擎动网络、果核科技，业务涵盖智能卡、终</w:t>
      </w:r>
    </w:p>
    <w:p>
      <w:pPr>
        <w:pStyle w:val="BodyText"/>
        <w:spacing w:line="357" w:lineRule="auto"/>
        <w:ind w:left="514" w:right="1122" w:hanging="360"/>
        <w:jc w:val="left"/>
      </w:pPr>
      <w:r>
        <w:rPr/>
        <w:t>端、以数据安全技术为核心的服务，产品应用于金融、通信、交通、税务、政府等领域。 </w:t>
      </w:r>
      <w:r>
        <w:rPr>
          <w:rFonts w:ascii="宋体" w:hAnsi="宋体" w:cs="宋体" w:eastAsia="宋体" w:hint="default"/>
        </w:rPr>
        <w:t>B</w:t>
      </w:r>
      <w:r>
        <w:rPr/>
        <w:t>、智慧教育业务：包括子公司天喻教育、易考乐学、无锡尚蠡、上海天喻云、贵州天喻通慧教育科技有限公司、现代</w:t>
      </w:r>
    </w:p>
    <w:p>
      <w:pPr>
        <w:pStyle w:val="BodyText"/>
        <w:spacing w:line="224" w:lineRule="exact"/>
        <w:ind w:right="0"/>
        <w:jc w:val="left"/>
      </w:pPr>
      <w:r>
        <w:rPr/>
        <w:t>教育、鱼渔课堂、河南喻周、湖北天喻教育研究院，业务涵盖以国家教育信息化建设为背景的</w:t>
      </w:r>
      <w:r>
        <w:rPr>
          <w:rFonts w:ascii="宋体" w:hAnsi="宋体" w:cs="宋体" w:eastAsia="宋体" w:hint="default"/>
        </w:rPr>
        <w:t>K12</w:t>
      </w:r>
      <w:r>
        <w:rPr/>
        <w:t>阶段教育云平台与应用的</w:t>
      </w:r>
    </w:p>
    <w:p>
      <w:pPr>
        <w:pStyle w:val="BodyText"/>
        <w:spacing w:line="357" w:lineRule="auto" w:before="77"/>
        <w:ind w:left="514" w:right="0" w:hanging="360"/>
        <w:jc w:val="left"/>
      </w:pPr>
      <w:r>
        <w:rPr/>
        <w:t>开发、销售、运营业务及</w:t>
      </w:r>
      <w:r>
        <w:rPr>
          <w:rFonts w:ascii="宋体" w:hAnsi="宋体" w:cs="宋体" w:eastAsia="宋体" w:hint="default"/>
        </w:rPr>
        <w:t>K12</w:t>
      </w:r>
      <w:r>
        <w:rPr/>
        <w:t>阶段学生在线学习服务平台运营服务。 </w:t>
      </w:r>
      <w:r>
        <w:rPr>
          <w:spacing w:val="-2"/>
        </w:rPr>
        <w:t>管理层出于配置资源和评价业绩的目的，对各业务单元的经营分开进行管理。各经营分部业绩以报告的分部利润为基础</w:t>
      </w:r>
    </w:p>
    <w:p>
      <w:pPr>
        <w:spacing w:after="0" w:line="357" w:lineRule="auto"/>
        <w:jc w:val="left"/>
        <w:sectPr>
          <w:pgSz w:w="11910" w:h="16840"/>
          <w:pgMar w:header="0" w:footer="1187" w:top="1100" w:bottom="138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614" w:right="7332" w:hanging="360"/>
        <w:jc w:val="left"/>
      </w:pPr>
      <w:r>
        <w:rPr/>
        <w:t>进行评价。该指标与利润总额是一致的。 分部间的转移定价按照市场价值确认。</w:t>
      </w:r>
    </w:p>
    <w:p>
      <w:pPr>
        <w:spacing w:line="240" w:lineRule="auto" w:before="1"/>
        <w:rPr>
          <w:rFonts w:ascii="宋体" w:hAnsi="宋体" w:cs="宋体" w:eastAsia="宋体" w:hint="default"/>
          <w:sz w:val="20"/>
          <w:szCs w:val="20"/>
        </w:rPr>
      </w:pPr>
    </w:p>
    <w:p>
      <w:pPr>
        <w:pStyle w:val="Heading3"/>
        <w:spacing w:line="240" w:lineRule="auto"/>
        <w:ind w:left="254" w:right="1032"/>
        <w:jc w:val="left"/>
        <w:rPr>
          <w:b w:val="0"/>
          <w:bCs w:val="0"/>
        </w:rPr>
      </w:pPr>
      <w:bookmarkStart w:name="（2）报告分部的财务信息" w:id="361"/>
      <w:bookmarkEnd w:id="361"/>
      <w:r>
        <w:rPr>
          <w:b w:val="0"/>
          <w:bCs w:val="0"/>
        </w:rPr>
      </w:r>
      <w:r>
        <w:rPr/>
        <w:t>（</w:t>
      </w:r>
      <w:r>
        <w:rPr>
          <w:rFonts w:ascii="宋体" w:hAnsi="宋体" w:cs="宋体" w:eastAsia="宋体" w:hint="default"/>
        </w:rPr>
        <w:t>2</w:t>
      </w:r>
      <w:r>
        <w:rPr/>
        <w:t>）报告分部的财务信息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85"/>
        <w:gridCol w:w="1559"/>
        <w:gridCol w:w="1428"/>
        <w:gridCol w:w="1441"/>
        <w:gridCol w:w="1700"/>
        <w:gridCol w:w="159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数据安全业务单元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智慧教育业务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2,203,613,303.24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sz w:val="18"/>
              </w:rPr>
              <w:t>193,373,576.40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2,396,986,879.64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70,379,417.73</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-70,379,417.73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169,445,925.95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77,598,073.29</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247,043,999.24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9,561,157.59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33,689.67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-6,717,688.10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2,877,159.16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10,948,906.29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6,717,688.10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-6,717,688.10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10,948,906.29</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对联营企业和合营企业 的投资收益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center"/>
              <w:rPr>
                <w:rFonts w:ascii="宋体" w:hAnsi="宋体" w:cs="宋体" w:eastAsia="宋体" w:hint="default"/>
                <w:sz w:val="18"/>
                <w:szCs w:val="18"/>
              </w:rPr>
            </w:pPr>
            <w:r>
              <w:rPr>
                <w:rFonts w:ascii="宋体"/>
                <w:sz w:val="18"/>
              </w:rPr>
              <w:t>-2,031,174.65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-2,031,174.65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83,432,174.35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782,664.41</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84,214,838.76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36,496,058.18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3,251,516.97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39,747,575.15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利润总额（亏损）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89,042,519.94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38,585,940.28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center"/>
              <w:rPr>
                <w:rFonts w:ascii="宋体" w:hAnsi="宋体" w:cs="宋体" w:eastAsia="宋体" w:hint="default"/>
                <w:sz w:val="18"/>
                <w:szCs w:val="18"/>
              </w:rPr>
            </w:pPr>
            <w:r>
              <w:rPr>
                <w:rFonts w:ascii="宋体"/>
                <w:sz w:val="18"/>
              </w:rPr>
              <w:t>-2,031,174.65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125,597,285.57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2,051,472,220.26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sz w:val="18"/>
              </w:rPr>
              <w:t>256,386,748.31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center"/>
              <w:rPr>
                <w:rFonts w:ascii="宋体" w:hAnsi="宋体" w:cs="宋体" w:eastAsia="宋体" w:hint="default"/>
                <w:sz w:val="18"/>
                <w:szCs w:val="18"/>
              </w:rPr>
            </w:pPr>
            <w:r>
              <w:rPr>
                <w:rFonts w:ascii="宋体"/>
                <w:sz w:val="18"/>
              </w:rPr>
              <w:t>259,155,686.11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-470,615,532.16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2,096,399,122.52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795,544,847.67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sz w:val="18"/>
              </w:rPr>
              <w:t>298,893,287.54</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-283,495,532.16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810,942,603.05</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对联营企业和合营企业 的长期股权投资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72,035,686.11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72,035,686.11</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长期股权投资以外的其 他非流动资产增加额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16,071,382.80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27,122,217.73</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43,193,600.53</w:t>
            </w:r>
          </w:p>
        </w:tc>
      </w:tr>
    </w:tbl>
    <w:p>
      <w:pPr>
        <w:spacing w:line="240" w:lineRule="auto" w:before="2"/>
        <w:rPr>
          <w:rFonts w:ascii="宋体" w:hAnsi="宋体" w:cs="宋体" w:eastAsia="宋体" w:hint="default"/>
          <w:sz w:val="18"/>
          <w:szCs w:val="18"/>
        </w:rPr>
      </w:pPr>
    </w:p>
    <w:p>
      <w:pPr>
        <w:pStyle w:val="Heading2"/>
        <w:spacing w:line="240" w:lineRule="auto" w:before="26"/>
        <w:ind w:left="254" w:right="1032"/>
        <w:jc w:val="left"/>
        <w:rPr>
          <w:b w:val="0"/>
          <w:bCs w:val="0"/>
        </w:rPr>
      </w:pPr>
      <w:bookmarkStart w:name="十六、母公司财务报表主要项目注释" w:id="362"/>
      <w:bookmarkEnd w:id="362"/>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1032"/>
        <w:jc w:val="left"/>
        <w:rPr>
          <w:b w:val="0"/>
          <w:bCs w:val="0"/>
        </w:rPr>
      </w:pPr>
      <w:bookmarkStart w:name="1、应收票据及应收账款" w:id="363"/>
      <w:bookmarkEnd w:id="363"/>
      <w:r>
        <w:rPr>
          <w:b w:val="0"/>
          <w:bCs w:val="0"/>
        </w:rPr>
      </w:r>
      <w:r>
        <w:rPr>
          <w:rFonts w:ascii="宋体" w:hAnsi="宋体" w:cs="宋体" w:eastAsia="宋体" w:hint="default"/>
        </w:rPr>
        <w:t>1</w:t>
      </w:r>
      <w:r>
        <w:rPr/>
        <w:t>、应收票据及应收账款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107,813,149.59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678,005,661.68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493,549,156.86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785,818,811.27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493,949,156.86</w:t>
            </w:r>
          </w:p>
        </w:tc>
      </w:tr>
    </w:tbl>
    <w:p>
      <w:pPr>
        <w:spacing w:line="240" w:lineRule="auto" w:before="2"/>
        <w:rPr>
          <w:rFonts w:ascii="宋体" w:hAnsi="宋体" w:cs="宋体" w:eastAsia="宋体" w:hint="default"/>
          <w:sz w:val="19"/>
          <w:szCs w:val="19"/>
        </w:rPr>
      </w:pPr>
    </w:p>
    <w:p>
      <w:pPr>
        <w:pStyle w:val="Heading3"/>
        <w:spacing w:line="535" w:lineRule="auto" w:before="35"/>
        <w:ind w:left="254" w:right="8749"/>
        <w:jc w:val="left"/>
        <w:rPr>
          <w:b w:val="0"/>
          <w:bCs w:val="0"/>
        </w:rPr>
      </w:pPr>
      <w:bookmarkStart w:name="（1）应收票据" w:id="364"/>
      <w:bookmarkEnd w:id="364"/>
      <w:r>
        <w:rPr>
          <w:b w:val="0"/>
          <w:bCs w:val="0"/>
        </w:rPr>
      </w:r>
      <w:r>
        <w:rPr/>
        <w:t>（</w:t>
      </w:r>
      <w:r>
        <w:rPr>
          <w:rFonts w:ascii="宋体" w:hAnsi="宋体" w:cs="宋体" w:eastAsia="宋体" w:hint="default"/>
        </w:rPr>
        <w:t>1</w:t>
      </w:r>
      <w:r>
        <w:rPr/>
        <w:t>）应收票据</w:t>
      </w:r>
      <w:r>
        <w:rPr>
          <w:w w:val="99"/>
        </w:rPr>
        <w:t> </w:t>
      </w:r>
      <w:bookmarkStart w:name="1）应收票据分类列示" w:id="365"/>
      <w:bookmarkEnd w:id="365"/>
      <w:r>
        <w:rPr>
          <w:w w:val="99"/>
        </w:rPr>
      </w:r>
      <w:r>
        <w:rPr>
          <w:rFonts w:ascii="宋体" w:hAnsi="宋体" w:cs="宋体" w:eastAsia="宋体" w:hint="default"/>
        </w:rPr>
        <w:t>1</w:t>
      </w:r>
      <w:r>
        <w:rPr/>
        <w:t>）应收票据分类列示</w:t>
      </w:r>
      <w:r>
        <w:rPr>
          <w:b w:val="0"/>
          <w:bCs w:val="0"/>
        </w:rPr>
      </w:r>
    </w:p>
    <w:p>
      <w:pPr>
        <w:pStyle w:val="BodyText"/>
        <w:spacing w:line="240" w:lineRule="auto" w:before="105"/>
        <w:ind w:left="0" w:right="1130"/>
        <w:jc w:val="right"/>
      </w:pPr>
      <w:r>
        <w:rPr/>
        <w:t>单位： 元</w:t>
      </w:r>
    </w:p>
    <w:p>
      <w:pPr>
        <w:spacing w:after="0" w:line="240" w:lineRule="auto"/>
        <w:jc w:val="right"/>
        <w:sectPr>
          <w:pgSz w:w="11910" w:h="16840"/>
          <w:pgMar w:header="0" w:footer="1187" w:top="1100" w:bottom="1380" w:left="880" w:right="0"/>
        </w:sectPr>
      </w:pPr>
    </w:p>
    <w:p>
      <w:pPr>
        <w:spacing w:line="240" w:lineRule="auto" w:before="6"/>
        <w:rPr>
          <w:rFonts w:ascii="宋体" w:hAnsi="宋体" w:cs="宋体" w:eastAsia="宋体" w:hint="default"/>
          <w:sz w:val="24"/>
          <w:szCs w:val="24"/>
        </w:rPr>
      </w:pPr>
    </w:p>
    <w:tbl>
      <w:tblPr>
        <w:tblW w:w="0" w:type="auto"/>
        <w:jc w:val="left"/>
        <w:tblInd w:w="4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107,508,149.59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107,813,149.59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r>
    </w:tbl>
    <w:p>
      <w:pPr>
        <w:spacing w:line="240" w:lineRule="auto" w:before="2"/>
        <w:rPr>
          <w:rFonts w:ascii="宋体" w:hAnsi="宋体" w:cs="宋体" w:eastAsia="宋体" w:hint="default"/>
          <w:sz w:val="19"/>
          <w:szCs w:val="19"/>
        </w:rPr>
      </w:pPr>
    </w:p>
    <w:p>
      <w:pPr>
        <w:pStyle w:val="Heading3"/>
        <w:spacing w:line="240" w:lineRule="auto" w:before="35"/>
        <w:ind w:left="434" w:right="0"/>
        <w:jc w:val="left"/>
        <w:rPr>
          <w:b w:val="0"/>
          <w:bCs w:val="0"/>
        </w:rPr>
      </w:pPr>
      <w:bookmarkStart w:name="2）期末公司已背书或贴现且在资产负债表日尚未到期的应收票据" w:id="366"/>
      <w:bookmarkEnd w:id="366"/>
      <w:r>
        <w:rPr>
          <w:b w:val="0"/>
          <w:bCs w:val="0"/>
        </w:rPr>
      </w:r>
      <w:r>
        <w:rPr>
          <w:rFonts w:ascii="宋体" w:hAnsi="宋体" w:cs="宋体" w:eastAsia="宋体" w:hint="default"/>
        </w:rPr>
        <w:t>2</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147,171,000.00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147,171,000.00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535" w:lineRule="auto" w:before="35"/>
        <w:ind w:left="434" w:right="8749"/>
        <w:jc w:val="left"/>
        <w:rPr>
          <w:b w:val="0"/>
          <w:bCs w:val="0"/>
        </w:rPr>
      </w:pPr>
      <w:bookmarkStart w:name="（2）应收账款" w:id="367"/>
      <w:bookmarkEnd w:id="367"/>
      <w:r>
        <w:rPr>
          <w:b w:val="0"/>
          <w:bCs w:val="0"/>
        </w:rPr>
      </w:r>
      <w:r>
        <w:rPr/>
        <w:t>（</w:t>
      </w:r>
      <w:r>
        <w:rPr>
          <w:rFonts w:ascii="宋体" w:hAnsi="宋体" w:cs="宋体" w:eastAsia="宋体" w:hint="default"/>
        </w:rPr>
        <w:t>2</w:t>
      </w:r>
      <w:r>
        <w:rPr/>
        <w:t>）应收账款</w:t>
      </w:r>
      <w:r>
        <w:rPr>
          <w:w w:val="99"/>
        </w:rPr>
        <w:t> </w:t>
      </w:r>
      <w:bookmarkStart w:name="1）应收账款分类披露" w:id="368"/>
      <w:bookmarkEnd w:id="368"/>
      <w:r>
        <w:rPr>
          <w:w w:val="99"/>
        </w:rPr>
      </w:r>
      <w:r>
        <w:rPr>
          <w:rFonts w:ascii="宋体" w:hAnsi="宋体" w:cs="宋体" w:eastAsia="宋体" w:hint="default"/>
        </w:rPr>
        <w:t>1</w:t>
      </w:r>
      <w:r>
        <w:rPr/>
        <w:t>）应收账款分类披露</w:t>
      </w:r>
      <w:r>
        <w:rPr>
          <w:b w:val="0"/>
          <w:bCs w:val="0"/>
        </w:rPr>
      </w:r>
    </w:p>
    <w:p>
      <w:pPr>
        <w:pStyle w:val="BodyText"/>
        <w:spacing w:line="240" w:lineRule="auto" w:before="105"/>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02"/>
        <w:gridCol w:w="1184"/>
        <w:gridCol w:w="658"/>
        <w:gridCol w:w="1134"/>
        <w:gridCol w:w="568"/>
        <w:gridCol w:w="1134"/>
        <w:gridCol w:w="1134"/>
        <w:gridCol w:w="710"/>
        <w:gridCol w:w="1061"/>
        <w:gridCol w:w="616"/>
        <w:gridCol w:w="1158"/>
      </w:tblGrid>
      <w:tr>
        <w:trPr>
          <w:trHeight w:val="402" w:hRule="exact"/>
        </w:trPr>
        <w:tc>
          <w:tcPr>
            <w:tcW w:w="9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295"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902" w:type="dxa"/>
            <w:vMerge/>
            <w:tcBorders>
              <w:left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4" w:hRule="exact"/>
        </w:trPr>
        <w:tc>
          <w:tcPr>
            <w:tcW w:w="902"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5"/>
              <w:ind w:left="129" w:right="126"/>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5"/>
              <w:ind w:left="152" w:right="151"/>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58" w:type="dxa"/>
            <w:vMerge/>
            <w:tcBorders>
              <w:left w:val="single" w:sz="4" w:space="0" w:color="000000"/>
              <w:bottom w:val="single" w:sz="4" w:space="0" w:color="000000"/>
              <w:right w:val="single" w:sz="4" w:space="0" w:color="000000"/>
            </w:tcBorders>
          </w:tcPr>
          <w:p>
            <w:pPr/>
          </w:p>
        </w:tc>
      </w:tr>
      <w:tr>
        <w:trPr>
          <w:trHeight w:val="1338"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17"/>
              <w:jc w:val="both"/>
              <w:rPr>
                <w:rFonts w:ascii="宋体" w:hAnsi="宋体" w:cs="宋体" w:eastAsia="宋体" w:hint="default"/>
                <w:sz w:val="15"/>
                <w:szCs w:val="15"/>
              </w:rPr>
            </w:pPr>
            <w:r>
              <w:rPr>
                <w:rFonts w:ascii="宋体" w:hAnsi="宋体" w:cs="宋体" w:eastAsia="宋体" w:hint="default"/>
                <w:sz w:val="15"/>
                <w:szCs w:val="15"/>
              </w:rPr>
              <w:t>按信用风险 特征组合计 提坏账准备 的应收账款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8" w:right="0"/>
              <w:jc w:val="center"/>
              <w:rPr>
                <w:rFonts w:ascii="宋体" w:hAnsi="宋体" w:cs="宋体" w:eastAsia="宋体" w:hint="default"/>
                <w:sz w:val="15"/>
                <w:szCs w:val="15"/>
              </w:rPr>
            </w:pPr>
            <w:r>
              <w:rPr>
                <w:rFonts w:ascii="宋体"/>
                <w:sz w:val="15"/>
              </w:rPr>
              <w:t>794,355,947.54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8" w:right="0"/>
              <w:jc w:val="center"/>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center"/>
              <w:rPr>
                <w:rFonts w:ascii="宋体" w:hAnsi="宋体" w:cs="宋体" w:eastAsia="宋体" w:hint="default"/>
                <w:sz w:val="15"/>
                <w:szCs w:val="15"/>
              </w:rPr>
            </w:pPr>
            <w:r>
              <w:rPr>
                <w:rFonts w:ascii="宋体"/>
                <w:sz w:val="15"/>
              </w:rPr>
              <w:t>116,350,285.86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678,005,661.68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 w:right="0"/>
              <w:jc w:val="center"/>
              <w:rPr>
                <w:rFonts w:ascii="宋体" w:hAnsi="宋体" w:cs="宋体" w:eastAsia="宋体" w:hint="default"/>
                <w:sz w:val="15"/>
                <w:szCs w:val="15"/>
              </w:rPr>
            </w:pPr>
            <w:r>
              <w:rPr>
                <w:rFonts w:ascii="宋体"/>
                <w:sz w:val="15"/>
              </w:rPr>
              <w:t>590,868,820.41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5"/>
                <w:szCs w:val="15"/>
              </w:rPr>
            </w:pPr>
            <w:r>
              <w:rPr>
                <w:rFonts w:ascii="宋体"/>
                <w:sz w:val="15"/>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 w:right="0"/>
              <w:jc w:val="center"/>
              <w:rPr>
                <w:rFonts w:ascii="宋体" w:hAnsi="宋体" w:cs="宋体" w:eastAsia="宋体" w:hint="default"/>
                <w:sz w:val="15"/>
                <w:szCs w:val="15"/>
              </w:rPr>
            </w:pPr>
            <w:r>
              <w:rPr>
                <w:rFonts w:ascii="宋体"/>
                <w:sz w:val="15"/>
              </w:rPr>
              <w:t>97,319,663.55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16.47%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15"/>
                <w:szCs w:val="15"/>
              </w:rPr>
            </w:pPr>
            <w:r>
              <w:rPr>
                <w:rFonts w:ascii="宋体"/>
                <w:sz w:val="15"/>
              </w:rPr>
              <w:t>493,549,156.86</w:t>
            </w:r>
          </w:p>
        </w:tc>
      </w:tr>
      <w:tr>
        <w:trPr>
          <w:trHeight w:val="402"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794,355,947.54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center"/>
              <w:rPr>
                <w:rFonts w:ascii="宋体" w:hAnsi="宋体" w:cs="宋体" w:eastAsia="宋体" w:hint="default"/>
                <w:sz w:val="15"/>
                <w:szCs w:val="15"/>
              </w:rPr>
            </w:pPr>
            <w:r>
              <w:rPr>
                <w:rFonts w:ascii="宋体"/>
                <w:sz w:val="15"/>
              </w:rPr>
              <w:t>116,350,285.86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14.65%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678,005,661.68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590,868,820.41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1" w:right="0"/>
              <w:jc w:val="left"/>
              <w:rPr>
                <w:rFonts w:ascii="宋体" w:hAnsi="宋体" w:cs="宋体" w:eastAsia="宋体" w:hint="default"/>
                <w:sz w:val="15"/>
                <w:szCs w:val="15"/>
              </w:rPr>
            </w:pPr>
            <w:r>
              <w:rPr>
                <w:rFonts w:ascii="宋体"/>
                <w:sz w:val="15"/>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 w:right="0"/>
              <w:jc w:val="center"/>
              <w:rPr>
                <w:rFonts w:ascii="宋体" w:hAnsi="宋体" w:cs="宋体" w:eastAsia="宋体" w:hint="default"/>
                <w:sz w:val="15"/>
                <w:szCs w:val="15"/>
              </w:rPr>
            </w:pPr>
            <w:r>
              <w:rPr>
                <w:rFonts w:ascii="宋体"/>
                <w:sz w:val="15"/>
              </w:rPr>
              <w:t>97,319,663.55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16.47%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 w:right="0"/>
              <w:jc w:val="center"/>
              <w:rPr>
                <w:rFonts w:ascii="宋体" w:hAnsi="宋体" w:cs="宋体" w:eastAsia="宋体" w:hint="default"/>
                <w:sz w:val="15"/>
                <w:szCs w:val="15"/>
              </w:rPr>
            </w:pPr>
            <w:r>
              <w:rPr>
                <w:rFonts w:ascii="宋体"/>
                <w:sz w:val="15"/>
              </w:rPr>
              <w:t>493,549,156.86</w:t>
            </w:r>
          </w:p>
        </w:tc>
      </w:tr>
    </w:tbl>
    <w:p>
      <w:pPr>
        <w:spacing w:line="240" w:lineRule="auto" w:before="9"/>
        <w:rPr>
          <w:rFonts w:ascii="宋体" w:hAnsi="宋体" w:cs="宋体" w:eastAsia="宋体" w:hint="default"/>
          <w:sz w:val="6"/>
          <w:szCs w:val="6"/>
        </w:rPr>
      </w:pPr>
    </w:p>
    <w:p>
      <w:pPr>
        <w:pStyle w:val="BodyText"/>
        <w:spacing w:line="240" w:lineRule="auto" w:before="44"/>
        <w:ind w:left="434" w:right="0"/>
        <w:jc w:val="left"/>
      </w:pPr>
      <w:r>
        <w:rPr/>
        <w:t>期末单项金额重大并单项计提坏账准备的应收账款：</w:t>
      </w:r>
    </w:p>
    <w:p>
      <w:pPr>
        <w:pStyle w:val="BodyText"/>
        <w:spacing w:line="240" w:lineRule="auto" w:before="117"/>
        <w:ind w:left="434" w:right="0"/>
        <w:jc w:val="left"/>
      </w:pPr>
      <w:r>
        <w:rPr/>
        <w:t>□ 适用 √ 不适用</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87" w:top="1100" w:bottom="1380" w:left="700" w:right="0"/>
        </w:sectPr>
      </w:pPr>
    </w:p>
    <w:p>
      <w:pPr>
        <w:pStyle w:val="BodyText"/>
        <w:spacing w:line="240" w:lineRule="auto" w:before="44"/>
        <w:ind w:left="434" w:right="-20"/>
        <w:jc w:val="left"/>
      </w:pPr>
      <w:r>
        <w:rPr/>
        <w:t>组合中，按账龄分析法计提坏账准备的应收账款：</w:t>
      </w:r>
    </w:p>
    <w:p>
      <w:pPr>
        <w:pStyle w:val="BodyText"/>
        <w:spacing w:line="240" w:lineRule="auto" w:before="117"/>
        <w:ind w:left="4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433" w:right="0"/>
        <w:jc w:val="left"/>
      </w:pPr>
      <w:r>
        <w:rPr/>
        <w:t>单位： 元</w:t>
      </w:r>
    </w:p>
    <w:p>
      <w:pPr>
        <w:spacing w:after="0" w:line="240" w:lineRule="auto"/>
        <w:jc w:val="left"/>
        <w:sectPr>
          <w:type w:val="continuous"/>
          <w:pgSz w:w="11910" w:h="16840"/>
          <w:pgMar w:top="1580" w:bottom="700" w:left="700" w:right="0"/>
          <w:cols w:num="2" w:equalWidth="0">
            <w:col w:w="4395" w:space="4435"/>
            <w:col w:w="2380"/>
          </w:cols>
        </w:sectPr>
      </w:pPr>
    </w:p>
    <w:p>
      <w:pPr>
        <w:spacing w:line="240" w:lineRule="auto" w:before="1"/>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2494"/>
        <w:gridCol w:w="2295"/>
        <w:gridCol w:w="2391"/>
        <w:gridCol w:w="2461"/>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678,740,403.80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33,937,020.19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17,813,441.38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1,781,344.14</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9,819,182.24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2,945,754.67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16,459,284.95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16,459,284.95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type w:val="continuous"/>
          <w:pgSz w:w="11910" w:h="16840"/>
          <w:pgMar w:top="1580" w:bottom="700" w:left="70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461"/>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5,326,465.10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5,326,465.10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55,900,416.81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55,900,416.81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784,059,194.28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116,350,285.86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14.84%</w:t>
            </w:r>
          </w:p>
        </w:tc>
      </w:tr>
    </w:tbl>
    <w:p>
      <w:pPr>
        <w:spacing w:line="240" w:lineRule="auto" w:before="9"/>
        <w:rPr>
          <w:rFonts w:ascii="宋体" w:hAnsi="宋体" w:cs="宋体" w:eastAsia="宋体" w:hint="default"/>
          <w:sz w:val="6"/>
          <w:szCs w:val="6"/>
        </w:rPr>
      </w:pPr>
    </w:p>
    <w:p>
      <w:pPr>
        <w:pStyle w:val="BodyText"/>
        <w:spacing w:line="360" w:lineRule="auto" w:before="44"/>
        <w:ind w:right="6432"/>
        <w:jc w:val="left"/>
      </w:pPr>
      <w:r>
        <w:rPr/>
        <w:t>确定该组合依据的说明： 组合中，采用余额百分比法计提坏账准备的应收账款：</w:t>
      </w:r>
    </w:p>
    <w:p>
      <w:pPr>
        <w:pStyle w:val="BodyText"/>
        <w:spacing w:line="439" w:lineRule="auto" w:before="26"/>
        <w:ind w:right="6792"/>
        <w:jc w:val="left"/>
      </w:pPr>
      <w:r>
        <w:rPr/>
        <w:t>□ 适用 √ 不适用 组合中，采用其他方法计提坏账准备的应收账款：</w:t>
      </w:r>
    </w:p>
    <w:p>
      <w:pPr>
        <w:pStyle w:val="BodyText"/>
        <w:spacing w:line="202" w:lineRule="exact"/>
        <w:ind w:left="514" w:right="0"/>
        <w:jc w:val="left"/>
      </w:pPr>
      <w:r>
        <w:rPr/>
        <w:t>应收账款中，对合并范围内的子公司的应收款项</w:t>
      </w:r>
      <w:r>
        <w:rPr>
          <w:rFonts w:ascii="宋体" w:hAnsi="宋体" w:cs="宋体" w:eastAsia="宋体" w:hint="default"/>
        </w:rPr>
        <w:t>10,296,753.26</w:t>
      </w:r>
      <w:r>
        <w:rPr/>
        <w:t>元，不计提坏账准备。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369"/>
      <w:bookmarkEnd w:id="369"/>
      <w:r>
        <w:rPr>
          <w:b w:val="0"/>
          <w:bCs w:val="0"/>
        </w:rPr>
      </w:r>
      <w:r>
        <w:rPr>
          <w:rFonts w:ascii="宋体" w:hAnsi="宋体" w:cs="宋体" w:eastAsia="宋体" w:hint="default"/>
        </w:rPr>
        <w:t>2</w:t>
      </w:r>
      <w:r>
        <w:rPr/>
        <w:t>）本期计提、收回或转回的坏账准备情况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187" w:top="1100" w:bottom="1380" w:left="980" w:right="0"/>
        </w:sectPr>
      </w:pPr>
    </w:p>
    <w:p>
      <w:pPr>
        <w:pStyle w:val="BodyText"/>
        <w:spacing w:line="360" w:lineRule="auto" w:before="44"/>
        <w:ind w:left="514" w:right="-18"/>
        <w:jc w:val="left"/>
      </w:pPr>
      <w:r>
        <w:rPr/>
        <w:t>本期计提坏账准备金额</w:t>
      </w:r>
      <w:r>
        <w:rPr>
          <w:spacing w:val="-46"/>
        </w:rPr>
        <w:t> </w:t>
      </w:r>
      <w:r>
        <w:rPr>
          <w:rFonts w:ascii="宋体" w:hAnsi="宋体" w:cs="宋体" w:eastAsia="宋体" w:hint="default"/>
        </w:rPr>
        <w:t>18,698,422.31</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332,200.00</w:t>
      </w:r>
      <w:r>
        <w:rPr>
          <w:rFonts w:ascii="宋体" w:hAnsi="宋体" w:cs="宋体" w:eastAsia="宋体" w:hint="default"/>
          <w:spacing w:val="-44"/>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13" w:right="0"/>
        <w:jc w:val="left"/>
      </w:pPr>
      <w:r>
        <w:rPr/>
        <w:t>单位： 元</w:t>
      </w:r>
    </w:p>
    <w:p>
      <w:pPr>
        <w:spacing w:after="0" w:line="240" w:lineRule="auto"/>
        <w:jc w:val="left"/>
        <w:sectPr>
          <w:type w:val="continuous"/>
          <w:pgSz w:w="11910" w:h="16840"/>
          <w:pgMar w:top="1580" w:bottom="700" w:left="980" w:right="0"/>
          <w:cols w:num="2" w:equalWidth="0">
            <w:col w:w="7625" w:space="845"/>
            <w:col w:w="246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江苏紫金万成自动化控制设备有限公司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332,200.00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现金回款</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332,200.00</w:t>
            </w: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名的应收账款情况" w:id="370"/>
      <w:bookmarkEnd w:id="370"/>
      <w:r>
        <w:rPr>
          <w:b w:val="0"/>
          <w:bCs w:val="0"/>
        </w:rPr>
      </w:r>
      <w:r>
        <w:rPr>
          <w:rFonts w:ascii="宋体" w:hAnsi="宋体" w:cs="宋体" w:eastAsia="宋体"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1122" w:firstLine="450"/>
        <w:jc w:val="left"/>
      </w:pPr>
      <w:r>
        <w:rPr/>
        <w:t>截至报告期末按欠款方归集的期末余额前五名应收账款合计为</w:t>
      </w:r>
      <w:r>
        <w:rPr>
          <w:rFonts w:ascii="宋体" w:hAnsi="宋体" w:cs="宋体" w:eastAsia="宋体" w:hint="default"/>
        </w:rPr>
        <w:t>356,065,625.00</w:t>
      </w:r>
      <w:r>
        <w:rPr/>
        <w:t>元，占应收账款期末余额合计数的比例 为</w:t>
      </w:r>
      <w:r>
        <w:rPr>
          <w:rFonts w:ascii="宋体" w:hAnsi="宋体" w:cs="宋体" w:eastAsia="宋体" w:hint="default"/>
        </w:rPr>
        <w:t>44.82%</w:t>
      </w:r>
      <w:r>
        <w:rPr/>
        <w:t>，相应计提的坏账准备期末余额合计为</w:t>
      </w:r>
      <w:r>
        <w:rPr>
          <w:rFonts w:ascii="宋体" w:hAnsi="宋体" w:cs="宋体" w:eastAsia="宋体" w:hint="default"/>
        </w:rPr>
        <w:t>41,737,780.75</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其他应收款" w:id="371"/>
      <w:bookmarkEnd w:id="371"/>
      <w:r>
        <w:rPr>
          <w:b w:val="0"/>
          <w:bCs w:val="0"/>
        </w:rPr>
      </w:r>
      <w:r>
        <w:rPr>
          <w:rFonts w:ascii="宋体" w:hAnsi="宋体" w:cs="宋体" w:eastAsia="宋体" w:hint="default"/>
        </w:rPr>
        <w:t>2</w:t>
      </w:r>
      <w:r>
        <w:rPr/>
        <w:t>、其他应收款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242,737,410.85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174,991,190.10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242,737,410.85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174,991,190.10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其他应收款分类披露" w:id="372"/>
      <w:bookmarkEnd w:id="372"/>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20"/>
        <w:gridCol w:w="1163"/>
        <w:gridCol w:w="695"/>
        <w:gridCol w:w="993"/>
        <w:gridCol w:w="566"/>
        <w:gridCol w:w="1134"/>
        <w:gridCol w:w="1217"/>
        <w:gridCol w:w="627"/>
        <w:gridCol w:w="992"/>
        <w:gridCol w:w="566"/>
        <w:gridCol w:w="1120"/>
      </w:tblGrid>
      <w:tr>
        <w:trPr>
          <w:trHeight w:val="402" w:hRule="exact"/>
        </w:trPr>
        <w:tc>
          <w:tcPr>
            <w:tcW w:w="11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5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120" w:type="dxa"/>
            <w:vMerge/>
            <w:tcBorders>
              <w:left w:val="single" w:sz="4" w:space="0" w:color="000000"/>
              <w:right w:val="single" w:sz="4" w:space="0" w:color="000000"/>
            </w:tcBorders>
          </w:tcPr>
          <w:p>
            <w:pPr/>
          </w:p>
        </w:tc>
        <w:tc>
          <w:tcPr>
            <w:tcW w:w="1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4" w:hRule="exact"/>
        </w:trPr>
        <w:tc>
          <w:tcPr>
            <w:tcW w:w="1120" w:type="dxa"/>
            <w:vMerge/>
            <w:tcBorders>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5"/>
              <w:ind w:left="128" w:right="126"/>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34"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5"/>
              <w:ind w:left="128" w:right="126"/>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20" w:type="dxa"/>
            <w:vMerge/>
            <w:tcBorders>
              <w:left w:val="single" w:sz="4" w:space="0" w:color="000000"/>
              <w:bottom w:val="single" w:sz="4" w:space="0" w:color="000000"/>
              <w:right w:val="single" w:sz="4" w:space="0" w:color="000000"/>
            </w:tcBorders>
          </w:tcPr>
          <w:p>
            <w:pPr/>
          </w:p>
        </w:tc>
      </w:tr>
      <w:tr>
        <w:trPr>
          <w:trHeight w:val="674"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5"/>
              <w:ind w:left="22" w:right="35"/>
              <w:jc w:val="left"/>
              <w:rPr>
                <w:rFonts w:ascii="宋体" w:hAnsi="宋体" w:cs="宋体" w:eastAsia="宋体" w:hint="default"/>
                <w:sz w:val="15"/>
                <w:szCs w:val="15"/>
              </w:rPr>
            </w:pPr>
            <w:r>
              <w:rPr>
                <w:rFonts w:ascii="宋体" w:hAnsi="宋体" w:cs="宋体" w:eastAsia="宋体" w:hint="default"/>
                <w:sz w:val="15"/>
                <w:szCs w:val="15"/>
              </w:rPr>
              <w:t>按信用风险特征 组合计提坏账准</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7" w:right="0"/>
              <w:jc w:val="center"/>
              <w:rPr>
                <w:rFonts w:ascii="宋体" w:hAnsi="宋体" w:cs="宋体" w:eastAsia="宋体" w:hint="default"/>
                <w:sz w:val="15"/>
                <w:szCs w:val="15"/>
              </w:rPr>
            </w:pPr>
            <w:r>
              <w:rPr>
                <w:rFonts w:ascii="宋体"/>
                <w:sz w:val="15"/>
              </w:rPr>
              <w:t>247,940,403.40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2" w:right="0"/>
              <w:jc w:val="center"/>
              <w:rPr>
                <w:rFonts w:ascii="宋体" w:hAnsi="宋体" w:cs="宋体" w:eastAsia="宋体" w:hint="default"/>
                <w:sz w:val="15"/>
                <w:szCs w:val="15"/>
              </w:rPr>
            </w:pPr>
            <w:r>
              <w:rPr>
                <w:rFonts w:ascii="宋体"/>
                <w:sz w:val="15"/>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 w:right="0"/>
              <w:jc w:val="center"/>
              <w:rPr>
                <w:rFonts w:ascii="宋体" w:hAnsi="宋体" w:cs="宋体" w:eastAsia="宋体" w:hint="default"/>
                <w:sz w:val="15"/>
                <w:szCs w:val="15"/>
              </w:rPr>
            </w:pPr>
            <w:r>
              <w:rPr>
                <w:rFonts w:ascii="宋体"/>
                <w:sz w:val="15"/>
              </w:rPr>
              <w:t>5,202,992.55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5"/>
                <w:szCs w:val="15"/>
              </w:rPr>
            </w:pPr>
            <w:r>
              <w:rPr>
                <w:rFonts w:ascii="宋体"/>
                <w:sz w:val="15"/>
              </w:rPr>
              <w:t>2.10%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5"/>
                <w:szCs w:val="15"/>
              </w:rPr>
            </w:pPr>
            <w:r>
              <w:rPr>
                <w:rFonts w:ascii="宋体"/>
                <w:sz w:val="15"/>
              </w:rPr>
              <w:t>242,737,410.85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1" w:right="0"/>
              <w:jc w:val="center"/>
              <w:rPr>
                <w:rFonts w:ascii="宋体" w:hAnsi="宋体" w:cs="宋体" w:eastAsia="宋体" w:hint="default"/>
                <w:sz w:val="15"/>
                <w:szCs w:val="15"/>
              </w:rPr>
            </w:pPr>
            <w:r>
              <w:rPr>
                <w:rFonts w:ascii="宋体"/>
                <w:sz w:val="15"/>
              </w:rPr>
              <w:t>179,709,961.25</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 w:right="0"/>
              <w:jc w:val="center"/>
              <w:rPr>
                <w:rFonts w:ascii="宋体" w:hAnsi="宋体" w:cs="宋体" w:eastAsia="宋体" w:hint="default"/>
                <w:sz w:val="15"/>
                <w:szCs w:val="15"/>
              </w:rPr>
            </w:pPr>
            <w:r>
              <w:rPr>
                <w:rFonts w:ascii="宋体"/>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 w:right="0"/>
              <w:jc w:val="center"/>
              <w:rPr>
                <w:rFonts w:ascii="宋体" w:hAnsi="宋体" w:cs="宋体" w:eastAsia="宋体" w:hint="default"/>
                <w:sz w:val="15"/>
                <w:szCs w:val="15"/>
              </w:rPr>
            </w:pPr>
            <w:r>
              <w:rPr>
                <w:rFonts w:ascii="宋体"/>
                <w:sz w:val="15"/>
              </w:rPr>
              <w:t>4,718,771.15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5"/>
                <w:szCs w:val="15"/>
              </w:rPr>
            </w:pPr>
            <w:r>
              <w:rPr>
                <w:rFonts w:ascii="宋体"/>
                <w:sz w:val="15"/>
              </w:rPr>
              <w:t>2.63%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15"/>
                <w:szCs w:val="15"/>
              </w:rPr>
            </w:pPr>
            <w:r>
              <w:rPr>
                <w:rFonts w:ascii="宋体"/>
                <w:sz w:val="15"/>
              </w:rPr>
              <w:t>174,991,190.10</w:t>
            </w:r>
          </w:p>
        </w:tc>
      </w:tr>
    </w:tbl>
    <w:p>
      <w:pPr>
        <w:spacing w:after="0" w:line="240" w:lineRule="auto"/>
        <w:jc w:val="left"/>
        <w:rPr>
          <w:rFonts w:ascii="宋体" w:hAnsi="宋体" w:cs="宋体" w:eastAsia="宋体" w:hint="default"/>
          <w:sz w:val="15"/>
          <w:szCs w:val="15"/>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20"/>
        <w:gridCol w:w="1163"/>
        <w:gridCol w:w="695"/>
        <w:gridCol w:w="993"/>
        <w:gridCol w:w="566"/>
        <w:gridCol w:w="1134"/>
        <w:gridCol w:w="1217"/>
        <w:gridCol w:w="627"/>
        <w:gridCol w:w="992"/>
        <w:gridCol w:w="566"/>
        <w:gridCol w:w="1120"/>
      </w:tblGrid>
      <w:tr>
        <w:trPr>
          <w:trHeight w:val="36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center"/>
              <w:rPr>
                <w:rFonts w:ascii="宋体" w:hAnsi="宋体" w:cs="宋体" w:eastAsia="宋体" w:hint="default"/>
                <w:sz w:val="15"/>
                <w:szCs w:val="15"/>
              </w:rPr>
            </w:pPr>
            <w:r>
              <w:rPr>
                <w:rFonts w:ascii="宋体" w:hAnsi="宋体" w:cs="宋体" w:eastAsia="宋体" w:hint="default"/>
                <w:sz w:val="15"/>
                <w:szCs w:val="15"/>
              </w:rPr>
              <w:t>备的其他应收款</w:t>
            </w:r>
          </w:p>
        </w:tc>
        <w:tc>
          <w:tcPr>
            <w:tcW w:w="1163"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0" w:right="0"/>
              <w:jc w:val="left"/>
              <w:rPr>
                <w:rFonts w:ascii="宋体" w:hAnsi="宋体" w:cs="宋体" w:eastAsia="宋体" w:hint="default"/>
                <w:sz w:val="15"/>
                <w:szCs w:val="15"/>
              </w:rPr>
            </w:pPr>
            <w:r>
              <w:rPr>
                <w:rFonts w:ascii="宋体"/>
                <w:sz w:val="15"/>
              </w:rPr>
              <w:t>247,940,403.40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6" w:right="0"/>
              <w:jc w:val="left"/>
              <w:rPr>
                <w:rFonts w:ascii="宋体" w:hAnsi="宋体" w:cs="宋体" w:eastAsia="宋体" w:hint="default"/>
                <w:sz w:val="15"/>
                <w:szCs w:val="15"/>
              </w:rPr>
            </w:pPr>
            <w:r>
              <w:rPr>
                <w:rFonts w:ascii="宋体"/>
                <w:sz w:val="15"/>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 w:right="0"/>
              <w:jc w:val="left"/>
              <w:rPr>
                <w:rFonts w:ascii="宋体" w:hAnsi="宋体" w:cs="宋体" w:eastAsia="宋体" w:hint="default"/>
                <w:sz w:val="15"/>
                <w:szCs w:val="15"/>
              </w:rPr>
            </w:pPr>
            <w:r>
              <w:rPr>
                <w:rFonts w:ascii="宋体"/>
                <w:sz w:val="15"/>
              </w:rPr>
              <w:t>5,202,992.55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1" w:right="0"/>
              <w:jc w:val="left"/>
              <w:rPr>
                <w:rFonts w:ascii="宋体" w:hAnsi="宋体" w:cs="宋体" w:eastAsia="宋体" w:hint="default"/>
                <w:sz w:val="15"/>
                <w:szCs w:val="15"/>
              </w:rPr>
            </w:pPr>
            <w:r>
              <w:rPr>
                <w:rFonts w:ascii="宋体"/>
                <w:sz w:val="15"/>
              </w:rPr>
              <w:t>2.10%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 w:right="0"/>
              <w:jc w:val="left"/>
              <w:rPr>
                <w:rFonts w:ascii="宋体" w:hAnsi="宋体" w:cs="宋体" w:eastAsia="宋体" w:hint="default"/>
                <w:sz w:val="15"/>
                <w:szCs w:val="15"/>
              </w:rPr>
            </w:pPr>
            <w:r>
              <w:rPr>
                <w:rFonts w:ascii="宋体"/>
                <w:sz w:val="15"/>
              </w:rPr>
              <w:t>242,737,410.85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4" w:right="0"/>
              <w:jc w:val="left"/>
              <w:rPr>
                <w:rFonts w:ascii="宋体" w:hAnsi="宋体" w:cs="宋体" w:eastAsia="宋体" w:hint="default"/>
                <w:sz w:val="15"/>
                <w:szCs w:val="15"/>
              </w:rPr>
            </w:pPr>
            <w:r>
              <w:rPr>
                <w:rFonts w:ascii="宋体"/>
                <w:sz w:val="15"/>
              </w:rPr>
              <w:t>179,709,961.25</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8" w:right="0"/>
              <w:jc w:val="left"/>
              <w:rPr>
                <w:rFonts w:ascii="宋体" w:hAnsi="宋体" w:cs="宋体" w:eastAsia="宋体" w:hint="default"/>
                <w:sz w:val="15"/>
                <w:szCs w:val="15"/>
              </w:rPr>
            </w:pPr>
            <w:r>
              <w:rPr>
                <w:rFonts w:ascii="宋体"/>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 w:right="0"/>
              <w:jc w:val="left"/>
              <w:rPr>
                <w:rFonts w:ascii="宋体" w:hAnsi="宋体" w:cs="宋体" w:eastAsia="宋体" w:hint="default"/>
                <w:sz w:val="15"/>
                <w:szCs w:val="15"/>
              </w:rPr>
            </w:pPr>
            <w:r>
              <w:rPr>
                <w:rFonts w:ascii="宋体"/>
                <w:sz w:val="15"/>
              </w:rPr>
              <w:t>4,718,771.15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1" w:right="0"/>
              <w:jc w:val="left"/>
              <w:rPr>
                <w:rFonts w:ascii="宋体" w:hAnsi="宋体" w:cs="宋体" w:eastAsia="宋体" w:hint="default"/>
                <w:sz w:val="15"/>
                <w:szCs w:val="15"/>
              </w:rPr>
            </w:pPr>
            <w:r>
              <w:rPr>
                <w:rFonts w:ascii="宋体"/>
                <w:sz w:val="15"/>
              </w:rPr>
              <w:t>2.63%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6" w:right="0"/>
              <w:jc w:val="left"/>
              <w:rPr>
                <w:rFonts w:ascii="宋体" w:hAnsi="宋体" w:cs="宋体" w:eastAsia="宋体" w:hint="default"/>
                <w:sz w:val="15"/>
                <w:szCs w:val="15"/>
              </w:rPr>
            </w:pPr>
            <w:r>
              <w:rPr>
                <w:rFonts w:ascii="宋体"/>
                <w:sz w:val="15"/>
              </w:rPr>
              <w:t>174,991,190.10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pStyle w:val="BodyText"/>
        <w:spacing w:line="240" w:lineRule="auto" w:before="116"/>
        <w:ind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87" w:top="1100" w:bottom="1380" w:left="980" w:right="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9,941,127.62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497,056.38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2,926,770.14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292,677.01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2,392,926.89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717,878.07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176,333.82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176,333.82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1,087,013.31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1,087,013.31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2,432,033.96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2,432,033.96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18,956,205.74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5,202,992.55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27.45%</w:t>
            </w:r>
          </w:p>
        </w:tc>
      </w:tr>
    </w:tbl>
    <w:p>
      <w:pPr>
        <w:spacing w:line="240" w:lineRule="auto" w:before="9"/>
        <w:rPr>
          <w:rFonts w:ascii="宋体" w:hAnsi="宋体" w:cs="宋体" w:eastAsia="宋体" w:hint="default"/>
          <w:sz w:val="6"/>
          <w:szCs w:val="6"/>
        </w:rPr>
      </w:pPr>
    </w:p>
    <w:p>
      <w:pPr>
        <w:pStyle w:val="BodyText"/>
        <w:spacing w:line="357" w:lineRule="auto" w:before="44"/>
        <w:ind w:right="6252"/>
        <w:jc w:val="left"/>
      </w:pPr>
      <w:r>
        <w:rPr/>
        <w:t>确定该组合依据的说明： 组合中，采用余额百分比法计提坏账准备的其他应收款：</w:t>
      </w:r>
    </w:p>
    <w:p>
      <w:pPr>
        <w:pStyle w:val="BodyText"/>
        <w:spacing w:line="439" w:lineRule="auto" w:before="28"/>
        <w:ind w:right="6612"/>
        <w:jc w:val="left"/>
      </w:pPr>
      <w:r>
        <w:rPr/>
        <w:t>□ 适用 √ 不适用 组合中，采用其他方法计提坏账准备的其他应收款：</w:t>
      </w:r>
    </w:p>
    <w:p>
      <w:pPr>
        <w:pStyle w:val="BodyText"/>
        <w:spacing w:line="203" w:lineRule="exact"/>
        <w:ind w:right="0"/>
        <w:jc w:val="left"/>
      </w:pPr>
      <w:r>
        <w:rPr/>
        <w:t>√ 适用 □ 不适用</w:t>
      </w:r>
    </w:p>
    <w:p>
      <w:pPr>
        <w:pStyle w:val="BodyText"/>
        <w:spacing w:line="240" w:lineRule="auto" w:before="115"/>
        <w:ind w:left="514" w:right="0"/>
        <w:jc w:val="left"/>
      </w:pPr>
      <w:r>
        <w:rPr/>
        <w:t>其他应收款中，对合并范围内的子公司的款项</w:t>
      </w:r>
      <w:r>
        <w:rPr>
          <w:rFonts w:ascii="宋体" w:hAnsi="宋体" w:cs="宋体" w:eastAsia="宋体" w:hint="default"/>
        </w:rPr>
        <w:t>228,984,197.66</w:t>
      </w:r>
      <w:r>
        <w:rPr/>
        <w:t>元，不计提坏账准备。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373"/>
      <w:bookmarkEnd w:id="373"/>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本期计提坏账准备金额</w:t>
      </w:r>
      <w:r>
        <w:rPr>
          <w:spacing w:val="-46"/>
        </w:rPr>
        <w:t> </w:t>
      </w:r>
      <w:r>
        <w:rPr>
          <w:rFonts w:ascii="宋体" w:hAnsi="宋体" w:cs="宋体" w:eastAsia="宋体" w:hint="default"/>
        </w:rPr>
        <w:t>484,221.40</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259" w:right="0"/>
        <w:jc w:val="left"/>
        <w:rPr>
          <w:b w:val="0"/>
          <w:bCs w:val="0"/>
        </w:rPr>
      </w:pPr>
      <w:bookmarkStart w:name="(3）其他应收款按款项性质分类情况" w:id="374"/>
      <w:bookmarkEnd w:id="374"/>
      <w:r>
        <w:rPr>
          <w:b w:val="0"/>
          <w:bCs w:val="0"/>
        </w:rPr>
      </w:r>
      <w:r>
        <w:rPr>
          <w:rFonts w:ascii="宋体" w:hAnsi="宋体" w:cs="宋体" w:eastAsia="宋体"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13,588,906.90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8,995,195.12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825,276.45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896,700.67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子公司的借款和其他应收款项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228,984,197.66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165,654,315.79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237,200.00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294,293.00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4,304,822.39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3,869,456.67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247,940,403.40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179,709,961.25</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294" w:right="2832"/>
        <w:jc w:val="left"/>
        <w:rPr>
          <w:b w:val="0"/>
          <w:bCs w:val="0"/>
        </w:rPr>
      </w:pPr>
      <w:bookmarkStart w:name="（4）按欠款方归集的期末余额前五名的其他应收款情况" w:id="375"/>
      <w:bookmarkEnd w:id="375"/>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pict>
          <v:shape style="position:absolute;margin-left:424.73999pt;margin-top:71.051689pt;width:69.4pt;height:26.4pt;mso-position-horizontal-relative:page;mso-position-vertical-relative:paragraph;z-index:-78776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430.859985pt;margin-top:71.051689pt;width:63.25pt;height:26.4pt;mso-position-horizontal-relative:page;mso-position-vertical-relative:paragraph;z-index:-787744" coordorigin="8617,1421" coordsize="1265,528">
            <v:shape style="position:absolute;left:8617;top:1421;width:1265;height:528" coordorigin="8617,1421" coordsize="1265,528" path="m8617,1949l9882,1949,9882,1421,8617,1421,8617,1949xe" filled="true" fillcolor="#ffffff" stroked="false">
              <v:path arrowok="t"/>
              <v:fill type="solid"/>
            </v:shape>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680"/>
        <w:gridCol w:w="1433"/>
        <w:gridCol w:w="1416"/>
        <w:gridCol w:w="2128"/>
        <w:gridCol w:w="385"/>
        <w:gridCol w:w="890"/>
        <w:gridCol w:w="1064"/>
      </w:tblGrid>
      <w:tr>
        <w:trPr>
          <w:trHeight w:val="1026"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92" w:right="90"/>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57" w:right="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1458"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对子公司的借款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220,821,670.10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3"/>
                <w:sz w:val="18"/>
                <w:szCs w:val="18"/>
              </w:rPr>
              <w:t>年以内：</w:t>
            </w:r>
            <w:r>
              <w:rPr>
                <w:rFonts w:ascii="宋体" w:hAnsi="宋体" w:cs="宋体" w:eastAsia="宋体" w:hint="default"/>
                <w:spacing w:val="-3"/>
                <w:sz w:val="18"/>
                <w:szCs w:val="18"/>
              </w:rPr>
              <w:t>55,217,688.10</w:t>
            </w: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47,507,573.31</w:t>
            </w:r>
            <w:r>
              <w:rPr>
                <w:rFonts w:ascii="宋体" w:hAnsi="宋体" w:cs="宋体" w:eastAsia="宋体" w:hint="default"/>
                <w:sz w:val="18"/>
                <w:szCs w:val="18"/>
              </w:rPr>
              <w:t>；</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59,235,677.02</w:t>
            </w:r>
            <w:r>
              <w:rPr>
                <w:rFonts w:ascii="宋体" w:hAnsi="宋体" w:cs="宋体" w:eastAsia="宋体" w:hint="default"/>
                <w:sz w:val="18"/>
                <w:szCs w:val="18"/>
              </w:rPr>
              <w:t>；</w:t>
            </w: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58,860,731.67</w:t>
            </w:r>
          </w:p>
        </w:tc>
        <w:tc>
          <w:tcPr>
            <w:tcW w:w="385" w:type="dxa"/>
            <w:tcBorders>
              <w:top w:val="single" w:sz="4" w:space="0" w:color="000000"/>
              <w:left w:val="single" w:sz="4" w:space="0" w:color="000000"/>
              <w:bottom w:val="single" w:sz="4" w:space="0" w:color="000000"/>
              <w:right w:val="nil" w:sz="6" w:space="0" w:color="auto"/>
            </w:tcBorders>
          </w:tcPr>
          <w:p>
            <w:pPr/>
          </w:p>
        </w:tc>
        <w:tc>
          <w:tcPr>
            <w:tcW w:w="8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22" w:right="0"/>
              <w:jc w:val="left"/>
              <w:rPr>
                <w:rFonts w:ascii="宋体" w:hAnsi="宋体" w:cs="宋体" w:eastAsia="宋体" w:hint="default"/>
                <w:sz w:val="18"/>
                <w:szCs w:val="18"/>
              </w:rPr>
            </w:pPr>
            <w:r>
              <w:rPr>
                <w:rFonts w:ascii="宋体"/>
                <w:sz w:val="18"/>
              </w:rPr>
              <w:t>89.06%</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对子公司的借款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8,112,193.77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8,112,193.77</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2" w:right="0"/>
              <w:jc w:val="left"/>
              <w:rPr>
                <w:rFonts w:ascii="宋体" w:hAnsi="宋体" w:cs="宋体" w:eastAsia="宋体" w:hint="default"/>
                <w:sz w:val="18"/>
                <w:szCs w:val="18"/>
              </w:rPr>
            </w:pPr>
            <w:r>
              <w:rPr>
                <w:rFonts w:ascii="宋体"/>
                <w:sz w:val="18"/>
              </w:rPr>
              <w:t>3.27%</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成都市成华区教育局电化教育馆</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1,924,576.00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1,924,576.00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2" w:right="0"/>
              <w:jc w:val="left"/>
              <w:rPr>
                <w:rFonts w:ascii="宋体" w:hAnsi="宋体" w:cs="宋体" w:eastAsia="宋体" w:hint="default"/>
                <w:sz w:val="18"/>
                <w:szCs w:val="18"/>
              </w:rPr>
            </w:pPr>
            <w:r>
              <w:rPr>
                <w:rFonts w:ascii="宋体"/>
                <w:sz w:val="18"/>
              </w:rPr>
              <w:t>0.78%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96,228.80</w:t>
            </w:r>
          </w:p>
        </w:tc>
      </w:tr>
      <w:tr>
        <w:trPr>
          <w:trHeight w:val="755"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北京市政交通一卡通有限公司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1,171,275.00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758,175.00</w:t>
            </w:r>
            <w:r>
              <w:rPr>
                <w:rFonts w:ascii="宋体" w:hAnsi="宋体" w:cs="宋体" w:eastAsia="宋体" w:hint="default"/>
                <w:sz w:val="18"/>
                <w:szCs w:val="18"/>
              </w:rPr>
              <w:t>；</w:t>
            </w: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413,100.00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92" w:right="0"/>
              <w:jc w:val="left"/>
              <w:rPr>
                <w:rFonts w:ascii="宋体" w:hAnsi="宋体" w:cs="宋体" w:eastAsia="宋体" w:hint="default"/>
                <w:sz w:val="18"/>
                <w:szCs w:val="18"/>
              </w:rPr>
            </w:pPr>
            <w:r>
              <w:rPr>
                <w:rFonts w:ascii="宋体"/>
                <w:sz w:val="18"/>
              </w:rPr>
              <w:t>0.47%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79,218.75</w:t>
            </w:r>
          </w:p>
        </w:tc>
      </w:tr>
      <w:tr>
        <w:trPr>
          <w:trHeight w:val="402"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上海市电化教育馆</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1,069,200.00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1,069,200.00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2" w:right="0"/>
              <w:jc w:val="left"/>
              <w:rPr>
                <w:rFonts w:ascii="宋体" w:hAnsi="宋体" w:cs="宋体" w:eastAsia="宋体" w:hint="default"/>
                <w:sz w:val="18"/>
                <w:szCs w:val="18"/>
              </w:rPr>
            </w:pPr>
            <w:r>
              <w:rPr>
                <w:rFonts w:ascii="宋体"/>
                <w:sz w:val="18"/>
              </w:rPr>
              <w:t>0.43%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320,760.00</w:t>
            </w:r>
          </w:p>
        </w:tc>
      </w:tr>
      <w:tr>
        <w:trPr>
          <w:trHeight w:val="402"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233,098,914.87</w:t>
            </w:r>
          </w:p>
        </w:tc>
        <w:tc>
          <w:tcPr>
            <w:tcW w:w="2128"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2" w:right="0"/>
              <w:jc w:val="left"/>
              <w:rPr>
                <w:rFonts w:ascii="宋体" w:hAnsi="宋体" w:cs="宋体" w:eastAsia="宋体" w:hint="default"/>
                <w:sz w:val="18"/>
                <w:szCs w:val="18"/>
              </w:rPr>
            </w:pPr>
            <w:r>
              <w:rPr>
                <w:rFonts w:ascii="宋体"/>
                <w:sz w:val="18"/>
              </w:rPr>
              <w:t>94.01%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496,207.55</w:t>
            </w:r>
          </w:p>
        </w:tc>
      </w:tr>
    </w:tbl>
    <w:p>
      <w:pPr>
        <w:spacing w:line="240" w:lineRule="auto" w:before="2"/>
        <w:rPr>
          <w:rFonts w:ascii="宋体" w:hAnsi="宋体" w:cs="宋体" w:eastAsia="宋体" w:hint="default"/>
          <w:sz w:val="19"/>
          <w:szCs w:val="19"/>
        </w:rPr>
      </w:pPr>
    </w:p>
    <w:p>
      <w:pPr>
        <w:pStyle w:val="Heading3"/>
        <w:spacing w:line="240" w:lineRule="auto" w:before="35"/>
        <w:ind w:left="294" w:right="2832"/>
        <w:jc w:val="left"/>
        <w:rPr>
          <w:b w:val="0"/>
          <w:bCs w:val="0"/>
        </w:rPr>
      </w:pPr>
      <w:bookmarkStart w:name="3、长期股权投资" w:id="376"/>
      <w:bookmarkEnd w:id="376"/>
      <w:r>
        <w:rPr>
          <w:b w:val="0"/>
          <w:bCs w:val="0"/>
        </w:rPr>
      </w: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1890"/>
        <w:gridCol w:w="1372"/>
        <w:gridCol w:w="1205"/>
        <w:gridCol w:w="1370"/>
        <w:gridCol w:w="1317"/>
        <w:gridCol w:w="1051"/>
        <w:gridCol w:w="1367"/>
      </w:tblGrid>
      <w:tr>
        <w:trPr>
          <w:trHeight w:val="402"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0"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192,520,000.00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 w:right="0"/>
              <w:jc w:val="center"/>
              <w:rPr>
                <w:rFonts w:ascii="宋体" w:hAnsi="宋体" w:cs="宋体" w:eastAsia="宋体" w:hint="default"/>
                <w:sz w:val="18"/>
                <w:szCs w:val="18"/>
              </w:rPr>
            </w:pPr>
            <w:r>
              <w:rPr>
                <w:rFonts w:ascii="宋体"/>
                <w:sz w:val="18"/>
              </w:rPr>
              <w:t>5,400,000.00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187,120,000.00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164,060,000.00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164,060,000.00</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71,888,318.21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71,888,318.21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8,625,273.05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8,625,273.05</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264,408,318.21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 w:right="0"/>
              <w:jc w:val="center"/>
              <w:rPr>
                <w:rFonts w:ascii="宋体" w:hAnsi="宋体" w:cs="宋体" w:eastAsia="宋体" w:hint="default"/>
                <w:sz w:val="18"/>
                <w:szCs w:val="18"/>
              </w:rPr>
            </w:pPr>
            <w:r>
              <w:rPr>
                <w:rFonts w:ascii="宋体"/>
                <w:sz w:val="18"/>
              </w:rPr>
              <w:t>5,400,000.00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259,008,318.21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172,685,273.05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172,685,273.05</w:t>
            </w:r>
          </w:p>
        </w:tc>
      </w:tr>
    </w:tbl>
    <w:p>
      <w:pPr>
        <w:spacing w:line="240" w:lineRule="auto" w:before="2"/>
        <w:rPr>
          <w:rFonts w:ascii="宋体" w:hAnsi="宋体" w:cs="宋体" w:eastAsia="宋体" w:hint="default"/>
          <w:sz w:val="19"/>
          <w:szCs w:val="19"/>
        </w:rPr>
      </w:pPr>
    </w:p>
    <w:p>
      <w:pPr>
        <w:pStyle w:val="Heading3"/>
        <w:spacing w:line="240" w:lineRule="auto" w:before="35"/>
        <w:ind w:left="294" w:right="2832"/>
        <w:jc w:val="left"/>
        <w:rPr>
          <w:b w:val="0"/>
          <w:bCs w:val="0"/>
        </w:rPr>
      </w:pPr>
      <w:bookmarkStart w:name="（1）对子公司投资" w:id="377"/>
      <w:bookmarkEnd w:id="377"/>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89" w:type="dxa"/>
        <w:tblLayout w:type="fixed"/>
        <w:tblCellMar>
          <w:top w:w="0" w:type="dxa"/>
          <w:left w:w="0" w:type="dxa"/>
          <w:bottom w:w="0" w:type="dxa"/>
          <w:right w:w="0" w:type="dxa"/>
        </w:tblCellMar>
        <w:tblLook w:val="01E0"/>
      </w:tblPr>
      <w:tblGrid>
        <w:gridCol w:w="1448"/>
        <w:gridCol w:w="1336"/>
        <w:gridCol w:w="1336"/>
        <w:gridCol w:w="1201"/>
        <w:gridCol w:w="1344"/>
        <w:gridCol w:w="1514"/>
        <w:gridCol w:w="1604"/>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武汉天喻教育技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18"/>
                <w:szCs w:val="18"/>
              </w:rPr>
            </w:pPr>
            <w:r>
              <w:rPr>
                <w:rFonts w:ascii="宋体"/>
                <w:sz w:val="18"/>
              </w:rPr>
              <w:t>20,000,000.00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武汉擎动网络科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湖北百旺金赋科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5" w:right="0"/>
              <w:jc w:val="center"/>
              <w:rPr>
                <w:rFonts w:ascii="宋体" w:hAnsi="宋体" w:cs="宋体" w:eastAsia="宋体" w:hint="default"/>
                <w:sz w:val="18"/>
                <w:szCs w:val="18"/>
              </w:rPr>
            </w:pPr>
            <w:r>
              <w:rPr>
                <w:rFonts w:ascii="宋体"/>
                <w:sz w:val="18"/>
              </w:rPr>
              <w:t>8,660,000.00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武汉果核科技有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5,400,000.00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sz w:val="18"/>
              </w:rPr>
              <w:t>5,400,000.00</w:t>
            </w:r>
          </w:p>
        </w:tc>
      </w:tr>
    </w:tbl>
    <w:p>
      <w:pPr>
        <w:spacing w:after="0" w:line="240" w:lineRule="auto"/>
        <w:jc w:val="left"/>
        <w:rPr>
          <w:rFonts w:ascii="宋体" w:hAnsi="宋体" w:cs="宋体" w:eastAsia="宋体" w:hint="default"/>
          <w:sz w:val="18"/>
          <w:szCs w:val="18"/>
        </w:rPr>
        <w:sectPr>
          <w:pgSz w:w="11910" w:h="16840"/>
          <w:pgMar w:header="0" w:footer="1187" w:top="1100" w:bottom="1380" w:left="840" w:right="0"/>
        </w:sectPr>
      </w:pPr>
    </w:p>
    <w:p>
      <w:pPr>
        <w:spacing w:line="240" w:lineRule="auto" w:before="6"/>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1448"/>
        <w:gridCol w:w="1336"/>
        <w:gridCol w:w="1336"/>
        <w:gridCol w:w="1201"/>
        <w:gridCol w:w="1344"/>
        <w:gridCol w:w="1514"/>
        <w:gridCol w:w="1604"/>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武汉天喻聚联网 络有限公司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湖北天喻教育研 究院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武汉百望信息技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17,120,000.00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17,120,000.00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164,060,000.00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37,120,000.00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8,660,000.00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192,520,000.00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sz w:val="18"/>
              </w:rPr>
              <w:t>5,400,000.00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0" w:right="0"/>
              <w:jc w:val="left"/>
              <w:rPr>
                <w:rFonts w:ascii="宋体" w:hAnsi="宋体" w:cs="宋体" w:eastAsia="宋体" w:hint="default"/>
                <w:sz w:val="18"/>
                <w:szCs w:val="18"/>
              </w:rPr>
            </w:pPr>
            <w:r>
              <w:rPr>
                <w:rFonts w:ascii="宋体"/>
                <w:sz w:val="18"/>
              </w:rPr>
              <w:t>5,400,000.00</w:t>
            </w:r>
          </w:p>
        </w:tc>
      </w:tr>
    </w:tbl>
    <w:p>
      <w:pPr>
        <w:spacing w:line="240" w:lineRule="auto" w:before="2"/>
        <w:rPr>
          <w:rFonts w:ascii="宋体" w:hAnsi="宋体" w:cs="宋体" w:eastAsia="宋体" w:hint="default"/>
          <w:sz w:val="19"/>
          <w:szCs w:val="19"/>
        </w:rPr>
      </w:pPr>
    </w:p>
    <w:p>
      <w:pPr>
        <w:pStyle w:val="Heading3"/>
        <w:spacing w:line="240" w:lineRule="auto" w:before="35"/>
        <w:ind w:left="254" w:right="1032"/>
        <w:jc w:val="left"/>
        <w:rPr>
          <w:b w:val="0"/>
          <w:bCs w:val="0"/>
        </w:rPr>
      </w:pPr>
      <w:bookmarkStart w:name="（2）对联营、合营企业投资" w:id="378"/>
      <w:bookmarkEnd w:id="378"/>
      <w:r>
        <w:rPr>
          <w:b w:val="0"/>
          <w:bCs w:val="0"/>
        </w:rPr>
      </w: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938"/>
        <w:gridCol w:w="338"/>
        <w:gridCol w:w="994"/>
        <w:gridCol w:w="1134"/>
        <w:gridCol w:w="692"/>
        <w:gridCol w:w="1009"/>
        <w:gridCol w:w="708"/>
        <w:gridCol w:w="565"/>
        <w:gridCol w:w="996"/>
        <w:gridCol w:w="567"/>
        <w:gridCol w:w="557"/>
        <w:gridCol w:w="1002"/>
        <w:gridCol w:w="566"/>
      </w:tblGrid>
      <w:tr>
        <w:trPr>
          <w:trHeight w:val="402" w:hRule="exact"/>
        </w:trPr>
        <w:tc>
          <w:tcPr>
            <w:tcW w:w="9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133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62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4"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566" w:type="dxa"/>
            <w:vMerge w:val="restart"/>
            <w:tcBorders>
              <w:top w:val="single" w:sz="4" w:space="0" w:color="000000"/>
              <w:left w:val="single" w:sz="4" w:space="0" w:color="000000"/>
              <w:right w:val="single" w:sz="4" w:space="0" w:color="000000"/>
            </w:tcBorders>
          </w:tcPr>
          <w:p>
            <w:pPr>
              <w:pStyle w:val="TableParagraph"/>
              <w:spacing w:line="381" w:lineRule="auto" w:before="120"/>
              <w:ind w:left="52" w:right="53"/>
              <w:jc w:val="both"/>
              <w:rPr>
                <w:rFonts w:ascii="宋体" w:hAnsi="宋体" w:cs="宋体" w:eastAsia="宋体" w:hint="default"/>
                <w:sz w:val="15"/>
                <w:szCs w:val="15"/>
              </w:rPr>
            </w:pPr>
            <w:r>
              <w:rPr>
                <w:rFonts w:ascii="宋体" w:hAnsi="宋体" w:cs="宋体" w:eastAsia="宋体" w:hint="default"/>
                <w:sz w:val="15"/>
                <w:szCs w:val="15"/>
              </w:rPr>
              <w:t>减值准 备期末 余额</w:t>
            </w:r>
          </w:p>
        </w:tc>
      </w:tr>
      <w:tr>
        <w:trPr>
          <w:trHeight w:val="714" w:hRule="exact"/>
        </w:trPr>
        <w:tc>
          <w:tcPr>
            <w:tcW w:w="938" w:type="dxa"/>
            <w:vMerge/>
            <w:tcBorders>
              <w:left w:val="single" w:sz="4" w:space="0" w:color="000000"/>
              <w:bottom w:val="single" w:sz="4" w:space="0" w:color="000000"/>
              <w:right w:val="single" w:sz="4" w:space="0" w:color="000000"/>
            </w:tcBorders>
          </w:tcPr>
          <w:p>
            <w:pPr/>
          </w:p>
        </w:tc>
        <w:tc>
          <w:tcPr>
            <w:tcW w:w="1332" w:type="dxa"/>
            <w:gridSpan w:val="2"/>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32" w:right="41" w:hanging="76"/>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48" w:right="48"/>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52" w:right="50"/>
              <w:jc w:val="left"/>
              <w:rPr>
                <w:rFonts w:ascii="宋体" w:hAnsi="宋体" w:cs="宋体" w:eastAsia="宋体" w:hint="default"/>
                <w:sz w:val="15"/>
                <w:szCs w:val="15"/>
              </w:rPr>
            </w:pPr>
            <w:r>
              <w:rPr>
                <w:rFonts w:ascii="宋体" w:hAnsi="宋体" w:cs="宋体" w:eastAsia="宋体" w:hint="default"/>
                <w:sz w:val="15"/>
                <w:szCs w:val="15"/>
              </w:rPr>
              <w:t>其他权 益变动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28" w:right="31" w:hanging="75"/>
              <w:jc w:val="left"/>
              <w:rPr>
                <w:rFonts w:ascii="宋体" w:hAnsi="宋体" w:cs="宋体" w:eastAsia="宋体" w:hint="default"/>
                <w:sz w:val="15"/>
                <w:szCs w:val="15"/>
              </w:rPr>
            </w:pPr>
            <w:r>
              <w:rPr>
                <w:rFonts w:ascii="宋体" w:hAnsi="宋体" w:cs="宋体" w:eastAsia="宋体" w:hint="default"/>
                <w:sz w:val="15"/>
                <w:szCs w:val="15"/>
              </w:rPr>
              <w:t>宣告发放现金 股利或利润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3" w:right="42"/>
              <w:jc w:val="left"/>
              <w:rPr>
                <w:rFonts w:ascii="宋体" w:hAnsi="宋体" w:cs="宋体" w:eastAsia="宋体" w:hint="default"/>
                <w:sz w:val="15"/>
                <w:szCs w:val="15"/>
              </w:rPr>
            </w:pPr>
            <w:r>
              <w:rPr>
                <w:rFonts w:ascii="宋体" w:hAnsi="宋体" w:cs="宋体" w:eastAsia="宋体" w:hint="default"/>
                <w:sz w:val="15"/>
                <w:szCs w:val="15"/>
              </w:rPr>
              <w:t>计提减 值准备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0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402" w:hRule="exact"/>
        </w:trPr>
        <w:tc>
          <w:tcPr>
            <w:tcW w:w="1006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1"/>
              <w:jc w:val="left"/>
              <w:rPr>
                <w:rFonts w:ascii="宋体" w:hAnsi="宋体" w:cs="宋体" w:eastAsia="宋体" w:hint="default"/>
                <w:sz w:val="15"/>
                <w:szCs w:val="15"/>
              </w:rPr>
            </w:pPr>
            <w:r>
              <w:rPr>
                <w:rFonts w:ascii="宋体" w:hAnsi="宋体" w:cs="宋体" w:eastAsia="宋体" w:hint="default"/>
                <w:sz w:val="15"/>
                <w:szCs w:val="15"/>
              </w:rPr>
              <w:t>武汉中天慧购电商 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343,577.10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-184,878.53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158,698.57</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343,577.10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-184,878.53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158,698.57</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06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41"/>
              <w:jc w:val="left"/>
              <w:rPr>
                <w:rFonts w:ascii="宋体" w:hAnsi="宋体" w:cs="宋体" w:eastAsia="宋体" w:hint="default"/>
                <w:sz w:val="15"/>
                <w:szCs w:val="15"/>
              </w:rPr>
            </w:pPr>
            <w:r>
              <w:rPr>
                <w:rFonts w:ascii="宋体" w:hAnsi="宋体" w:cs="宋体" w:eastAsia="宋体" w:hint="default"/>
                <w:sz w:val="15"/>
                <w:szCs w:val="15"/>
              </w:rPr>
              <w:t>福建中教网络教育 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1,157,861.06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-385,190.07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772,670.99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1"/>
              <w:jc w:val="left"/>
              <w:rPr>
                <w:rFonts w:ascii="宋体" w:hAnsi="宋体" w:cs="宋体" w:eastAsia="宋体" w:hint="default"/>
                <w:sz w:val="15"/>
                <w:szCs w:val="15"/>
              </w:rPr>
            </w:pPr>
            <w:r>
              <w:rPr>
                <w:rFonts w:ascii="宋体" w:hAnsi="宋体" w:cs="宋体" w:eastAsia="宋体" w:hint="default"/>
                <w:sz w:val="15"/>
                <w:szCs w:val="15"/>
              </w:rPr>
              <w:t>武汉星合数媒科技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4,699,025.57</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-2,173.32</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4,696,852.25</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1"/>
              <w:jc w:val="left"/>
              <w:rPr>
                <w:rFonts w:ascii="宋体" w:hAnsi="宋体" w:cs="宋体" w:eastAsia="宋体" w:hint="default"/>
                <w:sz w:val="15"/>
                <w:szCs w:val="15"/>
              </w:rPr>
            </w:pPr>
            <w:r>
              <w:rPr>
                <w:rFonts w:ascii="宋体" w:hAnsi="宋体" w:cs="宋体" w:eastAsia="宋体" w:hint="default"/>
                <w:sz w:val="15"/>
                <w:szCs w:val="15"/>
              </w:rPr>
              <w:t>武汉国广天喻信息 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2,424,809.32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-1,424,489.56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1,000,319.76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1"/>
              <w:jc w:val="left"/>
              <w:rPr>
                <w:rFonts w:ascii="宋体" w:hAnsi="宋体" w:cs="宋体" w:eastAsia="宋体" w:hint="default"/>
                <w:sz w:val="15"/>
                <w:szCs w:val="15"/>
              </w:rPr>
            </w:pPr>
            <w:r>
              <w:rPr>
                <w:rFonts w:ascii="宋体" w:hAnsi="宋体" w:cs="宋体" w:eastAsia="宋体" w:hint="default"/>
                <w:sz w:val="15"/>
                <w:szCs w:val="15"/>
              </w:rPr>
              <w:t>武汉武信天喻科技 投资有限公司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50,000,000.00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59,799.36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 w:right="22"/>
              <w:jc w:val="right"/>
              <w:rPr>
                <w:rFonts w:ascii="宋体" w:hAnsi="宋体" w:cs="宋体" w:eastAsia="宋体" w:hint="default"/>
                <w:sz w:val="15"/>
                <w:szCs w:val="15"/>
              </w:rPr>
            </w:pPr>
            <w:r>
              <w:rPr>
                <w:rFonts w:ascii="宋体"/>
                <w:spacing w:val="-1"/>
                <w:sz w:val="15"/>
              </w:rPr>
              <w:t>50,059,799.36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1"/>
              <w:jc w:val="left"/>
              <w:rPr>
                <w:rFonts w:ascii="宋体" w:hAnsi="宋体" w:cs="宋体" w:eastAsia="宋体" w:hint="default"/>
                <w:sz w:val="15"/>
                <w:szCs w:val="15"/>
              </w:rPr>
            </w:pPr>
            <w:r>
              <w:rPr>
                <w:rFonts w:ascii="宋体" w:hAnsi="宋体" w:cs="宋体" w:eastAsia="宋体" w:hint="default"/>
                <w:sz w:val="15"/>
                <w:szCs w:val="15"/>
              </w:rPr>
              <w:t>湖北兴华教投信息 技术有限公司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3,200,000.00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17.28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3,200,017.28</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1"/>
              <w:jc w:val="left"/>
              <w:rPr>
                <w:rFonts w:ascii="宋体" w:hAnsi="宋体" w:cs="宋体" w:eastAsia="宋体" w:hint="default"/>
                <w:sz w:val="15"/>
                <w:szCs w:val="15"/>
              </w:rPr>
            </w:pPr>
            <w:r>
              <w:rPr>
                <w:rFonts w:ascii="宋体" w:hAnsi="宋体" w:cs="宋体" w:eastAsia="宋体" w:hint="default"/>
                <w:sz w:val="15"/>
                <w:szCs w:val="15"/>
              </w:rPr>
              <w:t>河南聚联智慧大数 据科技有限公司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12,000,000.00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 w:right="22"/>
              <w:jc w:val="right"/>
              <w:rPr>
                <w:rFonts w:ascii="宋体" w:hAnsi="宋体" w:cs="宋体" w:eastAsia="宋体" w:hint="default"/>
                <w:sz w:val="15"/>
                <w:szCs w:val="15"/>
              </w:rPr>
            </w:pPr>
            <w:r>
              <w:rPr>
                <w:rFonts w:ascii="宋体"/>
                <w:spacing w:val="-1"/>
                <w:sz w:val="15"/>
              </w:rPr>
              <w:t>11,999,960.00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8,281,695.95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65,200,000.00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-1,752,076.31</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22"/>
              <w:jc w:val="right"/>
              <w:rPr>
                <w:rFonts w:ascii="宋体" w:hAnsi="宋体" w:cs="宋体" w:eastAsia="宋体" w:hint="default"/>
                <w:sz w:val="15"/>
                <w:szCs w:val="15"/>
              </w:rPr>
            </w:pPr>
            <w:r>
              <w:rPr>
                <w:rFonts w:ascii="宋体"/>
                <w:spacing w:val="-1"/>
                <w:sz w:val="15"/>
              </w:rPr>
              <w:t>71,729,619.64</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8,625,273.05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65,200,000.00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-1,936,954.84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22"/>
              <w:jc w:val="right"/>
              <w:rPr>
                <w:rFonts w:ascii="宋体" w:hAnsi="宋体" w:cs="宋体" w:eastAsia="宋体" w:hint="default"/>
                <w:sz w:val="15"/>
                <w:szCs w:val="15"/>
              </w:rPr>
            </w:pPr>
            <w:r>
              <w:rPr>
                <w:rFonts w:ascii="宋体"/>
                <w:spacing w:val="-1"/>
                <w:sz w:val="15"/>
              </w:rPr>
              <w:t>71,888,318.21</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54" w:right="1032"/>
        <w:jc w:val="left"/>
        <w:rPr>
          <w:b w:val="0"/>
          <w:bCs w:val="0"/>
        </w:rPr>
      </w:pPr>
      <w:bookmarkStart w:name="（3）其他说明" w:id="379"/>
      <w:bookmarkEnd w:id="379"/>
      <w:r>
        <w:rPr>
          <w:b w:val="0"/>
          <w:bCs w:val="0"/>
        </w:rPr>
      </w:r>
      <w:r>
        <w:rPr/>
        <w:t>（</w:t>
      </w:r>
      <w:r>
        <w:rPr>
          <w:rFonts w:ascii="宋体" w:hAnsi="宋体" w:cs="宋体" w:eastAsia="宋体" w:hint="default"/>
        </w:rPr>
        <w:t>3</w:t>
      </w:r>
      <w:r>
        <w:rPr/>
        <w:t>）其他说明</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left="254" w:right="1032" w:firstLine="360"/>
        <w:jc w:val="left"/>
      </w:pPr>
      <w:r>
        <w:rPr>
          <w:spacing w:val="-2"/>
        </w:rPr>
        <w:t>报告期内，公司子公司果核科技因行业发展不达预期，相关业务暂停，在可预见的未来，公司对果核科技的长期股权投</w:t>
      </w:r>
      <w:r>
        <w:rPr/>
        <w:t> 资成本的预计可收回金额为零，因此对该项长期股权投资全额计提了减值准备。</w:t>
      </w:r>
    </w:p>
    <w:p>
      <w:pPr>
        <w:spacing w:after="0" w:line="319" w:lineRule="auto"/>
        <w:jc w:val="left"/>
        <w:sectPr>
          <w:pgSz w:w="11910" w:h="16840"/>
          <w:pgMar w:header="0" w:footer="1187" w:top="1100" w:bottom="1380" w:left="8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营业收入和营业成本" w:id="380"/>
      <w:bookmarkEnd w:id="380"/>
      <w:r>
        <w:rPr>
          <w:b w:val="0"/>
          <w:bCs w:val="0"/>
        </w:rPr>
      </w:r>
      <w:r>
        <w:rPr>
          <w:rFonts w:ascii="宋体" w:hAnsi="宋体" w:cs="宋体" w:eastAsia="宋体" w:hint="default"/>
        </w:rPr>
        <w:t>4</w:t>
      </w:r>
      <w:r>
        <w:rPr/>
        <w:t>、营业收入和营业成本</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2,128,158,819.42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1,707,113,570.90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1,831,172,532.71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1,461,264,080.47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3,772,936.32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47,672.09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3,792,807.24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30,756.95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2,131,931,755.74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1,707,161,242.99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1,834,965,339.95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1,461,294,837.42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81"/>
      <w:bookmarkEnd w:id="381"/>
      <w:r>
        <w:rPr>
          <w:b w:val="0"/>
          <w:bCs w:val="0"/>
        </w:rPr>
      </w:r>
      <w:r>
        <w:rPr>
          <w:rFonts w:ascii="宋体" w:hAnsi="宋体" w:cs="宋体" w:eastAsia="宋体" w:hint="default"/>
        </w:rPr>
        <w:t>5</w:t>
      </w:r>
      <w:r>
        <w:rPr/>
        <w:t>、投资收益</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9,008,000.00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-1,936,954.84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-3,267,731.64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1,253,600.00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-1,328,542.16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2,911,760.70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82,080.00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11,236,405.86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-4,514,193.80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补充资料" w:id="382"/>
      <w:bookmarkEnd w:id="382"/>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83"/>
      <w:bookmarkEnd w:id="383"/>
      <w:r>
        <w:rPr>
          <w:b w:val="0"/>
          <w:bCs w:val="0"/>
        </w:rPr>
      </w:r>
      <w:r>
        <w:rPr>
          <w:rFonts w:ascii="宋体" w:hAnsi="宋体" w:cs="宋体" w:eastAsia="宋体" w:hint="default"/>
        </w:rPr>
        <w:t>1</w:t>
      </w:r>
      <w:r>
        <w:rPr/>
        <w:t>、当期非经常性损益明细表</w:t>
      </w:r>
      <w:r>
        <w:rPr>
          <w:b w:val="0"/>
          <w:bCs w:val="0"/>
        </w:rPr>
      </w:r>
    </w:p>
    <w:p>
      <w:pPr>
        <w:spacing w:line="240" w:lineRule="auto" w:before="9"/>
        <w:rPr>
          <w:rFonts w:ascii="宋体" w:hAnsi="宋体" w:cs="宋体" w:eastAsia="宋体" w:hint="default"/>
          <w:b/>
          <w:bCs/>
          <w:sz w:val="10"/>
          <w:szCs w:val="10"/>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5,837,611.42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25,002,402.41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2,770,738.70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-1,418,643.16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1,104,726.40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4,496,331.83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956,246.11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27,844,257.83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spacing w:after="0" w:line="319" w:lineRule="auto"/>
        <w:jc w:val="left"/>
        <w:sectPr>
          <w:pgSz w:w="11910" w:h="16840"/>
          <w:pgMar w:header="0"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384"/>
      <w:bookmarkEnd w:id="384"/>
      <w:r>
        <w:rPr>
          <w:b w:val="0"/>
          <w:bCs w:val="0"/>
        </w:rPr>
      </w: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tcPr>
          <w:p>
            <w:pPr/>
          </w:p>
        </w:tc>
        <w:tc>
          <w:tcPr>
            <w:tcW w:w="3081"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0.2349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0.1702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85"/>
      <w:bookmarkEnd w:id="385"/>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中国会计准则披露的财务报告中净利润和净资产差异情况" w:id="386"/>
      <w:bookmarkEnd w:id="386"/>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387"/>
      <w:bookmarkEnd w:id="387"/>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十二节 备查文件目录" w:id="388"/>
      <w:bookmarkEnd w:id="388"/>
      <w:r>
        <w:rPr>
          <w:b w:val="0"/>
          <w:bCs w:val="0"/>
        </w:rPr>
      </w:r>
      <w:bookmarkStart w:name="_bookmark11" w:id="389"/>
      <w:bookmarkEnd w:id="389"/>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3552"/>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57" w:lineRule="auto"/>
        <w:ind w:left="7993" w:right="1113" w:hanging="720"/>
        <w:jc w:val="left"/>
      </w:pPr>
      <w:r>
        <w:rPr/>
        <w:t>武汉天喻信息产业股份有限公司 董事长：张新访</w:t>
      </w:r>
    </w:p>
    <w:p>
      <w:pPr>
        <w:pStyle w:val="BodyText"/>
        <w:spacing w:line="240" w:lineRule="auto" w:before="28"/>
        <w:ind w:left="0" w:right="1589"/>
        <w:jc w:val="right"/>
      </w:pPr>
      <w:r>
        <w:rPr/>
        <w:t>二〇一九年四月二日</w:t>
      </w:r>
    </w:p>
    <w:sectPr>
      <w:pgSz w:w="11910" w:h="16840"/>
      <w:pgMar w:header="0" w:footer="1187" w:top="110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860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912" type="#_x0000_t75" stroked="false">
          <v:imagedata r:id="rId1" o:title=""/>
        </v:shape>
      </w:pict>
    </w:r>
    <w:r>
      <w:rPr/>
      <w:pict>
        <v:shape style="position:absolute;margin-left:291.200012pt;margin-top:771.577942pt;width:13pt;height:11pt;mso-position-horizontal-relative:page;mso-position-vertical-relative:page;z-index:-787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87840" type="#_x0000_t75" stroked="false">
          <v:imagedata r:id="rId1" o:title=""/>
        </v:shape>
      </w:pict>
    </w:r>
    <w:r>
      <w:rPr/>
      <w:pict>
        <v:shape style="position:absolute;margin-left:414.480011pt;margin-top:524.977966pt;width:13pt;height:11pt;mso-position-horizontal-relative:page;mso-position-vertical-relative:page;z-index:-787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744" type="#_x0000_t75" stroked="false">
          <v:imagedata r:id="rId1" o:title=""/>
        </v:shape>
      </w:pict>
    </w:r>
    <w:r>
      <w:rPr/>
      <w:pict>
        <v:shape style="position:absolute;margin-left:291.200012pt;margin-top:771.577942pt;width:13pt;height:11pt;mso-position-horizontal-relative:page;mso-position-vertical-relative:page;z-index:-787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696" type="#_x0000_t75" stroked="false">
          <v:imagedata r:id="rId1" o:title=""/>
        </v:shape>
      </w:pict>
    </w:r>
    <w:r>
      <w:rPr/>
      <w:pict>
        <v:shape style="position:absolute;margin-left:55.700001pt;margin-top:756.445618pt;width:483.95pt;height:26.15pt;mso-position-horizontal-relative:page;mso-position-vertical-relative:page;z-index:-787672" type="#_x0000_t202" filled="false" stroked="false">
          <v:textbox inset="0,0,0,0">
            <w:txbxContent>
              <w:p>
                <w:pPr>
                  <w:pStyle w:val="BodyText"/>
                  <w:spacing w:line="200" w:lineRule="exact"/>
                  <w:ind w:left="0" w:right="0"/>
                  <w:jc w:val="center"/>
                </w:pPr>
                <w:r>
                  <w:rPr>
                    <w:spacing w:val="-2"/>
                  </w:rPr>
                  <w:t>中的相关资产和负债分别享有权利和承担义务；合营安排的合同条款约定，合营方对该安排中的相关资产和负债分别享有权</w:t>
                </w:r>
              </w:p>
              <w:p>
                <w:pPr>
                  <w:pStyle w:val="BodyText"/>
                  <w:spacing w:line="240" w:lineRule="auto" w:before="99"/>
                  <w:ind w:left="1" w:right="0"/>
                  <w:jc w:val="center"/>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648" type="#_x0000_t75" stroked="false">
          <v:imagedata r:id="rId1" o:title=""/>
        </v:shape>
      </w:pict>
    </w:r>
    <w:r>
      <w:rPr/>
      <w:pict>
        <v:shape style="position:absolute;margin-left:291.200012pt;margin-top:771.577942pt;width:13pt;height:11pt;mso-position-horizontal-relative:page;mso-position-vertical-relative:page;z-index:-787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600" type="#_x0000_t75" stroked="false">
          <v:imagedata r:id="rId1" o:title=""/>
        </v:shape>
      </w:pict>
    </w:r>
    <w:r>
      <w:rPr/>
      <w:pict>
        <v:shape style="position:absolute;margin-left:291.200012pt;margin-top:771.577942pt;width:13pt;height:11pt;mso-position-horizontal-relative:page;mso-position-vertical-relative:page;z-index:-787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552" type="#_x0000_t75" stroked="false">
          <v:imagedata r:id="rId1" o:title=""/>
        </v:shape>
      </w:pict>
    </w:r>
    <w:r>
      <w:rPr/>
      <w:pict>
        <v:shape style="position:absolute;margin-left:291.200012pt;margin-top:771.577942pt;width:13pt;height:11pt;mso-position-horizontal-relative:page;mso-position-vertical-relative:page;z-index:-787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504" type="#_x0000_t75" stroked="false">
          <v:imagedata r:id="rId1" o:title=""/>
        </v:shape>
      </w:pict>
    </w:r>
    <w:r>
      <w:rPr/>
      <w:pict>
        <v:shape style="position:absolute;margin-left:291.200012pt;margin-top:771.577942pt;width:13pt;height:11pt;mso-position-horizontal-relative:page;mso-position-vertical-relative:page;z-index:-787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456" type="#_x0000_t75" stroked="false">
          <v:imagedata r:id="rId1" o:title=""/>
        </v:shape>
      </w:pict>
    </w:r>
    <w:r>
      <w:rPr/>
      <w:pict>
        <v:shape style="position:absolute;margin-left:291.200012pt;margin-top:771.577942pt;width:13pt;height:11pt;mso-position-horizontal-relative:page;mso-position-vertical-relative:page;z-index:-787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8536" type="#_x0000_t75" stroked="false">
          <v:imagedata r:id="rId1" o:title=""/>
        </v:shape>
      </w:pict>
    </w:r>
    <w:r>
      <w:rPr/>
      <w:pict>
        <v:shape style="position:absolute;margin-left:293.420013pt;margin-top:771.577942pt;width:8.5pt;height:11pt;mso-position-horizontal-relative:page;mso-position-vertical-relative:page;z-index:-788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408" type="#_x0000_t75" stroked="false">
          <v:imagedata r:id="rId1" o:title=""/>
        </v:shape>
      </w:pict>
    </w:r>
    <w:r>
      <w:rPr/>
      <w:pict>
        <v:shape style="position:absolute;margin-left:288.920013pt;margin-top:771.577942pt;width:17.5pt;height:11pt;mso-position-horizontal-relative:page;mso-position-vertical-relative:page;z-index:-787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360" type="#_x0000_t75" stroked="false">
          <v:imagedata r:id="rId1" o:title=""/>
        </v:shape>
      </w:pict>
    </w:r>
    <w:r>
      <w:rPr/>
      <w:pict>
        <v:shape style="position:absolute;margin-left:288.920013pt;margin-top:771.577942pt;width:17.5pt;height:11pt;mso-position-horizontal-relative:page;mso-position-vertical-relative:page;z-index:-787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8488" type="#_x0000_t75" stroked="false">
          <v:imagedata r:id="rId1" o:title=""/>
        </v:shape>
      </w:pict>
    </w:r>
    <w:r>
      <w:rPr/>
      <w:pict>
        <v:shape style="position:absolute;margin-left:291.200012pt;margin-top:771.577942pt;width:13pt;height:11pt;mso-position-horizontal-relative:page;mso-position-vertical-relative:page;z-index:-788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88416" type="#_x0000_t75" stroked="false">
          <v:imagedata r:id="rId1" o:title=""/>
        </v:shape>
      </w:pict>
    </w:r>
    <w:r>
      <w:rPr/>
      <w:pict>
        <v:shape style="position:absolute;margin-left:414.480011pt;margin-top:524.977966pt;width:13pt;height:11pt;mso-position-horizontal-relative:page;mso-position-vertical-relative:page;z-index:-78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8296" type="#_x0000_t75" stroked="false">
          <v:imagedata r:id="rId1" o:title=""/>
        </v:shape>
      </w:pict>
    </w:r>
    <w:r>
      <w:rPr/>
      <w:pict>
        <v:shape style="position:absolute;margin-left:291.200012pt;margin-top:771.577942pt;width:13pt;height:11pt;mso-position-horizontal-relative:page;mso-position-vertical-relative:page;z-index:-788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88224" type="#_x0000_t75" stroked="false">
          <v:imagedata r:id="rId1" o:title=""/>
        </v:shape>
      </w:pict>
    </w:r>
    <w:r>
      <w:rPr/>
      <w:pict>
        <v:shape style="position:absolute;margin-left:414.480011pt;margin-top:524.977966pt;width:13pt;height:11pt;mso-position-horizontal-relative:page;mso-position-vertical-relative:page;z-index:-788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8128" type="#_x0000_t75" stroked="false">
          <v:imagedata r:id="rId1" o:title=""/>
        </v:shape>
      </w:pict>
    </w:r>
    <w:r>
      <w:rPr/>
      <w:pict>
        <v:shape style="position:absolute;margin-left:291.200012pt;margin-top:771.577942pt;width:13pt;height:11pt;mso-position-horizontal-relative:page;mso-position-vertical-relative:page;z-index:-788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88056" type="#_x0000_t75" stroked="false">
          <v:imagedata r:id="rId1" o:title=""/>
        </v:shape>
      </w:pict>
    </w:r>
    <w:r>
      <w:rPr/>
      <w:pict>
        <v:shape style="position:absolute;margin-left:414.480011pt;margin-top:524.977966pt;width:13pt;height:11pt;mso-position-horizontal-relative:page;mso-position-vertical-relative:page;z-index:-788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7960" type="#_x0000_t75" stroked="false">
          <v:imagedata r:id="rId1" o:title=""/>
        </v:shape>
      </w:pict>
    </w:r>
    <w:r>
      <w:rPr/>
      <w:pict>
        <v:shape style="position:absolute;margin-left:291.200012pt;margin-top:771.577942pt;width:13pt;height:11pt;mso-position-horizontal-relative:page;mso-position-vertical-relative:page;z-index:-787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85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160004pt;margin-top:42.865608pt;width:186.55pt;height:11.5pt;mso-position-horizontal-relative:page;mso-position-vertical-relative:page;z-index:-78856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87864"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77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87768"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8844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88368"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83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8832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88248"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81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88152"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8808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80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87984"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8"/>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whty.com.cn/" TargetMode="External"/><Relationship Id="rId10" Type="http://schemas.openxmlformats.org/officeDocument/2006/relationships/hyperlink" Target="mailto:tyobd@whty.com.cn" TargetMode="External"/><Relationship Id="rId11" Type="http://schemas.openxmlformats.org/officeDocument/2006/relationships/hyperlink" Target="mailto:daih@whty.com.cn" TargetMode="External"/><Relationship Id="rId12" Type="http://schemas.openxmlformats.org/officeDocument/2006/relationships/hyperlink" Target="mailto:hej@whty.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yperlink" Target="http://irm.cninfo.com.cn/ssessgs/S300205/index.html" TargetMode="Externa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header" Target="header8.xml"/><Relationship Id="rId28" Type="http://schemas.openxmlformats.org/officeDocument/2006/relationships/footer" Target="footer9.xml"/><Relationship Id="rId29" Type="http://schemas.openxmlformats.org/officeDocument/2006/relationships/image" Target="media/image3.png"/><Relationship Id="rId30" Type="http://schemas.openxmlformats.org/officeDocument/2006/relationships/header" Target="header9.xml"/><Relationship Id="rId31" Type="http://schemas.openxmlformats.org/officeDocument/2006/relationships/footer" Target="footer10.xml"/><Relationship Id="rId32" Type="http://schemas.openxmlformats.org/officeDocument/2006/relationships/image" Target="media/image1.jpeg"/><Relationship Id="rId33" Type="http://schemas.openxmlformats.org/officeDocument/2006/relationships/footer" Target="footer11.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header" Target="header11.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12.xml"/><Relationship Id="rId46" Type="http://schemas.openxmlformats.org/officeDocument/2006/relationships/footer" Target="footer21.xml"/><Relationship Id="rId47"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武汉天喻信息产业股份有限公司</dc:creator>
  <dc:title>武汉天喻信息产业股份有限公司2018年年度报告全文</dc:title>
  <dcterms:created xsi:type="dcterms:W3CDTF">2020-05-04T22:05:29Z</dcterms:created>
  <dcterms:modified xsi:type="dcterms:W3CDTF">2020-05-04T22:05:29Z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Microsoft® Office Word 2007</vt:lpwstr>
  </property>
  <property fmtid="{D5CDD505-2E9C-101B-9397-08002B2CF9AE}" pid="4" name="LastSaved">
    <vt:filetime>2020-05-04T00:00:00Z</vt:filetime>
  </property>
</Properties>
</file>