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武汉天喻信息产业股份有限公司</w:t>
      </w:r>
    </w:p>
    <w:p>
      <w:pPr>
        <w:pStyle w:val="Style2"/>
        <w:keepNext w:val="0"/>
        <w:keepLines w:val="0"/>
        <w:widowControl w:val="0"/>
        <w:shd w:val="clear" w:color="auto" w:fill="auto"/>
        <w:bidi w:val="0"/>
        <w:spacing w:before="0" w:after="57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840" w:line="240" w:lineRule="auto"/>
        <w:ind w:left="0" w:right="0" w:firstLine="0"/>
        <w:jc w:val="center"/>
        <w:rPr>
          <w:sz w:val="64"/>
          <w:szCs w:val="64"/>
        </w:rPr>
      </w:pPr>
      <w:r>
        <w:rPr>
          <w:rFonts w:ascii="Arial" w:eastAsia="Arial" w:hAnsi="Arial" w:cs="Arial"/>
          <w:color w:val="30397C"/>
          <w:spacing w:val="0"/>
          <w:w w:val="100"/>
          <w:position w:val="0"/>
          <w:sz w:val="96"/>
          <w:szCs w:val="96"/>
        </w:rPr>
        <w:t>V</w:t>
      </w:r>
      <w:r>
        <w:rPr>
          <w:rFonts w:ascii="SimHei" w:eastAsia="SimHei" w:hAnsi="SimHei" w:cs="SimHei"/>
          <w:color w:val="004897"/>
          <w:spacing w:val="0"/>
          <w:w w:val="100"/>
          <w:position w:val="0"/>
          <w:sz w:val="64"/>
          <w:szCs w:val="64"/>
        </w:rPr>
        <w:t>天喝信息</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66" w:right="1107" w:bottom="2866" w:left="1107" w:header="2438" w:footer="2438"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公司负责人张新访、主管会计工作负责人张艳菊及会计机构负责人（会计主 管人员）贾宗娟声明：保证本年度报告中财务报告的真实、准确、完整。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所有董事均已出席审议本次年报的董事会会议。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受疫情、市场竞争、行业政策等因素影响，公司智能卡、智能支付终端、 税控终端等产品销量下滑明显，导致公司年度业绩亏损。公司积极制定、实施 各项应对措施，努力降低不利因素的影响，主营业务、核心竞争力未发生重大 不利变化。在国家数字化的浪潮中，公司所从事的金融、智能支付终端、企业 服务、物联网、智慧教育等业务面临新一轮的发展机遇，市场空间巨大，公司 将围绕“用科技构造安全智慧的数字世界”的发展战略，把握行业数字化发展 趋势，加大人工智能、区块链等新技术和产品的研发，推动“旧赛道”产品和 服务的升级迭代，探索更多应用场景和业务模式，构建“新赛道”，推动公司持 续发展。</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本报告所涉及的公司发展战略、经营计划等前瞻性陈述，不构成公司对投 资者及相关人士的实质承诺，敬请投资者注意投资风险。</w:t>
      </w:r>
    </w:p>
    <w:p>
      <w:pPr>
        <w:pStyle w:val="Style15"/>
        <w:keepNext w:val="0"/>
        <w:keepLines w:val="0"/>
        <w:widowControl w:val="0"/>
        <w:shd w:val="clear" w:color="auto" w:fill="auto"/>
        <w:bidi w:val="0"/>
        <w:spacing w:before="0" w:line="619" w:lineRule="exact"/>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978" w:right="1107" w:bottom="1762" w:left="1107" w:header="0" w:footer="3" w:gutter="0"/>
          <w:cols w:space="720"/>
          <w:noEndnote/>
          <w:rtlGutter w:val="0"/>
          <w:docGrid w:linePitch="360"/>
        </w:sectPr>
      </w:pPr>
      <w:r>
        <w:rPr>
          <w:color w:val="000000"/>
          <w:spacing w:val="0"/>
          <w:w w:val="100"/>
          <w:position w:val="0"/>
        </w:rPr>
        <w:t xml:space="preserve">公司在本报告第四节“经营情况讨论与分析”/“九、公司未来发展的展 望” / </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、可能面对的风险”部分，详细描述了公司未来经营中可能面临的主</w:t>
      </w:r>
    </w:p>
    <w:p>
      <w:pPr>
        <w:pStyle w:val="Style15"/>
        <w:keepNext w:val="0"/>
        <w:keepLines w:val="0"/>
        <w:widowControl w:val="0"/>
        <w:shd w:val="clear" w:color="auto" w:fill="auto"/>
        <w:bidi w:val="0"/>
        <w:spacing w:before="0" w:after="420" w:line="835" w:lineRule="exact"/>
        <w:ind w:left="0" w:right="0" w:firstLine="5960"/>
        <w:jc w:val="left"/>
      </w:pPr>
      <w:r>
        <w:rPr>
          <w:b w:val="0"/>
          <w:bCs w:val="0"/>
          <w:color w:val="000000"/>
          <w:spacing w:val="0"/>
          <w:w w:val="100"/>
          <w:position w:val="0"/>
          <w:sz w:val="17"/>
          <w:szCs w:val="17"/>
        </w:rPr>
        <w:t>武汉天喻信息产业股份有限公司</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 xml:space="preserve">年度报告 </w:t>
      </w:r>
      <w:r>
        <w:rPr>
          <w:color w:val="000000"/>
          <w:spacing w:val="0"/>
          <w:w w:val="100"/>
          <w:position w:val="0"/>
        </w:rPr>
        <w:t>要风险及应对措施，敬请投资者注意阅读。</w:t>
      </w:r>
    </w:p>
    <w:p>
      <w:pPr>
        <w:pStyle w:val="Style15"/>
        <w:keepNext w:val="0"/>
        <w:keepLines w:val="0"/>
        <w:widowControl w:val="0"/>
        <w:shd w:val="clear" w:color="auto" w:fill="auto"/>
        <w:bidi w:val="0"/>
        <w:spacing w:before="0" w:after="320" w:line="240" w:lineRule="auto"/>
        <w:ind w:left="0" w:right="0"/>
        <w:jc w:val="both"/>
      </w:pPr>
      <w:r>
        <w:rPr>
          <w:color w:val="000000"/>
          <w:spacing w:val="0"/>
          <w:w w:val="100"/>
          <w:position w:val="0"/>
        </w:rPr>
        <w:t>公司经本次董事会审议通过的利润分配预案为：不派发现金红利，不送红</w:t>
      </w:r>
    </w:p>
    <w:p>
      <w:pPr>
        <w:pStyle w:val="Style15"/>
        <w:keepNext w:val="0"/>
        <w:keepLines w:val="0"/>
        <w:widowControl w:val="0"/>
        <w:shd w:val="clear" w:color="auto" w:fill="auto"/>
        <w:bidi w:val="0"/>
        <w:spacing w:before="0" w:after="36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548" w:right="1102" w:bottom="1158" w:left="1107" w:header="120" w:footer="3" w:gutter="0"/>
          <w:cols w:space="720"/>
          <w:noEndnote/>
          <w:rtlGutter w:val="0"/>
          <w:docGrid w:linePitch="360"/>
        </w:sectPr>
      </w:pPr>
      <w:r>
        <w:rPr>
          <w:color w:val="000000"/>
          <w:spacing w:val="0"/>
          <w:w w:val="100"/>
          <w:position w:val="0"/>
        </w:rPr>
        <w:t>股，不以资本公积金转增股本。</w:t>
      </w:r>
    </w:p>
    <w:p>
      <w:pPr>
        <w:pStyle w:val="Style2"/>
        <w:keepNext w:val="0"/>
        <w:keepLines w:val="0"/>
        <w:widowControl w:val="0"/>
        <w:shd w:val="clear" w:color="auto" w:fill="auto"/>
        <w:bidi w:val="0"/>
        <w:spacing w:before="1400" w:after="152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8"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rPr>
          <w:t>10</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81"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rPr>
          <w:t>13</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231"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26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387"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37</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43"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43</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47"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rPr>
          <w:t>44</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51"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rPr>
          <w:t>45</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93" w:tooltip="Current Document">
        <w:r>
          <w:rPr>
            <w:color w:val="000000"/>
            <w:spacing w:val="0"/>
            <w:w w:val="100"/>
            <w:position w:val="0"/>
          </w:rPr>
          <w:t>第十节公司治理</w:t>
        </w:r>
        <w:r>
          <w:rPr>
            <w:color w:val="000000"/>
            <w:spacing w:val="0"/>
            <w:w w:val="100"/>
            <w:position w:val="0"/>
          </w:rPr>
          <w:tab/>
        </w:r>
        <w:r>
          <w:rPr>
            <w:color w:val="000000"/>
            <w:spacing w:val="0"/>
            <w:w w:val="100"/>
            <w:position w:val="0"/>
          </w:rPr>
          <w:t>54</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68" w:tooltip="Current Document">
        <w:r>
          <w:rPr>
            <w:color w:val="000000"/>
            <w:spacing w:val="0"/>
            <w:w w:val="100"/>
            <w:position w:val="0"/>
          </w:rPr>
          <w:t>第^一节公司债券相关情况</w:t>
        </w:r>
        <w:r>
          <w:rPr>
            <w:color w:val="000000"/>
            <w:spacing w:val="0"/>
            <w:w w:val="100"/>
            <w:position w:val="0"/>
          </w:rPr>
          <w:tab/>
        </w:r>
        <w:r>
          <w:rPr>
            <w:color w:val="000000"/>
            <w:spacing w:val="0"/>
            <w:w w:val="100"/>
            <w:position w:val="0"/>
          </w:rPr>
          <w:t>60</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72"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rPr>
          <w:t>61</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1609" w:tooltip="Current Document">
        <w:r>
          <w:rPr>
            <w:color w:val="000000"/>
            <w:spacing w:val="0"/>
            <w:w w:val="100"/>
            <w:position w:val="0"/>
          </w:rPr>
          <w:t>第十三节 备查文件目录</w:t>
        </w:r>
        <w:r>
          <w:rPr>
            <w:color w:val="000000"/>
            <w:spacing w:val="0"/>
            <w:w w:val="100"/>
            <w:position w:val="0"/>
          </w:rPr>
          <w:tab/>
        </w:r>
        <w:r>
          <w:rPr>
            <w:color w:val="000000"/>
            <w:spacing w:val="0"/>
            <w:w w:val="100"/>
            <w:position w:val="0"/>
          </w:rPr>
          <w:t>169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091"/>
        <w:gridCol w:w="619"/>
        <w:gridCol w:w="57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释义项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武汉天喻信息产业股份有限公司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武汉百望信息技术有限公司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湖北百旺金赋科技有限公司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黑龙江百望信息技术有限公司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擎动网络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武汉擎动网络科技有限公司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聚联科技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武汉天喻聚联科技有限公司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四川天喻云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四川天喻云科技有限公司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果核科技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武汉果核科技有限公司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山东天喻爱书人现代教育科技有限公司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鱼渔课堂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武汉鱼渔课堂教育科技有限公司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易考乐学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深圳市易考乐学测评有限公司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无锡尚蠡信息科技有限公司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河南喻周教育科技有限公司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汉阳喻教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喻教（武汉汉阳）科技有限公司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青山喻优教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喻优教（武汉青山）科技有限公司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焦作天喻云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焦作天喻云教育科技有限公司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东风畅行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东风畅行科技股份有限公司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武汉华中科技大产业集团有限公司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武汉华工创业投资有限责任公司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武汉光谷创业投资基金有限公司（原武汉光谷风险投资基金有限公司）</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国家教育信息化规划内的、以云技术为支撑的国家及地方教育资源公共服 务平台</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3"/>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天喻信息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天喻信息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Wuhan Tianyu Information Industry Co., Ltd.</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Tianyu Information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"http://www.whty" </w:instrText>
            </w:r>
            <w:r>
              <w:fldChar w:fldCharType="separate"/>
            </w:r>
            <w:r>
              <w:rPr>
                <w:color w:val="000000"/>
                <w:spacing w:val="0"/>
                <w:w w:val="100"/>
                <w:position w:val="0"/>
              </w:rPr>
              <w:t>www.whty</w:t>
            </w:r>
            <w:r>
              <w:fldChar w:fldCharType="end"/>
            </w:r>
            <w:r>
              <w:rPr>
                <w:color w:val="000000"/>
                <w:spacing w:val="0"/>
                <w:w w:val="100"/>
                <w:position w:val="0"/>
              </w:rPr>
              <w:t>. com. 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"mailto:tyobd@whty.com.cn" </w:instrText>
            </w:r>
            <w:r>
              <w:fldChar w:fldCharType="separate"/>
            </w:r>
            <w:r>
              <w:rPr>
                <w:color w:val="000000"/>
                <w:spacing w:val="0"/>
                <w:w w:val="100"/>
                <w:position w:val="0"/>
              </w:rPr>
              <w:t>tyobd@whty.com.cn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1675"/>
        <w:gridCol w:w="3965"/>
        <w:gridCol w:w="394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武汉市东湖新技术开发区华工大学科技园天喻楼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027-87920301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027-87920301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027-87920306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027-87920306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"mailto:wanj@whty.com.cn" </w:instrText>
            </w:r>
            <w:r>
              <w:fldChar w:fldCharType="separate"/>
            </w:r>
            <w:r>
              <w:rPr>
                <w:color w:val="000000"/>
                <w:spacing w:val="0"/>
                <w:w w:val="100"/>
                <w:position w:val="0"/>
              </w:rPr>
              <w:t>wanj@whty.com.cn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hej@whty. com. cn</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《中国证券报》、《证券时报》、《证券日报》、《上海证券报》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、其他有关资料</w:t>
      </w:r>
      <w:bookmarkEnd w:id="19"/>
      <w:bookmarkEnd w:id="20"/>
      <w:bookmarkEnd w:id="22"/>
    </w:p>
    <w:p>
      <w:pPr>
        <w:pStyle w:val="Style26"/>
        <w:keepNext w:val="0"/>
        <w:keepLines w:val="0"/>
        <w:widowControl w:val="0"/>
        <w:shd w:val="clear" w:color="auto" w:fill="auto"/>
        <w:bidi w:val="0"/>
        <w:spacing w:before="0" w:after="32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41" w:right="961" w:bottom="1455" w:left="1017" w:header="0" w:footer="3" w:gutter="0"/>
          <w:cols w:space="720"/>
          <w:noEndnote/>
          <w:rtlGutter w:val="0"/>
          <w:docGrid w:linePitch="360"/>
        </w:sectPr>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color w:val="000000"/>
                <w:spacing w:val="0"/>
                <w:w w:val="100"/>
                <w:position w:val="0"/>
              </w:rPr>
              <w:t>169</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吴杰、代娟</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、主要会计数据和财务指标</w:t>
      </w:r>
      <w:bookmarkEnd w:id="23"/>
      <w:bookmarkEnd w:id="24"/>
      <w:bookmarkEnd w:id="2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tbl>
      <w:tblPr>
        <w:tblOverlap w:val="never"/>
        <w:jc w:val="center"/>
        <w:tblLayout w:type="fixed"/>
      </w:tblPr>
      <w:tblGrid>
        <w:gridCol w:w="2947"/>
        <w:gridCol w:w="1738"/>
        <w:gridCol w:w="1738"/>
        <w:gridCol w:w="1738"/>
        <w:gridCol w:w="174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2,212,106,995.85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2,396,986,879.64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-60,737,085.52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192,396,750.47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101,022,715.51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-91,882,864.51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5,605,549.39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73,178,457.68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248,252,927.63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281,725,738.40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-11,194,290.75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2,820,058,176.12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2,681,196,269.31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2,096,399,122.52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1,327,767,176.71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1,429,432,553.06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1,271,684,483.94</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2242"/>
        <w:gridCol w:w="2126"/>
        <w:gridCol w:w="2126"/>
        <w:gridCol w:w="308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2,212,106,995.85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主要为生产过程产生的废料处置收入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1,691,519,455.21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2,208,508,919.65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公司主营业务收入</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、分季度主要财务指标</w:t>
      </w:r>
      <w:bookmarkEnd w:id="27"/>
      <w:bookmarkEnd w:id="28"/>
      <w:bookmarkEnd w:id="30"/>
    </w:p>
    <w:p>
      <w:pPr>
        <w:pStyle w:val="Style2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单位：元</w:t>
      </w: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188,724,954.24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719,722,504.78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335,592,317.87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449,489,902.29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-45,436,956.18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12,813,821.62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-10,892,374.37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-17,221,576.59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-50,094,280.71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8,097,187.40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-14,668,686.01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-35,217,085.19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-251,534,774.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40,116,919.36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168,396,623.69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291,274,159.55</w:t>
            </w:r>
          </w:p>
        </w:tc>
      </w:tr>
    </w:tbl>
    <w:p>
      <w:pPr>
        <w:widowControl w:val="0"/>
        <w:spacing w:after="39" w:line="1" w:lineRule="exact"/>
      </w:pPr>
    </w:p>
    <w:p>
      <w:pPr>
        <w:pStyle w:val="Style26"/>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报告期内，由于疫情期间停工停产，一季度业绩大幅亏损，公司积极推进复工复产，二季度承接并交付了较大量的智能 支付终端产品订单，收入大幅回升，实现季度盈利；但受</w:t>
      </w:r>
      <w:r>
        <w:rPr>
          <w:color w:val="000000"/>
          <w:spacing w:val="0"/>
          <w:w w:val="100"/>
          <w:position w:val="0"/>
        </w:rPr>
        <w:t>ETC</w:t>
      </w:r>
      <w:r>
        <w:rPr>
          <w:color w:val="000000"/>
          <w:spacing w:val="0"/>
          <w:w w:val="100"/>
          <w:position w:val="0"/>
        </w:rPr>
        <w:t>卡市场饱和、行业政策等多方因素影响，三季度和四季度</w:t>
      </w:r>
      <w:r>
        <w:rPr>
          <w:color w:val="000000"/>
          <w:spacing w:val="0"/>
          <w:w w:val="100"/>
          <w:position w:val="0"/>
        </w:rPr>
        <w:t xml:space="preserve">ETC </w:t>
      </w:r>
      <w:r>
        <w:rPr>
          <w:color w:val="000000"/>
          <w:spacing w:val="0"/>
          <w:w w:val="100"/>
          <w:position w:val="0"/>
        </w:rPr>
        <w:t>卡和智能支付终端产品销量同比大幅下滑，导致经营业绩亏损。</w:t>
      </w:r>
    </w:p>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3"/>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0"/>
        <w:keepNext/>
        <w:keepLines/>
        <w:widowControl w:val="0"/>
        <w:shd w:val="clear" w:color="auto" w:fill="auto"/>
        <w:tabs>
          <w:tab w:pos="404" w:val="left"/>
        </w:tabs>
        <w:bidi w:val="0"/>
        <w:spacing w:before="0" w:after="2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after="40" w:line="33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35" w:lineRule="exact"/>
        <w:ind w:left="0" w:right="0" w:firstLine="38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4" w:val="left"/>
        </w:tabs>
        <w:bidi w:val="0"/>
        <w:spacing w:before="0" w:after="24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40" w:line="335"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35" w:lineRule="exact"/>
        <w:ind w:left="0" w:right="0" w:firstLine="38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24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非经常性损益项目及金额</w:t>
      </w:r>
      <w:bookmarkEnd w:id="43"/>
      <w:bookmarkEnd w:id="44"/>
      <w:bookmarkEnd w:id="46"/>
    </w:p>
    <w:p>
      <w:pPr>
        <w:pStyle w:val="Style26"/>
        <w:keepNext w:val="0"/>
        <w:keepLines w:val="0"/>
        <w:widowControl w:val="0"/>
        <w:shd w:val="clear" w:color="auto" w:fill="auto"/>
        <w:bidi w:val="0"/>
        <w:spacing w:before="0" w:after="140" w:line="335" w:lineRule="exact"/>
        <w:ind w:left="0" w:right="0" w:firstLine="0"/>
        <w:jc w:val="both"/>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1560"/>
        <w:gridCol w:w="1555"/>
        <w:gridCol w:w="143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w:t>
            </w:r>
            <w:r>
              <w:rPr>
                <w:color w:val="000000"/>
                <w:spacing w:val="0"/>
                <w:w w:val="100"/>
                <w:position w:val="0"/>
              </w:rPr>
              <w:t>年金额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-78,026.38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-683,225.00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5,837,611.42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14,524,397.72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12,381,464.94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25,002,402.41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2,770,738.70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18,649,535.13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208,662,680.58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-491,682. </w:t>
            </w: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-617,625.22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-1,418,643.16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557,937.16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254,959.21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1,104,726.40</w:t>
            </w:r>
          </w:p>
        </w:tc>
      </w:tr>
    </w:tbl>
    <w:tbl>
      <w:tblPr>
        <w:tblOverlap w:val="never"/>
        <w:jc w:val="center"/>
        <w:tblLayout w:type="fixed"/>
      </w:tblPr>
      <w:tblGrid>
        <w:gridCol w:w="4934"/>
        <w:gridCol w:w="1560"/>
        <w:gridCol w:w="1555"/>
        <w:gridCol w:w="143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32,752,423.73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4,496,331.83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956,246.11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31,145,778.99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186,791,201.08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27,844,257.83</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38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41" w:right="961" w:bottom="1455" w:left="101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rPr>
        <w:t>1</w:t>
      </w:r>
      <w:r>
        <w:rPr>
          <w:color w:val="000000"/>
          <w:spacing w:val="0"/>
          <w:w w:val="100"/>
          <w:position w:val="0"/>
        </w:rPr>
        <w:t>号一一非经常性损益》定义、列举的非经常性 损益项目界定为经常性损益的项目的情形。</w:t>
      </w:r>
    </w:p>
    <w:p>
      <w:pPr>
        <w:pStyle w:val="Style9"/>
        <w:keepNext/>
        <w:keepLines/>
        <w:widowControl w:val="0"/>
        <w:shd w:val="clear" w:color="auto" w:fill="auto"/>
        <w:bidi w:val="0"/>
        <w:spacing w:before="520" w:after="56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3"/>
        <w:keepNext/>
        <w:keepLines/>
        <w:widowControl w:val="0"/>
        <w:shd w:val="clear" w:color="auto" w:fill="auto"/>
        <w:bidi w:val="0"/>
        <w:spacing w:before="0" w:after="26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、报告期内公司从事的主要业务</w:t>
      </w:r>
      <w:bookmarkEnd w:id="51"/>
      <w:bookmarkEnd w:id="52"/>
      <w:bookmarkEnd w:id="54"/>
      <w:bookmarkEnd w:id="50"/>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公司从事的主要业务包括智能卡、智能支付终端、物联网、税控终端及增值服务和</w:t>
      </w:r>
      <w:r>
        <w:rPr>
          <w:color w:val="000000"/>
          <w:spacing w:val="0"/>
          <w:w w:val="100"/>
          <w:position w:val="0"/>
        </w:rPr>
        <w:t>K12</w:t>
      </w:r>
      <w:r>
        <w:rPr>
          <w:color w:val="000000"/>
          <w:spacing w:val="0"/>
          <w:w w:val="100"/>
          <w:position w:val="0"/>
        </w:rPr>
        <w:t>智慧教育业务。</w:t>
      </w:r>
    </w:p>
    <w:p>
      <w:pPr>
        <w:pStyle w:val="Style26"/>
        <w:keepNext w:val="0"/>
        <w:keepLines w:val="0"/>
        <w:widowControl w:val="0"/>
        <w:shd w:val="clear" w:color="auto" w:fill="auto"/>
        <w:tabs>
          <w:tab w:pos="471" w:val="left"/>
        </w:tabs>
        <w:bidi w:val="0"/>
        <w:spacing w:before="0" w:after="0" w:line="315" w:lineRule="exact"/>
        <w:ind w:left="0" w:right="0" w:firstLine="0"/>
        <w:jc w:val="both"/>
      </w:pPr>
      <w:bookmarkStart w:id="55" w:name="bookmark55"/>
      <w:r>
        <w:rPr>
          <w:color w:val="000000"/>
          <w:spacing w:val="0"/>
          <w:w w:val="100"/>
          <w:position w:val="0"/>
        </w:rPr>
        <w:t>（</w:t>
      </w:r>
      <w:bookmarkEnd w:id="55"/>
      <w:r>
        <w:rPr>
          <w:color w:val="000000"/>
          <w:spacing w:val="0"/>
          <w:w w:val="100"/>
          <w:position w:val="0"/>
        </w:rPr>
        <w:t>一）</w:t>
        <w:tab/>
        <w:t>智能卡</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公司智能卡产品包括金融</w:t>
      </w:r>
      <w:r>
        <w:rPr>
          <w:color w:val="000000"/>
          <w:spacing w:val="0"/>
          <w:w w:val="100"/>
          <w:position w:val="0"/>
        </w:rPr>
        <w:t>IC</w:t>
      </w:r>
      <w:r>
        <w:rPr>
          <w:color w:val="000000"/>
          <w:spacing w:val="0"/>
          <w:w w:val="100"/>
          <w:position w:val="0"/>
        </w:rPr>
        <w:t>卡（银行</w:t>
      </w:r>
      <w:r>
        <w:rPr>
          <w:color w:val="000000"/>
          <w:spacing w:val="0"/>
          <w:w w:val="100"/>
          <w:position w:val="0"/>
        </w:rPr>
        <w:t>IC</w:t>
      </w:r>
      <w:r>
        <w:rPr>
          <w:color w:val="000000"/>
          <w:spacing w:val="0"/>
          <w:w w:val="100"/>
          <w:position w:val="0"/>
        </w:rPr>
        <w:t>卡、金融社保卡等）、通信智能卡</w:t>
      </w:r>
      <w:r>
        <w:rPr>
          <w:color w:val="000000"/>
          <w:spacing w:val="0"/>
          <w:w w:val="100"/>
          <w:position w:val="0"/>
        </w:rPr>
        <w:t>（SIM</w:t>
      </w:r>
      <w:r>
        <w:rPr>
          <w:color w:val="000000"/>
          <w:spacing w:val="0"/>
          <w:w w:val="100"/>
          <w:position w:val="0"/>
        </w:rPr>
        <w:t>卡等）、城市通卡（公交地铁卡等）、 高速公路</w:t>
      </w:r>
      <w:r>
        <w:rPr>
          <w:color w:val="000000"/>
          <w:spacing w:val="0"/>
          <w:w w:val="100"/>
          <w:position w:val="0"/>
        </w:rPr>
        <w:t>ETC</w:t>
      </w:r>
      <w:r>
        <w:rPr>
          <w:color w:val="000000"/>
          <w:spacing w:val="0"/>
          <w:w w:val="100"/>
          <w:position w:val="0"/>
        </w:rPr>
        <w:t>卡。金融</w:t>
      </w:r>
      <w:r>
        <w:rPr>
          <w:color w:val="000000"/>
          <w:spacing w:val="0"/>
          <w:w w:val="100"/>
          <w:position w:val="0"/>
        </w:rPr>
        <w:t>IC</w:t>
      </w:r>
      <w:r>
        <w:rPr>
          <w:color w:val="000000"/>
          <w:spacing w:val="0"/>
          <w:w w:val="100"/>
          <w:position w:val="0"/>
        </w:rPr>
        <w:t>卡产品主要的销售对象为商业银行和社保机构，通信智能卡产品的销售对象为电信运营商，城市通 卡产品的销售对象为各地一卡通运营公司，高速公路</w:t>
      </w:r>
      <w:r>
        <w:rPr>
          <w:color w:val="000000"/>
          <w:spacing w:val="0"/>
          <w:w w:val="100"/>
          <w:position w:val="0"/>
        </w:rPr>
        <w:t>ETC</w:t>
      </w:r>
      <w:r>
        <w:rPr>
          <w:color w:val="000000"/>
          <w:spacing w:val="0"/>
          <w:w w:val="100"/>
          <w:position w:val="0"/>
        </w:rPr>
        <w:t>卡产品的销售对象为商业银行和高速公路运营公司；公司主要通过 参加商业银行、社保机构、电信运营商、一卡通运营公司、高速公路运营公司的招投标获得供应商资格，按照合同/订单确 定的价格和数量销售产品。报告期内，公司积极探索银行卡线上办卡（线上订卡、邮寄）等智能卡相关服务业务。智能卡产 品业务的主要业绩驱动因素为卡片销量、销售价格及成本控制；智能卡服务业务主要的业绩驱动因素为办卡量。</w:t>
      </w:r>
    </w:p>
    <w:p>
      <w:pPr>
        <w:pStyle w:val="Style26"/>
        <w:keepNext w:val="0"/>
        <w:keepLines w:val="0"/>
        <w:widowControl w:val="0"/>
        <w:shd w:val="clear" w:color="auto" w:fill="auto"/>
        <w:tabs>
          <w:tab w:pos="471" w:val="left"/>
        </w:tabs>
        <w:bidi w:val="0"/>
        <w:spacing w:before="0" w:after="0" w:line="317" w:lineRule="exact"/>
        <w:ind w:left="0" w:right="0" w:firstLine="0"/>
        <w:jc w:val="left"/>
      </w:pPr>
      <w:bookmarkStart w:id="56" w:name="bookmark56"/>
      <w:r>
        <w:rPr>
          <w:color w:val="000000"/>
          <w:spacing w:val="0"/>
          <w:w w:val="100"/>
          <w:position w:val="0"/>
        </w:rPr>
        <w:t>（</w:t>
      </w:r>
      <w:bookmarkEnd w:id="56"/>
      <w:r>
        <w:rPr>
          <w:color w:val="000000"/>
          <w:spacing w:val="0"/>
          <w:w w:val="100"/>
          <w:position w:val="0"/>
        </w:rPr>
        <w:t>二）</w:t>
        <w:tab/>
        <w:t>智能支付终端</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公司智能支付终端产品包括无线</w:t>
      </w:r>
      <w:r>
        <w:rPr>
          <w:color w:val="000000"/>
          <w:spacing w:val="0"/>
          <w:w w:val="100"/>
          <w:position w:val="0"/>
        </w:rPr>
        <w:t>POS</w:t>
      </w:r>
      <w:r>
        <w:rPr>
          <w:color w:val="000000"/>
          <w:spacing w:val="0"/>
          <w:w w:val="100"/>
          <w:position w:val="0"/>
        </w:rPr>
        <w:t>、</w:t>
      </w:r>
      <w:r>
        <w:rPr>
          <w:color w:val="000000"/>
          <w:spacing w:val="0"/>
          <w:w w:val="100"/>
          <w:position w:val="0"/>
        </w:rPr>
        <w:t>mPOS</w:t>
      </w:r>
      <w:r>
        <w:rPr>
          <w:color w:val="000000"/>
          <w:spacing w:val="0"/>
          <w:w w:val="100"/>
          <w:position w:val="0"/>
        </w:rPr>
        <w:t>、</w:t>
      </w:r>
      <w:r>
        <w:rPr>
          <w:color w:val="000000"/>
          <w:spacing w:val="0"/>
          <w:w w:val="100"/>
          <w:position w:val="0"/>
        </w:rPr>
        <w:t>二维码</w:t>
      </w:r>
      <w:r>
        <w:rPr>
          <w:color w:val="000000"/>
          <w:spacing w:val="0"/>
          <w:w w:val="100"/>
          <w:position w:val="0"/>
        </w:rPr>
        <w:t>POS</w:t>
      </w:r>
      <w:r>
        <w:rPr>
          <w:color w:val="000000"/>
          <w:spacing w:val="0"/>
          <w:w w:val="100"/>
          <w:position w:val="0"/>
        </w:rPr>
        <w:t>、</w:t>
      </w:r>
      <w:r>
        <w:rPr>
          <w:color w:val="000000"/>
          <w:spacing w:val="0"/>
          <w:w w:val="100"/>
          <w:position w:val="0"/>
        </w:rPr>
        <w:t>智能</w:t>
      </w:r>
      <w:r>
        <w:rPr>
          <w:color w:val="000000"/>
          <w:spacing w:val="0"/>
          <w:w w:val="100"/>
          <w:position w:val="0"/>
        </w:rPr>
        <w:t>POS</w:t>
      </w:r>
      <w:r>
        <w:rPr>
          <w:color w:val="000000"/>
          <w:spacing w:val="0"/>
          <w:w w:val="100"/>
          <w:position w:val="0"/>
        </w:rPr>
        <w:t>、</w:t>
      </w:r>
      <w:r>
        <w:rPr>
          <w:color w:val="000000"/>
          <w:spacing w:val="0"/>
          <w:w w:val="100"/>
          <w:position w:val="0"/>
        </w:rPr>
        <w:t>云喇叭（支付播报）等云终端。智能支付终端产品 的销售对象主要为第三方支付机构及其渠道商、商业银行等，公司主要根据客户对产品功能需求的差异、订购数量等因素协 商确定销售价格，签订合同，实现销售。公司智能支付终端业务深耕支付市场，除金融</w:t>
      </w:r>
      <w:r>
        <w:rPr>
          <w:color w:val="000000"/>
          <w:spacing w:val="0"/>
          <w:w w:val="100"/>
          <w:position w:val="0"/>
        </w:rPr>
        <w:t>IC</w:t>
      </w:r>
      <w:r>
        <w:rPr>
          <w:color w:val="000000"/>
          <w:spacing w:val="0"/>
          <w:w w:val="100"/>
          <w:position w:val="0"/>
        </w:rPr>
        <w:t>卡、二维码等支付场景外，还积极 布局人脸识别等基于生物识别技术的支付场景。报告期内，公司积极寻求与商业银行、第三方支付机构合作，探索商户支付 服务业务的市场机会。智能支付终端产品的主要业绩驱动因素为产品销量、销售价格及成本控制。支付服务业务主要的业绩 驱动因素为服务的商户数量。</w:t>
      </w:r>
    </w:p>
    <w:p>
      <w:pPr>
        <w:pStyle w:val="Style26"/>
        <w:keepNext w:val="0"/>
        <w:keepLines w:val="0"/>
        <w:widowControl w:val="0"/>
        <w:shd w:val="clear" w:color="auto" w:fill="auto"/>
        <w:tabs>
          <w:tab w:pos="471" w:val="left"/>
        </w:tabs>
        <w:bidi w:val="0"/>
        <w:spacing w:before="0" w:after="0" w:line="315" w:lineRule="exact"/>
        <w:ind w:left="0" w:right="0" w:firstLine="0"/>
        <w:jc w:val="both"/>
      </w:pPr>
      <w:bookmarkStart w:id="57" w:name="bookmark57"/>
      <w:r>
        <w:rPr>
          <w:color w:val="000000"/>
          <w:spacing w:val="0"/>
          <w:w w:val="100"/>
          <w:position w:val="0"/>
        </w:rPr>
        <w:t>（</w:t>
      </w:r>
      <w:bookmarkEnd w:id="57"/>
      <w:r>
        <w:rPr>
          <w:color w:val="000000"/>
          <w:spacing w:val="0"/>
          <w:w w:val="100"/>
          <w:position w:val="0"/>
        </w:rPr>
        <w:t>三）</w:t>
        <w:tab/>
        <w:t>物联网</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公司物联网业务的产品和服务主要为物联网智能安全硬件及解决方案（软件平台、硬件、服务）</w:t>
      </w:r>
      <w:r>
        <w:rPr>
          <w:color w:val="000000"/>
          <w:spacing w:val="0"/>
          <w:w w:val="100"/>
          <w:position w:val="0"/>
        </w:rPr>
        <w:t>，</w:t>
      </w:r>
      <w:r>
        <w:rPr>
          <w:color w:val="000000"/>
          <w:spacing w:val="0"/>
          <w:w w:val="100"/>
          <w:position w:val="0"/>
        </w:rPr>
        <w:t>包括</w:t>
      </w:r>
      <w:r>
        <w:rPr>
          <w:color w:val="000000"/>
          <w:spacing w:val="0"/>
          <w:w w:val="100"/>
          <w:position w:val="0"/>
        </w:rPr>
        <w:t>eSIM</w:t>
      </w:r>
      <w:r>
        <w:rPr>
          <w:color w:val="000000"/>
          <w:spacing w:val="0"/>
          <w:w w:val="100"/>
          <w:position w:val="0"/>
        </w:rPr>
        <w:t>、</w:t>
      </w:r>
      <w:r>
        <w:rPr>
          <w:color w:val="000000"/>
          <w:spacing w:val="0"/>
          <w:w w:val="100"/>
          <w:position w:val="0"/>
        </w:rPr>
        <w:t>eSE</w:t>
      </w:r>
      <w:r>
        <w:rPr>
          <w:color w:val="000000"/>
          <w:spacing w:val="0"/>
          <w:w w:val="100"/>
          <w:position w:val="0"/>
        </w:rPr>
        <w:t>、模 组等智能连接产品，智能电子证等通用智能终端、</w:t>
      </w:r>
      <w:r>
        <w:rPr>
          <w:color w:val="000000"/>
          <w:spacing w:val="0"/>
          <w:w w:val="100"/>
          <w:position w:val="0"/>
        </w:rPr>
        <w:t>AI</w:t>
      </w:r>
      <w:r>
        <w:rPr>
          <w:color w:val="000000"/>
          <w:spacing w:val="0"/>
          <w:w w:val="100"/>
          <w:position w:val="0"/>
        </w:rPr>
        <w:t>终端、支付标签等智能硬件产品，以及物联网平台、应用服务、解决方 案等。物联网业务主要的业绩驱动因素为智能安全硬件产品的销量、销售价格及成本控制，物联网解决方案及服务项目的客 户数量及项目金额。</w:t>
      </w:r>
    </w:p>
    <w:p>
      <w:pPr>
        <w:pStyle w:val="Style26"/>
        <w:keepNext w:val="0"/>
        <w:keepLines w:val="0"/>
        <w:widowControl w:val="0"/>
        <w:shd w:val="clear" w:color="auto" w:fill="auto"/>
        <w:tabs>
          <w:tab w:pos="471" w:val="left"/>
        </w:tabs>
        <w:bidi w:val="0"/>
        <w:spacing w:before="0" w:after="0" w:line="315" w:lineRule="exact"/>
        <w:ind w:left="0" w:right="0" w:firstLine="0"/>
        <w:jc w:val="left"/>
      </w:pPr>
      <w:bookmarkStart w:id="58" w:name="bookmark58"/>
      <w:r>
        <w:rPr>
          <w:color w:val="000000"/>
          <w:spacing w:val="0"/>
          <w:w w:val="100"/>
          <w:position w:val="0"/>
        </w:rPr>
        <w:t>（</w:t>
      </w:r>
      <w:bookmarkEnd w:id="58"/>
      <w:r>
        <w:rPr>
          <w:color w:val="000000"/>
          <w:spacing w:val="0"/>
          <w:w w:val="100"/>
          <w:position w:val="0"/>
        </w:rPr>
        <w:t>四）</w:t>
        <w:tab/>
        <w:t>税控终端及增值服务</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该业务产品和服务的销售对象为纳税户企业，公司向其销售税控盘等税控终端设备并提供增值服务。公司通过税务局 驻点等方式向纳税户企业销售税控盘产品（销售价格由国家发改委确定），并通过现场服务、呼叫中心、客户端软件、微信 平台等方式为纳税户企业提供后续针对税控设备的服务和增值服务，包括智慧税务（含发票开具、便捷办税通道、发票数据 管理的“百赋通”），智慧财务（含在线报销管理、账簿凭证管理、代账通道的“百账通”）、企业协同（含移动</w:t>
      </w:r>
      <w:r>
        <w:rPr>
          <w:color w:val="000000"/>
          <w:spacing w:val="0"/>
          <w:w w:val="100"/>
          <w:position w:val="0"/>
        </w:rPr>
        <w:t>OA</w:t>
      </w:r>
      <w:r>
        <w:rPr>
          <w:color w:val="000000"/>
          <w:spacing w:val="0"/>
          <w:w w:val="100"/>
          <w:position w:val="0"/>
        </w:rPr>
        <w:t>、</w:t>
      </w:r>
      <w:r>
        <w:rPr>
          <w:color w:val="000000"/>
          <w:spacing w:val="0"/>
          <w:w w:val="100"/>
          <w:position w:val="0"/>
        </w:rPr>
        <w:t>场景 收银、供应链协作的“百企通”）等增值服务，获得相关服务收入。税控终端业务主要的业绩驱动因素为产品销量和成本控 制，增值服务业务主要的业绩驱动因素为服务的纳税户企业数量。</w:t>
      </w:r>
    </w:p>
    <w:p>
      <w:pPr>
        <w:pStyle w:val="Style26"/>
        <w:keepNext w:val="0"/>
        <w:keepLines w:val="0"/>
        <w:widowControl w:val="0"/>
        <w:shd w:val="clear" w:color="auto" w:fill="auto"/>
        <w:tabs>
          <w:tab w:pos="471" w:val="left"/>
        </w:tabs>
        <w:bidi w:val="0"/>
        <w:spacing w:before="0" w:after="0" w:line="315" w:lineRule="exact"/>
        <w:ind w:left="0" w:right="0" w:firstLine="0"/>
        <w:jc w:val="both"/>
      </w:pPr>
      <w:bookmarkStart w:id="59" w:name="bookmark59"/>
      <w:r>
        <w:rPr>
          <w:color w:val="000000"/>
          <w:spacing w:val="0"/>
          <w:w w:val="100"/>
          <w:position w:val="0"/>
        </w:rPr>
        <w:t>（</w:t>
      </w:r>
      <w:bookmarkEnd w:id="59"/>
      <w:r>
        <w:rPr>
          <w:color w:val="000000"/>
          <w:spacing w:val="0"/>
          <w:w w:val="100"/>
          <w:position w:val="0"/>
        </w:rPr>
        <w:t>五）</w:t>
        <w:tab/>
        <w:t>智慧教育</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公司从事的是以国家教育信息化为背景的</w:t>
      </w:r>
      <w:r>
        <w:rPr>
          <w:color w:val="000000"/>
          <w:spacing w:val="0"/>
          <w:w w:val="100"/>
          <w:position w:val="0"/>
        </w:rPr>
        <w:t>K12</w:t>
      </w:r>
      <w:r>
        <w:rPr>
          <w:color w:val="000000"/>
          <w:spacing w:val="0"/>
          <w:w w:val="100"/>
          <w:position w:val="0"/>
        </w:rPr>
        <w:t>智慧教育业务，产品及服务涵盖大平台（教育云平台）、大教学（教学助 手产品、考试评阅产品、个性化学习产品、智慧教室终端、护眼墨水屏智能学习终端）、大数据（教学大数据、学习大数据、 管理大数据）、大生态（与行业伙伴合作的硬件、应用、数据产品）及融合上述产品及服务的区校一体化解决方案，助力教 育主管部门及学校全面提高区域教育质量。公司智慧教育业务主要的市场开拓模式是以“铺平台”为市场切入点，在获得区 域教育云平台的建设/运营权后，借助教育云平台自上而下的政策推动面向平台落地区域销售大教学、大数据、大生态相关 智慧教育产品、服务及解决方案。同时，通过渠道力量进一步扩大销售，通过教育信息化产业链合作共同拓展市场。目前该 业务的产品及服务采购方主要为各级教育主管部门及学校，主要的业绩驱动因素为产品覆盖的区域、学校数量及项目合同金 额。</w:t>
      </w:r>
    </w:p>
    <w:p>
      <w:pPr>
        <w:pStyle w:val="Style23"/>
        <w:keepNext/>
        <w:keepLines/>
        <w:widowControl w:val="0"/>
        <w:shd w:val="clear" w:color="auto" w:fill="auto"/>
        <w:bidi w:val="0"/>
        <w:spacing w:before="0" w:after="3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、主要资产重大变化情况</w:t>
      </w:r>
      <w:bookmarkEnd w:id="60"/>
      <w:bookmarkEnd w:id="61"/>
      <w:bookmarkEnd w:id="63"/>
    </w:p>
    <w:p>
      <w:pPr>
        <w:pStyle w:val="Style30"/>
        <w:keepNext/>
        <w:keepLines/>
        <w:widowControl w:val="0"/>
        <w:shd w:val="clear" w:color="auto" w:fill="auto"/>
        <w:bidi w:val="0"/>
        <w:spacing w:before="0" w:after="34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1958"/>
        <w:gridCol w:w="7522"/>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交易性金融资产较期初增加</w:t>
            </w:r>
            <w:r>
              <w:rPr>
                <w:color w:val="000000"/>
                <w:spacing w:val="0"/>
                <w:w w:val="100"/>
                <w:position w:val="0"/>
              </w:rPr>
              <w:t>190.59%</w:t>
            </w:r>
            <w:r>
              <w:rPr>
                <w:color w:val="000000"/>
                <w:spacing w:val="0"/>
                <w:w w:val="100"/>
                <w:position w:val="0"/>
              </w:rPr>
              <w:t>，主要由于购买的结构性存款及可转让大额存单增加。</w:t>
            </w:r>
          </w:p>
        </w:tc>
      </w:tr>
    </w:tbl>
    <w:p>
      <w:pPr>
        <w:widowControl w:val="0"/>
        <w:spacing w:after="339" w:line="1" w:lineRule="exact"/>
      </w:pPr>
    </w:p>
    <w:p>
      <w:pPr>
        <w:pStyle w:val="Style30"/>
        <w:keepNext/>
        <w:keepLines/>
        <w:widowControl w:val="0"/>
        <w:shd w:val="clear" w:color="auto" w:fill="auto"/>
        <w:bidi w:val="0"/>
        <w:spacing w:before="0" w:after="2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6"/>
        <w:keepNext w:val="0"/>
        <w:keepLines w:val="0"/>
        <w:widowControl w:val="0"/>
        <w:shd w:val="clear" w:color="auto" w:fill="auto"/>
        <w:bidi w:val="0"/>
        <w:spacing w:before="0" w:after="3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6"/>
        <w:keepNext w:val="0"/>
        <w:keepLines w:val="0"/>
        <w:widowControl w:val="0"/>
        <w:shd w:val="clear" w:color="auto" w:fill="auto"/>
        <w:bidi w:val="0"/>
        <w:spacing w:before="0" w:after="0" w:line="323" w:lineRule="exact"/>
        <w:ind w:left="0" w:right="0" w:firstLine="440"/>
        <w:jc w:val="left"/>
      </w:pPr>
      <w:r>
        <w:rPr>
          <w:color w:val="000000"/>
          <w:spacing w:val="0"/>
          <w:w w:val="100"/>
          <w:position w:val="0"/>
        </w:rPr>
        <w:t>公司作为国内数据安全领域领先的产品和解决方案提供商，深耕数据安全智能卡、金融终端、智慧教育、税务服务等 业务领域多年，拥有良好稳定的客户资源，产品涵盖卡、终端、系统、服务、解决方案，应用领域广泛，在各细分领域的拓 展中积累了丰富的产品开发和行业应用经验。公司建有国家企业技术中心，拥有</w:t>
      </w:r>
      <w:r>
        <w:rPr>
          <w:color w:val="000000"/>
          <w:spacing w:val="0"/>
          <w:w w:val="100"/>
          <w:position w:val="0"/>
        </w:rPr>
        <w:t>CMMI</w:t>
      </w:r>
      <w:r>
        <w:rPr>
          <w:color w:val="000000"/>
          <w:spacing w:val="0"/>
          <w:w w:val="100"/>
          <w:position w:val="0"/>
        </w:rPr>
        <w:t>软件能力成熟度模型集成五级资质、信 息系统服务交付能力一级五星资质，多次参与相关国家标准、行业标准起草工作，成为国际国内多个标准组织成员单位。</w:t>
      </w:r>
    </w:p>
    <w:p>
      <w:pPr>
        <w:pStyle w:val="Style2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报告期内，公司不断提升研发创新能力、产品和服务品牌认可度，持续推进信息化升级建设和智能制造工作，加强与 高校人才、技术合作，以巩固和增强核心竞争力：</w:t>
      </w:r>
    </w:p>
    <w:p>
      <w:pPr>
        <w:pStyle w:val="Style26"/>
        <w:keepNext w:val="0"/>
        <w:keepLines w:val="0"/>
        <w:widowControl w:val="0"/>
        <w:shd w:val="clear" w:color="auto" w:fill="auto"/>
        <w:tabs>
          <w:tab w:pos="807" w:val="left"/>
        </w:tabs>
        <w:bidi w:val="0"/>
        <w:spacing w:before="0" w:after="0" w:line="314" w:lineRule="exact"/>
        <w:ind w:left="0" w:right="0" w:firstLine="440"/>
        <w:jc w:val="left"/>
      </w:pPr>
      <w:bookmarkStart w:id="76" w:name="bookmark76"/>
      <w:r>
        <w:rPr>
          <w:color w:val="000000"/>
          <w:spacing w:val="0"/>
          <w:w w:val="100"/>
          <w:position w:val="0"/>
        </w:rPr>
        <w:t>一</w:t>
      </w:r>
      <w:bookmarkEnd w:id="76"/>
      <w:r>
        <w:rPr>
          <w:color w:val="000000"/>
          <w:spacing w:val="0"/>
          <w:w w:val="100"/>
          <w:position w:val="0"/>
        </w:rPr>
        <w:t>、</w:t>
        <w:tab/>
        <w:t>持续提升自主研发及技术创新能力。公司申报专利</w:t>
      </w:r>
      <w:r>
        <w:rPr>
          <w:color w:val="000000"/>
          <w:spacing w:val="0"/>
          <w:w w:val="100"/>
          <w:position w:val="0"/>
        </w:rPr>
        <w:t>36</w:t>
      </w:r>
      <w:r>
        <w:rPr>
          <w:color w:val="000000"/>
          <w:spacing w:val="0"/>
          <w:w w:val="100"/>
          <w:position w:val="0"/>
        </w:rPr>
        <w:t>项，其中发明专利</w:t>
      </w:r>
      <w:r>
        <w:rPr>
          <w:color w:val="000000"/>
          <w:spacing w:val="0"/>
          <w:w w:val="100"/>
          <w:position w:val="0"/>
        </w:rPr>
        <w:t>25</w:t>
      </w:r>
      <w:r>
        <w:rPr>
          <w:color w:val="000000"/>
          <w:spacing w:val="0"/>
          <w:w w:val="100"/>
          <w:position w:val="0"/>
        </w:rPr>
        <w:t>项，实用新型专利</w:t>
      </w:r>
      <w:r>
        <w:rPr>
          <w:color w:val="000000"/>
          <w:spacing w:val="0"/>
          <w:w w:val="100"/>
          <w:position w:val="0"/>
        </w:rPr>
        <w:t>9</w:t>
      </w:r>
      <w:r>
        <w:rPr>
          <w:color w:val="000000"/>
          <w:spacing w:val="0"/>
          <w:w w:val="100"/>
          <w:position w:val="0"/>
        </w:rPr>
        <w:t>项，外观设计专利</w:t>
      </w:r>
      <w:r>
        <w:rPr>
          <w:color w:val="000000"/>
          <w:spacing w:val="0"/>
          <w:w w:val="100"/>
          <w:position w:val="0"/>
        </w:rPr>
        <w:t xml:space="preserve">2 </w:t>
      </w:r>
      <w:r>
        <w:rPr>
          <w:color w:val="000000"/>
          <w:spacing w:val="0"/>
          <w:w w:val="100"/>
          <w:position w:val="0"/>
        </w:rPr>
        <w:t>项；新增专利</w:t>
      </w:r>
      <w:r>
        <w:rPr>
          <w:color w:val="000000"/>
          <w:spacing w:val="0"/>
          <w:w w:val="100"/>
          <w:position w:val="0"/>
        </w:rPr>
        <w:t>21</w:t>
      </w:r>
      <w:r>
        <w:rPr>
          <w:color w:val="000000"/>
          <w:spacing w:val="0"/>
          <w:w w:val="100"/>
          <w:position w:val="0"/>
        </w:rPr>
        <w:t>项，其中发明专利</w:t>
      </w:r>
      <w:r>
        <w:rPr>
          <w:color w:val="000000"/>
          <w:spacing w:val="0"/>
          <w:w w:val="100"/>
          <w:position w:val="0"/>
        </w:rPr>
        <w:t>11</w:t>
      </w:r>
      <w:r>
        <w:rPr>
          <w:color w:val="000000"/>
          <w:spacing w:val="0"/>
          <w:w w:val="100"/>
          <w:position w:val="0"/>
        </w:rPr>
        <w:t>项，实用新型专利</w:t>
      </w:r>
      <w:r>
        <w:rPr>
          <w:color w:val="000000"/>
          <w:spacing w:val="0"/>
          <w:w w:val="100"/>
          <w:position w:val="0"/>
        </w:rPr>
        <w:t>8</w:t>
      </w:r>
      <w:r>
        <w:rPr>
          <w:color w:val="000000"/>
          <w:spacing w:val="0"/>
          <w:w w:val="100"/>
          <w:position w:val="0"/>
        </w:rPr>
        <w:t>项，外观设计专利</w:t>
      </w:r>
      <w:r>
        <w:rPr>
          <w:color w:val="000000"/>
          <w:spacing w:val="0"/>
          <w:w w:val="100"/>
          <w:position w:val="0"/>
        </w:rPr>
        <w:t>2</w:t>
      </w:r>
      <w:r>
        <w:rPr>
          <w:color w:val="000000"/>
          <w:spacing w:val="0"/>
          <w:w w:val="100"/>
          <w:position w:val="0"/>
        </w:rPr>
        <w:t>项；新增软件著作权</w:t>
      </w:r>
      <w:r>
        <w:rPr>
          <w:color w:val="000000"/>
          <w:spacing w:val="0"/>
          <w:w w:val="100"/>
          <w:position w:val="0"/>
        </w:rPr>
        <w:t>49</w:t>
      </w:r>
      <w:r>
        <w:rPr>
          <w:color w:val="000000"/>
          <w:spacing w:val="0"/>
          <w:w w:val="100"/>
          <w:position w:val="0"/>
        </w:rPr>
        <w:t>项，知识产权的增加为公 司产品的市场竞争力奠定了重要的技术基础。公司取得信息系统服务交付能力等级证书(一级五星)，成为湖北省首批以最 高等级和星级获得信息系统服务交付能力等级认证的企业。继取得维萨</w:t>
      </w:r>
      <w:r>
        <w:rPr>
          <w:color w:val="000000"/>
          <w:spacing w:val="0"/>
          <w:w w:val="100"/>
          <w:position w:val="0"/>
        </w:rPr>
        <w:t>(VISA)</w:t>
      </w:r>
      <w:r>
        <w:rPr>
          <w:color w:val="000000"/>
          <w:spacing w:val="0"/>
          <w:w w:val="100"/>
          <w:position w:val="0"/>
        </w:rPr>
        <w:t>、万事达</w:t>
      </w:r>
      <w:r>
        <w:rPr>
          <w:color w:val="000000"/>
          <w:spacing w:val="0"/>
          <w:w w:val="100"/>
          <w:position w:val="0"/>
        </w:rPr>
        <w:t>(MasterCard)</w:t>
      </w:r>
      <w:r>
        <w:rPr>
          <w:color w:val="000000"/>
          <w:spacing w:val="0"/>
          <w:w w:val="100"/>
          <w:position w:val="0"/>
        </w:rPr>
        <w:t>、美国运通</w:t>
      </w:r>
      <w:r>
        <w:rPr>
          <w:color w:val="000000"/>
          <w:spacing w:val="0"/>
          <w:w w:val="100"/>
          <w:position w:val="0"/>
        </w:rPr>
        <w:t>(American Express)</w:t>
      </w:r>
      <w:r>
        <w:rPr>
          <w:color w:val="000000"/>
          <w:spacing w:val="0"/>
          <w:w w:val="100"/>
          <w:position w:val="0"/>
        </w:rPr>
        <w:t>、中国银联</w:t>
      </w:r>
      <w:r>
        <w:rPr>
          <w:color w:val="000000"/>
          <w:spacing w:val="0"/>
          <w:w w:val="100"/>
          <w:position w:val="0"/>
        </w:rPr>
        <w:t>(</w:t>
      </w:r>
      <w:r>
        <w:rPr>
          <w:color w:val="000000"/>
          <w:spacing w:val="0"/>
          <w:w w:val="100"/>
          <w:position w:val="0"/>
        </w:rPr>
        <w:t>UnionPay)</w:t>
      </w:r>
      <w:r>
        <w:rPr>
          <w:color w:val="000000"/>
          <w:spacing w:val="0"/>
          <w:w w:val="100"/>
          <w:position w:val="0"/>
        </w:rPr>
        <w:t>、</w:t>
      </w:r>
      <w:r>
        <w:rPr>
          <w:color w:val="000000"/>
          <w:spacing w:val="0"/>
          <w:w w:val="100"/>
          <w:position w:val="0"/>
        </w:rPr>
        <w:t>日本</w:t>
      </w:r>
      <w:r>
        <w:rPr>
          <w:color w:val="000000"/>
          <w:spacing w:val="0"/>
          <w:w w:val="100"/>
          <w:position w:val="0"/>
        </w:rPr>
        <w:t>JCB</w:t>
      </w:r>
      <w:r>
        <w:rPr>
          <w:color w:val="000000"/>
          <w:spacing w:val="0"/>
          <w:w w:val="100"/>
          <w:position w:val="0"/>
        </w:rPr>
        <w:t>等国内、国际卡组织资质认证后，公司取得大莱</w:t>
      </w:r>
      <w:r>
        <w:rPr>
          <w:color w:val="000000"/>
          <w:spacing w:val="0"/>
          <w:w w:val="100"/>
          <w:position w:val="0"/>
        </w:rPr>
        <w:t>(Dinert club</w:t>
      </w:r>
      <w:r>
        <w:rPr>
          <w:color w:val="000000"/>
          <w:spacing w:val="0"/>
          <w:w w:val="100"/>
          <w:position w:val="0"/>
        </w:rPr>
        <w:t>)</w:t>
      </w:r>
      <w:r>
        <w:rPr>
          <w:color w:val="000000"/>
          <w:spacing w:val="0"/>
          <w:w w:val="100"/>
          <w:position w:val="0"/>
        </w:rPr>
        <w:t>生产资质认 证证书，进一步完备相关的业务资质；公司</w:t>
      </w:r>
      <w:r>
        <w:rPr>
          <w:color w:val="000000"/>
          <w:spacing w:val="0"/>
          <w:w w:val="100"/>
          <w:position w:val="0"/>
        </w:rPr>
        <w:t>39</w:t>
      </w:r>
      <w:r>
        <w:rPr>
          <w:color w:val="000000"/>
          <w:spacing w:val="0"/>
          <w:w w:val="100"/>
          <w:position w:val="0"/>
        </w:rPr>
        <w:t>款智能卡、金融终端产品通过第三方检测机构合计</w:t>
      </w:r>
      <w:r>
        <w:rPr>
          <w:color w:val="000000"/>
          <w:spacing w:val="0"/>
          <w:w w:val="100"/>
          <w:position w:val="0"/>
        </w:rPr>
        <w:t>163</w:t>
      </w:r>
      <w:r>
        <w:rPr>
          <w:color w:val="000000"/>
          <w:spacing w:val="0"/>
          <w:w w:val="100"/>
          <w:position w:val="0"/>
        </w:rPr>
        <w:t>项检测，其中</w:t>
      </w:r>
      <w:r>
        <w:rPr>
          <w:color w:val="000000"/>
          <w:spacing w:val="0"/>
          <w:w w:val="100"/>
          <w:position w:val="0"/>
        </w:rPr>
        <w:t>6</w:t>
      </w:r>
      <w:r>
        <w:rPr>
          <w:color w:val="000000"/>
          <w:spacing w:val="0"/>
          <w:w w:val="100"/>
          <w:position w:val="0"/>
        </w:rPr>
        <w:t>款金融</w:t>
      </w:r>
      <w:r>
        <w:rPr>
          <w:color w:val="000000"/>
          <w:spacing w:val="0"/>
          <w:w w:val="100"/>
          <w:position w:val="0"/>
        </w:rPr>
        <w:t xml:space="preserve">IC </w:t>
      </w:r>
      <w:r>
        <w:rPr>
          <w:color w:val="000000"/>
          <w:spacing w:val="0"/>
          <w:w w:val="100"/>
          <w:position w:val="0"/>
        </w:rPr>
        <w:t>卡产品通过</w:t>
      </w:r>
      <w:r>
        <w:rPr>
          <w:color w:val="000000"/>
          <w:spacing w:val="0"/>
          <w:w w:val="100"/>
          <w:position w:val="0"/>
        </w:rPr>
        <w:t>VISA</w:t>
      </w:r>
      <w:r>
        <w:rPr>
          <w:color w:val="000000"/>
          <w:spacing w:val="0"/>
          <w:w w:val="100"/>
          <w:position w:val="0"/>
        </w:rPr>
        <w:t>、</w:t>
      </w:r>
      <w:r>
        <w:rPr>
          <w:color w:val="000000"/>
          <w:spacing w:val="0"/>
          <w:w w:val="100"/>
          <w:position w:val="0"/>
        </w:rPr>
        <w:t>MasterCard</w:t>
      </w:r>
      <w:r>
        <w:rPr>
          <w:color w:val="000000"/>
          <w:spacing w:val="0"/>
          <w:w w:val="100"/>
          <w:position w:val="0"/>
        </w:rPr>
        <w:t>、</w:t>
      </w:r>
      <w:r>
        <w:rPr>
          <w:color w:val="000000"/>
          <w:spacing w:val="0"/>
          <w:w w:val="100"/>
          <w:position w:val="0"/>
        </w:rPr>
        <w:t>American Express</w:t>
      </w:r>
      <w:r>
        <w:rPr>
          <w:color w:val="000000"/>
          <w:spacing w:val="0"/>
          <w:w w:val="100"/>
          <w:position w:val="0"/>
        </w:rPr>
        <w:t>等国际组织认证，</w:t>
      </w:r>
      <w:r>
        <w:rPr>
          <w:color w:val="000000"/>
          <w:spacing w:val="0"/>
          <w:w w:val="100"/>
          <w:position w:val="0"/>
        </w:rPr>
        <w:t>2</w:t>
      </w:r>
      <w:r>
        <w:rPr>
          <w:color w:val="000000"/>
          <w:spacing w:val="0"/>
          <w:w w:val="100"/>
          <w:position w:val="0"/>
        </w:rPr>
        <w:t>款金融终端产品通过</w:t>
      </w:r>
      <w:r>
        <w:rPr>
          <w:color w:val="000000"/>
          <w:spacing w:val="0"/>
          <w:w w:val="100"/>
          <w:position w:val="0"/>
        </w:rPr>
        <w:t>Discover</w:t>
      </w:r>
      <w:r>
        <w:rPr>
          <w:color w:val="000000"/>
          <w:spacing w:val="0"/>
          <w:w w:val="100"/>
          <w:position w:val="0"/>
        </w:rPr>
        <w:t>、</w:t>
      </w:r>
      <w:r>
        <w:rPr>
          <w:color w:val="000000"/>
          <w:spacing w:val="0"/>
          <w:w w:val="100"/>
          <w:position w:val="0"/>
        </w:rPr>
        <w:t>JCB</w:t>
      </w:r>
      <w:r>
        <w:rPr>
          <w:color w:val="000000"/>
          <w:spacing w:val="0"/>
          <w:w w:val="100"/>
          <w:position w:val="0"/>
        </w:rPr>
        <w:t>等国际组织认证， 为公司相关业务巩固国内市场、开拓国际市场提供有力支撑。公司自主研发的</w:t>
      </w:r>
      <w:r>
        <w:rPr>
          <w:color w:val="000000"/>
          <w:spacing w:val="0"/>
          <w:w w:val="100"/>
          <w:position w:val="0"/>
        </w:rPr>
        <w:t>eSIM</w:t>
      </w:r>
      <w:r>
        <w:rPr>
          <w:color w:val="000000"/>
          <w:spacing w:val="0"/>
          <w:w w:val="100"/>
          <w:position w:val="0"/>
        </w:rPr>
        <w:t xml:space="preserve">连接管理平台通过全球移动通信系统协会 </w:t>
      </w:r>
      <w:r>
        <w:rPr>
          <w:color w:val="000000"/>
          <w:spacing w:val="0"/>
          <w:w w:val="100"/>
          <w:position w:val="0"/>
        </w:rPr>
        <w:t>(GSMA) SAS-SM</w:t>
      </w:r>
      <w:r>
        <w:rPr>
          <w:color w:val="000000"/>
          <w:spacing w:val="0"/>
          <w:w w:val="100"/>
          <w:position w:val="0"/>
        </w:rPr>
        <w:t>全范围安全认证，公司成为国内首家通过</w:t>
      </w:r>
      <w:r>
        <w:rPr>
          <w:color w:val="000000"/>
          <w:spacing w:val="0"/>
          <w:w w:val="100"/>
          <w:position w:val="0"/>
        </w:rPr>
        <w:t>SAS-SM</w:t>
      </w:r>
      <w:r>
        <w:rPr>
          <w:color w:val="000000"/>
          <w:spacing w:val="0"/>
          <w:w w:val="100"/>
          <w:position w:val="0"/>
        </w:rPr>
        <w:t>全认证范围的</w:t>
      </w:r>
      <w:r>
        <w:rPr>
          <w:color w:val="000000"/>
          <w:spacing w:val="0"/>
          <w:w w:val="100"/>
          <w:position w:val="0"/>
        </w:rPr>
        <w:t>eSIM</w:t>
      </w:r>
      <w:r>
        <w:rPr>
          <w:color w:val="000000"/>
          <w:spacing w:val="0"/>
          <w:w w:val="100"/>
          <w:position w:val="0"/>
        </w:rPr>
        <w:t>服务提供商，也是全球为数不多的同时获 得</w:t>
      </w:r>
      <w:r>
        <w:rPr>
          <w:color w:val="000000"/>
          <w:spacing w:val="0"/>
          <w:w w:val="100"/>
          <w:position w:val="0"/>
        </w:rPr>
        <w:t>GSMA</w:t>
      </w:r>
      <w:r>
        <w:rPr>
          <w:color w:val="000000"/>
          <w:spacing w:val="0"/>
          <w:w w:val="100"/>
          <w:position w:val="0"/>
        </w:rPr>
        <w:t>卡产品安全生产</w:t>
      </w:r>
      <w:r>
        <w:rPr>
          <w:color w:val="000000"/>
          <w:spacing w:val="0"/>
          <w:w w:val="100"/>
          <w:position w:val="0"/>
        </w:rPr>
        <w:t>(SAS-UP)</w:t>
      </w:r>
      <w:r>
        <w:rPr>
          <w:color w:val="000000"/>
          <w:spacing w:val="0"/>
          <w:w w:val="100"/>
          <w:position w:val="0"/>
        </w:rPr>
        <w:t>认证与连接管理平台服务</w:t>
      </w:r>
      <w:r>
        <w:rPr>
          <w:color w:val="000000"/>
          <w:spacing w:val="0"/>
          <w:w w:val="100"/>
          <w:position w:val="0"/>
        </w:rPr>
        <w:t>(SAS-SM)</w:t>
      </w:r>
      <w:r>
        <w:rPr>
          <w:color w:val="000000"/>
          <w:spacing w:val="0"/>
          <w:w w:val="100"/>
          <w:position w:val="0"/>
        </w:rPr>
        <w:t>安全标准认证的服务提供商。公司区块链、人工智能 技术在公司电子发票、智慧教育相关产品上成功应用。</w:t>
      </w:r>
    </w:p>
    <w:p>
      <w:pPr>
        <w:pStyle w:val="Style26"/>
        <w:keepNext w:val="0"/>
        <w:keepLines w:val="0"/>
        <w:widowControl w:val="0"/>
        <w:shd w:val="clear" w:color="auto" w:fill="auto"/>
        <w:tabs>
          <w:tab w:pos="802" w:val="left"/>
        </w:tabs>
        <w:bidi w:val="0"/>
        <w:spacing w:before="0" w:after="0" w:line="314" w:lineRule="exact"/>
        <w:ind w:left="0" w:right="0" w:firstLine="440"/>
        <w:jc w:val="left"/>
      </w:pPr>
      <w:bookmarkStart w:id="77" w:name="bookmark77"/>
      <w:r>
        <w:rPr>
          <w:color w:val="000000"/>
          <w:spacing w:val="0"/>
          <w:w w:val="100"/>
          <w:position w:val="0"/>
        </w:rPr>
        <w:t>二</w:t>
      </w:r>
      <w:bookmarkEnd w:id="77"/>
      <w:r>
        <w:rPr>
          <w:color w:val="000000"/>
          <w:spacing w:val="0"/>
          <w:w w:val="100"/>
          <w:position w:val="0"/>
        </w:rPr>
        <w:t>、</w:t>
        <w:tab/>
        <w:t>进一步增强公司产品、服务品牌认可度。公司获评</w:t>
      </w:r>
      <w:r>
        <w:rPr>
          <w:color w:val="000000"/>
          <w:spacing w:val="0"/>
          <w:w w:val="100"/>
          <w:position w:val="0"/>
        </w:rPr>
        <w:t>2020</w:t>
      </w:r>
      <w:r>
        <w:rPr>
          <w:color w:val="000000"/>
          <w:spacing w:val="0"/>
          <w:w w:val="100"/>
          <w:position w:val="0"/>
        </w:rPr>
        <w:t>年度软件和信息技术服务竞争力百强企业、</w:t>
      </w:r>
      <w:r>
        <w:rPr>
          <w:color w:val="000000"/>
          <w:spacing w:val="0"/>
          <w:w w:val="100"/>
          <w:position w:val="0"/>
        </w:rPr>
        <w:t>2020</w:t>
      </w:r>
      <w:r>
        <w:rPr>
          <w:color w:val="000000"/>
          <w:spacing w:val="0"/>
          <w:w w:val="100"/>
          <w:position w:val="0"/>
        </w:rPr>
        <w:t>年武汉软 件</w:t>
      </w:r>
      <w:r>
        <w:rPr>
          <w:color w:val="000000"/>
          <w:spacing w:val="0"/>
          <w:w w:val="100"/>
          <w:position w:val="0"/>
        </w:rPr>
        <w:t>100</w:t>
      </w:r>
      <w:r>
        <w:rPr>
          <w:color w:val="000000"/>
          <w:spacing w:val="0"/>
          <w:w w:val="100"/>
          <w:position w:val="0"/>
        </w:rPr>
        <w:t>强企业；公司承担工艺开发和制造的中国工商银行“春夏秋冬，一鹿追梦”系列卡片，荣获国际卡制造商协会</w:t>
      </w:r>
      <w:r>
        <w:rPr>
          <w:color w:val="000000"/>
          <w:spacing w:val="0"/>
          <w:w w:val="100"/>
          <w:position w:val="0"/>
        </w:rPr>
        <w:t xml:space="preserve">(ICMA) </w:t>
      </w:r>
      <w:r>
        <w:rPr>
          <w:color w:val="000000"/>
          <w:spacing w:val="0"/>
          <w:w w:val="100"/>
          <w:position w:val="0"/>
        </w:rPr>
        <w:t>2020</w:t>
      </w:r>
      <w:r>
        <w:rPr>
          <w:color w:val="000000"/>
          <w:spacing w:val="0"/>
          <w:w w:val="100"/>
          <w:position w:val="0"/>
        </w:rPr>
        <w:t>年依兰奖</w:t>
      </w:r>
      <w:r>
        <w:rPr>
          <w:color w:val="000000"/>
          <w:spacing w:val="0"/>
          <w:w w:val="100"/>
          <w:position w:val="0"/>
        </w:rPr>
        <w:t xml:space="preserve">(Elan Award) </w:t>
      </w:r>
      <w:r>
        <w:rPr>
          <w:color w:val="000000"/>
          <w:spacing w:val="0"/>
          <w:w w:val="100"/>
          <w:position w:val="0"/>
        </w:rPr>
        <w:t>“独特创新奖”</w:t>
      </w:r>
      <w:r>
        <w:rPr>
          <w:color w:val="000000"/>
          <w:spacing w:val="0"/>
          <w:w w:val="100"/>
          <w:position w:val="0"/>
        </w:rPr>
        <w:t>，</w:t>
      </w:r>
      <w:r>
        <w:rPr>
          <w:color w:val="000000"/>
          <w:spacing w:val="0"/>
          <w:w w:val="100"/>
          <w:position w:val="0"/>
        </w:rPr>
        <w:t>彰显公司在卡面设计、卡片特殊工艺制作领域的卓越实力；子公司擎动网络 通过中国支付清算协会收单外包服务机构备案,标志着公司的收单外包服务业务在运作的规范性和专业性等方面符合行业标 准；子公司聚联科技成功入选湖北省经信厅发布的“湖北省工业互联网服务资源池(第二批)服务商”，其标识解析服务能 力获得行业主管部门认可；公司“智能云端一体化学习关键技术与应用”获得国家教育部科学技术进步一等奖；子公司天喻 教育建设和支撑的“武汉教育云空中课堂”、宁波“甬上云校”线上教学模式入选</w:t>
      </w:r>
      <w:r>
        <w:rPr>
          <w:color w:val="000000"/>
          <w:spacing w:val="0"/>
          <w:w w:val="100"/>
          <w:position w:val="0"/>
        </w:rPr>
        <w:t>2020</w:t>
      </w:r>
      <w:r>
        <w:rPr>
          <w:color w:val="000000"/>
          <w:spacing w:val="0"/>
          <w:w w:val="100"/>
          <w:position w:val="0"/>
        </w:rPr>
        <w:t>中国数字化转型优秀案例一一十大教 育服务类数字化转型成功案例，“基于教育云平台的空中课堂解决方案”和“天喻教育云平台”分别入选武汉东湖新技术开 发区抗疫创新应用案例与技术产品清单、光谷第二批“非接触”产品服务清单，“天喻教育”品牌知名度不断提升。</w:t>
      </w:r>
    </w:p>
    <w:p>
      <w:pPr>
        <w:pStyle w:val="Style26"/>
        <w:keepNext w:val="0"/>
        <w:keepLines w:val="0"/>
        <w:widowControl w:val="0"/>
        <w:shd w:val="clear" w:color="auto" w:fill="auto"/>
        <w:tabs>
          <w:tab w:pos="798" w:val="left"/>
        </w:tabs>
        <w:bidi w:val="0"/>
        <w:spacing w:before="0" w:after="0" w:line="314" w:lineRule="exact"/>
        <w:ind w:left="0" w:right="0" w:firstLine="440"/>
        <w:jc w:val="left"/>
      </w:pPr>
      <w:bookmarkStart w:id="78" w:name="bookmark78"/>
      <w:r>
        <w:rPr>
          <w:color w:val="000000"/>
          <w:spacing w:val="0"/>
          <w:w w:val="100"/>
          <w:position w:val="0"/>
        </w:rPr>
        <w:t>三</w:t>
      </w:r>
      <w:bookmarkEnd w:id="78"/>
      <w:r>
        <w:rPr>
          <w:color w:val="000000"/>
          <w:spacing w:val="0"/>
          <w:w w:val="100"/>
          <w:position w:val="0"/>
        </w:rPr>
        <w:t>、</w:t>
        <w:tab/>
        <w:t>加速推进信息化升级建设和智能制造工作。围绕</w:t>
      </w:r>
      <w:r>
        <w:rPr>
          <w:color w:val="000000"/>
          <w:spacing w:val="0"/>
          <w:w w:val="100"/>
          <w:position w:val="0"/>
        </w:rPr>
        <w:t xml:space="preserve">C2M </w:t>
      </w:r>
      <w:r>
        <w:rPr>
          <w:color w:val="000000"/>
          <w:spacing w:val="0"/>
          <w:w w:val="100"/>
          <w:position w:val="0"/>
        </w:rPr>
        <w:t>(用户直连制造)快速生产交付能力的构建和升级，公司加大 自动化、智能化设备投入，打造</w:t>
      </w:r>
      <w:r>
        <w:rPr>
          <w:color w:val="000000"/>
          <w:spacing w:val="0"/>
          <w:w w:val="100"/>
          <w:position w:val="0"/>
        </w:rPr>
        <w:t>MES</w:t>
      </w:r>
      <w:r>
        <w:rPr>
          <w:color w:val="000000"/>
          <w:spacing w:val="0"/>
          <w:w w:val="100"/>
          <w:position w:val="0"/>
        </w:rPr>
        <w:t xml:space="preserve">制造执行系统，提升智能制造能力，实现生产过程的自动化、精细化、智能化；上线/ 升级终端智慧供应链协同系统、企业资源管理系统等企业信息化系统，并与智能制造系统全面打通，实现客户需求信息、经 </w:t>
      </w:r>
      <w:r>
        <w:rPr>
          <w:color w:val="000000"/>
          <w:spacing w:val="0"/>
          <w:w w:val="100"/>
          <w:position w:val="0"/>
        </w:rPr>
        <w:t>营管理信息、生产交付信息高效管控，提高管理决策和运营效率，促进公司运营水平的全面提升。</w:t>
      </w:r>
    </w:p>
    <w:p>
      <w:pPr>
        <w:pStyle w:val="Style26"/>
        <w:keepNext w:val="0"/>
        <w:keepLines w:val="0"/>
        <w:widowControl w:val="0"/>
        <w:shd w:val="clear" w:color="auto" w:fill="auto"/>
        <w:bidi w:val="0"/>
        <w:spacing w:before="0" w:after="0" w:line="310" w:lineRule="exact"/>
        <w:ind w:left="0" w:right="0" w:firstLine="440"/>
        <w:jc w:val="left"/>
        <w:sectPr>
          <w:footnotePr>
            <w:pos w:val="pageBottom"/>
            <w:numFmt w:val="decimal"/>
            <w:numRestart w:val="continuous"/>
          </w:footnotePr>
          <w:pgSz w:w="11900" w:h="16840"/>
          <w:pgMar w:top="1388" w:right="1028" w:bottom="1686" w:left="1090" w:header="0" w:footer="3" w:gutter="0"/>
          <w:cols w:space="720"/>
          <w:noEndnote/>
          <w:rtlGutter w:val="0"/>
          <w:docGrid w:linePitch="360"/>
        </w:sectPr>
      </w:pPr>
      <w:bookmarkStart w:id="79" w:name="bookmark79"/>
      <w:r>
        <w:rPr>
          <w:color w:val="000000"/>
          <w:spacing w:val="0"/>
          <w:w w:val="100"/>
          <w:position w:val="0"/>
        </w:rPr>
        <w:t>四</w:t>
      </w:r>
      <w:bookmarkEnd w:id="79"/>
      <w:r>
        <w:rPr>
          <w:color w:val="000000"/>
          <w:spacing w:val="0"/>
          <w:w w:val="100"/>
          <w:position w:val="0"/>
        </w:rPr>
        <w:t>、加强与高校人才、技术合作。公司与华中科技大学、武汉大学等单位共同作为发起人，共建武汉市网安基地校企 联合会，构建人才培养模式，对接需求激发创新活力，共同推进科研成果转化；与华中科技大学共同申报的“区块链交易追 踪溯源监管关键技术研究”入选</w:t>
      </w:r>
      <w:r>
        <w:rPr>
          <w:color w:val="000000"/>
          <w:spacing w:val="0"/>
          <w:w w:val="100"/>
          <w:position w:val="0"/>
        </w:rPr>
        <w:t>2020</w:t>
      </w:r>
      <w:r>
        <w:rPr>
          <w:color w:val="000000"/>
          <w:spacing w:val="0"/>
          <w:w w:val="100"/>
          <w:position w:val="0"/>
        </w:rPr>
        <w:t>年度湖北省科技厅重点研发计划项目。</w:t>
      </w:r>
    </w:p>
    <w:p>
      <w:pPr>
        <w:pStyle w:val="Style9"/>
        <w:keepNext/>
        <w:keepLines/>
        <w:widowControl w:val="0"/>
        <w:shd w:val="clear" w:color="auto" w:fill="auto"/>
        <w:bidi w:val="0"/>
        <w:spacing w:before="600" w:after="54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3"/>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、概述</w:t>
      </w:r>
      <w:bookmarkEnd w:id="84"/>
      <w:bookmarkEnd w:id="85"/>
      <w:bookmarkEnd w:id="87"/>
      <w:bookmarkEnd w:id="83"/>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报告期内，受疫情、市场竞争、行业政策等因素影响，公司智能卡、智能支付终端、税控终端等产品销量下滑明显； 物联网业务销售收入同比增长，但整体规模较小；智慧教育业务销售收入同比增长，但仍处于亏损状态，公司营业收入、净 利润等指标同比有较大幅度下降。</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报告期内，公司克服武汉疫情封城及后续影响，积极复工复产，努力克服各项业务在项目执行、产品交付及商业拓展 活动等方面受到的制约。同时，公司努力在危机中寻新机，确立了新的数字化战略，对组织机构进行优化调整，构建以市场 为导向的平台化组织体系；加强研发资源的统筹，重点推动人工智能、区块链、云原生等新技术的研发；聚焦金融行业、智 能支付终端、物联网、企业服务、智慧教育等业务方向；构建集团集约化管理模式，加强供应链、智能制造建设，积极推进 降本增效，提升运营效率，尽最大努力降低各方面因素对业务带来的不利影响，同时也为未来发展奠定坚实基础。</w:t>
      </w:r>
    </w:p>
    <w:p>
      <w:pPr>
        <w:pStyle w:val="Style26"/>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报告期内，公司实现营业收入</w:t>
      </w:r>
      <w:r>
        <w:rPr>
          <w:color w:val="000000"/>
          <w:spacing w:val="0"/>
          <w:w w:val="100"/>
          <w:position w:val="0"/>
        </w:rPr>
        <w:t>16.94</w:t>
      </w:r>
      <w:r>
        <w:rPr>
          <w:color w:val="000000"/>
          <w:spacing w:val="0"/>
          <w:w w:val="100"/>
          <w:position w:val="0"/>
        </w:rPr>
        <w:t>亿元，同比减少</w:t>
      </w:r>
      <w:r>
        <w:rPr>
          <w:color w:val="000000"/>
          <w:spacing w:val="0"/>
          <w:w w:val="100"/>
          <w:position w:val="0"/>
        </w:rPr>
        <w:t xml:space="preserve">23. </w:t>
      </w:r>
      <w:r>
        <w:rPr>
          <w:color w:val="000000"/>
          <w:spacing w:val="0"/>
          <w:w w:val="100"/>
          <w:position w:val="0"/>
        </w:rPr>
        <w:t>44%；</w:t>
      </w:r>
      <w:r>
        <w:rPr>
          <w:color w:val="000000"/>
          <w:spacing w:val="0"/>
          <w:w w:val="100"/>
          <w:position w:val="0"/>
        </w:rPr>
        <w:t>发生营业成本</w:t>
      </w:r>
      <w:r>
        <w:rPr>
          <w:color w:val="000000"/>
          <w:spacing w:val="0"/>
          <w:w w:val="100"/>
          <w:position w:val="0"/>
        </w:rPr>
        <w:t>13.17</w:t>
      </w:r>
      <w:r>
        <w:rPr>
          <w:color w:val="000000"/>
          <w:spacing w:val="0"/>
          <w:w w:val="100"/>
          <w:position w:val="0"/>
        </w:rPr>
        <w:t>亿元，同比减少</w:t>
      </w:r>
      <w:r>
        <w:rPr>
          <w:color w:val="000000"/>
          <w:spacing w:val="0"/>
          <w:w w:val="100"/>
          <w:position w:val="0"/>
        </w:rPr>
        <w:t>21.27% ；</w:t>
      </w:r>
      <w:r>
        <w:rPr>
          <w:color w:val="000000"/>
          <w:spacing w:val="0"/>
          <w:w w:val="100"/>
          <w:position w:val="0"/>
        </w:rPr>
        <w:t>公司归属于 上市公司股东的净利润为</w:t>
      </w:r>
      <w:r>
        <w:rPr>
          <w:color w:val="000000"/>
          <w:spacing w:val="0"/>
          <w:w w:val="100"/>
          <w:position w:val="0"/>
        </w:rPr>
        <w:t>-6,073.71</w:t>
      </w:r>
      <w:r>
        <w:rPr>
          <w:color w:val="000000"/>
          <w:spacing w:val="0"/>
          <w:w w:val="100"/>
          <w:position w:val="0"/>
        </w:rPr>
        <w:t>万元。其中，智能卡业务实现营业收入</w:t>
      </w:r>
      <w:r>
        <w:rPr>
          <w:color w:val="000000"/>
          <w:spacing w:val="0"/>
          <w:w w:val="100"/>
          <w:position w:val="0"/>
        </w:rPr>
        <w:t>4.79</w:t>
      </w:r>
      <w:r>
        <w:rPr>
          <w:color w:val="000000"/>
          <w:spacing w:val="0"/>
          <w:w w:val="100"/>
          <w:position w:val="0"/>
        </w:rPr>
        <w:t>亿元，同比下滑</w:t>
      </w:r>
      <w:r>
        <w:rPr>
          <w:color w:val="000000"/>
          <w:spacing w:val="0"/>
          <w:w w:val="100"/>
          <w:position w:val="0"/>
        </w:rPr>
        <w:t>31.42%</w:t>
      </w:r>
      <w:r>
        <w:rPr>
          <w:color w:val="000000"/>
          <w:spacing w:val="0"/>
          <w:w w:val="100"/>
          <w:position w:val="0"/>
        </w:rPr>
        <w:t>，发生营业成本</w:t>
      </w:r>
      <w:r>
        <w:rPr>
          <w:color w:val="000000"/>
          <w:spacing w:val="0"/>
          <w:w w:val="100"/>
          <w:position w:val="0"/>
        </w:rPr>
        <w:t xml:space="preserve">3.43 </w:t>
      </w:r>
      <w:r>
        <w:rPr>
          <w:color w:val="000000"/>
          <w:spacing w:val="0"/>
          <w:w w:val="100"/>
          <w:position w:val="0"/>
        </w:rPr>
        <w:t>亿元，同比减少</w:t>
      </w:r>
      <w:r>
        <w:rPr>
          <w:color w:val="000000"/>
          <w:spacing w:val="0"/>
          <w:w w:val="100"/>
          <w:position w:val="0"/>
        </w:rPr>
        <w:t>33.30% ；</w:t>
      </w:r>
      <w:r>
        <w:rPr>
          <w:color w:val="000000"/>
          <w:spacing w:val="0"/>
          <w:w w:val="100"/>
          <w:position w:val="0"/>
        </w:rPr>
        <w:t>智能支付终端业务实现营业收入</w:t>
      </w:r>
      <w:r>
        <w:rPr>
          <w:color w:val="000000"/>
          <w:spacing w:val="0"/>
          <w:w w:val="100"/>
          <w:position w:val="0"/>
        </w:rPr>
        <w:t>9.08</w:t>
      </w:r>
      <w:r>
        <w:rPr>
          <w:color w:val="000000"/>
          <w:spacing w:val="0"/>
          <w:w w:val="100"/>
          <w:position w:val="0"/>
        </w:rPr>
        <w:t>亿元，同比下滑</w:t>
      </w:r>
      <w:r>
        <w:rPr>
          <w:color w:val="000000"/>
          <w:spacing w:val="0"/>
          <w:w w:val="100"/>
          <w:position w:val="0"/>
        </w:rPr>
        <w:t>25.56%</w:t>
      </w:r>
      <w:r>
        <w:rPr>
          <w:color w:val="000000"/>
          <w:spacing w:val="0"/>
          <w:w w:val="100"/>
          <w:position w:val="0"/>
        </w:rPr>
        <w:t>，发生营业成本</w:t>
      </w:r>
      <w:r>
        <w:rPr>
          <w:color w:val="000000"/>
          <w:spacing w:val="0"/>
          <w:w w:val="100"/>
          <w:position w:val="0"/>
        </w:rPr>
        <w:t>8.15</w:t>
      </w:r>
      <w:r>
        <w:rPr>
          <w:color w:val="000000"/>
          <w:spacing w:val="0"/>
          <w:w w:val="100"/>
          <w:position w:val="0"/>
        </w:rPr>
        <w:t>亿元，同比减少</w:t>
      </w:r>
      <w:r>
        <w:rPr>
          <w:color w:val="000000"/>
          <w:spacing w:val="0"/>
          <w:w w:val="100"/>
          <w:position w:val="0"/>
        </w:rPr>
        <w:t xml:space="preserve">20.50% </w:t>
      </w:r>
      <w:r>
        <w:rPr>
          <w:color w:val="000000"/>
          <w:spacing w:val="0"/>
          <w:w w:val="100"/>
          <w:position w:val="0"/>
        </w:rPr>
        <w:t>物联网业务实现营业收入</w:t>
      </w:r>
      <w:r>
        <w:rPr>
          <w:color w:val="000000"/>
          <w:spacing w:val="0"/>
          <w:w w:val="100"/>
          <w:position w:val="0"/>
        </w:rPr>
        <w:t>1,447.41</w:t>
      </w:r>
      <w:r>
        <w:rPr>
          <w:color w:val="000000"/>
          <w:spacing w:val="0"/>
          <w:w w:val="100"/>
          <w:position w:val="0"/>
        </w:rPr>
        <w:t>万元，同比增加</w:t>
      </w:r>
      <w:r>
        <w:rPr>
          <w:color w:val="000000"/>
          <w:spacing w:val="0"/>
          <w:w w:val="100"/>
          <w:position w:val="0"/>
        </w:rPr>
        <w:t>720.31%,</w:t>
      </w:r>
      <w:r>
        <w:rPr>
          <w:color w:val="000000"/>
          <w:spacing w:val="0"/>
          <w:w w:val="100"/>
          <w:position w:val="0"/>
        </w:rPr>
        <w:t>发生营业成本</w:t>
      </w:r>
      <w:r>
        <w:rPr>
          <w:color w:val="000000"/>
          <w:spacing w:val="0"/>
          <w:w w:val="100"/>
          <w:position w:val="0"/>
        </w:rPr>
        <w:t>542.99</w:t>
      </w:r>
      <w:r>
        <w:rPr>
          <w:color w:val="000000"/>
          <w:spacing w:val="0"/>
          <w:w w:val="100"/>
          <w:position w:val="0"/>
        </w:rPr>
        <w:t>万元，同比增加</w:t>
      </w:r>
      <w:r>
        <w:rPr>
          <w:color w:val="000000"/>
          <w:spacing w:val="0"/>
          <w:w w:val="100"/>
          <w:position w:val="0"/>
        </w:rPr>
        <w:t>468%；</w:t>
      </w:r>
      <w:r>
        <w:rPr>
          <w:color w:val="000000"/>
          <w:spacing w:val="0"/>
          <w:w w:val="100"/>
          <w:position w:val="0"/>
        </w:rPr>
        <w:t>税控终端及增值服 务业务实现营业收入</w:t>
      </w:r>
      <w:r>
        <w:rPr>
          <w:color w:val="000000"/>
          <w:spacing w:val="0"/>
          <w:w w:val="100"/>
          <w:position w:val="0"/>
        </w:rPr>
        <w:t>5,568.41</w:t>
      </w:r>
      <w:r>
        <w:rPr>
          <w:color w:val="000000"/>
          <w:spacing w:val="0"/>
          <w:w w:val="100"/>
          <w:position w:val="0"/>
        </w:rPr>
        <w:t>万元，同比下滑</w:t>
      </w:r>
      <w:r>
        <w:rPr>
          <w:color w:val="000000"/>
          <w:spacing w:val="0"/>
          <w:w w:val="100"/>
          <w:position w:val="0"/>
        </w:rPr>
        <w:t xml:space="preserve">27. </w:t>
      </w:r>
      <w:r>
        <w:rPr>
          <w:color w:val="000000"/>
          <w:spacing w:val="0"/>
          <w:w w:val="100"/>
          <w:position w:val="0"/>
        </w:rPr>
        <w:t>30%，</w:t>
      </w:r>
      <w:r>
        <w:rPr>
          <w:color w:val="000000"/>
          <w:spacing w:val="0"/>
          <w:w w:val="100"/>
          <w:position w:val="0"/>
        </w:rPr>
        <w:t>发生营业成本</w:t>
      </w:r>
      <w:r>
        <w:rPr>
          <w:color w:val="000000"/>
          <w:spacing w:val="0"/>
          <w:w w:val="100"/>
          <w:position w:val="0"/>
        </w:rPr>
        <w:t>2,416.71</w:t>
      </w:r>
      <w:r>
        <w:rPr>
          <w:color w:val="000000"/>
          <w:spacing w:val="0"/>
          <w:w w:val="100"/>
          <w:position w:val="0"/>
        </w:rPr>
        <w:t>万元，同比减少</w:t>
      </w:r>
      <w:r>
        <w:rPr>
          <w:color w:val="000000"/>
          <w:spacing w:val="0"/>
          <w:w w:val="100"/>
          <w:position w:val="0"/>
        </w:rPr>
        <w:t>27.87%；</w:t>
      </w:r>
      <w:r>
        <w:rPr>
          <w:color w:val="000000"/>
          <w:spacing w:val="0"/>
          <w:w w:val="100"/>
          <w:position w:val="0"/>
        </w:rPr>
        <w:t>智慧教育业务实现营 业收入</w:t>
      </w:r>
      <w:r>
        <w:rPr>
          <w:color w:val="000000"/>
          <w:spacing w:val="0"/>
          <w:w w:val="100"/>
          <w:position w:val="0"/>
        </w:rPr>
        <w:t>2.26</w:t>
      </w:r>
      <w:r>
        <w:rPr>
          <w:color w:val="000000"/>
          <w:spacing w:val="0"/>
          <w:w w:val="100"/>
          <w:position w:val="0"/>
        </w:rPr>
        <w:t>亿元，同比增加</w:t>
      </w:r>
      <w:r>
        <w:rPr>
          <w:color w:val="000000"/>
          <w:spacing w:val="0"/>
          <w:w w:val="100"/>
          <w:position w:val="0"/>
        </w:rPr>
        <w:t>21.44%，</w:t>
      </w:r>
      <w:r>
        <w:rPr>
          <w:color w:val="000000"/>
          <w:spacing w:val="0"/>
          <w:w w:val="100"/>
          <w:position w:val="0"/>
        </w:rPr>
        <w:t>发生营业成本</w:t>
      </w:r>
      <w:r>
        <w:rPr>
          <w:color w:val="000000"/>
          <w:spacing w:val="0"/>
          <w:w w:val="100"/>
          <w:position w:val="0"/>
        </w:rPr>
        <w:t>1</w:t>
      </w:r>
      <w:r>
        <w:rPr>
          <w:color w:val="000000"/>
          <w:spacing w:val="0"/>
          <w:w w:val="100"/>
          <w:position w:val="0"/>
        </w:rPr>
        <w:t>.25</w:t>
      </w:r>
      <w:r>
        <w:rPr>
          <w:color w:val="000000"/>
          <w:spacing w:val="0"/>
          <w:w w:val="100"/>
          <w:position w:val="0"/>
        </w:rPr>
        <w:t>亿元，同比增加</w:t>
      </w:r>
      <w:r>
        <w:rPr>
          <w:color w:val="000000"/>
          <w:spacing w:val="0"/>
          <w:w w:val="100"/>
          <w:position w:val="0"/>
        </w:rPr>
        <w:t>51.69%</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0"/>
        <w:jc w:val="left"/>
      </w:pPr>
      <w:bookmarkStart w:id="88" w:name="bookmark88"/>
      <w:r>
        <w:rPr>
          <w:b/>
          <w:bCs/>
          <w:color w:val="000000"/>
          <w:spacing w:val="0"/>
          <w:w w:val="100"/>
          <w:position w:val="0"/>
        </w:rPr>
        <w:t>（</w:t>
      </w:r>
      <w:bookmarkEnd w:id="88"/>
      <w:r>
        <w:rPr>
          <w:b/>
          <w:bCs/>
          <w:color w:val="000000"/>
          <w:spacing w:val="0"/>
          <w:w w:val="100"/>
          <w:position w:val="0"/>
        </w:rPr>
        <w:t>一）主要业务领域进展</w:t>
      </w:r>
    </w:p>
    <w:p>
      <w:pPr>
        <w:pStyle w:val="Style26"/>
        <w:keepNext w:val="0"/>
        <w:keepLines w:val="0"/>
        <w:widowControl w:val="0"/>
        <w:numPr>
          <w:ilvl w:val="0"/>
          <w:numId w:val="1"/>
        </w:numPr>
        <w:shd w:val="clear" w:color="auto" w:fill="auto"/>
        <w:tabs>
          <w:tab w:pos="738" w:val="left"/>
        </w:tabs>
        <w:bidi w:val="0"/>
        <w:spacing w:before="0" w:after="0" w:line="312" w:lineRule="exact"/>
        <w:ind w:left="0" w:right="0" w:firstLine="380"/>
        <w:jc w:val="both"/>
      </w:pPr>
      <w:bookmarkStart w:id="89" w:name="bookmark89"/>
      <w:bookmarkEnd w:id="89"/>
      <w:r>
        <w:rPr>
          <w:color w:val="000000"/>
          <w:spacing w:val="0"/>
          <w:w w:val="100"/>
          <w:position w:val="0"/>
        </w:rPr>
        <w:t>智能卡</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报告期内，受疫情和</w:t>
      </w:r>
      <w:r>
        <w:rPr>
          <w:color w:val="000000"/>
          <w:spacing w:val="0"/>
          <w:w w:val="100"/>
          <w:position w:val="0"/>
        </w:rPr>
        <w:t>ETC</w:t>
      </w:r>
      <w:r>
        <w:rPr>
          <w:color w:val="000000"/>
          <w:spacing w:val="0"/>
          <w:w w:val="100"/>
          <w:position w:val="0"/>
        </w:rPr>
        <w:t>卡市场饱和影响，公司智能卡收入下滑明显。公司加大高端卡、个性化卡等创新金融</w:t>
      </w:r>
      <w:r>
        <w:rPr>
          <w:color w:val="000000"/>
          <w:spacing w:val="0"/>
          <w:w w:val="100"/>
          <w:position w:val="0"/>
        </w:rPr>
        <w:t>IC</w:t>
      </w:r>
      <w:r>
        <w:rPr>
          <w:color w:val="000000"/>
          <w:spacing w:val="0"/>
          <w:w w:val="100"/>
          <w:position w:val="0"/>
        </w:rPr>
        <w:t>卡产品 开发与推广力度，高端金融</w:t>
      </w:r>
      <w:r>
        <w:rPr>
          <w:color w:val="000000"/>
          <w:spacing w:val="0"/>
          <w:w w:val="100"/>
          <w:position w:val="0"/>
        </w:rPr>
        <w:t>IC</w:t>
      </w:r>
      <w:r>
        <w:rPr>
          <w:color w:val="000000"/>
          <w:spacing w:val="0"/>
          <w:w w:val="100"/>
          <w:position w:val="0"/>
        </w:rPr>
        <w:t>卡产品销售收入同比大幅增长。公司努力拓展智能卡产品市场，新入围</w:t>
      </w:r>
      <w:r>
        <w:rPr>
          <w:color w:val="000000"/>
          <w:spacing w:val="0"/>
          <w:w w:val="100"/>
          <w:position w:val="0"/>
        </w:rPr>
        <w:t>20</w:t>
      </w:r>
      <w:r>
        <w:rPr>
          <w:color w:val="000000"/>
          <w:spacing w:val="0"/>
          <w:w w:val="100"/>
          <w:position w:val="0"/>
        </w:rPr>
        <w:t>余个金融</w:t>
      </w:r>
      <w:r>
        <w:rPr>
          <w:color w:val="000000"/>
          <w:spacing w:val="0"/>
          <w:w w:val="100"/>
          <w:position w:val="0"/>
        </w:rPr>
        <w:t>IC</w:t>
      </w:r>
      <w:r>
        <w:rPr>
          <w:color w:val="000000"/>
          <w:spacing w:val="0"/>
          <w:w w:val="100"/>
          <w:position w:val="0"/>
        </w:rPr>
        <w:t>卡项目， 中标联通华盛</w:t>
      </w:r>
      <w:r>
        <w:rPr>
          <w:color w:val="000000"/>
          <w:spacing w:val="0"/>
          <w:w w:val="100"/>
          <w:position w:val="0"/>
        </w:rPr>
        <w:t>2020</w:t>
      </w:r>
      <w:r>
        <w:rPr>
          <w:color w:val="000000"/>
          <w:spacing w:val="0"/>
          <w:w w:val="100"/>
          <w:position w:val="0"/>
        </w:rPr>
        <w:t>年试点</w:t>
      </w:r>
      <w:r>
        <w:rPr>
          <w:color w:val="000000"/>
          <w:spacing w:val="0"/>
          <w:w w:val="100"/>
          <w:position w:val="0"/>
        </w:rPr>
        <w:t>5G</w:t>
      </w:r>
      <w:r>
        <w:rPr>
          <w:color w:val="000000"/>
          <w:spacing w:val="0"/>
          <w:w w:val="100"/>
          <w:position w:val="0"/>
        </w:rPr>
        <w:t>卡采购项目，中标中国移动</w:t>
      </w:r>
      <w:r>
        <w:rPr>
          <w:color w:val="000000"/>
          <w:spacing w:val="0"/>
          <w:w w:val="100"/>
          <w:position w:val="0"/>
        </w:rPr>
        <w:t>2021</w:t>
      </w:r>
      <w:r>
        <w:rPr>
          <w:color w:val="000000"/>
          <w:spacing w:val="0"/>
          <w:w w:val="100"/>
          <w:position w:val="0"/>
        </w:rPr>
        <w:t>年至</w:t>
      </w:r>
      <w:r>
        <w:rPr>
          <w:color w:val="000000"/>
          <w:spacing w:val="0"/>
          <w:w w:val="100"/>
          <w:position w:val="0"/>
        </w:rPr>
        <w:t>2022</w:t>
      </w:r>
      <w:r>
        <w:rPr>
          <w:color w:val="000000"/>
          <w:spacing w:val="0"/>
          <w:w w:val="100"/>
          <w:position w:val="0"/>
        </w:rPr>
        <w:t>年普通</w:t>
      </w:r>
      <w:r>
        <w:rPr>
          <w:color w:val="000000"/>
          <w:spacing w:val="0"/>
          <w:w w:val="100"/>
          <w:position w:val="0"/>
        </w:rPr>
        <w:t>U SIM</w:t>
      </w:r>
      <w:r>
        <w:rPr>
          <w:color w:val="000000"/>
          <w:spacing w:val="0"/>
          <w:w w:val="100"/>
          <w:position w:val="0"/>
        </w:rPr>
        <w:t>卡集中采购项目，为业务持续发展打下基础。 公司努力开发国际业务，在海外疫情的严重冲击下，全力保障金融</w:t>
      </w:r>
      <w:r>
        <w:rPr>
          <w:color w:val="000000"/>
          <w:spacing w:val="0"/>
          <w:w w:val="100"/>
          <w:position w:val="0"/>
        </w:rPr>
        <w:t>IC</w:t>
      </w:r>
      <w:r>
        <w:rPr>
          <w:color w:val="000000"/>
          <w:spacing w:val="0"/>
          <w:w w:val="100"/>
          <w:position w:val="0"/>
        </w:rPr>
        <w:t>卡、通信</w:t>
      </w:r>
      <w:r>
        <w:rPr>
          <w:color w:val="000000"/>
          <w:spacing w:val="0"/>
          <w:w w:val="100"/>
          <w:position w:val="0"/>
        </w:rPr>
        <w:t>SIM</w:t>
      </w:r>
      <w:r>
        <w:rPr>
          <w:color w:val="000000"/>
          <w:spacing w:val="0"/>
          <w:w w:val="100"/>
          <w:position w:val="0"/>
        </w:rPr>
        <w:t>卡产品的海外出货量稳定。公司积极搭建 国际业务新平台，寻求智能卡业务新的增长点。</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2021</w:t>
      </w:r>
      <w:r>
        <w:rPr>
          <w:color w:val="000000"/>
          <w:spacing w:val="0"/>
          <w:w w:val="100"/>
          <w:position w:val="0"/>
        </w:rPr>
        <w:t>年，公司将继续加强供应链管理、推进智能制造工作，巩固产品市场竞争力。加大智能卡生产能力投入，持续提 升相关智能卡产品产能；抓住高端卡、个性化卡等创新金融</w:t>
      </w:r>
      <w:r>
        <w:rPr>
          <w:color w:val="000000"/>
          <w:spacing w:val="0"/>
          <w:w w:val="100"/>
          <w:position w:val="0"/>
        </w:rPr>
        <w:t>IC</w:t>
      </w:r>
      <w:r>
        <w:rPr>
          <w:color w:val="000000"/>
          <w:spacing w:val="0"/>
          <w:w w:val="100"/>
          <w:position w:val="0"/>
        </w:rPr>
        <w:t>卡产品需求持续提升的契机，扩大产品销售规模；把握商业银 行客户直邮、个人化外包等需求，积极开展银行卡线上办卡（线上订卡、邮寄）等智能卡相关服务业务；把握数字货币试点 推出带来的硬件钱包等新产品市场机会；努力开发国际市场，推动公司智能卡业务的持续发展。同时，基于公司在智能卡操 作系统、数字</w:t>
      </w:r>
      <w:r>
        <w:rPr>
          <w:color w:val="000000"/>
          <w:spacing w:val="0"/>
          <w:w w:val="100"/>
          <w:position w:val="0"/>
        </w:rPr>
        <w:t>ID</w:t>
      </w:r>
      <w:r>
        <w:rPr>
          <w:color w:val="000000"/>
          <w:spacing w:val="0"/>
          <w:w w:val="100"/>
          <w:position w:val="0"/>
        </w:rPr>
        <w:t>与数字货币应用等方面的技术积累及银行客户资源，积极探索数字化创新业务的市场机会。</w:t>
      </w:r>
    </w:p>
    <w:p>
      <w:pPr>
        <w:pStyle w:val="Style26"/>
        <w:keepNext w:val="0"/>
        <w:keepLines w:val="0"/>
        <w:widowControl w:val="0"/>
        <w:numPr>
          <w:ilvl w:val="0"/>
          <w:numId w:val="1"/>
        </w:numPr>
        <w:shd w:val="clear" w:color="auto" w:fill="auto"/>
        <w:tabs>
          <w:tab w:pos="738" w:val="left"/>
        </w:tabs>
        <w:bidi w:val="0"/>
        <w:spacing w:before="0" w:after="0" w:line="312" w:lineRule="exact"/>
        <w:ind w:left="0" w:right="0" w:firstLine="380"/>
        <w:jc w:val="both"/>
      </w:pPr>
      <w:bookmarkStart w:id="90" w:name="bookmark90"/>
      <w:bookmarkEnd w:id="90"/>
      <w:r>
        <w:rPr>
          <w:color w:val="000000"/>
          <w:spacing w:val="0"/>
          <w:w w:val="100"/>
          <w:position w:val="0"/>
        </w:rPr>
        <w:t>智能支付终端</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报告期内，受第三方支付行业政策及疫情影响，公司智能支付终端收入同比有较大幅度下滑。公司加强存货及供应链 管理，积极清理库存，努力减少市场需求变化对公司经营产生的影响。公司陆续推出多款传统及</w:t>
      </w:r>
      <w:r>
        <w:rPr>
          <w:color w:val="000000"/>
          <w:spacing w:val="0"/>
          <w:w w:val="100"/>
          <w:position w:val="0"/>
        </w:rPr>
        <w:t xml:space="preserve">4G. CAT </w:t>
      </w:r>
      <w:r>
        <w:rPr>
          <w:color w:val="000000"/>
          <w:spacing w:val="0"/>
          <w:w w:val="100"/>
          <w:position w:val="0"/>
        </w:rPr>
        <w:t>1</w:t>
      </w:r>
      <w:r>
        <w:rPr>
          <w:color w:val="000000"/>
          <w:spacing w:val="0"/>
          <w:w w:val="100"/>
          <w:position w:val="0"/>
        </w:rPr>
        <w:t>通讯网络支付终端、 云喇叭终端等新产品，多款产品通过第三方检测机构认证为后续销售奠定基础，入围多家地方商业银行及互联网公司的支付 终端采购项目，实现支付终端产品海外市场销售。</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2021</w:t>
      </w:r>
      <w:r>
        <w:rPr>
          <w:color w:val="000000"/>
          <w:spacing w:val="0"/>
          <w:w w:val="100"/>
          <w:position w:val="0"/>
        </w:rPr>
        <w:t>年，公司将继续加强供应链管理及运营管理，控制产品成本，缩短产品交付周期，提升客户满意度；面向商业银 行、第三方支付机构等客户大力推广商用支付终端（无线</w:t>
      </w:r>
      <w:r>
        <w:rPr>
          <w:color w:val="000000"/>
          <w:spacing w:val="0"/>
          <w:w w:val="100"/>
          <w:position w:val="0"/>
        </w:rPr>
        <w:t>POS</w:t>
      </w:r>
      <w:r>
        <w:rPr>
          <w:color w:val="000000"/>
          <w:spacing w:val="0"/>
          <w:w w:val="100"/>
          <w:position w:val="0"/>
        </w:rPr>
        <w:t>、智能</w:t>
      </w:r>
      <w:r>
        <w:rPr>
          <w:color w:val="000000"/>
          <w:spacing w:val="0"/>
          <w:w w:val="100"/>
          <w:position w:val="0"/>
        </w:rPr>
        <w:t>POS</w:t>
      </w:r>
      <w:r>
        <w:rPr>
          <w:color w:val="000000"/>
          <w:spacing w:val="0"/>
          <w:w w:val="100"/>
          <w:position w:val="0"/>
        </w:rPr>
        <w:t>、刷脸支付终端等），继续加大海外市场拓展力度； 把握零售行业数字化转型趋势及商业银行“专注普惠、服务小微”的需求，积极开展商户支付服务业务，实现公司智能支付 终端业务的持续发展。</w:t>
      </w:r>
    </w:p>
    <w:p>
      <w:pPr>
        <w:pStyle w:val="Style26"/>
        <w:keepNext w:val="0"/>
        <w:keepLines w:val="0"/>
        <w:widowControl w:val="0"/>
        <w:numPr>
          <w:ilvl w:val="0"/>
          <w:numId w:val="1"/>
        </w:numPr>
        <w:shd w:val="clear" w:color="auto" w:fill="auto"/>
        <w:tabs>
          <w:tab w:pos="738" w:val="left"/>
        </w:tabs>
        <w:bidi w:val="0"/>
        <w:spacing w:before="0" w:after="0" w:line="312" w:lineRule="exact"/>
        <w:ind w:left="0" w:right="0" w:firstLine="380"/>
        <w:jc w:val="left"/>
      </w:pPr>
      <w:bookmarkStart w:id="91" w:name="bookmark91"/>
      <w:bookmarkEnd w:id="91"/>
      <w:r>
        <w:rPr>
          <w:color w:val="000000"/>
          <w:spacing w:val="0"/>
          <w:w w:val="100"/>
          <w:position w:val="0"/>
        </w:rPr>
        <w:t>物联网</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报告期内，公司智能连接产品及服务、支付标签产品实现规模销售，通用智能终端（智能电子证等）产品实现销售。 </w:t>
      </w:r>
      <w:r>
        <w:rPr>
          <w:color w:val="000000"/>
          <w:spacing w:val="0"/>
          <w:w w:val="100"/>
          <w:position w:val="0"/>
        </w:rPr>
        <w:t>当前，公司物联网业务尚处于“打基础”阶段，收入规模占公司整体比重较小，各项业务仍在探索、完善中。</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2021</w:t>
      </w:r>
      <w:r>
        <w:rPr>
          <w:color w:val="000000"/>
          <w:spacing w:val="0"/>
          <w:w w:val="100"/>
          <w:position w:val="0"/>
        </w:rPr>
        <w:t>年，公司将持续完善物联网产品与服务，积极拓展行业客户，面向运营商及物联网公司、物联网垂直细分行业提 供智能连接产品、通用智能终端、</w:t>
      </w:r>
      <w:r>
        <w:rPr>
          <w:color w:val="000000"/>
          <w:spacing w:val="0"/>
          <w:w w:val="100"/>
          <w:position w:val="0"/>
        </w:rPr>
        <w:t>AI</w:t>
      </w:r>
      <w:r>
        <w:rPr>
          <w:color w:val="000000"/>
          <w:spacing w:val="0"/>
          <w:w w:val="100"/>
          <w:position w:val="0"/>
        </w:rPr>
        <w:t>终端等产品及物联网平台、应用服务，深挖客户需求，不断丰富应用场景，同时，依托 提供的物联网产品及应用服务向行业客户提供安全智联的物联网综合解决方案，努力实现收入规模的持续增长。</w:t>
      </w:r>
    </w:p>
    <w:p>
      <w:pPr>
        <w:pStyle w:val="Style26"/>
        <w:keepNext w:val="0"/>
        <w:keepLines w:val="0"/>
        <w:widowControl w:val="0"/>
        <w:numPr>
          <w:ilvl w:val="0"/>
          <w:numId w:val="1"/>
        </w:numPr>
        <w:shd w:val="clear" w:color="auto" w:fill="auto"/>
        <w:bidi w:val="0"/>
        <w:spacing w:before="0" w:after="0" w:line="315" w:lineRule="exact"/>
        <w:ind w:left="0" w:right="0" w:firstLine="380"/>
        <w:jc w:val="both"/>
      </w:pPr>
      <w:bookmarkStart w:id="92" w:name="bookmark92"/>
      <w:bookmarkEnd w:id="92"/>
      <w:r>
        <w:rPr>
          <w:color w:val="000000"/>
          <w:spacing w:val="0"/>
          <w:w w:val="100"/>
          <w:position w:val="0"/>
        </w:rPr>
        <w:t>税控终端及增值服务</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报告期内，小微企业税收减免政策导致相关企业对税控设备及税务服务的短期需求减少，电子发票、税务</w:t>
      </w:r>
      <w:r>
        <w:rPr>
          <w:color w:val="000000"/>
          <w:spacing w:val="0"/>
          <w:w w:val="100"/>
          <w:position w:val="0"/>
        </w:rPr>
        <w:t>Ukey</w:t>
      </w:r>
      <w:r>
        <w:rPr>
          <w:color w:val="000000"/>
          <w:spacing w:val="0"/>
          <w:w w:val="100"/>
          <w:position w:val="0"/>
        </w:rPr>
        <w:t>的推广 进一步减少了纳税户企业对税控盘及其服务的需求，公司税控盘销量同比下降，纳税服务及智慧税务等增值服务业务收入同 比减少。公司积极推动渠道建设创新，线下税务服务质量进一步提升。公司积极培育大客户团队，面向集团型大企业推广个 性化财税解决方案。</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2021</w:t>
      </w:r>
      <w:r>
        <w:rPr>
          <w:color w:val="000000"/>
          <w:spacing w:val="0"/>
          <w:w w:val="100"/>
          <w:position w:val="0"/>
        </w:rPr>
        <w:t>年，公司将继续加强运营管理，进一步提升服务质量；紧抓税务发展的数字化升级大趋势，为企业用户提供更多 有价值的财税服务产品；依托中小微企业代账解决方案产品切入中小微企业综合服务领域，依托财税大数据探索开展企业大 数据服务业务。</w:t>
      </w:r>
    </w:p>
    <w:p>
      <w:pPr>
        <w:pStyle w:val="Style26"/>
        <w:keepNext w:val="0"/>
        <w:keepLines w:val="0"/>
        <w:widowControl w:val="0"/>
        <w:numPr>
          <w:ilvl w:val="0"/>
          <w:numId w:val="1"/>
        </w:numPr>
        <w:shd w:val="clear" w:color="auto" w:fill="auto"/>
        <w:bidi w:val="0"/>
        <w:spacing w:before="0" w:after="0" w:line="315" w:lineRule="exact"/>
        <w:ind w:left="0" w:right="0" w:firstLine="0"/>
        <w:jc w:val="both"/>
      </w:pPr>
      <w:bookmarkStart w:id="93" w:name="bookmark93"/>
      <w:bookmarkEnd w:id="93"/>
      <w:r>
        <w:rPr>
          <w:color w:val="000000"/>
          <w:spacing w:val="0"/>
          <w:w w:val="100"/>
          <w:position w:val="0"/>
        </w:rPr>
        <w:t>智慧教育</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报告期内，公司克服疫情影响，从下半年开始加快项目实施、交付，积极推动项目验收，智慧教育业务收入同比增长。 疫情对各地政府教育信息化项目的预算投入、招标采购影响较大，公司市场拓展放缓，新签订合同金额同比减少。</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报告期内，公司进一步聚焦优势区域市场，重点打造区校一体化和名校标杆案例，提升品牌影响力；中标公安县教育 信息化“三优一均”项目；承接了海南省、宁夏回族自治区、河南省、贵州黔南州、广东珠海市、浙江义乌市、江苏宜兴市、 河南温县、河北赵县、湖北沙市区等省（自治区）、市、区的智慧教育项目；发布空中课堂/互联网学校、智慧教室终端、 护眼墨水屏智能学习终端，升级考试评阅系统等软硬件产品。</w:t>
      </w:r>
    </w:p>
    <w:p>
      <w:pPr>
        <w:pStyle w:val="Style26"/>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2021</w:t>
      </w:r>
      <w:r>
        <w:rPr>
          <w:color w:val="000000"/>
          <w:spacing w:val="0"/>
          <w:w w:val="100"/>
          <w:position w:val="0"/>
        </w:rPr>
        <w:t>年，公司将继续聚焦关键核心技术的攻关，加强分布式云及</w:t>
      </w:r>
      <w:r>
        <w:rPr>
          <w:color w:val="000000"/>
          <w:spacing w:val="0"/>
          <w:w w:val="100"/>
          <w:position w:val="0"/>
        </w:rPr>
        <w:t>AI</w:t>
      </w:r>
      <w:r>
        <w:rPr>
          <w:color w:val="000000"/>
          <w:spacing w:val="0"/>
          <w:w w:val="100"/>
          <w:position w:val="0"/>
        </w:rPr>
        <w:t>在大教学各场景技术研发，加快产品迭代升级，提 升产品核心竞争力;保持教育云平台的市场领先地位，重点在公司教育云平台覆盖的区县大力推广区校一体化整体解决方案， 推动个性化学习及考试评阅系统、智慧教室终端及护眼墨水屏智能学习终端等产品的落地、普及，提升客户满意度，扩大智 慧教育业务收入规模。</w:t>
      </w:r>
    </w:p>
    <w:p>
      <w:pPr>
        <w:pStyle w:val="Style26"/>
        <w:keepNext w:val="0"/>
        <w:keepLines w:val="0"/>
        <w:widowControl w:val="0"/>
        <w:shd w:val="clear" w:color="auto" w:fill="auto"/>
        <w:bidi w:val="0"/>
        <w:spacing w:before="0" w:after="0" w:line="315" w:lineRule="exact"/>
        <w:ind w:left="0" w:right="0" w:firstLine="0"/>
        <w:jc w:val="both"/>
      </w:pPr>
      <w:bookmarkStart w:id="94" w:name="bookmark94"/>
      <w:r>
        <w:rPr>
          <w:b/>
          <w:bCs/>
          <w:color w:val="000000"/>
          <w:spacing w:val="0"/>
          <w:w w:val="100"/>
          <w:position w:val="0"/>
        </w:rPr>
        <w:t>（</w:t>
      </w:r>
      <w:bookmarkEnd w:id="94"/>
      <w:r>
        <w:rPr>
          <w:b/>
          <w:bCs/>
          <w:color w:val="000000"/>
          <w:spacing w:val="0"/>
          <w:w w:val="100"/>
          <w:position w:val="0"/>
        </w:rPr>
        <w:t>二）搭建适应新形式的组织体系</w:t>
      </w:r>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月，公司对组织机构进行优化调整，以夯实管理基础，构建以客户需求为导向的组织体系，满足新形势下业 务发展的需要。</w:t>
      </w:r>
    </w:p>
    <w:p>
      <w:pPr>
        <w:pStyle w:val="Style26"/>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业务层面，公司对数据安全智能卡业务进行调整，将面向银行的金融</w:t>
      </w:r>
      <w:r>
        <w:rPr>
          <w:color w:val="000000"/>
          <w:spacing w:val="0"/>
          <w:w w:val="100"/>
          <w:position w:val="0"/>
        </w:rPr>
        <w:t>IC</w:t>
      </w:r>
      <w:r>
        <w:rPr>
          <w:color w:val="000000"/>
          <w:spacing w:val="0"/>
          <w:w w:val="100"/>
          <w:position w:val="0"/>
        </w:rPr>
        <w:t xml:space="preserve">卡等业务单独发展，将面向电信运营商的通信 </w:t>
      </w:r>
      <w:r>
        <w:rPr>
          <w:color w:val="000000"/>
          <w:spacing w:val="0"/>
          <w:w w:val="100"/>
          <w:position w:val="0"/>
        </w:rPr>
        <w:t>SIM</w:t>
      </w:r>
      <w:r>
        <w:rPr>
          <w:color w:val="000000"/>
          <w:spacing w:val="0"/>
          <w:w w:val="100"/>
          <w:position w:val="0"/>
        </w:rPr>
        <w:t>卡等业务并入物联网业务，将税控终端及增值服务业务调整定义为企业服务业务，通过上述整合和调整，公司将主营业 务聚焦为金融行业、智能支付终端、物联网、企业服务、智慧教育业务等五大业务板块，打造以客户为中心的敏捷业务组织。 研发层面，公司设立中央研发院，全面整合、统筹公司研发资源，建立以通用技术研究和前瞻技术研究为一体的研发体系， 加快在数据安全、区块链、人工智能等新技术领域的研究和创新，为公司发展提供支撑。管理层面，公司从财务、人力资源、 内控与法务、供应链管理等维度全面推进集团集约化管控和垂直管理，提升业务协同与运作效率，赋能各项业务的发展。</w:t>
      </w:r>
    </w:p>
    <w:p>
      <w:pPr>
        <w:pStyle w:val="Style23"/>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二</w:t>
      </w:r>
      <w:bookmarkEnd w:id="97"/>
      <w:r>
        <w:rPr>
          <w:color w:val="000000"/>
          <w:spacing w:val="0"/>
          <w:w w:val="100"/>
          <w:position w:val="0"/>
        </w:rPr>
        <w:t>、主营业务分析</w:t>
      </w:r>
      <w:bookmarkEnd w:id="95"/>
      <w:bookmarkEnd w:id="96"/>
      <w:bookmarkEnd w:id="98"/>
    </w:p>
    <w:p>
      <w:pPr>
        <w:pStyle w:val="Style30"/>
        <w:keepNext/>
        <w:keepLines/>
        <w:widowControl w:val="0"/>
        <w:shd w:val="clear" w:color="auto" w:fill="auto"/>
        <w:bidi w:val="0"/>
        <w:spacing w:before="0" w:after="2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1</w:t>
      </w:r>
      <w:bookmarkEnd w:id="101"/>
      <w:r>
        <w:rPr>
          <w:color w:val="000000"/>
          <w:spacing w:val="0"/>
          <w:w w:val="100"/>
          <w:position w:val="0"/>
        </w:rPr>
        <w:t>、概述</w:t>
      </w:r>
      <w:bookmarkEnd w:id="100"/>
      <w:bookmarkEnd w:id="102"/>
      <w:bookmarkEnd w:id="99"/>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报告期内，由于公司处于疫情最严重的武汉地区，疫情期间停工停产，各项生产经营活动受到了较大冲击，公司虽积极 应对，努力推进复工复产，但受疫情对市场的持续及多方面影响，公司主要产品销量同比下降，同时由于</w:t>
      </w:r>
      <w:r>
        <w:rPr>
          <w:color w:val="000000"/>
          <w:spacing w:val="0"/>
          <w:w w:val="100"/>
          <w:position w:val="0"/>
        </w:rPr>
        <w:t>ETC</w:t>
      </w:r>
      <w:r>
        <w:rPr>
          <w:color w:val="000000"/>
          <w:spacing w:val="0"/>
          <w:w w:val="100"/>
          <w:position w:val="0"/>
        </w:rPr>
        <w:t>卡行业发卡高 峰已过，市场趋于饱和及第三方支付行业政策影响，公司</w:t>
      </w:r>
      <w:r>
        <w:rPr>
          <w:color w:val="000000"/>
          <w:spacing w:val="0"/>
          <w:w w:val="100"/>
          <w:position w:val="0"/>
        </w:rPr>
        <w:t>ETC</w:t>
      </w:r>
      <w:r>
        <w:rPr>
          <w:color w:val="000000"/>
          <w:spacing w:val="0"/>
          <w:w w:val="100"/>
          <w:position w:val="0"/>
        </w:rPr>
        <w:t>卡和智能支付终端产品销量和收入同比大幅下降。报告期内， 公司实现营业收入</w:t>
      </w:r>
      <w:r>
        <w:rPr>
          <w:color w:val="000000"/>
          <w:spacing w:val="0"/>
          <w:w w:val="100"/>
          <w:position w:val="0"/>
        </w:rPr>
        <w:t>16.94</w:t>
      </w:r>
      <w:r>
        <w:rPr>
          <w:color w:val="000000"/>
          <w:spacing w:val="0"/>
          <w:w w:val="100"/>
          <w:position w:val="0"/>
        </w:rPr>
        <w:t>亿元，发生营业成本</w:t>
      </w:r>
      <w:r>
        <w:rPr>
          <w:color w:val="000000"/>
          <w:spacing w:val="0"/>
          <w:w w:val="100"/>
          <w:position w:val="0"/>
        </w:rPr>
        <w:t>13.17</w:t>
      </w:r>
      <w:r>
        <w:rPr>
          <w:color w:val="000000"/>
          <w:spacing w:val="0"/>
          <w:w w:val="100"/>
          <w:position w:val="0"/>
        </w:rPr>
        <w:t>亿元，期间费用</w:t>
      </w:r>
      <w:r>
        <w:rPr>
          <w:color w:val="000000"/>
          <w:spacing w:val="0"/>
          <w:w w:val="100"/>
          <w:position w:val="0"/>
        </w:rPr>
        <w:t>4.5</w:t>
      </w:r>
      <w:r>
        <w:rPr>
          <w:color w:val="000000"/>
          <w:spacing w:val="0"/>
          <w:w w:val="100"/>
          <w:position w:val="0"/>
        </w:rPr>
        <w:t>亿元，同比分别下降</w:t>
      </w:r>
      <w:r>
        <w:rPr>
          <w:color w:val="000000"/>
          <w:spacing w:val="0"/>
          <w:w w:val="100"/>
          <w:position w:val="0"/>
        </w:rPr>
        <w:t>23.44%</w:t>
      </w:r>
      <w:r>
        <w:rPr>
          <w:color w:val="000000"/>
          <w:spacing w:val="0"/>
          <w:w w:val="100"/>
          <w:position w:val="0"/>
        </w:rPr>
        <w:t>、</w:t>
      </w:r>
      <w:r>
        <w:rPr>
          <w:color w:val="000000"/>
          <w:spacing w:val="0"/>
          <w:w w:val="100"/>
          <w:position w:val="0"/>
        </w:rPr>
        <w:t>21.27%</w:t>
      </w:r>
      <w:r>
        <w:rPr>
          <w:color w:val="000000"/>
          <w:spacing w:val="0"/>
          <w:w w:val="100"/>
          <w:position w:val="0"/>
        </w:rPr>
        <w:t>和</w:t>
      </w:r>
      <w:r>
        <w:rPr>
          <w:color w:val="000000"/>
          <w:spacing w:val="0"/>
          <w:w w:val="100"/>
          <w:position w:val="0"/>
        </w:rPr>
        <w:t>18.09%</w:t>
      </w:r>
      <w:r>
        <w:rPr>
          <w:color w:val="000000"/>
          <w:spacing w:val="0"/>
          <w:w w:val="100"/>
          <w:position w:val="0"/>
        </w:rPr>
        <w:t>。同时 由于公司上年度出售了持有的其他上市公司股票产生股票投资收益</w:t>
      </w:r>
      <w:r>
        <w:rPr>
          <w:color w:val="000000"/>
          <w:spacing w:val="0"/>
          <w:w w:val="100"/>
          <w:position w:val="0"/>
        </w:rPr>
        <w:t>1</w:t>
      </w:r>
      <w:r>
        <w:rPr>
          <w:color w:val="000000"/>
          <w:spacing w:val="0"/>
          <w:w w:val="100"/>
          <w:position w:val="0"/>
        </w:rPr>
        <w:t>.74</w:t>
      </w:r>
      <w:r>
        <w:rPr>
          <w:color w:val="000000"/>
          <w:spacing w:val="0"/>
          <w:w w:val="100"/>
          <w:position w:val="0"/>
        </w:rPr>
        <w:t>亿元，报告期内股票投资收益大幅减少，公司实现归 属母公司所有者的净利润</w:t>
      </w:r>
      <w:r>
        <w:rPr>
          <w:color w:val="000000"/>
          <w:spacing w:val="0"/>
          <w:w w:val="100"/>
          <w:position w:val="0"/>
        </w:rPr>
        <w:t>-6, 073.71</w:t>
      </w:r>
      <w:r>
        <w:rPr>
          <w:color w:val="000000"/>
          <w:spacing w:val="0"/>
          <w:w w:val="100"/>
          <w:position w:val="0"/>
        </w:rPr>
        <w:t>万元，同比大幅下降。</w:t>
      </w:r>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为应对疫情对公司各项经营活动的冲击，公司加强现金流管理，加大回款催收力度，在销售收入同比下降</w:t>
      </w:r>
      <w:r>
        <w:rPr>
          <w:color w:val="000000"/>
          <w:spacing w:val="0"/>
          <w:w w:val="100"/>
          <w:position w:val="0"/>
        </w:rPr>
        <w:t>23.44%</w:t>
      </w:r>
      <w:r>
        <w:rPr>
          <w:color w:val="000000"/>
          <w:spacing w:val="0"/>
          <w:w w:val="100"/>
          <w:position w:val="0"/>
        </w:rPr>
        <w:t>的情况</w:t>
        <w:br w:type="page"/>
      </w:r>
      <w:r>
        <w:rPr>
          <w:color w:val="000000"/>
          <w:spacing w:val="0"/>
          <w:w w:val="100"/>
          <w:position w:val="0"/>
        </w:rPr>
        <w:t>下，销售回款同比仅下降</w:t>
      </w:r>
      <w:r>
        <w:rPr>
          <w:color w:val="000000"/>
          <w:spacing w:val="0"/>
          <w:w w:val="100"/>
          <w:position w:val="0"/>
        </w:rPr>
        <w:t>7.83%,</w:t>
      </w:r>
      <w:r>
        <w:rPr>
          <w:color w:val="000000"/>
          <w:spacing w:val="0"/>
          <w:w w:val="100"/>
          <w:position w:val="0"/>
        </w:rPr>
        <w:t>同时充分运用银行综合授信产品，以及疫情影响，公司采购及各项税费支出同比减少，报 告期内，公司经营活动产生的现金流量净额</w:t>
      </w:r>
      <w:r>
        <w:rPr>
          <w:color w:val="000000"/>
          <w:spacing w:val="0"/>
          <w:w w:val="100"/>
          <w:position w:val="0"/>
        </w:rPr>
        <w:t>2.48</w:t>
      </w:r>
      <w:r>
        <w:rPr>
          <w:color w:val="000000"/>
          <w:spacing w:val="0"/>
          <w:w w:val="100"/>
          <w:position w:val="0"/>
        </w:rPr>
        <w:t>亿元，实现现金盈余，较上年同期仅小幅下降。</w:t>
      </w:r>
    </w:p>
    <w:p>
      <w:pPr>
        <w:pStyle w:val="Style30"/>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2</w:t>
      </w:r>
      <w:bookmarkEnd w:id="105"/>
      <w:r>
        <w:rPr>
          <w:color w:val="000000"/>
          <w:spacing w:val="0"/>
          <w:w w:val="100"/>
          <w:position w:val="0"/>
        </w:rPr>
        <w:t>、收入与成本</w:t>
      </w:r>
      <w:bookmarkEnd w:id="103"/>
      <w:bookmarkEnd w:id="104"/>
      <w:bookmarkEnd w:id="106"/>
    </w:p>
    <w:p>
      <w:pPr>
        <w:pStyle w:val="Style36"/>
        <w:keepNext/>
        <w:keepLines/>
        <w:widowControl w:val="0"/>
        <w:numPr>
          <w:ilvl w:val="0"/>
          <w:numId w:val="3"/>
        </w:numPr>
        <w:shd w:val="clear" w:color="auto" w:fill="auto"/>
        <w:bidi w:val="0"/>
        <w:spacing w:before="0" w:after="28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营业收入构成</w:t>
      </w:r>
      <w:bookmarkEnd w:id="107"/>
      <w:bookmarkEnd w:id="108"/>
      <w:bookmarkEnd w:id="110"/>
    </w:p>
    <w:p>
      <w:pPr>
        <w:pStyle w:val="Style26"/>
        <w:keepNext w:val="0"/>
        <w:keepLines w:val="0"/>
        <w:widowControl w:val="0"/>
        <w:shd w:val="clear" w:color="auto" w:fill="auto"/>
        <w:bidi w:val="0"/>
        <w:spacing w:before="0" w:after="160" w:line="307" w:lineRule="exact"/>
        <w:ind w:left="0" w:right="0" w:firstLine="0"/>
        <w:jc w:val="left"/>
      </w:pPr>
      <w:r>
        <w:rPr>
          <w:color w:val="000000"/>
          <w:spacing w:val="0"/>
          <w:w w:val="100"/>
          <w:position w:val="0"/>
        </w:rPr>
        <w:t>营业收入整体情况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2,212,106,995.85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-23.44%</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计算机、通信和其他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2,212,106,995.85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-23.44%</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473,714,815.15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697,795,132.34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878,552,475.93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1,250,761,335.00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209,859,816.02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218,621,958.23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131,402,572.08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44,928,570.28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192.47%</w:t>
            </w:r>
          </w:p>
        </w:tc>
      </w:tr>
      <w:tr>
        <w:trPr>
          <w:trHeight w:val="403"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1,652,665,114.28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2,163,087,575.16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40,864,564.90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49,019,420.69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-16.64%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分产品变动说明:</w:t>
      </w:r>
    </w:p>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报告期内，其他产品收入同比增长</w:t>
      </w:r>
      <w:r>
        <w:rPr>
          <w:color w:val="000000"/>
          <w:spacing w:val="0"/>
          <w:w w:val="100"/>
          <w:position w:val="0"/>
        </w:rPr>
        <w:t>192.47%，</w:t>
      </w:r>
      <w:r>
        <w:rPr>
          <w:color w:val="000000"/>
          <w:spacing w:val="0"/>
          <w:w w:val="100"/>
          <w:position w:val="0"/>
        </w:rPr>
        <w:t>主要由于蕲春等智慧教育信息化项目硬件设施收入增加。</w:t>
      </w:r>
    </w:p>
    <w:p>
      <w:pPr>
        <w:pStyle w:val="Style36"/>
        <w:keepNext/>
        <w:keepLines/>
        <w:widowControl w:val="0"/>
        <w:numPr>
          <w:ilvl w:val="0"/>
          <w:numId w:val="3"/>
        </w:numPr>
        <w:shd w:val="clear" w:color="auto" w:fill="auto"/>
        <w:bidi w:val="0"/>
        <w:spacing w:before="0" w:after="380" w:line="240" w:lineRule="auto"/>
        <w:ind w:left="0" w:right="0" w:firstLine="0"/>
        <w:jc w:val="both"/>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74"/>
        <w:gridCol w:w="1560"/>
        <w:gridCol w:w="994"/>
        <w:gridCol w:w="1416"/>
        <w:gridCol w:w="1421"/>
        <w:gridCol w:w="142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 其他电子制造业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1,316,699,302.02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r>
              <w:rPr>
                <w:color w:val="000000"/>
                <w:spacing w:val="0"/>
                <w:w w:val="100"/>
                <w:position w:val="0"/>
              </w:rPr>
              <w:t>百分点</w:t>
            </w:r>
          </w:p>
        </w:tc>
      </w:tr>
      <w:tr>
        <w:trPr>
          <w:trHeight w:val="403"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473,714,815.15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338,751,243.06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w:t>
            </w:r>
            <w:r>
              <w:rPr>
                <w:color w:val="000000"/>
                <w:spacing w:val="0"/>
                <w:w w:val="100"/>
                <w:position w:val="0"/>
              </w:rPr>
              <w:t>百分点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878,552,475.93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794,028,504.46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r>
              <w:rPr>
                <w:color w:val="000000"/>
                <w:spacing w:val="0"/>
                <w:w w:val="100"/>
                <w:position w:val="0"/>
              </w:rPr>
              <w:t>百分点</w:t>
            </w:r>
          </w:p>
        </w:tc>
      </w:tr>
    </w:tbl>
    <w:tbl>
      <w:tblPr>
        <w:tblOverlap w:val="never"/>
        <w:jc w:val="center"/>
        <w:tblLayout w:type="fixed"/>
      </w:tblPr>
      <w:tblGrid>
        <w:gridCol w:w="1373"/>
        <w:gridCol w:w="1574"/>
        <w:gridCol w:w="1560"/>
        <w:gridCol w:w="994"/>
        <w:gridCol w:w="1416"/>
        <w:gridCol w:w="1421"/>
        <w:gridCol w:w="142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209,859,816.02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75,709,832.23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r>
              <w:rPr>
                <w:color w:val="000000"/>
                <w:spacing w:val="0"/>
                <w:w w:val="100"/>
                <w:position w:val="0"/>
              </w:rPr>
              <w:t>百分点</w:t>
            </w:r>
          </w:p>
        </w:tc>
      </w:tr>
      <w:tr>
        <w:trPr>
          <w:trHeight w:val="398"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1,652,665,114.28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1,286,014,481.10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r>
              <w:rPr>
                <w:color w:val="000000"/>
                <w:spacing w:val="0"/>
                <w:w w:val="100"/>
                <w:position w:val="0"/>
              </w:rPr>
              <w:t>百分点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分产品变动说明:</w:t>
      </w:r>
    </w:p>
    <w:p>
      <w:pPr>
        <w:pStyle w:val="Style26"/>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报告期内，公司智能卡产品营业收入和营业成本分别较上年同期下降</w:t>
      </w:r>
      <w:r>
        <w:rPr>
          <w:color w:val="000000"/>
          <w:spacing w:val="0"/>
          <w:w w:val="100"/>
          <w:position w:val="0"/>
        </w:rPr>
        <w:t xml:space="preserve">32. </w:t>
      </w:r>
      <w:r>
        <w:rPr>
          <w:color w:val="000000"/>
          <w:spacing w:val="0"/>
          <w:w w:val="100"/>
          <w:position w:val="0"/>
        </w:rPr>
        <w:t>11%</w:t>
      </w:r>
      <w:r>
        <w:rPr>
          <w:color w:val="000000"/>
          <w:spacing w:val="0"/>
          <w:w w:val="100"/>
          <w:position w:val="0"/>
        </w:rPr>
        <w:t>和</w:t>
      </w:r>
      <w:r>
        <w:rPr>
          <w:color w:val="000000"/>
          <w:spacing w:val="0"/>
          <w:w w:val="100"/>
          <w:position w:val="0"/>
        </w:rPr>
        <w:t>34.20%</w:t>
      </w:r>
      <w:r>
        <w:rPr>
          <w:color w:val="000000"/>
          <w:spacing w:val="0"/>
          <w:w w:val="100"/>
          <w:position w:val="0"/>
        </w:rPr>
        <w:t>，主要由于受疫情及</w:t>
      </w:r>
      <w:r>
        <w:rPr>
          <w:color w:val="000000"/>
          <w:spacing w:val="0"/>
          <w:w w:val="100"/>
          <w:position w:val="0"/>
        </w:rPr>
        <w:t>ETC</w:t>
      </w:r>
      <w:r>
        <w:rPr>
          <w:color w:val="000000"/>
          <w:spacing w:val="0"/>
          <w:w w:val="100"/>
          <w:position w:val="0"/>
        </w:rPr>
        <w:t>卡市场 饱和影响，报告期内销量同比大幅减少;报告期内，公司终端产品营业收入和营业成本分别较上年同期下降</w:t>
      </w:r>
      <w:r>
        <w:rPr>
          <w:color w:val="000000"/>
          <w:spacing w:val="0"/>
          <w:w w:val="100"/>
          <w:position w:val="0"/>
        </w:rPr>
        <w:t>29.76%</w:t>
      </w:r>
      <w:r>
        <w:rPr>
          <w:color w:val="000000"/>
          <w:spacing w:val="0"/>
          <w:w w:val="100"/>
          <w:position w:val="0"/>
        </w:rPr>
        <w:t>和</w:t>
      </w:r>
      <w:r>
        <w:rPr>
          <w:color w:val="000000"/>
          <w:spacing w:val="0"/>
          <w:w w:val="100"/>
          <w:position w:val="0"/>
        </w:rPr>
        <w:t xml:space="preserve">23.79%， </w:t>
      </w:r>
      <w:r>
        <w:rPr>
          <w:color w:val="000000"/>
          <w:spacing w:val="0"/>
          <w:w w:val="100"/>
          <w:position w:val="0"/>
        </w:rPr>
        <w:t>主要由于受疫情、第三方支付行业政策等多方因素影响，销量大幅减少，同时由于产品结构变化及售价下降，毛利率同比下 降</w:t>
      </w:r>
      <w:r>
        <w:rPr>
          <w:color w:val="000000"/>
          <w:spacing w:val="0"/>
          <w:w w:val="100"/>
          <w:position w:val="0"/>
        </w:rPr>
        <w:t>7.08</w:t>
      </w:r>
      <w:r>
        <w:rPr>
          <w:color w:val="000000"/>
          <w:spacing w:val="0"/>
          <w:w w:val="100"/>
          <w:position w:val="0"/>
        </w:rPr>
        <w:t>个百分点。</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numPr>
          <w:ilvl w:val="0"/>
          <w:numId w:val="3"/>
        </w:numPr>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公司实物销售收入是否大于劳务收入</w:t>
      </w:r>
      <w:bookmarkEnd w:id="115"/>
      <w:bookmarkEnd w:id="116"/>
      <w:bookmarkEnd w:id="118"/>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536"/>
        <w:gridCol w:w="1531"/>
        <w:gridCol w:w="1531"/>
        <w:gridCol w:w="1526"/>
        <w:gridCol w:w="1531"/>
        <w:gridCol w:w="154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r>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计算机、通信和其 他电子制造业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233,473,515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335,982,041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-30.51%</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231,335,594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347,890,938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-33.50%</w:t>
            </w:r>
          </w:p>
        </w:tc>
      </w:tr>
      <w:tr>
        <w:trPr>
          <w:trHeight w:val="4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16,008,399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18,146,320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-11.78%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报告期内，公司产品销售量和生产量同比分别下降</w:t>
      </w:r>
      <w:r>
        <w:rPr>
          <w:color w:val="000000"/>
          <w:spacing w:val="0"/>
          <w:w w:val="100"/>
          <w:position w:val="0"/>
        </w:rPr>
        <w:t>30.51%</w:t>
      </w:r>
      <w:r>
        <w:rPr>
          <w:color w:val="000000"/>
          <w:spacing w:val="0"/>
          <w:w w:val="100"/>
          <w:position w:val="0"/>
        </w:rPr>
        <w:t>和</w:t>
      </w:r>
      <w:r>
        <w:rPr>
          <w:color w:val="000000"/>
          <w:spacing w:val="0"/>
          <w:w w:val="100"/>
          <w:position w:val="0"/>
        </w:rPr>
        <w:t>33.50%</w:t>
      </w:r>
      <w:r>
        <w:rPr>
          <w:color w:val="000000"/>
          <w:spacing w:val="0"/>
          <w:w w:val="100"/>
          <w:position w:val="0"/>
        </w:rPr>
        <w:t>，主要由于受疫情、</w:t>
      </w:r>
      <w:r>
        <w:rPr>
          <w:color w:val="000000"/>
          <w:spacing w:val="0"/>
          <w:w w:val="100"/>
          <w:position w:val="0"/>
        </w:rPr>
        <w:t>ETC</w:t>
      </w:r>
      <w:r>
        <w:rPr>
          <w:color w:val="000000"/>
          <w:spacing w:val="0"/>
          <w:w w:val="100"/>
          <w:position w:val="0"/>
        </w:rPr>
        <w:t>卡市场饱和、行业政策及市 场竞争等影响，公司主要产品销量同比下降。</w:t>
      </w:r>
    </w:p>
    <w:p>
      <w:pPr>
        <w:pStyle w:val="Style36"/>
        <w:keepNext/>
        <w:keepLines/>
        <w:widowControl w:val="0"/>
        <w:numPr>
          <w:ilvl w:val="0"/>
          <w:numId w:val="3"/>
        </w:numPr>
        <w:shd w:val="clear" w:color="auto" w:fill="auto"/>
        <w:tabs>
          <w:tab w:pos="493" w:val="left"/>
        </w:tabs>
        <w:bidi w:val="0"/>
        <w:spacing w:before="0" w:after="280" w:line="240" w:lineRule="auto"/>
        <w:ind w:left="0" w:right="0" w:firstLine="0"/>
        <w:jc w:val="both"/>
      </w:pPr>
      <w:bookmarkStart w:id="119" w:name="bookmark119"/>
      <w:bookmarkStart w:id="120" w:name="bookmark120"/>
      <w:bookmarkStart w:id="121" w:name="bookmark121"/>
      <w:bookmarkStart w:id="122" w:name="bookmark122"/>
      <w:bookmarkEnd w:id="121"/>
      <w:r>
        <w:rPr>
          <w:color w:val="000000"/>
          <w:spacing w:val="0"/>
          <w:w w:val="100"/>
          <w:position w:val="0"/>
        </w:rPr>
        <w:t>公司已签订的重大销售合同截至本报告期的履行情况</w:t>
      </w:r>
      <w:bookmarkEnd w:id="119"/>
      <w:bookmarkEnd w:id="120"/>
      <w:bookmarkEnd w:id="122"/>
    </w:p>
    <w:p>
      <w:pPr>
        <w:pStyle w:val="Style26"/>
        <w:keepNext w:val="0"/>
        <w:keepLines w:val="0"/>
        <w:widowControl w:val="0"/>
        <w:shd w:val="clear" w:color="auto" w:fill="auto"/>
        <w:bidi w:val="0"/>
        <w:spacing w:before="0" w:after="380" w:line="32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numPr>
          <w:ilvl w:val="0"/>
          <w:numId w:val="3"/>
        </w:numPr>
        <w:shd w:val="clear" w:color="auto" w:fill="auto"/>
        <w:tabs>
          <w:tab w:pos="493" w:val="left"/>
        </w:tabs>
        <w:bidi w:val="0"/>
        <w:spacing w:before="0" w:after="280" w:line="240" w:lineRule="auto"/>
        <w:ind w:left="0" w:right="0" w:firstLine="0"/>
        <w:jc w:val="both"/>
      </w:pPr>
      <w:bookmarkStart w:id="123" w:name="bookmark123"/>
      <w:bookmarkStart w:id="124" w:name="bookmark124"/>
      <w:bookmarkStart w:id="125" w:name="bookmark125"/>
      <w:bookmarkStart w:id="126" w:name="bookmark126"/>
      <w:bookmarkEnd w:id="125"/>
      <w:r>
        <w:rPr>
          <w:color w:val="000000"/>
          <w:spacing w:val="0"/>
          <w:w w:val="100"/>
          <w:position w:val="0"/>
        </w:rPr>
        <w:t>营业成本构成</w:t>
      </w:r>
      <w:bookmarkEnd w:id="123"/>
      <w:bookmarkEnd w:id="124"/>
      <w:bookmarkEnd w:id="126"/>
    </w:p>
    <w:p>
      <w:pPr>
        <w:pStyle w:val="Style26"/>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行业分类</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 其他电子制造业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553,140,150.39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707,434,559.38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-21.81%</w:t>
            </w:r>
          </w:p>
        </w:tc>
      </w:tr>
    </w:tbl>
    <w:p>
      <w:pPr>
        <w:widowControl w:val="0"/>
        <w:spacing w:after="319" w:line="1" w:lineRule="exact"/>
      </w:pPr>
    </w:p>
    <w:p>
      <w:pPr>
        <w:pStyle w:val="Style36"/>
        <w:keepNext/>
        <w:keepLines/>
        <w:widowControl w:val="0"/>
        <w:numPr>
          <w:ilvl w:val="0"/>
          <w:numId w:val="3"/>
        </w:numPr>
        <w:shd w:val="clear" w:color="auto" w:fill="auto"/>
        <w:bidi w:val="0"/>
        <w:spacing w:before="0" w:after="380" w:line="240" w:lineRule="auto"/>
        <w:ind w:left="0" w:right="0" w:firstLine="140"/>
        <w:jc w:val="both"/>
      </w:pPr>
      <w:bookmarkStart w:id="127" w:name="bookmark127"/>
      <w:bookmarkStart w:id="128" w:name="bookmark128"/>
      <w:bookmarkStart w:id="129" w:name="bookmark129"/>
      <w:bookmarkStart w:id="130" w:name="bookmark130"/>
      <w:bookmarkEnd w:id="129"/>
      <w:r>
        <w:rPr>
          <w:color w:val="000000"/>
          <w:spacing w:val="0"/>
          <w:w w:val="100"/>
          <w:position w:val="0"/>
        </w:rPr>
        <w:t>报告期内合并范围是否发生变动</w:t>
      </w:r>
      <w:bookmarkEnd w:id="127"/>
      <w:bookmarkEnd w:id="128"/>
      <w:bookmarkEnd w:id="130"/>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报告期内，公司设立全资子公司四川天喻云，注册资本</w:t>
      </w:r>
      <w:r>
        <w:rPr>
          <w:color w:val="000000"/>
          <w:spacing w:val="0"/>
          <w:w w:val="100"/>
          <w:position w:val="0"/>
        </w:rPr>
        <w:t>1</w:t>
      </w:r>
      <w:r>
        <w:rPr>
          <w:color w:val="000000"/>
          <w:spacing w:val="0"/>
          <w:w w:val="100"/>
          <w:position w:val="0"/>
        </w:rPr>
        <w:t>亿元，四川天喻云于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 xml:space="preserve">日完成工商注册登记。 </w:t>
      </w:r>
      <w:r>
        <w:rPr>
          <w:color w:val="000000"/>
          <w:spacing w:val="0"/>
          <w:w w:val="100"/>
          <w:position w:val="0"/>
        </w:rPr>
        <w:t>报告期内，天喻教育设立全资子公司焦作天喻云，注册资本</w:t>
      </w:r>
      <w:r>
        <w:rPr>
          <w:color w:val="000000"/>
          <w:spacing w:val="0"/>
          <w:w w:val="100"/>
          <w:position w:val="0"/>
        </w:rPr>
        <w:t>500</w:t>
      </w:r>
      <w:r>
        <w:rPr>
          <w:color w:val="000000"/>
          <w:spacing w:val="0"/>
          <w:w w:val="100"/>
          <w:position w:val="0"/>
        </w:rPr>
        <w:t>万元，焦作天喻云于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日完成工商注册登记。 报告期内，天喻教育设立全资子公司汉阳喻教，注册资本</w:t>
      </w:r>
      <w:r>
        <w:rPr>
          <w:color w:val="000000"/>
          <w:spacing w:val="0"/>
          <w:w w:val="100"/>
          <w:position w:val="0"/>
        </w:rPr>
        <w:t>1,000</w:t>
      </w:r>
      <w:r>
        <w:rPr>
          <w:color w:val="000000"/>
          <w:spacing w:val="0"/>
          <w:w w:val="100"/>
          <w:position w:val="0"/>
        </w:rPr>
        <w:t>万元，汉阳喻教于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日完成工商注册登记。</w:t>
      </w:r>
    </w:p>
    <w:p>
      <w:pPr>
        <w:pStyle w:val="Style26"/>
        <w:keepNext w:val="0"/>
        <w:keepLines w:val="0"/>
        <w:widowControl w:val="0"/>
        <w:shd w:val="clear" w:color="auto" w:fill="auto"/>
        <w:bidi w:val="0"/>
        <w:spacing w:before="0" w:after="0" w:line="317" w:lineRule="exact"/>
        <w:ind w:left="360" w:right="0" w:firstLine="0"/>
        <w:jc w:val="both"/>
      </w:pPr>
      <w:r>
        <w:rPr>
          <w:color w:val="000000"/>
          <w:spacing w:val="0"/>
          <w:w w:val="100"/>
          <w:position w:val="0"/>
        </w:rPr>
        <w:t>报告期内，天喻教育设立全资子公司青山喻优教，注册资本</w:t>
      </w:r>
      <w:r>
        <w:rPr>
          <w:color w:val="000000"/>
          <w:spacing w:val="0"/>
          <w:w w:val="100"/>
          <w:position w:val="0"/>
        </w:rPr>
        <w:t>1,000</w:t>
      </w:r>
      <w:r>
        <w:rPr>
          <w:color w:val="000000"/>
          <w:spacing w:val="0"/>
          <w:w w:val="100"/>
          <w:position w:val="0"/>
        </w:rPr>
        <w:t>万元,青山喻优教于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日完成工商注册登记。 报告期内，天喻教育控股子公司无锡尚蠡完成工商注销登记，不再纳入公司合并财务报表范围。</w:t>
      </w:r>
    </w:p>
    <w:p>
      <w:pPr>
        <w:pStyle w:val="Style26"/>
        <w:keepNext w:val="0"/>
        <w:keepLines w:val="0"/>
        <w:widowControl w:val="0"/>
        <w:shd w:val="clear" w:color="auto" w:fill="auto"/>
        <w:bidi w:val="0"/>
        <w:spacing w:before="0" w:after="400" w:line="317" w:lineRule="exact"/>
        <w:ind w:left="0" w:right="0" w:firstLine="360"/>
        <w:jc w:val="left"/>
      </w:pPr>
      <w:r>
        <w:rPr>
          <w:color w:val="000000"/>
          <w:spacing w:val="0"/>
          <w:w w:val="100"/>
          <w:position w:val="0"/>
        </w:rPr>
        <w:t>报告期内，天喻教育控股子公司天喻通慧完成工商注销登记，不再纳入公司合并财务报表范围。</w:t>
      </w:r>
    </w:p>
    <w:p>
      <w:pPr>
        <w:pStyle w:val="Style36"/>
        <w:keepNext/>
        <w:keepLines/>
        <w:widowControl w:val="0"/>
        <w:shd w:val="clear" w:color="auto" w:fill="auto"/>
        <w:bidi w:val="0"/>
        <w:spacing w:before="0" w:after="26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color w:val="000000"/>
          <w:spacing w:val="0"/>
          <w:w w:val="100"/>
          <w:position w:val="0"/>
        </w:rPr>
        <w:t>7）</w:t>
      </w:r>
      <w:r>
        <w:rPr>
          <w:color w:val="000000"/>
          <w:spacing w:val="0"/>
          <w:w w:val="100"/>
          <w:position w:val="0"/>
        </w:rPr>
        <w:t>公司报告期内业务、产品或服务发生重大变化或调整有关情况</w:t>
      </w:r>
      <w:bookmarkEnd w:id="131"/>
      <w:bookmarkEnd w:id="132"/>
      <w:bookmarkEnd w:id="134"/>
    </w:p>
    <w:p>
      <w:pPr>
        <w:pStyle w:val="Style2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color w:val="000000"/>
          <w:spacing w:val="0"/>
          <w:w w:val="100"/>
          <w:position w:val="0"/>
        </w:rPr>
        <w:t>8）</w:t>
      </w:r>
      <w:r>
        <w:rPr>
          <w:color w:val="000000"/>
          <w:spacing w:val="0"/>
          <w:w w:val="100"/>
          <w:position w:val="0"/>
        </w:rPr>
        <w:t>主要销售客户和主要供应商情况</w:t>
      </w:r>
      <w:bookmarkEnd w:id="135"/>
      <w:bookmarkEnd w:id="136"/>
      <w:bookmarkEnd w:id="138"/>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507"/>
        <w:gridCol w:w="49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624,769,256.01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5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228,785,764.19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13.51%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130,120,898.24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115,886,925.23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6.84%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75,692,964.58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74,282,703.77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624,769,256.01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36.89%</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主要客户其他情况说明</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934"/>
        <w:gridCol w:w="464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795,752,007.02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5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267,217,251.96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18.19%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208,751,757.68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14.21%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160,268,544.26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10.91%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109,160,952.73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7.43%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50,353,500.39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3.43%</w:t>
            </w:r>
          </w:p>
        </w:tc>
      </w:tr>
    </w:tbl>
    <w:tbl>
      <w:tblPr>
        <w:tblOverlap w:val="never"/>
        <w:jc w:val="center"/>
        <w:tblLayout w:type="fixed"/>
      </w:tblPr>
      <w:tblGrid>
        <w:gridCol w:w="941"/>
        <w:gridCol w:w="3168"/>
        <w:gridCol w:w="2323"/>
        <w:gridCol w:w="3149"/>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795,752,007.02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3</w:t>
      </w:r>
      <w:bookmarkEnd w:id="141"/>
      <w:r>
        <w:rPr>
          <w:color w:val="000000"/>
          <w:spacing w:val="0"/>
          <w:w w:val="100"/>
          <w:position w:val="0"/>
        </w:rPr>
        <w:t>、费用</w:t>
      </w:r>
      <w:bookmarkEnd w:id="139"/>
      <w:bookmarkEnd w:id="140"/>
      <w:bookmarkEnd w:id="14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181,723,028.07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235,972,986.91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71,838,749.04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85,561,430.89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11,030,728.12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5,603,969.58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票据贴现业务量增加，票据贴现费用 相应增加。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185,114,902.19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221,916,956.20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4</w:t>
      </w:r>
      <w:bookmarkEnd w:id="145"/>
      <w:r>
        <w:rPr>
          <w:color w:val="000000"/>
          <w:spacing w:val="0"/>
          <w:w w:val="100"/>
          <w:position w:val="0"/>
        </w:rPr>
        <w:t>、研发投入</w:t>
      </w:r>
      <w:bookmarkEnd w:id="143"/>
      <w:bookmarkEnd w:id="144"/>
      <w:bookmarkEnd w:id="146"/>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323" w:lineRule="exact"/>
        <w:ind w:left="0" w:right="0" w:firstLine="380"/>
        <w:jc w:val="both"/>
      </w:pPr>
      <w:r>
        <w:rPr>
          <w:color w:val="000000"/>
          <w:spacing w:val="0"/>
          <w:w w:val="100"/>
          <w:position w:val="0"/>
        </w:rPr>
        <w:t>报告期内，公司围绕业务战略布局在卡、智能支付终端、物联网、税务、教育方向持续研发投入，积极探索区块链、人 工智能、云计算、大数据等新技术在各业务领域的应用。</w:t>
      </w:r>
    </w:p>
    <w:p>
      <w:pPr>
        <w:pStyle w:val="Style26"/>
        <w:keepNext w:val="0"/>
        <w:keepLines w:val="0"/>
        <w:widowControl w:val="0"/>
        <w:shd w:val="clear" w:color="auto" w:fill="auto"/>
        <w:bidi w:val="0"/>
        <w:spacing w:before="0" w:after="0" w:line="323" w:lineRule="exact"/>
        <w:ind w:left="0" w:right="0" w:firstLine="380"/>
        <w:jc w:val="both"/>
      </w:pPr>
      <w:r>
        <w:rPr>
          <w:color w:val="000000"/>
          <w:spacing w:val="0"/>
          <w:w w:val="100"/>
          <w:position w:val="0"/>
        </w:rPr>
        <w:t>卡方向，公司持续开发基于小容量的国内第三代安全芯片的金融</w:t>
      </w:r>
      <w:r>
        <w:rPr>
          <w:color w:val="000000"/>
          <w:spacing w:val="0"/>
          <w:w w:val="100"/>
          <w:position w:val="0"/>
        </w:rPr>
        <w:t>IC</w:t>
      </w:r>
      <w:r>
        <w:rPr>
          <w:color w:val="000000"/>
          <w:spacing w:val="0"/>
          <w:w w:val="100"/>
          <w:position w:val="0"/>
        </w:rPr>
        <w:t>卡产品，完成万事达、运通等清算机构的中国本土 化应用开发和认证工作，以扩大金融产品市场、提升金融产品竞争力；紧跟数字货币标准及银行应用试点，加大数字货币硬 钱包多种载体的研发投入，为数字货币规模推广做好准备。</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物联网方向，公司持续开展</w:t>
      </w:r>
      <w:r>
        <w:rPr>
          <w:color w:val="000000"/>
          <w:spacing w:val="0"/>
          <w:w w:val="100"/>
          <w:position w:val="0"/>
        </w:rPr>
        <w:t>5G SIM</w:t>
      </w:r>
      <w:r>
        <w:rPr>
          <w:color w:val="000000"/>
          <w:spacing w:val="0"/>
          <w:w w:val="100"/>
          <w:position w:val="0"/>
        </w:rPr>
        <w:t>、</w:t>
      </w:r>
      <w:r>
        <w:rPr>
          <w:color w:val="000000"/>
          <w:spacing w:val="0"/>
          <w:w w:val="100"/>
          <w:position w:val="0"/>
        </w:rPr>
        <w:t>车联网卡、物联网卡以及通讯模组的开发和备案工作，以功能和多应用融合为切 入点，为通信产品实现国密、推广</w:t>
      </w:r>
      <w:r>
        <w:rPr>
          <w:color w:val="000000"/>
          <w:spacing w:val="0"/>
          <w:w w:val="100"/>
          <w:position w:val="0"/>
        </w:rPr>
        <w:t>5G</w:t>
      </w:r>
      <w:r>
        <w:rPr>
          <w:color w:val="000000"/>
          <w:spacing w:val="0"/>
          <w:w w:val="100"/>
          <w:position w:val="0"/>
        </w:rPr>
        <w:t>、</w:t>
      </w:r>
      <w:r>
        <w:rPr>
          <w:color w:val="000000"/>
          <w:spacing w:val="0"/>
          <w:w w:val="100"/>
          <w:position w:val="0"/>
        </w:rPr>
        <w:t>M2M</w:t>
      </w:r>
      <w:r>
        <w:rPr>
          <w:color w:val="000000"/>
          <w:spacing w:val="0"/>
          <w:w w:val="100"/>
          <w:position w:val="0"/>
        </w:rPr>
        <w:t>及</w:t>
      </w:r>
      <w:r>
        <w:rPr>
          <w:color w:val="000000"/>
          <w:spacing w:val="0"/>
          <w:w w:val="100"/>
          <w:position w:val="0"/>
        </w:rPr>
        <w:t>eSIM</w:t>
      </w:r>
      <w:r>
        <w:rPr>
          <w:color w:val="000000"/>
          <w:spacing w:val="0"/>
          <w:w w:val="100"/>
          <w:position w:val="0"/>
        </w:rPr>
        <w:t xml:space="preserve">相关业务奠定基础；发布了 </w:t>
      </w:r>
      <w:r>
        <w:rPr>
          <w:color w:val="000000"/>
          <w:spacing w:val="0"/>
          <w:w w:val="100"/>
          <w:position w:val="0"/>
        </w:rPr>
        <w:t>BlueLinkUP</w:t>
      </w:r>
      <w:r>
        <w:rPr>
          <w:color w:val="000000"/>
          <w:spacing w:val="0"/>
          <w:w w:val="100"/>
          <w:position w:val="0"/>
        </w:rPr>
        <w:t>物联网通用管理平台，为垂直行 业提供</w:t>
      </w:r>
      <w:r>
        <w:rPr>
          <w:color w:val="000000"/>
          <w:spacing w:val="0"/>
          <w:w w:val="100"/>
          <w:position w:val="0"/>
        </w:rPr>
        <w:t>PaaS</w:t>
      </w:r>
      <w:r>
        <w:rPr>
          <w:color w:val="000000"/>
          <w:spacing w:val="0"/>
          <w:w w:val="100"/>
          <w:position w:val="0"/>
        </w:rPr>
        <w:t>服务及</w:t>
      </w:r>
      <w:r>
        <w:rPr>
          <w:color w:val="000000"/>
          <w:spacing w:val="0"/>
          <w:w w:val="100"/>
          <w:position w:val="0"/>
        </w:rPr>
        <w:t>SaaS</w:t>
      </w:r>
      <w:r>
        <w:rPr>
          <w:color w:val="000000"/>
          <w:spacing w:val="0"/>
          <w:w w:val="100"/>
          <w:position w:val="0"/>
        </w:rPr>
        <w:t>轻量化交付服务。</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智能支付终端方向，公司不断完善智能支付终端产品技术方案以顺应市场趋势，完成对</w:t>
      </w:r>
      <w:r>
        <w:rPr>
          <w:color w:val="000000"/>
          <w:spacing w:val="0"/>
          <w:w w:val="100"/>
          <w:position w:val="0"/>
        </w:rPr>
        <w:t>2G, CAT1 OPENCPU</w:t>
      </w:r>
      <w:r>
        <w:rPr>
          <w:color w:val="000000"/>
          <w:spacing w:val="0"/>
          <w:w w:val="100"/>
          <w:position w:val="0"/>
        </w:rPr>
        <w:t xml:space="preserve">产品统一平 台的开发，并基于此开发了 </w:t>
      </w:r>
      <w:r>
        <w:rPr>
          <w:color w:val="000000"/>
          <w:spacing w:val="0"/>
          <w:w w:val="100"/>
          <w:position w:val="0"/>
        </w:rPr>
        <w:t>2G</w:t>
      </w:r>
      <w:r>
        <w:rPr>
          <w:color w:val="000000"/>
          <w:spacing w:val="0"/>
          <w:w w:val="100"/>
          <w:position w:val="0"/>
        </w:rPr>
        <w:t>、</w:t>
      </w:r>
      <w:r>
        <w:rPr>
          <w:color w:val="000000"/>
          <w:spacing w:val="0"/>
          <w:w w:val="100"/>
          <w:position w:val="0"/>
        </w:rPr>
        <w:t>CAT1</w:t>
      </w:r>
      <w:r>
        <w:rPr>
          <w:color w:val="000000"/>
          <w:spacing w:val="0"/>
          <w:w w:val="100"/>
          <w:position w:val="0"/>
        </w:rPr>
        <w:t>系列终端产品；自主研发的扫码算法实现在嵌入式平台的集成运行，并成功应用于电 签、二维码终端等产品。</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税务方向，公司围绕以智慧财税为核心的企业服务领域，探索运用人工智能技术为企业提供财税数字化、财税智能自动 化、智能化客服服务，帮助企业提升经营效率；积极拓展以区块链为基础的智能合约技术在电子合同上的应用，以解决企业 日常交易中涉及到的传统合同签署成本高、效率低、管理难、风险大的难题；利用公司在企业财税大数据方面的积累，开发 可为企业提供规避经营风险、精准匹配客户、拓宽获客渠道的在线数据服务产品；基于云原生技术和建设云应用市场，积极 打造满足中小微企业业务上云和数字化转型需求的低成本云计算服务方案。</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教育方向，公司基于云原生的教育云平台架构升级，研发基于容器编排弹性伸缩技术的多云资源管理，实现业务资源需 求的自动调度，提高平台的稳定性和抗并发能力，保障资源的合理利用；研发自动安防审计系统，实现平台安全工作的自动 审计与监测，确保平台安全漏洞的及时发现与防范，提升项目和产品的安全性；整合基础设施、中间件、大数据和容器集群 的监控技术，对应用服务运行状态进行精准监控，以提升业务系统稳定性；引入人工智能技术，增加自动版面分析，更新识 别技术，大幅提升慧学产品在考试扫描方面的效率和识别精度;智能检测实现填空题的智能评阅；自主研发大数据底层平台， 为大数据提供数据存储、数据处理和计算等基础能力。</w:t>
      </w:r>
    </w:p>
    <w:p>
      <w:pPr>
        <w:pStyle w:val="Style26"/>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新技术方向，公司持续加大人工智能、区块链方面投入，深入研究人工智能算法技术，在视频、文档、自然语言处理方 向完成多种类型人脸识别、无定位点版面分析、通用印刷体文字识别、词性标注、英文文本纠错等技术的研究，为集合身份</w:t>
        <w:br w:type="page"/>
      </w:r>
      <w:r>
        <w:rPr>
          <w:color w:val="000000"/>
          <w:spacing w:val="0"/>
          <w:w w:val="100"/>
          <w:position w:val="0"/>
        </w:rPr>
        <w:t>核验、门禁控制、物联控制、防疫测温功能的</w:t>
      </w:r>
      <w:r>
        <w:rPr>
          <w:color w:val="000000"/>
          <w:spacing w:val="0"/>
          <w:w w:val="100"/>
          <w:position w:val="0"/>
        </w:rPr>
        <w:t>AiFace</w:t>
      </w:r>
      <w:r>
        <w:rPr>
          <w:color w:val="000000"/>
          <w:spacing w:val="0"/>
          <w:w w:val="100"/>
          <w:position w:val="0"/>
        </w:rPr>
        <w:t>人脸识别终端，助力企业、政府、金融等行业用户降本增效的流程自 动化机器人解决方案</w:t>
      </w:r>
      <w:r>
        <w:rPr>
          <w:color w:val="000000"/>
          <w:spacing w:val="0"/>
          <w:w w:val="100"/>
          <w:position w:val="0"/>
        </w:rPr>
        <w:t>BlueDocer</w:t>
      </w:r>
      <w:r>
        <w:rPr>
          <w:color w:val="000000"/>
          <w:spacing w:val="0"/>
          <w:w w:val="100"/>
          <w:position w:val="0"/>
        </w:rPr>
        <w:t>蓝稻壳，慧学</w:t>
      </w:r>
      <w:r>
        <w:rPr>
          <w:color w:val="000000"/>
          <w:spacing w:val="0"/>
          <w:w w:val="100"/>
          <w:position w:val="0"/>
        </w:rPr>
        <w:t>2.0</w:t>
      </w:r>
      <w:r>
        <w:rPr>
          <w:color w:val="000000"/>
          <w:spacing w:val="0"/>
          <w:w w:val="100"/>
          <w:position w:val="0"/>
        </w:rPr>
        <w:t>智能阅卷、墨水屏电子书包等智慧教育产品提供</w:t>
      </w:r>
      <w:r>
        <w:rPr>
          <w:color w:val="000000"/>
          <w:spacing w:val="0"/>
          <w:w w:val="100"/>
          <w:position w:val="0"/>
        </w:rPr>
        <w:t>AI</w:t>
      </w:r>
      <w:r>
        <w:rPr>
          <w:color w:val="000000"/>
          <w:spacing w:val="0"/>
          <w:w w:val="100"/>
          <w:position w:val="0"/>
        </w:rPr>
        <w:t>算法赋能；完成区块 链基础平台天喻蓝链平台的研发，并基于该平台实现区块链电子发票和区块链电子证书的应用；研究探索区块链共识机制、 智能合约、保密交易、链上治理、动态扩容等关键核心技术，为公司后续拓宽区块链技术的应用领域提供技术支撑。</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35"/>
        <w:gridCol w:w="2122"/>
        <w:gridCol w:w="2270"/>
        <w:gridCol w:w="208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191,490,824.88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237,231,475.79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205,149,925.10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6,375,922.69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15,314,519.59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22,819,891.75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w:t>
            </w:r>
          </w:p>
        </w:tc>
      </w:tr>
    </w:tbl>
    <w:p>
      <w:pPr>
        <w:pStyle w:val="Style26"/>
        <w:keepNext w:val="0"/>
        <w:keepLines w:val="0"/>
        <w:widowControl w:val="0"/>
        <w:shd w:val="clear" w:color="auto" w:fill="auto"/>
        <w:bidi w:val="0"/>
        <w:spacing w:before="0" w:after="0" w:line="336" w:lineRule="exact"/>
        <w:ind w:left="360" w:right="0" w:firstLine="2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36" w:lineRule="exact"/>
        <w:ind w:left="360" w:right="0" w:firstLine="2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380" w:line="336" w:lineRule="exact"/>
        <w:ind w:left="0" w:right="0" w:firstLine="3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360"/>
        <w:jc w:val="left"/>
      </w:pPr>
      <w:bookmarkStart w:id="147" w:name="bookmark147"/>
      <w:bookmarkStart w:id="148" w:name="bookmark148"/>
      <w:bookmarkStart w:id="149" w:name="bookmark149"/>
      <w:bookmarkStart w:id="150" w:name="bookmark150"/>
      <w:r>
        <w:rPr>
          <w:color w:val="000000"/>
          <w:spacing w:val="0"/>
          <w:w w:val="100"/>
          <w:position w:val="0"/>
        </w:rPr>
        <w:t>5</w:t>
      </w:r>
      <w:bookmarkEnd w:id="149"/>
      <w:r>
        <w:rPr>
          <w:color w:val="000000"/>
          <w:spacing w:val="0"/>
          <w:w w:val="100"/>
          <w:position w:val="0"/>
        </w:rPr>
        <w:t>、现金流</w:t>
      </w:r>
      <w:bookmarkEnd w:id="147"/>
      <w:bookmarkEnd w:id="148"/>
      <w:bookmarkEnd w:id="1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2390"/>
        <w:gridCol w:w="2390"/>
        <w:gridCol w:w="240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1,904,068,182.43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2,127,695,775.49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1,655,815,254.80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1,845,970,037.09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248,252,927.63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281,725,738.40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2,598,811,913.75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710,470,521.39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265.79%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3,058,282,338.23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609,729,056.06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401.58%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-459,470,424.48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100,741,465.33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r>
              <w:rPr>
                <w:color w:val="000000"/>
                <w:spacing w:val="0"/>
                <w:w w:val="100"/>
                <w:position w:val="0"/>
              </w:rPr>
              <w:t>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162,330,000.00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201,245,000.00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-19.34%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51,238,674.23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274,845,973.69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111,091,325.77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-73,600,973.69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250.94%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-101,592,390.49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309,060,628.51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310" w:lineRule="exact"/>
        <w:ind w:left="360" w:right="0" w:firstLine="380"/>
        <w:jc w:val="both"/>
      </w:pPr>
      <w:r>
        <w:rPr>
          <w:color w:val="000000"/>
          <w:spacing w:val="0"/>
          <w:w w:val="100"/>
          <w:position w:val="0"/>
        </w:rPr>
        <w:t>报告期内，公司投资活动产生的现金流量净额同比下降</w:t>
      </w:r>
      <w:r>
        <w:rPr>
          <w:color w:val="000000"/>
          <w:spacing w:val="0"/>
          <w:w w:val="100"/>
          <w:position w:val="0"/>
        </w:rPr>
        <w:t>556.09%</w:t>
      </w:r>
      <w:r>
        <w:rPr>
          <w:color w:val="000000"/>
          <w:spacing w:val="0"/>
          <w:w w:val="100"/>
          <w:position w:val="0"/>
        </w:rPr>
        <w:t>，主要由于公司上年度出售了持有的其他上市公司股票， 报告期内股票现金流入同比减少，以及报告期内购买的结构性存款和可转让大额存单同比增加幅度较大，产生的现金流量净 额相应减少。投资活动现金流入和流出同比分别增长</w:t>
      </w:r>
      <w:r>
        <w:rPr>
          <w:color w:val="000000"/>
          <w:spacing w:val="0"/>
          <w:w w:val="100"/>
          <w:position w:val="0"/>
        </w:rPr>
        <w:t>265.79%</w:t>
      </w:r>
      <w:r>
        <w:rPr>
          <w:color w:val="000000"/>
          <w:spacing w:val="0"/>
          <w:w w:val="100"/>
          <w:position w:val="0"/>
        </w:rPr>
        <w:t>和</w:t>
      </w:r>
      <w:r>
        <w:rPr>
          <w:color w:val="000000"/>
          <w:spacing w:val="0"/>
          <w:w w:val="100"/>
          <w:position w:val="0"/>
        </w:rPr>
        <w:t>401.58%,</w:t>
      </w:r>
      <w:r>
        <w:rPr>
          <w:color w:val="000000"/>
          <w:spacing w:val="0"/>
          <w:w w:val="100"/>
          <w:position w:val="0"/>
        </w:rPr>
        <w:t>主要由于购买结构性存款的次数及累计金额增加。</w:t>
      </w:r>
    </w:p>
    <w:p>
      <w:pPr>
        <w:pStyle w:val="Style26"/>
        <w:keepNext w:val="0"/>
        <w:keepLines w:val="0"/>
        <w:widowControl w:val="0"/>
        <w:shd w:val="clear" w:color="auto" w:fill="auto"/>
        <w:bidi w:val="0"/>
        <w:spacing w:before="0" w:after="120" w:line="310" w:lineRule="exact"/>
        <w:ind w:left="0" w:right="0" w:firstLine="740"/>
        <w:jc w:val="left"/>
      </w:pPr>
      <w:r>
        <w:rPr>
          <w:color w:val="000000"/>
          <w:spacing w:val="0"/>
          <w:w w:val="100"/>
          <w:position w:val="0"/>
        </w:rPr>
        <w:t>报告期内，公司筹资活动产生的现金流量净额同比增加</w:t>
      </w:r>
      <w:r>
        <w:rPr>
          <w:color w:val="000000"/>
          <w:spacing w:val="0"/>
          <w:w w:val="100"/>
          <w:position w:val="0"/>
        </w:rPr>
        <w:t>250.94%</w:t>
      </w:r>
      <w:r>
        <w:rPr>
          <w:color w:val="000000"/>
          <w:spacing w:val="0"/>
          <w:w w:val="100"/>
          <w:position w:val="0"/>
        </w:rPr>
        <w:t>，主要由于需偿还的到期银行借款减少。</w:t>
      </w:r>
    </w:p>
    <w:p>
      <w:pPr>
        <w:pStyle w:val="Style26"/>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0" w:line="312" w:lineRule="exact"/>
        <w:ind w:left="0" w:right="0" w:firstLine="580"/>
        <w:jc w:val="both"/>
      </w:pPr>
      <w:r>
        <w:rPr>
          <w:i/>
          <w:iCs/>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380" w:line="312" w:lineRule="exact"/>
        <w:ind w:left="580" w:right="0" w:firstLine="360"/>
        <w:jc w:val="both"/>
      </w:pPr>
      <w:r>
        <w:rPr>
          <w:color w:val="000000"/>
          <w:spacing w:val="0"/>
          <w:w w:val="100"/>
          <w:position w:val="0"/>
        </w:rPr>
        <w:t>报告期内，公司净利润为</w:t>
      </w:r>
      <w:r>
        <w:rPr>
          <w:color w:val="000000"/>
          <w:spacing w:val="0"/>
          <w:w w:val="100"/>
          <w:position w:val="0"/>
        </w:rPr>
        <w:t>-6,315.42</w:t>
      </w:r>
      <w:r>
        <w:rPr>
          <w:color w:val="000000"/>
          <w:spacing w:val="0"/>
          <w:w w:val="100"/>
          <w:position w:val="0"/>
        </w:rPr>
        <w:t>万元，与公司经营活动产生的现金流量净额</w:t>
      </w:r>
      <w:r>
        <w:rPr>
          <w:color w:val="000000"/>
          <w:spacing w:val="0"/>
          <w:w w:val="100"/>
          <w:position w:val="0"/>
        </w:rPr>
        <w:t xml:space="preserve">24, </w:t>
      </w:r>
      <w:r>
        <w:rPr>
          <w:color w:val="000000"/>
          <w:spacing w:val="0"/>
          <w:w w:val="100"/>
          <w:position w:val="0"/>
        </w:rPr>
        <w:t>825.29</w:t>
      </w:r>
      <w:r>
        <w:rPr>
          <w:color w:val="000000"/>
          <w:spacing w:val="0"/>
          <w:w w:val="100"/>
          <w:position w:val="0"/>
        </w:rPr>
        <w:t>万元相差</w:t>
      </w:r>
      <w:r>
        <w:rPr>
          <w:color w:val="000000"/>
          <w:spacing w:val="0"/>
          <w:w w:val="100"/>
          <w:position w:val="0"/>
        </w:rPr>
        <w:t>-31,140.71</w:t>
      </w:r>
      <w:r>
        <w:rPr>
          <w:color w:val="000000"/>
          <w:spacing w:val="0"/>
          <w:w w:val="100"/>
          <w:position w:val="0"/>
        </w:rPr>
        <w:t>万元，主 要是报告期内发生不影响经营性现金流量的费用（固定资产折旧、无形资产摊销、长期待摊费用摊销、利息支出、汇兑损益） 以及资产减值准备分别影响</w:t>
      </w:r>
      <w:r>
        <w:rPr>
          <w:color w:val="000000"/>
          <w:spacing w:val="0"/>
          <w:w w:val="100"/>
          <w:position w:val="0"/>
        </w:rPr>
        <w:t>4,884.32</w:t>
      </w:r>
      <w:r>
        <w:rPr>
          <w:color w:val="000000"/>
          <w:spacing w:val="0"/>
          <w:w w:val="100"/>
          <w:position w:val="0"/>
        </w:rPr>
        <w:t>万元和</w:t>
      </w:r>
      <w:r>
        <w:rPr>
          <w:color w:val="000000"/>
          <w:spacing w:val="0"/>
          <w:w w:val="100"/>
          <w:position w:val="0"/>
        </w:rPr>
        <w:t>2,844.22</w:t>
      </w:r>
      <w:r>
        <w:rPr>
          <w:color w:val="000000"/>
          <w:spacing w:val="0"/>
          <w:w w:val="100"/>
          <w:position w:val="0"/>
        </w:rPr>
        <w:t>万元，公允价值变动收益和投资收益影响</w:t>
      </w:r>
      <w:r>
        <w:rPr>
          <w:color w:val="000000"/>
          <w:spacing w:val="0"/>
          <w:w w:val="100"/>
          <w:position w:val="0"/>
        </w:rPr>
        <w:t>-2,103.46</w:t>
      </w:r>
      <w:r>
        <w:rPr>
          <w:color w:val="000000"/>
          <w:spacing w:val="0"/>
          <w:w w:val="100"/>
          <w:position w:val="0"/>
        </w:rPr>
        <w:t>万元，报告期内存 货减少影响</w:t>
      </w:r>
      <w:r>
        <w:rPr>
          <w:color w:val="000000"/>
          <w:spacing w:val="0"/>
          <w:w w:val="100"/>
          <w:position w:val="0"/>
        </w:rPr>
        <w:t>6,304.11</w:t>
      </w:r>
      <w:r>
        <w:rPr>
          <w:color w:val="000000"/>
          <w:spacing w:val="0"/>
          <w:w w:val="100"/>
          <w:position w:val="0"/>
        </w:rPr>
        <w:t>万元，经营性应收项目减少和经营性应付项目增加影响</w:t>
      </w:r>
      <w:r>
        <w:rPr>
          <w:color w:val="000000"/>
          <w:spacing w:val="0"/>
          <w:w w:val="100"/>
          <w:position w:val="0"/>
        </w:rPr>
        <w:t>18,602.06</w:t>
      </w:r>
      <w:r>
        <w:rPr>
          <w:color w:val="000000"/>
          <w:spacing w:val="0"/>
          <w:w w:val="100"/>
          <w:position w:val="0"/>
        </w:rPr>
        <w:t>万元。</w:t>
      </w:r>
    </w:p>
    <w:p>
      <w:pPr>
        <w:pStyle w:val="Style23"/>
        <w:keepNext/>
        <w:keepLines/>
        <w:widowControl w:val="0"/>
        <w:shd w:val="clear" w:color="auto" w:fill="auto"/>
        <w:bidi w:val="0"/>
        <w:spacing w:before="0" w:after="260" w:line="240" w:lineRule="auto"/>
        <w:ind w:left="0" w:right="0" w:firstLine="580"/>
        <w:jc w:val="left"/>
      </w:pPr>
      <w:bookmarkStart w:id="151" w:name="bookmark151"/>
      <w:bookmarkStart w:id="152" w:name="bookmark152"/>
      <w:bookmarkStart w:id="153" w:name="bookmark153"/>
      <w:bookmarkStart w:id="154" w:name="bookmark154"/>
      <w:r>
        <w:rPr>
          <w:color w:val="000000"/>
          <w:spacing w:val="0"/>
          <w:w w:val="100"/>
          <w:position w:val="0"/>
        </w:rPr>
        <w:t>三</w:t>
      </w:r>
      <w:bookmarkEnd w:id="153"/>
      <w:r>
        <w:rPr>
          <w:color w:val="000000"/>
          <w:spacing w:val="0"/>
          <w:w w:val="100"/>
          <w:position w:val="0"/>
        </w:rPr>
        <w:t>、非主营业务情况</w:t>
      </w:r>
      <w:bookmarkEnd w:id="151"/>
      <w:bookmarkEnd w:id="152"/>
      <w:bookmarkEnd w:id="154"/>
    </w:p>
    <w:p>
      <w:pPr>
        <w:pStyle w:val="Style26"/>
        <w:keepNext w:val="0"/>
        <w:keepLines w:val="0"/>
        <w:widowControl w:val="0"/>
        <w:shd w:val="clear" w:color="auto" w:fill="auto"/>
        <w:bidi w:val="0"/>
        <w:spacing w:before="0" w:after="140" w:line="312" w:lineRule="exact"/>
        <w:ind w:left="0" w:right="0" w:firstLine="580"/>
        <w:jc w:val="left"/>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3125"/>
        <w:gridCol w:w="170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11,187,601.71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结构性存款到期赎回产生的收益。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9,846,964.32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结构性存款未到期产生的收益和持有其 他上市公司股票期间，股票价格变动产 生的公允价值变动收益。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-28,442,228.61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根据公司会计政策计提的应收款项坏账 准备、存货跌价准备。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31,010,301.43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主要是收到的与收益相关的政府补助。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580"/>
        <w:jc w:val="left"/>
      </w:pPr>
      <w:bookmarkStart w:id="155" w:name="bookmark155"/>
      <w:bookmarkStart w:id="156" w:name="bookmark156"/>
      <w:bookmarkStart w:id="157" w:name="bookmark157"/>
      <w:bookmarkStart w:id="158" w:name="bookmark158"/>
      <w:r>
        <w:rPr>
          <w:color w:val="000000"/>
          <w:spacing w:val="0"/>
          <w:w w:val="100"/>
          <w:position w:val="0"/>
        </w:rPr>
        <w:t>四</w:t>
      </w:r>
      <w:bookmarkEnd w:id="157"/>
      <w:r>
        <w:rPr>
          <w:color w:val="000000"/>
          <w:spacing w:val="0"/>
          <w:w w:val="100"/>
          <w:position w:val="0"/>
        </w:rPr>
        <w:t>、资产及负债状况分析</w:t>
      </w:r>
      <w:bookmarkEnd w:id="155"/>
      <w:bookmarkEnd w:id="156"/>
      <w:bookmarkEnd w:id="158"/>
    </w:p>
    <w:p>
      <w:pPr>
        <w:pStyle w:val="Style30"/>
        <w:keepNext/>
        <w:keepLines/>
        <w:widowControl w:val="0"/>
        <w:shd w:val="clear" w:color="auto" w:fill="auto"/>
        <w:bidi w:val="0"/>
        <w:spacing w:before="0" w:line="240" w:lineRule="auto"/>
        <w:ind w:left="0" w:right="0" w:firstLine="580"/>
        <w:jc w:val="both"/>
      </w:pPr>
      <w:bookmarkStart w:id="159" w:name="bookmark159"/>
      <w:bookmarkStart w:id="160" w:name="bookmark160"/>
      <w:bookmarkStart w:id="161" w:name="bookmark161"/>
      <w:bookmarkStart w:id="162" w:name="bookmark162"/>
      <w:r>
        <w:rPr>
          <w:color w:val="000000"/>
          <w:spacing w:val="0"/>
          <w:w w:val="100"/>
          <w:position w:val="0"/>
        </w:rPr>
        <w:t>1</w:t>
      </w:r>
      <w:bookmarkEnd w:id="161"/>
      <w:r>
        <w:rPr>
          <w:color w:val="000000"/>
          <w:spacing w:val="0"/>
          <w:w w:val="100"/>
          <w:position w:val="0"/>
        </w:rPr>
        <w:t>、资产构成重大变动情况</w:t>
      </w:r>
      <w:bookmarkEnd w:id="159"/>
      <w:bookmarkEnd w:id="160"/>
      <w:bookmarkEnd w:id="162"/>
    </w:p>
    <w:p>
      <w:pPr>
        <w:pStyle w:val="Style26"/>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公司</w:t>
      </w:r>
      <w:r>
        <w:rPr>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35"/>
        <w:gridCol w:w="1272"/>
        <w:gridCol w:w="1421"/>
        <w:gridCol w:w="1272"/>
        <w:gridCol w:w="1138"/>
        <w:gridCol w:w="250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599,296,851.12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752,606,688.67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735,224,900.17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908,210,314.83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267,390,583.40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350,276,195.89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72,441,998.80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71,467,400.64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200,785,372.21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176,271,253.99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0.55</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991,150.44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4,228,318.58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-0.12</w:t>
            </w:r>
            <w:r>
              <w:rPr>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5.76</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主要是疫情期间新增银行借款。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588,955,432.83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202,675,996.16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结构性存款及可转让大额存单 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82,746,223.79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62,962,426.12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0.58</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子公司天喻教育将已完成开发</w:t>
            </w:r>
          </w:p>
        </w:tc>
      </w:tr>
    </w:tbl>
    <w:p>
      <w:pPr>
        <w:spacing w:lineRule="exact" w:line="1"/>
        <w:rPr>
          <w:sz w:val="2"/>
          <w:szCs w:val="2"/>
        </w:rPr>
      </w:pPr>
      <w:r>
        <w:br w:type="page"/>
      </w:r>
    </w:p>
    <w:tbl>
      <w:tblPr>
        <w:tblOverlap w:val="never"/>
        <w:jc w:val="center"/>
        <w:tblLayout w:type="fixed"/>
      </w:tblPr>
      <w:tblGrid>
        <w:gridCol w:w="1373"/>
        <w:gridCol w:w="1435"/>
        <w:gridCol w:w="1272"/>
        <w:gridCol w:w="1421"/>
        <w:gridCol w:w="1272"/>
        <w:gridCol w:w="1138"/>
        <w:gridCol w:w="250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并取得开发成果的项目开发支 出结转为无形资产，以及报告期 内公司通过司法拍卖取得其他 公司的土地使用权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698,595,588.88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381,873,863.17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采取票据结算方式的业务量增 加，截至报告期末，尚未到期兑 付。</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322,416,645.93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532,297,560.79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-8.42</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销售收入减少，采购规模相应下 降，产生的应付账款减少。</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820"/>
        <w:jc w:val="left"/>
      </w:pPr>
      <w:bookmarkStart w:id="163" w:name="bookmark163"/>
      <w:bookmarkStart w:id="164" w:name="bookmark164"/>
      <w:bookmarkStart w:id="165" w:name="bookmark165"/>
      <w:bookmarkStart w:id="166" w:name="bookmark166"/>
      <w:r>
        <w:rPr>
          <w:color w:val="000000"/>
          <w:spacing w:val="0"/>
          <w:w w:val="100"/>
          <w:position w:val="0"/>
        </w:rPr>
        <w:t>2</w:t>
      </w:r>
      <w:bookmarkEnd w:id="165"/>
      <w:r>
        <w:rPr>
          <w:color w:val="000000"/>
          <w:spacing w:val="0"/>
          <w:w w:val="100"/>
          <w:position w:val="0"/>
        </w:rPr>
        <w:t>、以公允价值计量的资产和负债</w:t>
      </w:r>
      <w:bookmarkEnd w:id="163"/>
      <w:bookmarkEnd w:id="164"/>
      <w:bookmarkEnd w:id="166"/>
    </w:p>
    <w:p>
      <w:pPr>
        <w:pStyle w:val="Style26"/>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392"/>
        <w:gridCol w:w="1277"/>
        <w:gridCol w:w="1195"/>
        <w:gridCol w:w="816"/>
        <w:gridCol w:w="1565"/>
        <w:gridCol w:w="1560"/>
        <w:gridCol w:w="595"/>
        <w:gridCol w:w="142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本期购买金额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本期出售金额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交易性金融 资产（不含 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202,675,996.16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9,846,964.32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588,955,432.83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5,377,033.21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6,696,078.74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19,999,999.89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27,096,078.63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208,053,029.37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9,846,964.32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6,696,078.74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2,982,999,999.89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616,051,511.46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208,053,029.37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9,846,964.32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6,696,078.74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2,982,999,999.89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616,051,511.46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其他变动的内容</w:t>
      </w:r>
    </w:p>
    <w:p>
      <w:pPr>
        <w:pStyle w:val="Style26"/>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80" w:line="240" w:lineRule="auto"/>
        <w:ind w:left="0" w:right="0" w:firstLine="820"/>
        <w:jc w:val="left"/>
      </w:pP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820"/>
        <w:jc w:val="left"/>
      </w:pPr>
      <w:bookmarkStart w:id="167" w:name="bookmark167"/>
      <w:bookmarkStart w:id="168" w:name="bookmark168"/>
      <w:bookmarkStart w:id="169" w:name="bookmark169"/>
      <w:bookmarkStart w:id="170" w:name="bookmark170"/>
      <w:r>
        <w:rPr>
          <w:color w:val="000000"/>
          <w:spacing w:val="0"/>
          <w:w w:val="100"/>
          <w:position w:val="0"/>
        </w:rPr>
        <w:t>3</w:t>
      </w:r>
      <w:bookmarkEnd w:id="169"/>
      <w:r>
        <w:rPr>
          <w:color w:val="000000"/>
          <w:spacing w:val="0"/>
          <w:w w:val="100"/>
          <w:position w:val="0"/>
        </w:rPr>
        <w:t>、截至报告期末的资产权利受限情况</w:t>
      </w:r>
      <w:bookmarkEnd w:id="167"/>
      <w:bookmarkEnd w:id="168"/>
      <w:bookmarkEnd w:id="170"/>
    </w:p>
    <w:p>
      <w:pPr>
        <w:pStyle w:val="Style26"/>
        <w:keepNext w:val="0"/>
        <w:keepLines w:val="0"/>
        <w:widowControl w:val="0"/>
        <w:shd w:val="clear" w:color="auto" w:fill="auto"/>
        <w:bidi w:val="0"/>
        <w:spacing w:before="0" w:after="380" w:line="240" w:lineRule="auto"/>
        <w:ind w:left="1180" w:right="0" w:firstLine="0"/>
        <w:jc w:val="left"/>
      </w:pPr>
      <w:r>
        <w:rPr>
          <w:color w:val="000000"/>
          <w:spacing w:val="0"/>
          <w:w w:val="100"/>
          <w:position w:val="0"/>
        </w:rPr>
        <w:t>详见第十二节财务报告</w:t>
      </w:r>
      <w:r>
        <w:rPr>
          <w:color w:val="000000"/>
          <w:spacing w:val="0"/>
          <w:w w:val="100"/>
          <w:position w:val="0"/>
        </w:rPr>
        <w:t>/</w:t>
      </w:r>
      <w:r>
        <w:rPr>
          <w:color w:val="000000"/>
          <w:spacing w:val="0"/>
          <w:w w:val="100"/>
          <w:position w:val="0"/>
        </w:rPr>
        <w:t>七、合并财务报表项目注释</w:t>
      </w:r>
      <w:r>
        <w:rPr>
          <w:color w:val="000000"/>
          <w:spacing w:val="0"/>
          <w:w w:val="100"/>
          <w:position w:val="0"/>
        </w:rPr>
        <w:t>/57</w:t>
      </w:r>
      <w:r>
        <w:rPr>
          <w:color w:val="000000"/>
          <w:spacing w:val="0"/>
          <w:w w:val="100"/>
          <w:position w:val="0"/>
        </w:rPr>
        <w:t>、所有权或使用权受到限制的资产。</w:t>
      </w:r>
    </w:p>
    <w:p>
      <w:pPr>
        <w:pStyle w:val="Style23"/>
        <w:keepNext/>
        <w:keepLines/>
        <w:widowControl w:val="0"/>
        <w:shd w:val="clear" w:color="auto" w:fill="auto"/>
        <w:bidi w:val="0"/>
        <w:spacing w:before="0" w:after="380" w:line="240" w:lineRule="auto"/>
        <w:ind w:left="0" w:right="0" w:firstLine="820"/>
        <w:jc w:val="left"/>
      </w:pPr>
      <w:bookmarkStart w:id="171" w:name="bookmark171"/>
      <w:bookmarkStart w:id="172" w:name="bookmark172"/>
      <w:bookmarkStart w:id="173" w:name="bookmark173"/>
      <w:bookmarkStart w:id="174" w:name="bookmark174"/>
      <w:r>
        <w:rPr>
          <w:color w:val="000000"/>
          <w:spacing w:val="0"/>
          <w:w w:val="100"/>
          <w:position w:val="0"/>
        </w:rPr>
        <w:t>五</w:t>
      </w:r>
      <w:bookmarkEnd w:id="173"/>
      <w:r>
        <w:rPr>
          <w:color w:val="000000"/>
          <w:spacing w:val="0"/>
          <w:w w:val="100"/>
          <w:position w:val="0"/>
        </w:rPr>
        <w:t>、投资状况分析</w:t>
      </w:r>
      <w:bookmarkEnd w:id="171"/>
      <w:bookmarkEnd w:id="172"/>
      <w:bookmarkEnd w:id="174"/>
    </w:p>
    <w:p>
      <w:pPr>
        <w:pStyle w:val="Style30"/>
        <w:keepNext/>
        <w:keepLines/>
        <w:widowControl w:val="0"/>
        <w:shd w:val="clear" w:color="auto" w:fill="auto"/>
        <w:bidi w:val="0"/>
        <w:spacing w:before="0" w:line="240" w:lineRule="auto"/>
        <w:ind w:left="0" w:right="0" w:firstLine="820"/>
        <w:jc w:val="both"/>
      </w:pPr>
      <w:bookmarkStart w:id="175" w:name="bookmark175"/>
      <w:bookmarkStart w:id="176" w:name="bookmark176"/>
      <w:bookmarkStart w:id="177" w:name="bookmark177"/>
      <w:bookmarkStart w:id="178" w:name="bookmark178"/>
      <w:r>
        <w:rPr>
          <w:color w:val="000000"/>
          <w:spacing w:val="0"/>
          <w:w w:val="100"/>
          <w:position w:val="0"/>
        </w:rPr>
        <w:t>1</w:t>
      </w:r>
      <w:bookmarkEnd w:id="177"/>
      <w:r>
        <w:rPr>
          <w:color w:val="000000"/>
          <w:spacing w:val="0"/>
          <w:w w:val="100"/>
          <w:position w:val="0"/>
        </w:rPr>
        <w:t>、总体情况</w:t>
      </w:r>
      <w:bookmarkEnd w:id="175"/>
      <w:bookmarkEnd w:id="176"/>
      <w:bookmarkEnd w:id="178"/>
    </w:p>
    <w:p>
      <w:pPr>
        <w:pStyle w:val="Style26"/>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3,058,380,338.23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611,034,056.06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400.53%</w:t>
            </w:r>
          </w:p>
        </w:tc>
      </w:tr>
    </w:tbl>
    <w:p>
      <w:pPr>
        <w:pStyle w:val="Style26"/>
        <w:keepNext w:val="0"/>
        <w:keepLines w:val="0"/>
        <w:widowControl w:val="0"/>
        <w:shd w:val="clear" w:color="auto" w:fill="auto"/>
        <w:bidi w:val="0"/>
        <w:spacing w:before="0" w:after="0" w:line="314" w:lineRule="exact"/>
        <w:ind w:left="820" w:right="0" w:firstLine="360"/>
        <w:jc w:val="both"/>
      </w:pPr>
      <w:r>
        <w:rPr>
          <w:color w:val="000000"/>
          <w:spacing w:val="0"/>
          <w:w w:val="100"/>
          <w:position w:val="0"/>
        </w:rPr>
        <w:t>报告期内，公司及其子公司购买的结构性存款和可转让大额存单金额为</w:t>
      </w:r>
      <w:r>
        <w:rPr>
          <w:color w:val="000000"/>
          <w:spacing w:val="0"/>
          <w:w w:val="100"/>
          <w:position w:val="0"/>
        </w:rPr>
        <w:t>29.63</w:t>
      </w:r>
      <w:r>
        <w:rPr>
          <w:color w:val="000000"/>
          <w:spacing w:val="0"/>
          <w:w w:val="100"/>
          <w:position w:val="0"/>
        </w:rPr>
        <w:t>亿元（滚动累计购买金额</w:t>
      </w:r>
      <w:r>
        <w:rPr>
          <w:color w:val="000000"/>
          <w:spacing w:val="0"/>
          <w:w w:val="100"/>
          <w:position w:val="0"/>
        </w:rPr>
        <w:t>），</w:t>
      </w:r>
      <w:r>
        <w:rPr>
          <w:color w:val="000000"/>
          <w:spacing w:val="0"/>
          <w:w w:val="100"/>
          <w:position w:val="0"/>
        </w:rPr>
        <w:t xml:space="preserve">股权投资 </w:t>
      </w:r>
      <w:r>
        <w:rPr>
          <w:color w:val="000000"/>
          <w:spacing w:val="0"/>
          <w:w w:val="100"/>
          <w:position w:val="0"/>
        </w:rPr>
        <w:t>2,400.00</w:t>
      </w:r>
      <w:r>
        <w:rPr>
          <w:color w:val="000000"/>
          <w:spacing w:val="0"/>
          <w:w w:val="100"/>
          <w:position w:val="0"/>
        </w:rPr>
        <w:t>万元（包括增资东风畅行、向现代教育股东支付剩余股权转让款），土地使用权及房产投资</w:t>
      </w:r>
      <w:r>
        <w:rPr>
          <w:color w:val="000000"/>
          <w:spacing w:val="0"/>
          <w:w w:val="100"/>
          <w:position w:val="0"/>
        </w:rPr>
        <w:t>4,789.20</w:t>
      </w:r>
      <w:r>
        <w:rPr>
          <w:color w:val="000000"/>
          <w:spacing w:val="0"/>
          <w:w w:val="100"/>
          <w:position w:val="0"/>
        </w:rPr>
        <w:t>万元（含税）， 固定资产（主要是为提高生产效率、降低人工成本的智能卡生产设备）投资</w:t>
      </w:r>
      <w:r>
        <w:rPr>
          <w:color w:val="000000"/>
          <w:spacing w:val="0"/>
          <w:w w:val="100"/>
          <w:position w:val="0"/>
        </w:rPr>
        <w:t>1,228.34</w:t>
      </w:r>
      <w:r>
        <w:rPr>
          <w:color w:val="000000"/>
          <w:spacing w:val="0"/>
          <w:w w:val="100"/>
          <w:position w:val="0"/>
        </w:rPr>
        <w:t>万元。</w:t>
      </w:r>
    </w:p>
    <w:p>
      <w:pPr>
        <w:pStyle w:val="Style26"/>
        <w:keepNext w:val="0"/>
        <w:keepLines w:val="0"/>
        <w:widowControl w:val="0"/>
        <w:shd w:val="clear" w:color="auto" w:fill="auto"/>
        <w:bidi w:val="0"/>
        <w:spacing w:before="0" w:after="0" w:line="315" w:lineRule="exact"/>
        <w:ind w:left="820" w:right="0" w:firstLine="360"/>
        <w:jc w:val="both"/>
      </w:pPr>
      <w:r>
        <w:rPr>
          <w:color w:val="000000"/>
          <w:spacing w:val="0"/>
          <w:w w:val="100"/>
          <w:position w:val="0"/>
        </w:rPr>
        <w:t>为推进智慧教育业务在山东市场的发展，公司子公司天喻教育于</w:t>
      </w:r>
      <w:r>
        <w:rPr>
          <w:color w:val="000000"/>
          <w:spacing w:val="0"/>
          <w:w w:val="100"/>
          <w:position w:val="0"/>
        </w:rPr>
        <w:t>2018</w:t>
      </w:r>
      <w:r>
        <w:rPr>
          <w:color w:val="000000"/>
          <w:spacing w:val="0"/>
          <w:w w:val="100"/>
          <w:position w:val="0"/>
        </w:rPr>
        <w:t>年以现金</w:t>
      </w:r>
      <w:r>
        <w:rPr>
          <w:color w:val="000000"/>
          <w:spacing w:val="0"/>
          <w:w w:val="100"/>
          <w:position w:val="0"/>
        </w:rPr>
        <w:t>2,400</w:t>
      </w:r>
      <w:r>
        <w:rPr>
          <w:color w:val="000000"/>
          <w:spacing w:val="0"/>
          <w:w w:val="100"/>
          <w:position w:val="0"/>
        </w:rPr>
        <w:t>万元收购孙弋持有的现代教育</w:t>
      </w:r>
      <w:r>
        <w:rPr>
          <w:color w:val="000000"/>
          <w:spacing w:val="0"/>
          <w:w w:val="100"/>
          <w:position w:val="0"/>
        </w:rPr>
        <w:t xml:space="preserve">51% </w:t>
      </w:r>
      <w:r>
        <w:rPr>
          <w:color w:val="000000"/>
          <w:spacing w:val="0"/>
          <w:w w:val="100"/>
          <w:position w:val="0"/>
        </w:rPr>
        <w:t>股权，股权转让款分三期支付（详见公司于</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日在巨潮资讯网披露的《关于控股子公司收购山东爱书人现代教 育科技有限公司股权暨质押其中部分股权的公告》）。截至报告期末，现代教育原股东承诺的相关指标已全部达成，天喻教育 于报告期内向孙弋支付了第三期股权转让款</w:t>
      </w:r>
      <w:r>
        <w:rPr>
          <w:color w:val="000000"/>
          <w:spacing w:val="0"/>
          <w:w w:val="100"/>
          <w:position w:val="0"/>
        </w:rPr>
        <w:t>400</w:t>
      </w:r>
      <w:r>
        <w:rPr>
          <w:color w:val="000000"/>
          <w:spacing w:val="0"/>
          <w:w w:val="100"/>
          <w:position w:val="0"/>
        </w:rPr>
        <w:t>万元。天喻教育与孙弋于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月办理了剩余</w:t>
      </w:r>
      <w:r>
        <w:rPr>
          <w:color w:val="000000"/>
          <w:spacing w:val="0"/>
          <w:w w:val="100"/>
          <w:position w:val="0"/>
        </w:rPr>
        <w:t>8.5%</w:t>
      </w:r>
      <w:r>
        <w:rPr>
          <w:color w:val="000000"/>
          <w:spacing w:val="0"/>
          <w:w w:val="100"/>
          <w:position w:val="0"/>
        </w:rPr>
        <w:t>股权出质注销登记手 续。</w:t>
      </w:r>
    </w:p>
    <w:p>
      <w:pPr>
        <w:pStyle w:val="Style26"/>
        <w:keepNext w:val="0"/>
        <w:keepLines w:val="0"/>
        <w:widowControl w:val="0"/>
        <w:shd w:val="clear" w:color="auto" w:fill="auto"/>
        <w:bidi w:val="0"/>
        <w:spacing w:before="0" w:after="0" w:line="315" w:lineRule="exact"/>
        <w:ind w:left="820" w:right="0" w:firstLine="360"/>
        <w:jc w:val="both"/>
      </w:pPr>
      <w:r>
        <w:rPr>
          <w:color w:val="000000"/>
          <w:spacing w:val="0"/>
          <w:w w:val="100"/>
          <w:position w:val="0"/>
        </w:rPr>
        <w:t>经公司于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日召开的第七届董事会第二十八次会议审议批准，公司参与司法竞拍以自有资金</w:t>
      </w:r>
      <w:r>
        <w:rPr>
          <w:color w:val="000000"/>
          <w:spacing w:val="0"/>
          <w:w w:val="100"/>
          <w:position w:val="0"/>
        </w:rPr>
        <w:t>4,605</w:t>
      </w:r>
      <w:r>
        <w:rPr>
          <w:color w:val="000000"/>
          <w:spacing w:val="0"/>
          <w:w w:val="100"/>
          <w:position w:val="0"/>
        </w:rPr>
        <w:t>万元取 得武汉华工电气自动化有限责任公司位于武汉市东湖新技术开发区华工园路二路</w:t>
      </w:r>
      <w:r>
        <w:rPr>
          <w:color w:val="000000"/>
          <w:spacing w:val="0"/>
          <w:w w:val="100"/>
          <w:position w:val="0"/>
        </w:rPr>
        <w:t>7</w:t>
      </w:r>
      <w:r>
        <w:rPr>
          <w:color w:val="000000"/>
          <w:spacing w:val="0"/>
          <w:w w:val="100"/>
          <w:position w:val="0"/>
        </w:rPr>
        <w:t>号的土地使用权及地上房屋，并于</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日完成了上述土地使用权及房产的权属变更手续（详见公司分别于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日在巨潮资讯网披露的相关公告）。</w:t>
      </w:r>
    </w:p>
    <w:p>
      <w:pPr>
        <w:pStyle w:val="Style26"/>
        <w:keepNext w:val="0"/>
        <w:keepLines w:val="0"/>
        <w:widowControl w:val="0"/>
        <w:shd w:val="clear" w:color="auto" w:fill="auto"/>
        <w:bidi w:val="0"/>
        <w:spacing w:before="0" w:after="380" w:line="322" w:lineRule="exact"/>
        <w:ind w:left="820" w:right="0" w:firstLine="36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月以自有资金</w:t>
      </w:r>
      <w:r>
        <w:rPr>
          <w:color w:val="000000"/>
          <w:spacing w:val="0"/>
          <w:w w:val="100"/>
          <w:position w:val="0"/>
        </w:rPr>
        <w:t>2,000.00</w:t>
      </w:r>
      <w:r>
        <w:rPr>
          <w:color w:val="000000"/>
          <w:spacing w:val="0"/>
          <w:w w:val="100"/>
          <w:position w:val="0"/>
        </w:rPr>
        <w:t>万元认购东风畅行</w:t>
      </w:r>
      <w:r>
        <w:rPr>
          <w:color w:val="000000"/>
          <w:spacing w:val="0"/>
          <w:w w:val="100"/>
          <w:position w:val="0"/>
        </w:rPr>
        <w:t>1,709.4017</w:t>
      </w:r>
      <w:r>
        <w:rPr>
          <w:color w:val="000000"/>
          <w:spacing w:val="0"/>
          <w:w w:val="100"/>
          <w:position w:val="0"/>
        </w:rPr>
        <w:t>万股新增注册资本，增资完成后，公司持股比 例为</w:t>
      </w:r>
      <w:r>
        <w:rPr>
          <w:color w:val="000000"/>
          <w:spacing w:val="0"/>
          <w:w w:val="100"/>
          <w:position w:val="0"/>
        </w:rPr>
        <w:t>2.89%</w:t>
      </w:r>
      <w:r>
        <w:rPr>
          <w:color w:val="000000"/>
          <w:spacing w:val="0"/>
          <w:w w:val="100"/>
          <w:position w:val="0"/>
        </w:rPr>
        <w:t>。本次增资旨在通过股权合作进一步深化与东风畅行的产业连接，为公司人工智能、大数据、区块链、物联网等 新技术寻找更多落地应用场景，推动公司相关业务发展。</w:t>
      </w:r>
    </w:p>
    <w:p>
      <w:pPr>
        <w:pStyle w:val="Style30"/>
        <w:keepNext/>
        <w:keepLines/>
        <w:widowControl w:val="0"/>
        <w:shd w:val="clear" w:color="auto" w:fill="auto"/>
        <w:tabs>
          <w:tab w:pos="1169" w:val="left"/>
        </w:tabs>
        <w:bidi w:val="0"/>
        <w:spacing w:before="0" w:after="280" w:line="240" w:lineRule="auto"/>
        <w:ind w:left="0" w:right="0" w:firstLine="820"/>
        <w:jc w:val="both"/>
      </w:pPr>
      <w:bookmarkStart w:id="179" w:name="bookmark179"/>
      <w:bookmarkStart w:id="180" w:name="bookmark180"/>
      <w:bookmarkStart w:id="181" w:name="bookmark181"/>
      <w:bookmarkStart w:id="182" w:name="bookmark182"/>
      <w:r>
        <w:rPr>
          <w:color w:val="000000"/>
          <w:spacing w:val="0"/>
          <w:w w:val="100"/>
          <w:position w:val="0"/>
        </w:rPr>
        <w:t>2</w:t>
      </w:r>
      <w:bookmarkEnd w:id="181"/>
      <w:r>
        <w:rPr>
          <w:color w:val="000000"/>
          <w:spacing w:val="0"/>
          <w:w w:val="100"/>
          <w:position w:val="0"/>
        </w:rPr>
        <w:t>、</w:t>
        <w:tab/>
        <w:t>报告期内获取的重大的股权投资情况</w:t>
      </w:r>
      <w:bookmarkEnd w:id="179"/>
      <w:bookmarkEnd w:id="180"/>
      <w:bookmarkEnd w:id="182"/>
    </w:p>
    <w:p>
      <w:pPr>
        <w:pStyle w:val="Style26"/>
        <w:keepNext w:val="0"/>
        <w:keepLines w:val="0"/>
        <w:widowControl w:val="0"/>
        <w:shd w:val="clear" w:color="auto" w:fill="auto"/>
        <w:bidi w:val="0"/>
        <w:spacing w:before="0" w:after="380" w:line="315"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1169" w:val="left"/>
        </w:tabs>
        <w:bidi w:val="0"/>
        <w:spacing w:before="0" w:after="280" w:line="240" w:lineRule="auto"/>
        <w:ind w:left="0" w:right="0" w:firstLine="820"/>
        <w:jc w:val="both"/>
      </w:pPr>
      <w:bookmarkStart w:id="183" w:name="bookmark183"/>
      <w:bookmarkStart w:id="184" w:name="bookmark184"/>
      <w:bookmarkStart w:id="185" w:name="bookmark185"/>
      <w:bookmarkStart w:id="186" w:name="bookmark186"/>
      <w:r>
        <w:rPr>
          <w:color w:val="000000"/>
          <w:spacing w:val="0"/>
          <w:w w:val="100"/>
          <w:position w:val="0"/>
        </w:rPr>
        <w:t>3</w:t>
      </w:r>
      <w:bookmarkEnd w:id="185"/>
      <w:r>
        <w:rPr>
          <w:color w:val="000000"/>
          <w:spacing w:val="0"/>
          <w:w w:val="100"/>
          <w:position w:val="0"/>
        </w:rPr>
        <w:t>、</w:t>
        <w:tab/>
        <w:t>报告期内正在进行的重大的非股权投资情况</w:t>
      </w:r>
      <w:bookmarkEnd w:id="183"/>
      <w:bookmarkEnd w:id="184"/>
      <w:bookmarkEnd w:id="186"/>
    </w:p>
    <w:p>
      <w:pPr>
        <w:pStyle w:val="Style26"/>
        <w:keepNext w:val="0"/>
        <w:keepLines w:val="0"/>
        <w:widowControl w:val="0"/>
        <w:shd w:val="clear" w:color="auto" w:fill="auto"/>
        <w:bidi w:val="0"/>
        <w:spacing w:before="0" w:after="380" w:line="315"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1174" w:val="left"/>
        </w:tabs>
        <w:bidi w:val="0"/>
        <w:spacing w:before="0" w:after="280" w:line="240" w:lineRule="auto"/>
        <w:ind w:left="0" w:right="0" w:firstLine="820"/>
        <w:jc w:val="both"/>
      </w:pPr>
      <w:bookmarkStart w:id="187" w:name="bookmark187"/>
      <w:bookmarkStart w:id="188" w:name="bookmark188"/>
      <w:bookmarkStart w:id="189" w:name="bookmark189"/>
      <w:bookmarkStart w:id="190" w:name="bookmark190"/>
      <w:r>
        <w:rPr>
          <w:color w:val="000000"/>
          <w:spacing w:val="0"/>
          <w:w w:val="100"/>
          <w:position w:val="0"/>
        </w:rPr>
        <w:t>4</w:t>
      </w:r>
      <w:bookmarkEnd w:id="189"/>
      <w:r>
        <w:rPr>
          <w:color w:val="000000"/>
          <w:spacing w:val="0"/>
          <w:w w:val="100"/>
          <w:position w:val="0"/>
        </w:rPr>
        <w:t>、</w:t>
        <w:tab/>
        <w:t>以公允价值计量的金融资产</w:t>
      </w:r>
      <w:bookmarkEnd w:id="187"/>
      <w:bookmarkEnd w:id="188"/>
      <w:bookmarkEnd w:id="190"/>
    </w:p>
    <w:p>
      <w:pPr>
        <w:pStyle w:val="Style26"/>
        <w:keepNext w:val="0"/>
        <w:keepLines w:val="0"/>
        <w:widowControl w:val="0"/>
        <w:shd w:val="clear" w:color="auto" w:fill="auto"/>
        <w:bidi w:val="0"/>
        <w:spacing w:before="0" w:after="120" w:line="315" w:lineRule="exact"/>
        <w:ind w:left="0" w:right="0" w:firstLine="820"/>
        <w:jc w:val="both"/>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1272"/>
        <w:gridCol w:w="1277"/>
        <w:gridCol w:w="1416"/>
        <w:gridCol w:w="1517"/>
        <w:gridCol w:w="1560"/>
        <w:gridCol w:w="1416"/>
        <w:gridCol w:w="1445"/>
        <w:gridCol w:w="83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报告期内购入金额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报告期内售出金额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3,114,720.00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800,304.00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5,283,360.00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6,732,244.32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8,802,570.81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583,672,072.83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20,399,999.89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6,696,078.74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19,999,999.89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11,935,091.36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27,096,078.63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20,599,999.89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9,846,964.32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6,696,078.74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2,982,999,999.89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21,537,966.17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616,051,511.46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1180" w:right="0" w:firstLine="0"/>
        <w:jc w:val="both"/>
      </w:pPr>
      <w:r>
        <w:rPr>
          <w:color w:val="000000"/>
          <w:spacing w:val="0"/>
          <w:w w:val="100"/>
          <w:position w:val="0"/>
        </w:rPr>
        <w:t>其他</w:t>
      </w:r>
      <w:r>
        <w:rPr>
          <w:color w:val="000000"/>
          <w:spacing w:val="0"/>
          <w:w w:val="100"/>
          <w:position w:val="0"/>
        </w:rPr>
        <w:t>1：</w:t>
      </w:r>
      <w:r>
        <w:rPr>
          <w:color w:val="000000"/>
          <w:spacing w:val="0"/>
          <w:w w:val="100"/>
          <w:position w:val="0"/>
        </w:rPr>
        <w:t>结构性存款及可转让大额存单</w:t>
      </w:r>
    </w:p>
    <w:p>
      <w:pPr>
        <w:pStyle w:val="Style26"/>
        <w:keepNext w:val="0"/>
        <w:keepLines w:val="0"/>
        <w:widowControl w:val="0"/>
        <w:shd w:val="clear" w:color="auto" w:fill="auto"/>
        <w:bidi w:val="0"/>
        <w:spacing w:before="0" w:after="200" w:line="240" w:lineRule="auto"/>
        <w:ind w:left="1180" w:right="0" w:firstLine="0"/>
        <w:jc w:val="both"/>
      </w:pPr>
      <w:r>
        <w:rPr>
          <w:color w:val="000000"/>
          <w:spacing w:val="0"/>
          <w:w w:val="100"/>
          <w:position w:val="0"/>
        </w:rPr>
        <w:t>其他</w:t>
      </w:r>
      <w:r>
        <w:rPr>
          <w:color w:val="000000"/>
          <w:spacing w:val="0"/>
          <w:w w:val="100"/>
          <w:position w:val="0"/>
        </w:rPr>
        <w:t>2：</w:t>
      </w:r>
      <w:r>
        <w:rPr>
          <w:color w:val="000000"/>
          <w:spacing w:val="0"/>
          <w:w w:val="100"/>
          <w:position w:val="0"/>
        </w:rPr>
        <w:t>非交易性权益工具投资</w:t>
      </w:r>
    </w:p>
    <w:p>
      <w:pPr>
        <w:pStyle w:val="Style30"/>
        <w:keepNext/>
        <w:keepLines/>
        <w:widowControl w:val="0"/>
        <w:shd w:val="clear" w:color="auto" w:fill="auto"/>
        <w:bidi w:val="0"/>
        <w:spacing w:before="0" w:line="240" w:lineRule="auto"/>
        <w:ind w:left="0" w:right="0" w:firstLine="820"/>
        <w:jc w:val="both"/>
      </w:pPr>
      <w:bookmarkStart w:id="191" w:name="bookmark191"/>
      <w:bookmarkStart w:id="192" w:name="bookmark192"/>
      <w:bookmarkStart w:id="193" w:name="bookmark193"/>
      <w:bookmarkStart w:id="194" w:name="bookmark194"/>
      <w:r>
        <w:rPr>
          <w:color w:val="000000"/>
          <w:spacing w:val="0"/>
          <w:w w:val="100"/>
          <w:position w:val="0"/>
        </w:rPr>
        <w:t>5</w:t>
      </w:r>
      <w:bookmarkEnd w:id="193"/>
      <w:r>
        <w:rPr>
          <w:color w:val="000000"/>
          <w:spacing w:val="0"/>
          <w:w w:val="100"/>
          <w:position w:val="0"/>
        </w:rPr>
        <w:t>、募集资金使用情况</w:t>
      </w:r>
      <w:bookmarkEnd w:id="191"/>
      <w:bookmarkEnd w:id="192"/>
      <w:bookmarkEnd w:id="194"/>
    </w:p>
    <w:p>
      <w:pPr>
        <w:pStyle w:val="Style26"/>
        <w:keepNext w:val="0"/>
        <w:keepLines w:val="0"/>
        <w:widowControl w:val="0"/>
        <w:shd w:val="clear" w:color="auto" w:fill="auto"/>
        <w:bidi w:val="0"/>
        <w:spacing w:before="0" w:after="16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118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1337" w:val="left"/>
        </w:tabs>
        <w:bidi w:val="0"/>
        <w:spacing w:before="0" w:after="380" w:line="240" w:lineRule="auto"/>
        <w:ind w:left="0" w:right="0" w:firstLine="820"/>
        <w:jc w:val="left"/>
      </w:pPr>
      <w:bookmarkStart w:id="195" w:name="bookmark195"/>
      <w:bookmarkStart w:id="196" w:name="bookmark196"/>
      <w:bookmarkStart w:id="197" w:name="bookmark197"/>
      <w:bookmarkStart w:id="198" w:name="bookmark198"/>
      <w:r>
        <w:rPr>
          <w:color w:val="000000"/>
          <w:spacing w:val="0"/>
          <w:w w:val="100"/>
          <w:position w:val="0"/>
        </w:rPr>
        <w:t>六</w:t>
      </w:r>
      <w:bookmarkEnd w:id="197"/>
      <w:r>
        <w:rPr>
          <w:color w:val="000000"/>
          <w:spacing w:val="0"/>
          <w:w w:val="100"/>
          <w:position w:val="0"/>
        </w:rPr>
        <w:t>、</w:t>
        <w:tab/>
        <w:t>重大资产和股权出售</w:t>
      </w:r>
      <w:bookmarkEnd w:id="195"/>
      <w:bookmarkEnd w:id="196"/>
      <w:bookmarkEnd w:id="198"/>
    </w:p>
    <w:p>
      <w:pPr>
        <w:pStyle w:val="Style30"/>
        <w:keepNext/>
        <w:keepLines/>
        <w:widowControl w:val="0"/>
        <w:shd w:val="clear" w:color="auto" w:fill="auto"/>
        <w:tabs>
          <w:tab w:pos="1226" w:val="left"/>
        </w:tabs>
        <w:bidi w:val="0"/>
        <w:spacing w:before="0" w:line="240" w:lineRule="auto"/>
        <w:ind w:left="0" w:right="0" w:firstLine="820"/>
        <w:jc w:val="both"/>
      </w:pPr>
      <w:bookmarkStart w:id="199" w:name="bookmark199"/>
      <w:bookmarkStart w:id="200" w:name="bookmark200"/>
      <w:bookmarkStart w:id="201" w:name="bookmark201"/>
      <w:bookmarkStart w:id="202" w:name="bookmark202"/>
      <w:r>
        <w:rPr>
          <w:color w:val="000000"/>
          <w:spacing w:val="0"/>
          <w:w w:val="100"/>
          <w:position w:val="0"/>
        </w:rPr>
        <w:t>1</w:t>
      </w:r>
      <w:bookmarkEnd w:id="201"/>
      <w:r>
        <w:rPr>
          <w:color w:val="000000"/>
          <w:spacing w:val="0"/>
          <w:w w:val="100"/>
          <w:position w:val="0"/>
        </w:rPr>
        <w:t>、</w:t>
        <w:tab/>
        <w:t>出售重大资产情况</w:t>
      </w:r>
      <w:bookmarkEnd w:id="199"/>
      <w:bookmarkEnd w:id="200"/>
      <w:bookmarkEnd w:id="202"/>
    </w:p>
    <w:p>
      <w:pPr>
        <w:pStyle w:val="Style26"/>
        <w:keepNext w:val="0"/>
        <w:keepLines w:val="0"/>
        <w:widowControl w:val="0"/>
        <w:shd w:val="clear" w:color="auto" w:fill="auto"/>
        <w:bidi w:val="0"/>
        <w:spacing w:before="0" w:after="16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118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1226" w:val="left"/>
        </w:tabs>
        <w:bidi w:val="0"/>
        <w:spacing w:before="0" w:line="240" w:lineRule="auto"/>
        <w:ind w:left="0" w:right="0" w:firstLine="820"/>
        <w:jc w:val="both"/>
      </w:pPr>
      <w:bookmarkStart w:id="203" w:name="bookmark203"/>
      <w:bookmarkStart w:id="204" w:name="bookmark204"/>
      <w:bookmarkStart w:id="205" w:name="bookmark205"/>
      <w:bookmarkStart w:id="206" w:name="bookmark206"/>
      <w:r>
        <w:rPr>
          <w:color w:val="000000"/>
          <w:spacing w:val="0"/>
          <w:w w:val="100"/>
          <w:position w:val="0"/>
        </w:rPr>
        <w:t>2</w:t>
      </w:r>
      <w:bookmarkEnd w:id="205"/>
      <w:r>
        <w:rPr>
          <w:color w:val="000000"/>
          <w:spacing w:val="0"/>
          <w:w w:val="100"/>
          <w:position w:val="0"/>
        </w:rPr>
        <w:t>、</w:t>
        <w:tab/>
        <w:t>出售重大股权情况</w:t>
      </w:r>
      <w:bookmarkEnd w:id="203"/>
      <w:bookmarkEnd w:id="204"/>
      <w:bookmarkEnd w:id="206"/>
    </w:p>
    <w:p>
      <w:pPr>
        <w:pStyle w:val="Style26"/>
        <w:keepNext w:val="0"/>
        <w:keepLines w:val="0"/>
        <w:widowControl w:val="0"/>
        <w:shd w:val="clear" w:color="auto" w:fill="auto"/>
        <w:bidi w:val="0"/>
        <w:spacing w:before="0" w:after="38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342" w:val="left"/>
        </w:tabs>
        <w:bidi w:val="0"/>
        <w:spacing w:before="0" w:after="380" w:line="240" w:lineRule="auto"/>
        <w:ind w:left="0" w:right="0" w:firstLine="820"/>
        <w:jc w:val="left"/>
      </w:pPr>
      <w:bookmarkStart w:id="207" w:name="bookmark207"/>
      <w:bookmarkStart w:id="208" w:name="bookmark208"/>
      <w:bookmarkStart w:id="209" w:name="bookmark209"/>
      <w:bookmarkStart w:id="210" w:name="bookmark210"/>
      <w:r>
        <w:rPr>
          <w:color w:val="000000"/>
          <w:spacing w:val="0"/>
          <w:w w:val="100"/>
          <w:position w:val="0"/>
        </w:rPr>
        <w:t>七</w:t>
      </w:r>
      <w:bookmarkEnd w:id="209"/>
      <w:r>
        <w:rPr>
          <w:color w:val="000000"/>
          <w:spacing w:val="0"/>
          <w:w w:val="100"/>
          <w:position w:val="0"/>
        </w:rPr>
        <w:t>、</w:t>
        <w:tab/>
        <w:t>主要控股参股公司分析</w:t>
      </w:r>
      <w:bookmarkEnd w:id="207"/>
      <w:bookmarkEnd w:id="208"/>
      <w:bookmarkEnd w:id="210"/>
    </w:p>
    <w:p>
      <w:pPr>
        <w:pStyle w:val="Style26"/>
        <w:keepNext w:val="0"/>
        <w:keepLines w:val="0"/>
        <w:widowControl w:val="0"/>
        <w:shd w:val="clear" w:color="auto" w:fill="auto"/>
        <w:bidi w:val="0"/>
        <w:spacing w:before="0" w:after="160" w:line="240" w:lineRule="auto"/>
        <w:ind w:left="0" w:right="0" w:firstLine="82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主要子公司及对公司净利润影响达</w:t>
      </w:r>
      <w:r>
        <w:rPr>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0"/>
        <w:gridCol w:w="787"/>
        <w:gridCol w:w="1042"/>
        <w:gridCol w:w="1046"/>
        <w:gridCol w:w="1440"/>
        <w:gridCol w:w="1416"/>
        <w:gridCol w:w="1416"/>
        <w:gridCol w:w="1421"/>
        <w:gridCol w:w="14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天喻教育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教育云平 台、教学应 用及终端等 智慧教育系 列产品的开 发、销售及 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5,192.3077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317,988,674.75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-158,575,402.23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223,123,334.75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-38,413,569.14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-37,840,527.27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2"/>
        <w:gridCol w:w="2736"/>
        <w:gridCol w:w="408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四川天喻云科技有限公司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有利于加快智慧教育业务在西南地区的发展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焦作天喻云教育科技有限公司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有利于河南焦作地区区校一体化项目的推广及落地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喻教（武汉汉阳）科技有限公司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有利于武汉汉阳地区区校一体化项目的推广及落地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喻优教（武汉青山）科技有限公司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现金出资新设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有利于武汉青山地区区校一体化项目的推广及落地</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19" w:line="1" w:lineRule="exact"/>
      </w:pPr>
    </w:p>
    <w:p>
      <w:pPr>
        <w:pStyle w:val="Style26"/>
        <w:keepNext w:val="0"/>
        <w:keepLines w:val="0"/>
        <w:widowControl w:val="0"/>
        <w:shd w:val="clear" w:color="auto" w:fill="auto"/>
        <w:bidi w:val="0"/>
        <w:spacing w:before="0" w:after="280" w:line="240" w:lineRule="auto"/>
        <w:ind w:left="1180" w:right="0" w:firstLine="0"/>
        <w:jc w:val="left"/>
      </w:pPr>
      <w:r>
        <w:rPr>
          <w:color w:val="000000"/>
          <w:spacing w:val="0"/>
          <w:w w:val="100"/>
          <w:position w:val="0"/>
        </w:rPr>
        <w:t>主要子公司经营情况参见“第四节经营情况讨论与分析/一、概述”。</w:t>
      </w:r>
    </w:p>
    <w:p>
      <w:pPr>
        <w:pStyle w:val="Style23"/>
        <w:keepNext/>
        <w:keepLines/>
        <w:widowControl w:val="0"/>
        <w:shd w:val="clear" w:color="auto" w:fill="auto"/>
        <w:tabs>
          <w:tab w:pos="1307" w:val="left"/>
        </w:tabs>
        <w:bidi w:val="0"/>
        <w:spacing w:before="0" w:after="280" w:line="240" w:lineRule="auto"/>
        <w:ind w:left="0" w:right="0" w:firstLine="820"/>
        <w:jc w:val="both"/>
      </w:pPr>
      <w:bookmarkStart w:id="211" w:name="bookmark211"/>
      <w:bookmarkStart w:id="212" w:name="bookmark212"/>
      <w:bookmarkStart w:id="213" w:name="bookmark213"/>
      <w:bookmarkStart w:id="214" w:name="bookmark214"/>
      <w:r>
        <w:rPr>
          <w:color w:val="000000"/>
          <w:spacing w:val="0"/>
          <w:w w:val="100"/>
          <w:position w:val="0"/>
        </w:rPr>
        <w:t>八</w:t>
      </w:r>
      <w:bookmarkEnd w:id="213"/>
      <w:r>
        <w:rPr>
          <w:color w:val="000000"/>
          <w:spacing w:val="0"/>
          <w:w w:val="100"/>
          <w:position w:val="0"/>
        </w:rPr>
        <w:t>、</w:t>
        <w:tab/>
        <w:t>公司控制的结构化主体情况</w:t>
      </w:r>
      <w:bookmarkEnd w:id="211"/>
      <w:bookmarkEnd w:id="212"/>
      <w:bookmarkEnd w:id="214"/>
    </w:p>
    <w:p>
      <w:pPr>
        <w:pStyle w:val="Style26"/>
        <w:keepNext w:val="0"/>
        <w:keepLines w:val="0"/>
        <w:widowControl w:val="0"/>
        <w:shd w:val="clear" w:color="auto" w:fill="auto"/>
        <w:bidi w:val="0"/>
        <w:spacing w:before="0" w:after="380" w:line="314"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307" w:val="left"/>
        </w:tabs>
        <w:bidi w:val="0"/>
        <w:spacing w:before="0" w:after="280" w:line="240" w:lineRule="auto"/>
        <w:ind w:left="0" w:right="0" w:firstLine="820"/>
        <w:jc w:val="both"/>
      </w:pPr>
      <w:bookmarkStart w:id="215" w:name="bookmark215"/>
      <w:bookmarkStart w:id="216" w:name="bookmark216"/>
      <w:bookmarkStart w:id="217" w:name="bookmark217"/>
      <w:bookmarkStart w:id="218" w:name="bookmark218"/>
      <w:r>
        <w:rPr>
          <w:color w:val="000000"/>
          <w:spacing w:val="0"/>
          <w:w w:val="100"/>
          <w:position w:val="0"/>
        </w:rPr>
        <w:t>九</w:t>
      </w:r>
      <w:bookmarkEnd w:id="217"/>
      <w:r>
        <w:rPr>
          <w:color w:val="000000"/>
          <w:spacing w:val="0"/>
          <w:w w:val="100"/>
          <w:position w:val="0"/>
        </w:rPr>
        <w:t>、</w:t>
        <w:tab/>
        <w:t>公司未来发展的展望</w:t>
      </w:r>
      <w:bookmarkEnd w:id="215"/>
      <w:bookmarkEnd w:id="216"/>
      <w:bookmarkEnd w:id="218"/>
    </w:p>
    <w:p>
      <w:pPr>
        <w:pStyle w:val="Style2"/>
        <w:keepNext w:val="0"/>
        <w:keepLines w:val="0"/>
        <w:widowControl w:val="0"/>
        <w:shd w:val="clear" w:color="auto" w:fill="auto"/>
        <w:tabs>
          <w:tab w:pos="1130" w:val="left"/>
        </w:tabs>
        <w:bidi w:val="0"/>
        <w:spacing w:before="0" w:after="0" w:line="314" w:lineRule="exact"/>
        <w:ind w:left="0" w:right="0" w:firstLine="820"/>
        <w:jc w:val="both"/>
        <w:rPr>
          <w:sz w:val="20"/>
          <w:szCs w:val="20"/>
        </w:rPr>
      </w:pPr>
      <w:bookmarkStart w:id="219" w:name="bookmark219"/>
      <w:r>
        <w:rPr>
          <w:b/>
          <w:bCs/>
          <w:color w:val="000000"/>
          <w:spacing w:val="0"/>
          <w:w w:val="100"/>
          <w:position w:val="0"/>
          <w:sz w:val="20"/>
          <w:szCs w:val="20"/>
        </w:rPr>
        <w:t>1</w:t>
      </w:r>
      <w:bookmarkEnd w:id="219"/>
      <w:r>
        <w:rPr>
          <w:b/>
          <w:bCs/>
          <w:color w:val="000000"/>
          <w:spacing w:val="0"/>
          <w:w w:val="100"/>
          <w:position w:val="0"/>
          <w:sz w:val="20"/>
          <w:szCs w:val="20"/>
        </w:rPr>
        <w:t>、</w:t>
        <w:tab/>
        <w:t>行业展望</w:t>
      </w:r>
    </w:p>
    <w:p>
      <w:pPr>
        <w:pStyle w:val="Style26"/>
        <w:keepNext w:val="0"/>
        <w:keepLines w:val="0"/>
        <w:widowControl w:val="0"/>
        <w:shd w:val="clear" w:color="auto" w:fill="auto"/>
        <w:bidi w:val="0"/>
        <w:spacing w:before="0" w:after="0" w:line="314" w:lineRule="exact"/>
        <w:ind w:left="820" w:right="780" w:firstLine="420"/>
        <w:jc w:val="both"/>
      </w:pPr>
      <w:r>
        <w:rPr>
          <w:color w:val="000000"/>
          <w:spacing w:val="0"/>
          <w:w w:val="100"/>
          <w:position w:val="0"/>
        </w:rPr>
        <w:t>数字技术正在重塑世界，随着新一代信息技术在经济社会中的快速扩散和深度融合，未来社会的数字转型已经成为必 然的趋势。《第十四个五年规划和</w:t>
      </w:r>
      <w:r>
        <w:rPr>
          <w:color w:val="000000"/>
          <w:spacing w:val="0"/>
          <w:w w:val="100"/>
          <w:position w:val="0"/>
        </w:rPr>
        <w:t>2035</w:t>
      </w:r>
      <w:r>
        <w:rPr>
          <w:color w:val="000000"/>
          <w:spacing w:val="0"/>
          <w:w w:val="100"/>
          <w:position w:val="0"/>
        </w:rPr>
        <w:t>年远景目标纲要》提出要加快数字化发展，建设数字中国，数字化成为国家的重大战 略。数字化催生出的一系列新技术、新产品、新业态、新模式，将改变金融、支付、消费、企业经营、教育等行业的产业形 态，行业面临巨大变革。由于新技术运用产生的安全问题也日益凸显，硬件、软件、数据等各个层面的安全需求也将跟随产 业升级迭代。在国家数字化的浪潮中，公司所从事的金融、智能支付终端、企业服务、物联网、智慧教育业务面临新一轮的 发展机遇。</w:t>
      </w:r>
    </w:p>
    <w:p>
      <w:pPr>
        <w:pStyle w:val="Style26"/>
        <w:keepNext w:val="0"/>
        <w:keepLines w:val="0"/>
        <w:widowControl w:val="0"/>
        <w:shd w:val="clear" w:color="auto" w:fill="auto"/>
        <w:bidi w:val="0"/>
        <w:spacing w:before="0" w:after="0" w:line="319" w:lineRule="exact"/>
        <w:ind w:left="820" w:right="780" w:firstLine="420"/>
        <w:jc w:val="both"/>
      </w:pPr>
      <w:r>
        <w:rPr>
          <w:color w:val="000000"/>
          <w:spacing w:val="0"/>
          <w:w w:val="100"/>
          <w:position w:val="0"/>
        </w:rPr>
        <w:t>数字人民币时代的加速到来，使得支持数字货币支付的手机</w:t>
      </w:r>
      <w:r>
        <w:rPr>
          <w:color w:val="000000"/>
          <w:spacing w:val="0"/>
          <w:w w:val="100"/>
          <w:position w:val="0"/>
        </w:rPr>
        <w:t>SIM</w:t>
      </w:r>
      <w:r>
        <w:rPr>
          <w:color w:val="000000"/>
          <w:spacing w:val="0"/>
          <w:w w:val="100"/>
          <w:position w:val="0"/>
        </w:rPr>
        <w:t>卡、可视卡、可穿戴设备等数字人民币硬件钱包的需求 强劲，支付终端支持受理数字人民币的升级需求明确，有利于推动金融</w:t>
      </w:r>
      <w:r>
        <w:rPr>
          <w:color w:val="000000"/>
          <w:spacing w:val="0"/>
          <w:w w:val="100"/>
          <w:position w:val="0"/>
        </w:rPr>
        <w:t>IC</w:t>
      </w:r>
      <w:r>
        <w:rPr>
          <w:color w:val="000000"/>
          <w:spacing w:val="0"/>
          <w:w w:val="100"/>
          <w:position w:val="0"/>
        </w:rPr>
        <w:t>卡、通信</w:t>
      </w:r>
      <w:r>
        <w:rPr>
          <w:color w:val="000000"/>
          <w:spacing w:val="0"/>
          <w:w w:val="100"/>
          <w:position w:val="0"/>
        </w:rPr>
        <w:t>SIM</w:t>
      </w:r>
      <w:r>
        <w:rPr>
          <w:color w:val="000000"/>
          <w:spacing w:val="0"/>
          <w:w w:val="100"/>
          <w:position w:val="0"/>
        </w:rPr>
        <w:t>卡、智能支付终端、物联网终端等市 场的持续发展。同时，数字货币带来银行</w:t>
      </w:r>
      <w:r>
        <w:rPr>
          <w:color w:val="000000"/>
          <w:spacing w:val="0"/>
          <w:w w:val="100"/>
          <w:position w:val="0"/>
        </w:rPr>
        <w:t>IT</w:t>
      </w:r>
      <w:r>
        <w:rPr>
          <w:color w:val="000000"/>
          <w:spacing w:val="0"/>
          <w:w w:val="100"/>
          <w:position w:val="0"/>
        </w:rPr>
        <w:t>架构的底层变革，将在长期内推动金融数字化发展，带动金融</w:t>
      </w:r>
      <w:r>
        <w:rPr>
          <w:color w:val="000000"/>
          <w:spacing w:val="0"/>
          <w:w w:val="100"/>
          <w:position w:val="0"/>
        </w:rPr>
        <w:t>IT</w:t>
      </w:r>
      <w:r>
        <w:rPr>
          <w:color w:val="000000"/>
          <w:spacing w:val="0"/>
          <w:w w:val="100"/>
          <w:position w:val="0"/>
        </w:rPr>
        <w:t>改造、供应链金 融等应用场景和需求的落地，市场将会面临新一轮发展机遇。</w:t>
      </w:r>
    </w:p>
    <w:p>
      <w:pPr>
        <w:pStyle w:val="Style26"/>
        <w:keepNext w:val="0"/>
        <w:keepLines w:val="0"/>
        <w:widowControl w:val="0"/>
        <w:shd w:val="clear" w:color="auto" w:fill="auto"/>
        <w:bidi w:val="0"/>
        <w:spacing w:before="0" w:after="0" w:line="319" w:lineRule="exact"/>
        <w:ind w:left="820" w:right="780" w:firstLine="420"/>
        <w:jc w:val="both"/>
      </w:pPr>
      <w:r>
        <w:rPr>
          <w:color w:val="000000"/>
          <w:spacing w:val="0"/>
          <w:w w:val="100"/>
          <w:position w:val="0"/>
        </w:rPr>
        <w:t>随着支付终端厂商竞争日趋激烈、政策风险的凸显，终端厂商进一步沦为收单机构的附庸。伴随</w:t>
      </w:r>
      <w:r>
        <w:rPr>
          <w:color w:val="000000"/>
          <w:spacing w:val="0"/>
          <w:w w:val="100"/>
          <w:position w:val="0"/>
        </w:rPr>
        <w:t>4G CAT1</w:t>
      </w:r>
      <w:r>
        <w:rPr>
          <w:color w:val="000000"/>
          <w:spacing w:val="0"/>
          <w:w w:val="100"/>
          <w:position w:val="0"/>
        </w:rPr>
        <w:t>行业技术变迁 以及金融科技创新的潮流，配合政策面整顿支付市场乱象，让支付回归本源的趋势已现。终端是天然的数字化载体，支付终 端产业的未来将是全场景数字化运营，以创新的</w:t>
      </w:r>
      <w:r>
        <w:rPr>
          <w:color w:val="000000"/>
          <w:spacing w:val="0"/>
          <w:w w:val="100"/>
          <w:position w:val="0"/>
        </w:rPr>
        <w:t>POS</w:t>
      </w:r>
      <w:r>
        <w:rPr>
          <w:color w:val="000000"/>
          <w:spacing w:val="0"/>
          <w:w w:val="100"/>
          <w:position w:val="0"/>
        </w:rPr>
        <w:t>技术，构建新的支付环境，以“端”进入“服务”、以“服务”反哺“端”， 支付终端厂商逐渐参与到支付行业主体的生态活动中，实现从单纯机具厂商到行业解决方案提供商的转变是大势所趋。</w:t>
      </w:r>
    </w:p>
    <w:p>
      <w:pPr>
        <w:pStyle w:val="Style26"/>
        <w:keepNext w:val="0"/>
        <w:keepLines w:val="0"/>
        <w:widowControl w:val="0"/>
        <w:shd w:val="clear" w:color="auto" w:fill="auto"/>
        <w:bidi w:val="0"/>
        <w:spacing w:before="0" w:after="0" w:line="319" w:lineRule="exact"/>
        <w:ind w:left="820" w:right="780" w:firstLine="420"/>
        <w:jc w:val="both"/>
      </w:pPr>
      <w:r>
        <w:rPr>
          <w:color w:val="000000"/>
          <w:spacing w:val="0"/>
          <w:w w:val="100"/>
          <w:position w:val="0"/>
        </w:rPr>
        <w:t>物联网被称为继互联网之后信息产业的又一个浪潮，而</w:t>
      </w:r>
      <w:r>
        <w:rPr>
          <w:color w:val="000000"/>
          <w:spacing w:val="0"/>
          <w:w w:val="100"/>
          <w:position w:val="0"/>
        </w:rPr>
        <w:t>5G</w:t>
      </w:r>
      <w:r>
        <w:rPr>
          <w:color w:val="000000"/>
          <w:spacing w:val="0"/>
          <w:w w:val="100"/>
          <w:position w:val="0"/>
        </w:rPr>
        <w:t>通信时代的到来将为物联网技术大规模应用提供更好的支撑 和更多的场景。在万物互联的时代，面向物联网垂直细分行业提供以</w:t>
      </w:r>
      <w:r>
        <w:rPr>
          <w:color w:val="000000"/>
          <w:spacing w:val="0"/>
          <w:w w:val="100"/>
          <w:position w:val="0"/>
        </w:rPr>
        <w:t>eSIM</w:t>
      </w:r>
      <w:r>
        <w:rPr>
          <w:color w:val="000000"/>
          <w:spacing w:val="0"/>
          <w:w w:val="100"/>
          <w:position w:val="0"/>
        </w:rPr>
        <w:t>和安全模组为主要硬件产品的物联网终端解决方案， 提供物联网流量、稳定通信、安全和</w:t>
      </w:r>
      <w:r>
        <w:rPr>
          <w:color w:val="000000"/>
          <w:spacing w:val="0"/>
          <w:w w:val="100"/>
          <w:position w:val="0"/>
        </w:rPr>
        <w:t>NFC</w:t>
      </w:r>
      <w:r>
        <w:rPr>
          <w:color w:val="000000"/>
          <w:spacing w:val="0"/>
          <w:w w:val="100"/>
          <w:position w:val="0"/>
        </w:rPr>
        <w:t>等中间服务，同时为客户提供基于云原生技术体系的物联网云服务解决方案和物联 网金融服务相关市场蕴藏巨大潜力。</w:t>
      </w:r>
    </w:p>
    <w:p>
      <w:pPr>
        <w:pStyle w:val="Style26"/>
        <w:keepNext w:val="0"/>
        <w:keepLines w:val="0"/>
        <w:widowControl w:val="0"/>
        <w:shd w:val="clear" w:color="auto" w:fill="auto"/>
        <w:bidi w:val="0"/>
        <w:spacing w:before="0" w:after="0" w:line="314" w:lineRule="exact"/>
        <w:ind w:left="820" w:right="780" w:firstLine="420"/>
        <w:jc w:val="both"/>
      </w:pPr>
      <w:r>
        <w:rPr>
          <w:color w:val="000000"/>
          <w:spacing w:val="0"/>
          <w:w w:val="100"/>
          <w:position w:val="0"/>
        </w:rPr>
        <w:t>随着国家“减税降费”力度的逐年加大，传统税务服务面临着生存空间不断被挤压的巨大风险。而税务</w:t>
      </w:r>
      <w:r>
        <w:rPr>
          <w:color w:val="000000"/>
          <w:spacing w:val="0"/>
          <w:w w:val="100"/>
          <w:position w:val="0"/>
        </w:rPr>
        <w:t>Ukey</w:t>
      </w:r>
      <w:r>
        <w:rPr>
          <w:color w:val="000000"/>
          <w:spacing w:val="0"/>
          <w:w w:val="100"/>
          <w:position w:val="0"/>
        </w:rPr>
        <w:t>的加速推 广，让更多的个体户以及小微企业纳入到增值税管控范畴，将给代账等智慧财税服务带来新的发展机遇，特别是对于目前还 未完全开拓的三、四、五线城市市场，发展空间巨大。服务于数字化转型中的中小企业降本增效，向中小微企业用户提供解 决经营问题的数字化服务是企业服务业务的未来方向。</w:t>
      </w:r>
    </w:p>
    <w:p>
      <w:pPr>
        <w:pStyle w:val="Style26"/>
        <w:keepNext w:val="0"/>
        <w:keepLines w:val="0"/>
        <w:widowControl w:val="0"/>
        <w:shd w:val="clear" w:color="auto" w:fill="auto"/>
        <w:bidi w:val="0"/>
        <w:spacing w:before="0" w:after="100" w:line="314" w:lineRule="exact"/>
        <w:ind w:left="820" w:right="0" w:firstLine="420"/>
        <w:jc w:val="both"/>
      </w:pPr>
      <w:r>
        <w:rPr>
          <w:color w:val="000000"/>
          <w:spacing w:val="0"/>
          <w:w w:val="100"/>
          <w:position w:val="0"/>
        </w:rPr>
        <w:t>教育行业是传统而又可持续发展的行业，尤其是智慧教育业务在后疫情时代的需求更为旺盛。在今年两会上，“教育 新基建”成为热词，新型基础设施建设（新基建）将对教育行业产生更加深远的影响，无论是教育教学设备的升级，解决信 息化装备落后的痛点，还是将人工智能、大数据等技术与教育行业深度融合，新基建为智慧教育行业带来广阔的想象空间。</w:t>
      </w:r>
    </w:p>
    <w:p>
      <w:pPr>
        <w:pStyle w:val="Style2"/>
        <w:keepNext w:val="0"/>
        <w:keepLines w:val="0"/>
        <w:widowControl w:val="0"/>
        <w:shd w:val="clear" w:color="auto" w:fill="auto"/>
        <w:tabs>
          <w:tab w:pos="1133" w:val="left"/>
        </w:tabs>
        <w:bidi w:val="0"/>
        <w:spacing w:before="0" w:after="0" w:line="314" w:lineRule="exact"/>
        <w:ind w:left="0" w:right="0" w:firstLine="820"/>
        <w:jc w:val="both"/>
        <w:rPr>
          <w:sz w:val="20"/>
          <w:szCs w:val="20"/>
        </w:rPr>
      </w:pPr>
      <w:bookmarkStart w:id="220" w:name="bookmark220"/>
      <w:r>
        <w:rPr>
          <w:b/>
          <w:bCs/>
          <w:color w:val="000000"/>
          <w:spacing w:val="0"/>
          <w:w w:val="100"/>
          <w:position w:val="0"/>
          <w:sz w:val="20"/>
          <w:szCs w:val="20"/>
        </w:rPr>
        <w:t>2</w:t>
      </w:r>
      <w:bookmarkEnd w:id="220"/>
      <w:r>
        <w:rPr>
          <w:b/>
          <w:bCs/>
          <w:color w:val="000000"/>
          <w:spacing w:val="0"/>
          <w:w w:val="100"/>
          <w:position w:val="0"/>
          <w:sz w:val="20"/>
          <w:szCs w:val="20"/>
        </w:rPr>
        <w:t>、</w:t>
        <w:tab/>
        <w:t>发展战略</w:t>
      </w:r>
    </w:p>
    <w:p>
      <w:pPr>
        <w:pStyle w:val="Style26"/>
        <w:keepNext w:val="0"/>
        <w:keepLines w:val="0"/>
        <w:widowControl w:val="0"/>
        <w:shd w:val="clear" w:color="auto" w:fill="auto"/>
        <w:bidi w:val="0"/>
        <w:spacing w:before="0" w:after="100" w:line="313" w:lineRule="exact"/>
        <w:ind w:left="820" w:right="0" w:firstLine="420"/>
        <w:jc w:val="both"/>
      </w:pPr>
      <w:r>
        <w:rPr>
          <w:color w:val="000000"/>
          <w:spacing w:val="0"/>
          <w:w w:val="100"/>
          <w:position w:val="0"/>
        </w:rPr>
        <w:t>围绕“用科技构造安全智慧的数字世界”发展战略，在研发层面，坚持推动数据安全、区块链、人工智能、云原生、 边缘计算等技术的研发和产品化；在业务层面，一方面要稳固智能卡、智能支付终端、税务服务业务的传统优势，推动物联 网、智慧教育等投入期业务的变现和规模化发展，另一方面，把握行业数字化发展趋势，通过</w:t>
      </w:r>
      <w:r>
        <w:rPr>
          <w:color w:val="000000"/>
          <w:spacing w:val="0"/>
          <w:w w:val="100"/>
          <w:position w:val="0"/>
        </w:rPr>
        <w:t>AI</w:t>
      </w:r>
      <w:r>
        <w:rPr>
          <w:color w:val="000000"/>
          <w:spacing w:val="0"/>
          <w:w w:val="100"/>
          <w:position w:val="0"/>
        </w:rPr>
        <w:t>、</w:t>
      </w:r>
      <w:r>
        <w:rPr>
          <w:color w:val="000000"/>
          <w:spacing w:val="0"/>
          <w:w w:val="100"/>
          <w:position w:val="0"/>
        </w:rPr>
        <w:t>区块链等新技术研发，深 度挖掘客户数字化发展需求，实现“旧赛道”的产品和服务的升级迭代,争取探索更多应用场景和业务模式，构建“新赛道”； 在管理层面，继续推动以市场为导向的平台型组织建设，持续推动研发</w:t>
      </w:r>
      <w:r>
        <w:rPr>
          <w:color w:val="000000"/>
          <w:spacing w:val="0"/>
          <w:w w:val="100"/>
          <w:position w:val="0"/>
        </w:rPr>
        <w:t xml:space="preserve">IPD </w:t>
      </w:r>
      <w:r>
        <w:rPr>
          <w:color w:val="000000"/>
          <w:spacing w:val="0"/>
          <w:w w:val="100"/>
          <w:position w:val="0"/>
        </w:rPr>
        <w:t>（集成产品开发）、智能制造、敏捷业务前台、 职能管理垂直化、统一国际业务平台等体系的建设和完善。通过不断的努力和创新，使得公司实现成为数字世界的产品与服 务提供商和行业生态构建者的企业愿景。</w:t>
      </w:r>
    </w:p>
    <w:p>
      <w:pPr>
        <w:pStyle w:val="Style2"/>
        <w:keepNext w:val="0"/>
        <w:keepLines w:val="0"/>
        <w:widowControl w:val="0"/>
        <w:shd w:val="clear" w:color="auto" w:fill="auto"/>
        <w:tabs>
          <w:tab w:pos="1130" w:val="left"/>
        </w:tabs>
        <w:bidi w:val="0"/>
        <w:spacing w:before="0" w:after="0" w:line="314" w:lineRule="exact"/>
        <w:ind w:left="0" w:right="0" w:firstLine="820"/>
        <w:jc w:val="both"/>
        <w:rPr>
          <w:sz w:val="20"/>
          <w:szCs w:val="20"/>
        </w:rPr>
      </w:pPr>
      <w:bookmarkStart w:id="221" w:name="bookmark221"/>
      <w:r>
        <w:rPr>
          <w:b/>
          <w:bCs/>
          <w:color w:val="000000"/>
          <w:spacing w:val="0"/>
          <w:w w:val="100"/>
          <w:position w:val="0"/>
          <w:sz w:val="20"/>
          <w:szCs w:val="20"/>
        </w:rPr>
        <w:t>3</w:t>
      </w:r>
      <w:bookmarkEnd w:id="221"/>
      <w:r>
        <w:rPr>
          <w:b/>
          <w:bCs/>
          <w:color w:val="000000"/>
          <w:spacing w:val="0"/>
          <w:w w:val="100"/>
          <w:position w:val="0"/>
          <w:sz w:val="20"/>
          <w:szCs w:val="20"/>
        </w:rPr>
        <w:t>、</w:t>
        <w:tab/>
      </w:r>
      <w:r>
        <w:rPr>
          <w:b/>
          <w:bCs/>
          <w:color w:val="000000"/>
          <w:spacing w:val="0"/>
          <w:w w:val="100"/>
          <w:position w:val="0"/>
          <w:sz w:val="20"/>
          <w:szCs w:val="20"/>
        </w:rPr>
        <w:t>2021</w:t>
      </w:r>
      <w:r>
        <w:rPr>
          <w:b/>
          <w:bCs/>
          <w:color w:val="000000"/>
          <w:spacing w:val="0"/>
          <w:w w:val="100"/>
          <w:position w:val="0"/>
          <w:sz w:val="20"/>
          <w:szCs w:val="20"/>
        </w:rPr>
        <w:t>年经营计划</w:t>
      </w:r>
    </w:p>
    <w:p>
      <w:pPr>
        <w:pStyle w:val="Style26"/>
        <w:keepNext w:val="0"/>
        <w:keepLines w:val="0"/>
        <w:widowControl w:val="0"/>
        <w:shd w:val="clear" w:color="auto" w:fill="auto"/>
        <w:bidi w:val="0"/>
        <w:spacing w:before="0" w:after="0" w:line="312" w:lineRule="exact"/>
        <w:ind w:left="820" w:right="0" w:firstLine="420"/>
        <w:jc w:val="both"/>
      </w:pPr>
      <w:r>
        <w:rPr>
          <w:color w:val="000000"/>
          <w:spacing w:val="0"/>
          <w:w w:val="100"/>
          <w:position w:val="0"/>
        </w:rPr>
        <w:t>金融行业：围绕银行数字化需求，提供硬件（卡及相关载体）、系统、服务和解决方案。继续巩固普通金融</w:t>
      </w:r>
      <w:r>
        <w:rPr>
          <w:color w:val="000000"/>
          <w:spacing w:val="0"/>
          <w:w w:val="100"/>
          <w:position w:val="0"/>
        </w:rPr>
        <w:t>IC</w:t>
      </w:r>
      <w:r>
        <w:rPr>
          <w:color w:val="000000"/>
          <w:spacing w:val="0"/>
          <w:w w:val="100"/>
          <w:position w:val="0"/>
        </w:rPr>
        <w:t>卡市场 份额；加大高端金融</w:t>
      </w:r>
      <w:r>
        <w:rPr>
          <w:color w:val="000000"/>
          <w:spacing w:val="0"/>
          <w:w w:val="100"/>
          <w:position w:val="0"/>
        </w:rPr>
        <w:t>IC</w:t>
      </w:r>
      <w:r>
        <w:rPr>
          <w:color w:val="000000"/>
          <w:spacing w:val="0"/>
          <w:w w:val="100"/>
          <w:position w:val="0"/>
        </w:rPr>
        <w:t xml:space="preserve">卡、信用卡个人化业务的市场推广力度，扩大高毛利产品的销售规模；推动个性化卡定制及运营业务 </w:t>
      </w:r>
      <w:r>
        <w:rPr>
          <w:color w:val="000000"/>
          <w:spacing w:val="0"/>
          <w:w w:val="100"/>
          <w:position w:val="0"/>
        </w:rPr>
        <w:t>发展；推动数字货币载体的各类产品研发和销售，探索基于数字货币的应用服务；探索银行数字化创新业务，实现业务纵深 的发展。</w:t>
      </w:r>
    </w:p>
    <w:p>
      <w:pPr>
        <w:pStyle w:val="Style26"/>
        <w:keepNext w:val="0"/>
        <w:keepLines w:val="0"/>
        <w:widowControl w:val="0"/>
        <w:shd w:val="clear" w:color="auto" w:fill="auto"/>
        <w:bidi w:val="0"/>
        <w:spacing w:before="0" w:after="0" w:line="305" w:lineRule="exact"/>
        <w:ind w:left="820" w:right="0" w:firstLine="420"/>
        <w:jc w:val="both"/>
      </w:pPr>
      <w:r>
        <w:rPr>
          <w:color w:val="000000"/>
          <w:spacing w:val="0"/>
          <w:w w:val="100"/>
          <w:position w:val="0"/>
        </w:rPr>
        <w:t>智能支付终端：通过供应链的持续完善，巩固传统支付终端的领先地位；积极拓展商业银行、三方和四方支付公司， 提供智能、刷脸等多种形态支付终端；加大海外支付终端市场的拓展，持续研发新产品并完善产品认证；积极布局支付服务 业务，以支付终端为切入口，为商业银行和商户提供基于支付的系统产品和行业</w:t>
      </w:r>
      <w:r>
        <w:rPr>
          <w:color w:val="000000"/>
          <w:spacing w:val="0"/>
          <w:w w:val="100"/>
          <w:position w:val="0"/>
        </w:rPr>
        <w:t>SAAS</w:t>
      </w:r>
      <w:r>
        <w:rPr>
          <w:color w:val="000000"/>
          <w:spacing w:val="0"/>
          <w:w w:val="100"/>
          <w:position w:val="0"/>
        </w:rPr>
        <w:t>服务。</w:t>
      </w:r>
    </w:p>
    <w:p>
      <w:pPr>
        <w:pStyle w:val="Style26"/>
        <w:keepNext w:val="0"/>
        <w:keepLines w:val="0"/>
        <w:widowControl w:val="0"/>
        <w:shd w:val="clear" w:color="auto" w:fill="auto"/>
        <w:bidi w:val="0"/>
        <w:spacing w:before="0" w:after="0" w:line="307" w:lineRule="exact"/>
        <w:ind w:left="820" w:right="0" w:firstLine="420"/>
        <w:jc w:val="both"/>
      </w:pPr>
      <w:r>
        <w:rPr>
          <w:color w:val="000000"/>
          <w:spacing w:val="0"/>
          <w:w w:val="100"/>
          <w:position w:val="0"/>
        </w:rPr>
        <w:t>物联网：面向物联网垂直细分行业提供以</w:t>
      </w:r>
      <w:r>
        <w:rPr>
          <w:color w:val="000000"/>
          <w:spacing w:val="0"/>
          <w:w w:val="100"/>
          <w:position w:val="0"/>
        </w:rPr>
        <w:t>eSIM</w:t>
      </w:r>
      <w:r>
        <w:rPr>
          <w:color w:val="000000"/>
          <w:spacing w:val="0"/>
          <w:w w:val="100"/>
          <w:position w:val="0"/>
        </w:rPr>
        <w:t>和安全模组为主要硬件产品的物联网终端解决方案，提供物联网流量、 稳定通信、安全和</w:t>
      </w:r>
      <w:r>
        <w:rPr>
          <w:color w:val="000000"/>
          <w:spacing w:val="0"/>
          <w:w w:val="100"/>
          <w:position w:val="0"/>
        </w:rPr>
        <w:t>NFC</w:t>
      </w:r>
      <w:r>
        <w:rPr>
          <w:color w:val="000000"/>
          <w:spacing w:val="0"/>
          <w:w w:val="100"/>
          <w:position w:val="0"/>
        </w:rPr>
        <w:t>等中间服务，同时为客户提供基于云原生技术架构的物联网云服务解决方案和物联网金融服务。</w:t>
      </w:r>
    </w:p>
    <w:p>
      <w:pPr>
        <w:pStyle w:val="Style26"/>
        <w:keepNext w:val="0"/>
        <w:keepLines w:val="0"/>
        <w:widowControl w:val="0"/>
        <w:shd w:val="clear" w:color="auto" w:fill="auto"/>
        <w:bidi w:val="0"/>
        <w:spacing w:before="0" w:after="0" w:line="302" w:lineRule="exact"/>
        <w:ind w:left="820" w:right="0" w:firstLine="420"/>
        <w:jc w:val="both"/>
      </w:pPr>
      <w:r>
        <w:rPr>
          <w:color w:val="000000"/>
          <w:spacing w:val="0"/>
          <w:w w:val="100"/>
          <w:position w:val="0"/>
        </w:rPr>
        <w:t>企业服务：稳步发展面向纳税户企业的税控产品及相关技术服务；围绕纳税户企业数字化需求，提供基于百旺分布式 云的智慧财税</w:t>
      </w:r>
      <w:r>
        <w:rPr>
          <w:color w:val="000000"/>
          <w:spacing w:val="0"/>
          <w:w w:val="100"/>
          <w:position w:val="0"/>
        </w:rPr>
        <w:t>SAAS</w:t>
      </w:r>
      <w:r>
        <w:rPr>
          <w:color w:val="000000"/>
          <w:spacing w:val="0"/>
          <w:w w:val="100"/>
          <w:position w:val="0"/>
        </w:rPr>
        <w:t>服务、云计算服务、解决方案；研发和销售企业边缘终端、智慧财税随行端等硬件设备。</w:t>
      </w:r>
    </w:p>
    <w:p>
      <w:pPr>
        <w:pStyle w:val="Style26"/>
        <w:keepNext w:val="0"/>
        <w:keepLines w:val="0"/>
        <w:widowControl w:val="0"/>
        <w:shd w:val="clear" w:color="auto" w:fill="auto"/>
        <w:bidi w:val="0"/>
        <w:spacing w:before="0" w:after="200" w:line="319" w:lineRule="exact"/>
        <w:ind w:left="820" w:right="0" w:firstLine="420"/>
        <w:jc w:val="both"/>
      </w:pPr>
      <w:r>
        <w:rPr>
          <w:color w:val="000000"/>
          <w:spacing w:val="0"/>
          <w:w w:val="100"/>
          <w:position w:val="0"/>
        </w:rPr>
        <w:t>智慧教育：继续推进“教育云+生态”战略，聚焦于大平台、大教学、大数据、大生态；加强分布式云及</w:t>
      </w:r>
      <w:r>
        <w:rPr>
          <w:color w:val="000000"/>
          <w:spacing w:val="0"/>
          <w:w w:val="100"/>
          <w:position w:val="0"/>
        </w:rPr>
        <w:t>AI</w:t>
      </w:r>
      <w:r>
        <w:rPr>
          <w:color w:val="000000"/>
          <w:spacing w:val="0"/>
          <w:w w:val="100"/>
          <w:position w:val="0"/>
        </w:rPr>
        <w:t>在大教学各 场景的技术研发；以教育云平台为基础，推进智慧教育区校一体化解决方案、基于墨水屏电子书包的个性化学习解决方案、 基于超融合终端的智慧教室解决方案的市场落地和发展。</w:t>
      </w:r>
    </w:p>
    <w:p>
      <w:pPr>
        <w:pStyle w:val="Style2"/>
        <w:keepNext w:val="0"/>
        <w:keepLines w:val="0"/>
        <w:widowControl w:val="0"/>
        <w:shd w:val="clear" w:color="auto" w:fill="auto"/>
        <w:bidi w:val="0"/>
        <w:spacing w:before="0" w:after="0" w:line="240" w:lineRule="auto"/>
        <w:ind w:left="0" w:right="0" w:firstLine="820"/>
        <w:jc w:val="both"/>
        <w:rPr>
          <w:sz w:val="20"/>
          <w:szCs w:val="20"/>
        </w:rPr>
      </w:pPr>
      <w:bookmarkStart w:id="222" w:name="bookmark222"/>
      <w:r>
        <w:rPr>
          <w:b/>
          <w:bCs/>
          <w:color w:val="000000"/>
          <w:spacing w:val="0"/>
          <w:w w:val="100"/>
          <w:position w:val="0"/>
          <w:sz w:val="20"/>
          <w:szCs w:val="20"/>
        </w:rPr>
        <w:t>4</w:t>
      </w:r>
      <w:bookmarkEnd w:id="222"/>
      <w:r>
        <w:rPr>
          <w:b/>
          <w:bCs/>
          <w:color w:val="000000"/>
          <w:spacing w:val="0"/>
          <w:w w:val="100"/>
          <w:position w:val="0"/>
          <w:sz w:val="20"/>
          <w:szCs w:val="20"/>
        </w:rPr>
        <w:t>、可能面对的风险</w:t>
      </w:r>
    </w:p>
    <w:p>
      <w:pPr>
        <w:pStyle w:val="Style26"/>
        <w:keepNext w:val="0"/>
        <w:keepLines w:val="0"/>
        <w:widowControl w:val="0"/>
        <w:shd w:val="clear" w:color="auto" w:fill="auto"/>
        <w:bidi w:val="0"/>
        <w:spacing w:before="0" w:after="0" w:line="317" w:lineRule="exact"/>
        <w:ind w:left="820" w:right="0" w:firstLine="420"/>
        <w:jc w:val="both"/>
      </w:pPr>
      <w:r>
        <w:rPr>
          <w:color w:val="000000"/>
          <w:spacing w:val="0"/>
          <w:w w:val="100"/>
          <w:position w:val="0"/>
        </w:rPr>
        <w:t>产品价格下降风险。如商业银行、电信运营商启动新一轮金融</w:t>
      </w:r>
      <w:r>
        <w:rPr>
          <w:color w:val="000000"/>
          <w:spacing w:val="0"/>
          <w:w w:val="100"/>
          <w:position w:val="0"/>
        </w:rPr>
        <w:t>IC</w:t>
      </w:r>
      <w:r>
        <w:rPr>
          <w:color w:val="000000"/>
          <w:spacing w:val="0"/>
          <w:w w:val="100"/>
          <w:position w:val="0"/>
        </w:rPr>
        <w:t>卡、通信智能卡产品招标或集采，相关产品价格可能 会进一步下降；公司智能支付终端行业市场竞争激烈，相关产品价格近年来持续下降。未来，公司存在主要产品价格下降导 致销售额、毛利逐年减少的风险。为扩大收入规模、改善盈利，公司积极提升高端材质、特殊工艺创新金融</w:t>
      </w:r>
      <w:r>
        <w:rPr>
          <w:color w:val="000000"/>
          <w:spacing w:val="0"/>
          <w:w w:val="100"/>
          <w:position w:val="0"/>
        </w:rPr>
        <w:t>IC</w:t>
      </w:r>
      <w:r>
        <w:rPr>
          <w:color w:val="000000"/>
          <w:spacing w:val="0"/>
          <w:w w:val="100"/>
          <w:position w:val="0"/>
        </w:rPr>
        <w:t>卡产能，推动 创新产品销售。公司还将加快智能卡相关服务业务的发展，探索数字化创新业务的市场机会。</w:t>
      </w:r>
    </w:p>
    <w:p>
      <w:pPr>
        <w:pStyle w:val="Style26"/>
        <w:keepNext w:val="0"/>
        <w:keepLines w:val="0"/>
        <w:widowControl w:val="0"/>
        <w:shd w:val="clear" w:color="auto" w:fill="auto"/>
        <w:bidi w:val="0"/>
        <w:spacing w:before="0" w:after="0" w:line="318" w:lineRule="exact"/>
        <w:ind w:left="820" w:right="0" w:firstLine="420"/>
        <w:jc w:val="both"/>
      </w:pPr>
      <w:r>
        <w:rPr>
          <w:color w:val="000000"/>
          <w:spacing w:val="0"/>
          <w:w w:val="100"/>
          <w:position w:val="0"/>
        </w:rPr>
        <w:t>产品关键元器件供应紧张推动产品成本上涨，从而导致毛利率下滑的风险。芯片是公司智能卡、智能支付终端、物联 网产品的上游关键元器件，</w:t>
      </w:r>
      <w:r>
        <w:rPr>
          <w:color w:val="000000"/>
          <w:spacing w:val="0"/>
          <w:w w:val="100"/>
          <w:position w:val="0"/>
        </w:rPr>
        <w:t>2020</w:t>
      </w:r>
      <w:r>
        <w:rPr>
          <w:color w:val="000000"/>
          <w:spacing w:val="0"/>
          <w:w w:val="100"/>
          <w:position w:val="0"/>
        </w:rPr>
        <w:t>年下半年以来，芯片行业厂商产能紧张，部分产品价格开始上涨。公司通过采购、生产、市 场联动，制定了针对性成本控制方案，同时加快推进智能制造工作，控制产品成本，努力稳定产品毛利率水平。</w:t>
      </w:r>
    </w:p>
    <w:p>
      <w:pPr>
        <w:pStyle w:val="Style26"/>
        <w:keepNext w:val="0"/>
        <w:keepLines w:val="0"/>
        <w:widowControl w:val="0"/>
        <w:shd w:val="clear" w:color="auto" w:fill="auto"/>
        <w:bidi w:val="0"/>
        <w:spacing w:before="0" w:after="360" w:line="318" w:lineRule="exact"/>
        <w:ind w:left="820" w:right="0" w:firstLine="360"/>
        <w:jc w:val="both"/>
      </w:pPr>
      <w:r>
        <w:rPr>
          <w:color w:val="000000"/>
          <w:spacing w:val="0"/>
          <w:w w:val="100"/>
          <w:position w:val="0"/>
        </w:rPr>
        <w:t>人才流失风险。近年来随着武汉国家中心城市地位凸显，华为、小米、阿里巴巴、长江存储等知名企业陆续在武汉落户 区域总部或设立研发基地，</w:t>
      </w:r>
      <w:r>
        <w:rPr>
          <w:color w:val="000000"/>
          <w:spacing w:val="0"/>
          <w:w w:val="100"/>
          <w:position w:val="0"/>
        </w:rPr>
        <w:t>IT</w:t>
      </w:r>
      <w:r>
        <w:rPr>
          <w:color w:val="000000"/>
          <w:spacing w:val="0"/>
          <w:w w:val="100"/>
          <w:position w:val="0"/>
        </w:rPr>
        <w:t>领域研发人才炙手可热，薪酬不断上涨，公司吸引并留住优秀研发人才的压力不断加大。公司 将通过建立并完善多元化、深层次的人才培养机制，构建多层次的员工激励机制，加大员工关怀和企业文化建设力度等方式 吸引人才、留住人才。</w:t>
      </w:r>
    </w:p>
    <w:p>
      <w:pPr>
        <w:pStyle w:val="Style23"/>
        <w:keepNext/>
        <w:keepLines/>
        <w:widowControl w:val="0"/>
        <w:shd w:val="clear" w:color="auto" w:fill="auto"/>
        <w:bidi w:val="0"/>
        <w:spacing w:before="0" w:line="240" w:lineRule="auto"/>
        <w:ind w:left="0" w:right="0" w:firstLine="820"/>
        <w:jc w:val="both"/>
      </w:pPr>
      <w:bookmarkStart w:id="223" w:name="bookmark223"/>
      <w:bookmarkStart w:id="224" w:name="bookmark224"/>
      <w:bookmarkStart w:id="225" w:name="bookmark225"/>
      <w:r>
        <w:rPr>
          <w:color w:val="000000"/>
          <w:spacing w:val="0"/>
          <w:w w:val="100"/>
          <w:position w:val="0"/>
        </w:rPr>
        <w:t>十、接待调研、沟通、采访等活动登记表</w:t>
      </w:r>
      <w:bookmarkEnd w:id="223"/>
      <w:bookmarkEnd w:id="224"/>
      <w:bookmarkEnd w:id="225"/>
    </w:p>
    <w:p>
      <w:pPr>
        <w:pStyle w:val="Style30"/>
        <w:keepNext/>
        <w:keepLines/>
        <w:widowControl w:val="0"/>
        <w:shd w:val="clear" w:color="auto" w:fill="auto"/>
        <w:bidi w:val="0"/>
        <w:spacing w:before="0" w:after="260" w:line="240" w:lineRule="auto"/>
        <w:ind w:left="0" w:right="0" w:firstLine="820"/>
        <w:jc w:val="both"/>
      </w:pPr>
      <w:bookmarkStart w:id="226" w:name="bookmark226"/>
      <w:bookmarkStart w:id="227" w:name="bookmark227"/>
      <w:bookmarkStart w:id="228" w:name="bookmark228"/>
      <w:bookmarkStart w:id="229" w:name="bookmark229"/>
      <w:r>
        <w:rPr>
          <w:color w:val="000000"/>
          <w:spacing w:val="0"/>
          <w:w w:val="100"/>
          <w:position w:val="0"/>
        </w:rPr>
        <w:t>1</w:t>
      </w:r>
      <w:bookmarkEnd w:id="228"/>
      <w:r>
        <w:rPr>
          <w:color w:val="000000"/>
          <w:spacing w:val="0"/>
          <w:w w:val="100"/>
          <w:position w:val="0"/>
        </w:rPr>
        <w:t>、报告期内接待调研、沟通、采访等活动登记表</w:t>
      </w:r>
      <w:bookmarkEnd w:id="226"/>
      <w:bookmarkEnd w:id="227"/>
      <w:bookmarkEnd w:id="229"/>
    </w:p>
    <w:p>
      <w:pPr>
        <w:pStyle w:val="Style26"/>
        <w:keepNext w:val="0"/>
        <w:keepLines w:val="0"/>
        <w:widowControl w:val="0"/>
        <w:shd w:val="clear" w:color="auto" w:fill="auto"/>
        <w:bidi w:val="0"/>
        <w:spacing w:before="0" w:after="0" w:line="317"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1180" w:right="0" w:firstLine="0"/>
        <w:jc w:val="both"/>
        <w:sectPr>
          <w:footnotePr>
            <w:pos w:val="pageBottom"/>
            <w:numFmt w:val="decimal"/>
            <w:numRestart w:val="continuous"/>
          </w:footnotePr>
          <w:pgSz w:w="11900" w:h="16840"/>
          <w:pgMar w:top="1374" w:right="277" w:bottom="1475" w:left="315" w:header="0" w:footer="3" w:gutter="0"/>
          <w:cols w:space="720"/>
          <w:noEndnote/>
          <w:rtlGutter w:val="0"/>
          <w:docGrid w:linePitch="360"/>
        </w:sectPr>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560" w:after="540" w:line="240" w:lineRule="auto"/>
        <w:ind w:left="0" w:right="0" w:firstLine="0"/>
        <w:jc w:val="center"/>
      </w:pPr>
      <w:bookmarkStart w:id="230" w:name="bookmark230"/>
      <w:bookmarkStart w:id="231" w:name="bookmark231"/>
      <w:bookmarkStart w:id="232" w:name="bookmark232"/>
      <w:r>
        <w:rPr>
          <w:color w:val="000000"/>
          <w:spacing w:val="0"/>
          <w:w w:val="100"/>
          <w:position w:val="0"/>
        </w:rPr>
        <w:t>第五节重要事项</w:t>
      </w:r>
      <w:bookmarkEnd w:id="230"/>
      <w:bookmarkEnd w:id="231"/>
      <w:bookmarkEnd w:id="232"/>
    </w:p>
    <w:p>
      <w:pPr>
        <w:pStyle w:val="Style23"/>
        <w:keepNext/>
        <w:keepLines/>
        <w:widowControl w:val="0"/>
        <w:shd w:val="clear" w:color="auto" w:fill="auto"/>
        <w:bidi w:val="0"/>
        <w:spacing w:before="0" w:after="400" w:line="240" w:lineRule="auto"/>
        <w:ind w:left="0" w:right="0" w:firstLine="800"/>
        <w:jc w:val="both"/>
      </w:pPr>
      <w:bookmarkStart w:id="233" w:name="bookmark233"/>
      <w:bookmarkStart w:id="234" w:name="bookmark234"/>
      <w:bookmarkStart w:id="235" w:name="bookmark235"/>
      <w:bookmarkStart w:id="236" w:name="bookmark236"/>
      <w:bookmarkStart w:id="237" w:name="bookmark237"/>
      <w:r>
        <w:rPr>
          <w:color w:val="000000"/>
          <w:spacing w:val="0"/>
          <w:w w:val="100"/>
          <w:position w:val="0"/>
        </w:rPr>
        <w:t>一</w:t>
      </w:r>
      <w:bookmarkEnd w:id="236"/>
      <w:r>
        <w:rPr>
          <w:color w:val="000000"/>
          <w:spacing w:val="0"/>
          <w:w w:val="100"/>
          <w:position w:val="0"/>
        </w:rPr>
        <w:t>、公司普通股利润分配及资本公积金转增股本情况</w:t>
      </w:r>
      <w:bookmarkEnd w:id="234"/>
      <w:bookmarkEnd w:id="235"/>
      <w:bookmarkEnd w:id="237"/>
      <w:bookmarkEnd w:id="233"/>
    </w:p>
    <w:p>
      <w:pPr>
        <w:pStyle w:val="Style26"/>
        <w:keepNext w:val="0"/>
        <w:keepLines w:val="0"/>
        <w:widowControl w:val="0"/>
        <w:shd w:val="clear" w:color="auto" w:fill="auto"/>
        <w:bidi w:val="0"/>
        <w:spacing w:before="0" w:after="140" w:line="240" w:lineRule="auto"/>
        <w:ind w:left="0" w:right="0" w:firstLine="80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800"/>
        <w:jc w:val="both"/>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公司</w:t>
      </w:r>
      <w:r>
        <w:rPr>
          <w:color w:val="000000"/>
          <w:spacing w:val="0"/>
          <w:w w:val="100"/>
          <w:position w:val="0"/>
        </w:rPr>
        <w:t>2019</w:t>
      </w:r>
      <w:r>
        <w:rPr>
          <w:color w:val="000000"/>
          <w:spacing w:val="0"/>
          <w:w w:val="100"/>
          <w:position w:val="0"/>
        </w:rPr>
        <w:t>年度利润分配方案经公司第七届董事会第二十五次会议、</w:t>
      </w:r>
      <w:r>
        <w:rPr>
          <w:color w:val="000000"/>
          <w:spacing w:val="0"/>
          <w:w w:val="100"/>
          <w:position w:val="0"/>
        </w:rPr>
        <w:t>2019</w:t>
      </w:r>
      <w:r>
        <w:rPr>
          <w:color w:val="000000"/>
          <w:spacing w:val="0"/>
          <w:w w:val="100"/>
          <w:position w:val="0"/>
        </w:rPr>
        <w:t xml:space="preserve">年年度股东大会审议通过，具体方案为：公司以 </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430,056,000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元（含税）。该利润分配方案于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16 </w:t>
      </w:r>
      <w:r>
        <w:rPr>
          <w:color w:val="000000"/>
          <w:spacing w:val="0"/>
          <w:w w:val="100"/>
          <w:position w:val="0"/>
        </w:rPr>
        <w:t>日实施完毕。</w:t>
      </w:r>
    </w:p>
    <w:tbl>
      <w:tblPr>
        <w:tblOverlap w:val="never"/>
        <w:jc w:val="center"/>
        <w:tblLayout w:type="fixed"/>
      </w:tblPr>
      <w:tblGrid>
        <w:gridCol w:w="5218"/>
        <w:gridCol w:w="4363"/>
      </w:tblGrid>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331" w:lineRule="exact"/>
        <w:ind w:left="800" w:right="0" w:firstLine="20"/>
        <w:jc w:val="both"/>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V</w:t>
      </w:r>
      <w:r>
        <w:rPr>
          <w:color w:val="000000"/>
          <w:spacing w:val="0"/>
          <w:w w:val="100"/>
          <w:position w:val="0"/>
        </w:rPr>
        <w:t>是口否口不适用</w:t>
      </w:r>
    </w:p>
    <w:p>
      <w:pPr>
        <w:pStyle w:val="Style26"/>
        <w:keepNext w:val="0"/>
        <w:keepLines w:val="0"/>
        <w:widowControl w:val="0"/>
        <w:shd w:val="clear" w:color="auto" w:fill="auto"/>
        <w:bidi w:val="0"/>
        <w:spacing w:before="0" w:after="0" w:line="331" w:lineRule="exact"/>
        <w:ind w:left="0" w:right="0" w:firstLine="80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331" w:lineRule="exact"/>
        <w:ind w:left="0" w:right="0" w:firstLine="800"/>
        <w:jc w:val="left"/>
      </w:pPr>
      <w:r>
        <w:rPr>
          <w:color w:val="000000"/>
          <w:spacing w:val="0"/>
          <w:w w:val="100"/>
          <w:position w:val="0"/>
        </w:rPr>
        <w:t>本年度利润分配及资本公积金转增股本情况</w:t>
      </w:r>
    </w:p>
    <w:tbl>
      <w:tblPr>
        <w:tblOverlap w:val="never"/>
        <w:jc w:val="center"/>
        <w:tblLayout w:type="fixed"/>
      </w:tblPr>
      <w:tblGrid>
        <w:gridCol w:w="4402"/>
        <w:gridCol w:w="5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8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430,056,000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color w:val="000000"/>
                <w:spacing w:val="0"/>
                <w:w w:val="100"/>
                <w:position w:val="0"/>
              </w:rPr>
              <w:t>2020</w:t>
            </w:r>
            <w:r>
              <w:rPr>
                <w:color w:val="000000"/>
                <w:spacing w:val="0"/>
                <w:w w:val="100"/>
                <w:position w:val="0"/>
              </w:rPr>
              <w:t>年归属于上市公司股东的净利润为</w:t>
            </w:r>
            <w:r>
              <w:rPr>
                <w:color w:val="000000"/>
                <w:spacing w:val="0"/>
                <w:w w:val="100"/>
                <w:position w:val="0"/>
              </w:rPr>
              <w:t>-60,737,085.52</w:t>
            </w:r>
            <w:r>
              <w:rPr>
                <w:color w:val="000000"/>
                <w:spacing w:val="0"/>
                <w:w w:val="100"/>
                <w:position w:val="0"/>
              </w:rPr>
              <w:t>元，</w:t>
            </w:r>
            <w:r>
              <w:rPr>
                <w:color w:val="000000"/>
                <w:spacing w:val="0"/>
                <w:w w:val="100"/>
                <w:position w:val="0"/>
              </w:rPr>
              <w:t>2020</w:t>
            </w:r>
            <w:r>
              <w:rPr>
                <w:color w:val="000000"/>
                <w:spacing w:val="0"/>
                <w:w w:val="100"/>
                <w:position w:val="0"/>
              </w:rPr>
              <w:t>年末合并报表累计可供股东分配的利润为</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390,306,353.61</w:t>
            </w:r>
            <w:r>
              <w:rPr>
                <w:color w:val="000000"/>
                <w:spacing w:val="0"/>
                <w:w w:val="100"/>
                <w:position w:val="0"/>
              </w:rPr>
              <w:t>元，母公司累计可供股东分配的利润为</w:t>
            </w:r>
            <w:r>
              <w:rPr>
                <w:color w:val="000000"/>
                <w:spacing w:val="0"/>
                <w:w w:val="100"/>
                <w:position w:val="0"/>
              </w:rPr>
              <w:t>587,348,659.16</w:t>
            </w:r>
            <w:r>
              <w:rPr>
                <w:color w:val="000000"/>
                <w:spacing w:val="0"/>
                <w:w w:val="100"/>
                <w:position w:val="0"/>
              </w:rPr>
              <w:t>元。根据《公司章程》的相关规定，结合公司</w:t>
            </w:r>
            <w:r>
              <w:rPr>
                <w:color w:val="000000"/>
                <w:spacing w:val="0"/>
                <w:w w:val="100"/>
                <w:position w:val="0"/>
              </w:rPr>
              <w:t xml:space="preserve">2020 </w:t>
            </w:r>
            <w:r>
              <w:rPr>
                <w:color w:val="000000"/>
                <w:spacing w:val="0"/>
                <w:w w:val="100"/>
                <w:position w:val="0"/>
              </w:rPr>
              <w:t>年度业绩情况及未来经营发展对资金的需求，董事会拟定的</w:t>
            </w:r>
            <w:r>
              <w:rPr>
                <w:color w:val="000000"/>
                <w:spacing w:val="0"/>
                <w:w w:val="100"/>
                <w:position w:val="0"/>
              </w:rPr>
              <w:t>2020</w:t>
            </w:r>
            <w:r>
              <w:rPr>
                <w:color w:val="000000"/>
                <w:spacing w:val="0"/>
                <w:w w:val="100"/>
                <w:position w:val="0"/>
              </w:rPr>
              <w:t>年度利润分配预案为不派发现金红利、不送红股、不以资本 公积金转增股本。</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800"/>
        <w:jc w:val="left"/>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120" w:line="240" w:lineRule="auto"/>
        <w:ind w:left="1180" w:right="0" w:firstLine="0"/>
        <w:jc w:val="both"/>
      </w:pPr>
      <w:r>
        <w:rPr>
          <w:color w:val="000000"/>
          <w:spacing w:val="0"/>
          <w:w w:val="100"/>
          <w:position w:val="0"/>
        </w:rPr>
        <w:t>2020</w:t>
      </w:r>
      <w:r>
        <w:rPr>
          <w:color w:val="000000"/>
          <w:spacing w:val="0"/>
          <w:w w:val="100"/>
          <w:position w:val="0"/>
        </w:rPr>
        <w:t>年度：公司拟不派发现金红利、不送红股、不以资本公积金转增股本。</w:t>
      </w:r>
    </w:p>
    <w:p>
      <w:pPr>
        <w:pStyle w:val="Style26"/>
        <w:keepNext w:val="0"/>
        <w:keepLines w:val="0"/>
        <w:widowControl w:val="0"/>
        <w:shd w:val="clear" w:color="auto" w:fill="auto"/>
        <w:bidi w:val="0"/>
        <w:spacing w:before="0" w:after="0" w:line="322" w:lineRule="exact"/>
        <w:ind w:left="820" w:right="0" w:firstLine="360"/>
        <w:jc w:val="both"/>
      </w:pPr>
      <w:r>
        <w:rPr>
          <w:color w:val="000000"/>
          <w:spacing w:val="0"/>
          <w:w w:val="100"/>
          <w:position w:val="0"/>
        </w:rPr>
        <w:t>2019</w:t>
      </w:r>
      <w:r>
        <w:rPr>
          <w:color w:val="000000"/>
          <w:spacing w:val="0"/>
          <w:w w:val="100"/>
          <w:position w:val="0"/>
        </w:rPr>
        <w:t>年度：经</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日召开的</w:t>
      </w:r>
      <w:r>
        <w:rPr>
          <w:color w:val="000000"/>
          <w:spacing w:val="0"/>
          <w:w w:val="100"/>
          <w:position w:val="0"/>
        </w:rPr>
        <w:t>2019</w:t>
      </w:r>
      <w:r>
        <w:rPr>
          <w:color w:val="000000"/>
          <w:spacing w:val="0"/>
          <w:w w:val="100"/>
          <w:position w:val="0"/>
        </w:rPr>
        <w:t>年年度股东大会审议批准，公司以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430,056,000</w:t>
      </w:r>
      <w:r>
        <w:rPr>
          <w:color w:val="000000"/>
          <w:spacing w:val="0"/>
          <w:w w:val="100"/>
          <w:position w:val="0"/>
        </w:rPr>
        <w:t>股为基数 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元（含税）。公司于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日实施了权益分派。</w:t>
      </w:r>
    </w:p>
    <w:p>
      <w:pPr>
        <w:pStyle w:val="Style26"/>
        <w:keepNext w:val="0"/>
        <w:keepLines w:val="0"/>
        <w:widowControl w:val="0"/>
        <w:shd w:val="clear" w:color="auto" w:fill="auto"/>
        <w:bidi w:val="0"/>
        <w:spacing w:before="0" w:after="0" w:line="322" w:lineRule="exact"/>
        <w:ind w:left="820" w:right="0" w:firstLine="360"/>
        <w:jc w:val="both"/>
      </w:pPr>
      <w:r>
        <w:rPr>
          <w:color w:val="000000"/>
          <w:spacing w:val="0"/>
          <w:w w:val="100"/>
          <w:position w:val="0"/>
        </w:rPr>
        <w:t>2018</w:t>
      </w:r>
      <w:r>
        <w:rPr>
          <w:color w:val="000000"/>
          <w:spacing w:val="0"/>
          <w:w w:val="100"/>
          <w:position w:val="0"/>
        </w:rPr>
        <w:t>年度：经</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日召开的</w:t>
      </w:r>
      <w:r>
        <w:rPr>
          <w:color w:val="000000"/>
          <w:spacing w:val="0"/>
          <w:w w:val="100"/>
          <w:position w:val="0"/>
        </w:rPr>
        <w:t>2018</w:t>
      </w:r>
      <w:r>
        <w:rPr>
          <w:color w:val="000000"/>
          <w:spacing w:val="0"/>
          <w:w w:val="100"/>
          <w:position w:val="0"/>
        </w:rPr>
        <w:t>年年度股东大会审议批准，公司以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430,056,000</w:t>
      </w:r>
      <w:r>
        <w:rPr>
          <w:color w:val="000000"/>
          <w:spacing w:val="0"/>
          <w:w w:val="100"/>
          <w:position w:val="0"/>
        </w:rPr>
        <w:t>股为基数 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元（含税）。公司于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日实施了权益分派。</w:t>
      </w:r>
    </w:p>
    <w:p>
      <w:pPr>
        <w:pStyle w:val="Style26"/>
        <w:keepNext w:val="0"/>
        <w:keepLines w:val="0"/>
        <w:widowControl w:val="0"/>
        <w:shd w:val="clear" w:color="auto" w:fill="auto"/>
        <w:bidi w:val="0"/>
        <w:spacing w:before="0" w:after="120" w:line="322" w:lineRule="exact"/>
        <w:ind w:left="0" w:right="0" w:firstLine="820"/>
        <w:jc w:val="both"/>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25"/>
        <w:gridCol w:w="1402"/>
        <w:gridCol w:w="1195"/>
        <w:gridCol w:w="1195"/>
        <w:gridCol w:w="1200"/>
        <w:gridCol w:w="1387"/>
        <w:gridCol w:w="1205"/>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140"/>
              <w:jc w:val="both"/>
            </w:pPr>
            <w:r>
              <w:rPr>
                <w:color w:val="000000"/>
                <w:spacing w:val="0"/>
                <w:w w:val="100"/>
                <w:position w:val="0"/>
              </w:rPr>
              <w:t>以其他方式</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现金分红总额 （含其他方 式）占合并报 表中归属于上 市公司普通股 股东的净利润 的比率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-60,737,085.52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192,396,750.47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43,005,600.00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22.35%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101,022,715.51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43,005,600.00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42.57%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120" w:line="240" w:lineRule="auto"/>
        <w:ind w:left="0" w:right="0" w:firstLine="820"/>
        <w:jc w:val="both"/>
        <w:sectPr>
          <w:footnotePr>
            <w:pos w:val="pageBottom"/>
            <w:numFmt w:val="decimal"/>
            <w:numRestart w:val="continuous"/>
          </w:footnotePr>
          <w:pgSz w:w="11900" w:h="16840"/>
          <w:pgMar w:top="1359" w:right="296" w:bottom="1546" w:left="29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300" w:after="380" w:line="240" w:lineRule="auto"/>
        <w:ind w:left="0" w:right="0" w:firstLine="820"/>
        <w:jc w:val="left"/>
      </w:pPr>
      <w:bookmarkStart w:id="238" w:name="bookmark238"/>
      <w:bookmarkStart w:id="239" w:name="bookmark239"/>
      <w:bookmarkStart w:id="240" w:name="bookmark240"/>
      <w:bookmarkStart w:id="241" w:name="bookmark241"/>
      <w:r>
        <w:rPr>
          <w:color w:val="000000"/>
          <w:spacing w:val="0"/>
          <w:w w:val="100"/>
          <w:position w:val="0"/>
        </w:rPr>
        <w:t>二</w:t>
      </w:r>
      <w:bookmarkEnd w:id="240"/>
      <w:r>
        <w:rPr>
          <w:color w:val="000000"/>
          <w:spacing w:val="0"/>
          <w:w w:val="100"/>
          <w:position w:val="0"/>
        </w:rPr>
        <w:t>、承诺事项履行情况</w:t>
      </w:r>
      <w:bookmarkEnd w:id="238"/>
      <w:bookmarkEnd w:id="239"/>
      <w:bookmarkEnd w:id="241"/>
    </w:p>
    <w:p>
      <w:pPr>
        <w:pStyle w:val="Style30"/>
        <w:keepNext/>
        <w:keepLines/>
        <w:widowControl w:val="0"/>
        <w:shd w:val="clear" w:color="auto" w:fill="auto"/>
        <w:bidi w:val="0"/>
        <w:spacing w:before="0" w:line="240" w:lineRule="auto"/>
        <w:ind w:left="0" w:right="0" w:firstLine="820"/>
        <w:jc w:val="left"/>
      </w:pPr>
      <w:bookmarkStart w:id="242" w:name="bookmark242"/>
      <w:bookmarkStart w:id="243" w:name="bookmark243"/>
      <w:bookmarkStart w:id="244" w:name="bookmark244"/>
      <w:bookmarkStart w:id="245" w:name="bookmark245"/>
      <w:r>
        <w:rPr>
          <w:color w:val="000000"/>
          <w:spacing w:val="0"/>
          <w:w w:val="100"/>
          <w:position w:val="0"/>
        </w:rPr>
        <w:t>1</w:t>
      </w:r>
      <w:bookmarkEnd w:id="244"/>
      <w:r>
        <w:rPr>
          <w:color w:val="000000"/>
          <w:spacing w:val="0"/>
          <w:w w:val="100"/>
          <w:position w:val="0"/>
        </w:rPr>
        <w:t>、公司实际控制人、股东、关联方、收购人以及公司等承诺相关方在报告期内履行完毕及截至报告期末尚未履行完毕的承诺事项</w:t>
      </w:r>
      <w:bookmarkEnd w:id="242"/>
      <w:bookmarkEnd w:id="243"/>
      <w:bookmarkEnd w:id="245"/>
    </w:p>
    <w:p>
      <w:pPr>
        <w:pStyle w:val="Style33"/>
        <w:keepNext w:val="0"/>
        <w:keepLines w:val="0"/>
        <w:widowControl w:val="0"/>
        <w:shd w:val="clear" w:color="auto" w:fill="auto"/>
        <w:bidi w:val="0"/>
        <w:spacing w:before="0" w:after="0" w:line="240" w:lineRule="auto"/>
        <w:ind w:left="826"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992"/>
        <w:gridCol w:w="2722"/>
        <w:gridCol w:w="1248"/>
        <w:gridCol w:w="7133"/>
        <w:gridCol w:w="946"/>
        <w:gridCol w:w="706"/>
        <w:gridCol w:w="86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华工创投、光谷基金、产业集团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关于规范关联交易的承诺：承诺将按照法律、法规及公司章程依法行使股东权利，不利用 关联股东身份影响天喻信息的独立性，保持天喻信息在资产、人员、财务、业务和机构等 方面的独立性；承诺与天喻信息进行关联交易时将按公平、公开的市场原则进行，并履行 法律、法规、规范性文件和公司章程规定的程序；承诺不通过与天喻信息之间的关联交易 谋求特殊的利益，不进行有损天喻信息及其中小股东利益的关联交易。关于避免同业竞争 的承诺：</w:t>
            </w:r>
            <w:r>
              <w:rPr>
                <w:color w:val="000000"/>
                <w:spacing w:val="0"/>
                <w:w w:val="100"/>
                <w:position w:val="0"/>
              </w:rPr>
              <w:t>（1）</w:t>
            </w:r>
            <w:r>
              <w:rPr>
                <w:color w:val="000000"/>
                <w:spacing w:val="0"/>
                <w:w w:val="100"/>
                <w:position w:val="0"/>
              </w:rPr>
              <w:t>承诺人及其全资、控股子企业目前不拥有及经营任何在商业上与天喻信息正 在经营的业务有直接竞争的业务。</w:t>
            </w:r>
            <w:r>
              <w:rPr>
                <w:color w:val="000000"/>
                <w:spacing w:val="0"/>
                <w:w w:val="100"/>
                <w:position w:val="0"/>
              </w:rPr>
              <w:t>（2）</w:t>
            </w:r>
            <w:r>
              <w:rPr>
                <w:color w:val="000000"/>
                <w:spacing w:val="0"/>
                <w:w w:val="100"/>
                <w:position w:val="0"/>
              </w:rPr>
              <w:t>承诺人本身、并且承诺人必将通过法律程序使承诺 人之全资、控股子企业将来均不从事任何在商业上与天喻信息正在经营的业务有直接竞争 的业务。</w:t>
            </w:r>
            <w:r>
              <w:rPr>
                <w:color w:val="000000"/>
                <w:spacing w:val="0"/>
                <w:w w:val="100"/>
                <w:position w:val="0"/>
              </w:rPr>
              <w:t>（3）</w:t>
            </w:r>
            <w:r>
              <w:rPr>
                <w:color w:val="000000"/>
                <w:spacing w:val="0"/>
                <w:w w:val="100"/>
                <w:position w:val="0"/>
              </w:rPr>
              <w:t>如承诺人（包括受承诺人控制的子企业或其他关联企业）将来经营的产品或 服务与天喻信息的主营产品或服务有可能形成竞争，承诺人同意天喻信息有权优先收购承 诺人与该等产品或服务有关的资产或承诺人在子企业中的全部股权。</w:t>
            </w:r>
            <w:r>
              <w:rPr>
                <w:color w:val="000000"/>
                <w:spacing w:val="0"/>
                <w:w w:val="100"/>
                <w:position w:val="0"/>
              </w:rPr>
              <w:t>（4）</w:t>
            </w:r>
            <w:r>
              <w:rPr>
                <w:color w:val="000000"/>
                <w:spacing w:val="0"/>
                <w:w w:val="100"/>
                <w:position w:val="0"/>
              </w:rPr>
              <w:t>如因承诺人未履 行承诺给天喻信息造成损失的，承诺人将赔偿天喻信息的实际损失。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93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武汉华创欣网科技有限公司、武汉 开目信息技术股份有限公司（原武 汉开目信息技术有限责任公司）、 武汉集成电路设计工程技术有限 公司、武汉华工大创能科技有限责 任公司、武汉鸿象信息技术有限公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关于避免同业竞争的承诺：</w:t>
            </w:r>
            <w:r>
              <w:rPr>
                <w:color w:val="000000"/>
                <w:spacing w:val="0"/>
                <w:w w:val="100"/>
                <w:position w:val="0"/>
              </w:rPr>
              <w:t>（1）</w:t>
            </w:r>
            <w:r>
              <w:rPr>
                <w:color w:val="000000"/>
                <w:spacing w:val="0"/>
                <w:w w:val="100"/>
                <w:position w:val="0"/>
              </w:rPr>
              <w:t>我公司目前不从事与天喻信息业务竞争或可能构成竞争的 业务或其它经济活动。</w:t>
            </w:r>
            <w:r>
              <w:rPr>
                <w:color w:val="000000"/>
                <w:spacing w:val="0"/>
                <w:w w:val="100"/>
                <w:position w:val="0"/>
              </w:rPr>
              <w:t>（2）</w:t>
            </w:r>
            <w:r>
              <w:rPr>
                <w:color w:val="000000"/>
                <w:spacing w:val="0"/>
                <w:w w:val="100"/>
                <w:position w:val="0"/>
              </w:rPr>
              <w:t>我公司承诺以后也不会从事与天喻信息业务有竞争或可能构成 竞争的业务或其它经济活动。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992"/>
        <w:gridCol w:w="2722"/>
        <w:gridCol w:w="1248"/>
        <w:gridCol w:w="7133"/>
        <w:gridCol w:w="946"/>
        <w:gridCol w:w="706"/>
        <w:gridCol w:w="864"/>
      </w:tblGrid>
      <w:tr>
        <w:trPr>
          <w:trHeight w:val="102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司、深圳市华科兆恒科技有限公司 （公司控股股东、实际控制人控制 的六家企业）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华工创投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保证与公司在人员、资产、财务、机构和业务方面独立。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关于规范关联交易的承诺：承诺在不与法律、法规相抵触的前提下，在权利所及范围内， 确保自身及其全资、控股下属企业在与天喻信息进行关联交易时将按公平、公开的市场原 则进行，并履行法律、法规、规范性文件和公司章程规定的程序；承诺并确保自身全资、 控股下属企业不通过与天喻信息之间的关联交易谋求特殊的利益，不进行有损天喻信息及 其中小股东利益的关联交易。关于避免同业竞争的承诺：</w:t>
            </w:r>
            <w:r>
              <w:rPr>
                <w:color w:val="000000"/>
                <w:spacing w:val="0"/>
                <w:w w:val="100"/>
                <w:position w:val="0"/>
              </w:rPr>
              <w:t>（1）</w:t>
            </w:r>
            <w:r>
              <w:rPr>
                <w:color w:val="000000"/>
                <w:spacing w:val="0"/>
                <w:w w:val="100"/>
                <w:position w:val="0"/>
              </w:rPr>
              <w:t>我校作为行政事业单位不会 直接从事经营活动。</w:t>
            </w:r>
            <w:r>
              <w:rPr>
                <w:color w:val="000000"/>
                <w:spacing w:val="0"/>
                <w:w w:val="100"/>
                <w:position w:val="0"/>
              </w:rPr>
              <w:t>（2）</w:t>
            </w:r>
            <w:r>
              <w:rPr>
                <w:color w:val="000000"/>
                <w:spacing w:val="0"/>
                <w:w w:val="100"/>
                <w:position w:val="0"/>
              </w:rPr>
              <w:t>我校承诺不支持、不批准我校下属的除天喻信息以外的其他企业 从事与天喻信息业务竞争或可能构成竞争的业务或其它经济活动，不以独资经营、合资经 营和拥有在其他公司或企业的股权或权益的方式从事与天喻信息业务有竞争或可能构成竞 争的业务或其它经济活动。</w:t>
            </w:r>
            <w:r>
              <w:rPr>
                <w:color w:val="000000"/>
                <w:spacing w:val="0"/>
                <w:w w:val="100"/>
                <w:position w:val="0"/>
              </w:rPr>
              <w:t>（3）</w:t>
            </w:r>
            <w:r>
              <w:rPr>
                <w:color w:val="000000"/>
                <w:spacing w:val="0"/>
                <w:w w:val="100"/>
                <w:position w:val="0"/>
              </w:rPr>
              <w:t>我校承诺将促使我校下属的除天喻信息以外的其他企业在 今后的经营范围和投资方向上，避免与天喻信息相同或相似；对天喻信息已经进行建设或 拟投资兴建的项目，将不会进行同样的建设或投资。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r>
        <w:trPr>
          <w:trHeight w:val="258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张新访、王彬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自发行人股票在深圳证券交易所上市之日起十二个月内，将不通过包括但不限于签署转让 协议、进行股权托管等任何方式，减少本人在本次发行前所持有或者实际持有的发行人的 股票，也不会促使或者同意发行人回购部分或者全部本人所持有的股份。本人在任职期间 每年转让的股份不超过本人所持有的发行人股份总数的</w:t>
            </w:r>
            <w:r>
              <w:rPr>
                <w:color w:val="000000"/>
                <w:spacing w:val="0"/>
                <w:w w:val="100"/>
                <w:position w:val="0"/>
              </w:rPr>
              <w:t>25%；</w:t>
            </w:r>
            <w:r>
              <w:rPr>
                <w:color w:val="000000"/>
                <w:spacing w:val="0"/>
                <w:w w:val="100"/>
                <w:position w:val="0"/>
              </w:rPr>
              <w:t>离职后半年内，不转让本承诺 人所持有的发行人股份。若本人在发行人首次公开发行股票上市之日起六个月内申报离职 的，自申报离职之日起十八个月内不转让本人直接持有发行人的股份；在首次公开发行股 票上市之日起第七个月至第十二个月之间申报离职的，自申报离职之日起十二个月内不转 让本人直接持有发行人的股份。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color w:val="000000"/>
                <w:spacing w:val="0"/>
                <w:w w:val="100"/>
                <w:position w:val="0"/>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正常履行 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华工创投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日，通过集中竞价交易方式减持的，在任意连续</w:t>
            </w:r>
            <w:r>
              <w:rPr>
                <w:color w:val="000000"/>
                <w:spacing w:val="0"/>
                <w:w w:val="100"/>
                <w:position w:val="0"/>
              </w:rPr>
              <w:t xml:space="preserve">90 </w:t>
            </w:r>
            <w:r>
              <w:rPr>
                <w:color w:val="000000"/>
                <w:spacing w:val="0"/>
                <w:w w:val="100"/>
                <w:position w:val="0"/>
              </w:rPr>
              <w:t>个自然日内减持股份总数将不超过公司总股本的</w:t>
            </w:r>
            <w:r>
              <w:rPr>
                <w:color w:val="000000"/>
                <w:spacing w:val="0"/>
                <w:w w:val="100"/>
                <w:position w:val="0"/>
              </w:rPr>
              <w:t>1%；</w:t>
            </w:r>
            <w:r>
              <w:rPr>
                <w:color w:val="000000"/>
                <w:spacing w:val="0"/>
                <w:w w:val="100"/>
                <w:position w:val="0"/>
              </w:rPr>
              <w:t>通过大宗交易方式减持的，在任意连 续</w:t>
            </w:r>
            <w:r>
              <w:rPr>
                <w:color w:val="000000"/>
                <w:spacing w:val="0"/>
                <w:w w:val="100"/>
                <w:position w:val="0"/>
              </w:rPr>
              <w:t>90</w:t>
            </w:r>
            <w:r>
              <w:rPr>
                <w:color w:val="000000"/>
                <w:spacing w:val="0"/>
                <w:w w:val="100"/>
                <w:position w:val="0"/>
              </w:rPr>
              <w:t>个自然日内减持股份总数将不超过公司总股本的</w:t>
            </w:r>
            <w:r>
              <w:rPr>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r>
              <w:rPr>
                <w:color w:val="000000"/>
                <w:spacing w:val="0"/>
                <w:w w:val="100"/>
                <w:position w:val="0"/>
              </w:rPr>
              <w:t>月</w:t>
            </w:r>
            <w:r>
              <w:rPr>
                <w:color w:val="000000"/>
                <w:spacing w:val="0"/>
                <w:w w:val="100"/>
                <w:position w:val="0"/>
              </w:rPr>
              <w:t>10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92"/>
        <w:gridCol w:w="2722"/>
        <w:gridCol w:w="1248"/>
        <w:gridCol w:w="7133"/>
        <w:gridCol w:w="946"/>
        <w:gridCol w:w="706"/>
        <w:gridCol w:w="864"/>
      </w:tblGrid>
      <w:tr>
        <w:trPr>
          <w:trHeight w:val="10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光谷基金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日，通过集中竞价交易方式减持的，在任意连续</w:t>
            </w:r>
            <w:r>
              <w:rPr>
                <w:color w:val="000000"/>
                <w:spacing w:val="0"/>
                <w:w w:val="100"/>
                <w:position w:val="0"/>
              </w:rPr>
              <w:t xml:space="preserve">90 </w:t>
            </w:r>
            <w:r>
              <w:rPr>
                <w:color w:val="000000"/>
                <w:spacing w:val="0"/>
                <w:w w:val="100"/>
                <w:position w:val="0"/>
              </w:rPr>
              <w:t>个自然日内减持股份总数将不超过公司总股本的</w:t>
            </w:r>
            <w:r>
              <w:rPr>
                <w:color w:val="000000"/>
                <w:spacing w:val="0"/>
                <w:w w:val="100"/>
                <w:position w:val="0"/>
              </w:rPr>
              <w:t>1%；</w:t>
            </w:r>
            <w:r>
              <w:rPr>
                <w:color w:val="000000"/>
                <w:spacing w:val="0"/>
                <w:w w:val="100"/>
                <w:position w:val="0"/>
              </w:rPr>
              <w:t>通过大宗交易方式减持的，在任意连 续</w:t>
            </w:r>
            <w:r>
              <w:rPr>
                <w:color w:val="000000"/>
                <w:spacing w:val="0"/>
                <w:w w:val="100"/>
                <w:position w:val="0"/>
              </w:rPr>
              <w:t>90</w:t>
            </w:r>
            <w:r>
              <w:rPr>
                <w:color w:val="000000"/>
                <w:spacing w:val="0"/>
                <w:w w:val="100"/>
                <w:position w:val="0"/>
              </w:rPr>
              <w:t>个自然日内减持股份总数将不超过公司总股本的</w:t>
            </w:r>
            <w:r>
              <w:rPr>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r>
              <w:rPr>
                <w:color w:val="000000"/>
                <w:spacing w:val="0"/>
                <w:w w:val="100"/>
                <w:position w:val="0"/>
              </w:rPr>
              <w:t>月</w:t>
            </w:r>
            <w:r>
              <w:rPr>
                <w:color w:val="000000"/>
                <w:spacing w:val="0"/>
                <w:w w:val="100"/>
                <w:position w:val="0"/>
              </w:rPr>
              <w:t>11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6840" w:h="11900" w:orient="landscape"/>
          <w:pgMar w:top="1131" w:right="615" w:bottom="1299" w:left="615" w:header="0" w:footer="3" w:gutter="0"/>
          <w:cols w:space="720"/>
          <w:noEndnote/>
          <w:rtlGutter w:val="0"/>
          <w:docGrid w:linePitch="360"/>
        </w:sectPr>
      </w:pPr>
    </w:p>
    <w:p>
      <w:pPr>
        <w:pStyle w:val="Style30"/>
        <w:keepNext/>
        <w:keepLines/>
        <w:widowControl w:val="0"/>
        <w:shd w:val="clear" w:color="auto" w:fill="auto"/>
        <w:bidi w:val="0"/>
        <w:spacing w:before="0" w:after="280" w:line="317"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2</w:t>
      </w:r>
      <w:bookmarkEnd w:id="248"/>
      <w:r>
        <w:rPr>
          <w:color w:val="000000"/>
          <w:spacing w:val="0"/>
          <w:w w:val="100"/>
          <w:position w:val="0"/>
        </w:rPr>
        <w:t>、公司资产或项目存在盈利预测，且报告期仍处在盈利预测期间，公司就资产或项目达到原盈利预测及 其原因做出说明</w:t>
      </w:r>
      <w:bookmarkEnd w:id="246"/>
      <w:bookmarkEnd w:id="247"/>
      <w:bookmarkEnd w:id="249"/>
    </w:p>
    <w:p>
      <w:pPr>
        <w:pStyle w:val="Style2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93" w:lineRule="exact"/>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三</w:t>
      </w:r>
      <w:bookmarkEnd w:id="252"/>
      <w:r>
        <w:rPr>
          <w:color w:val="000000"/>
          <w:spacing w:val="0"/>
          <w:w w:val="100"/>
          <w:position w:val="0"/>
        </w:rPr>
        <w:t>、</w:t>
        <w:tab/>
        <w:t>控股股东及其关联方对上市公司的非经营性占用资金情况</w:t>
      </w:r>
      <w:bookmarkEnd w:id="250"/>
      <w:bookmarkEnd w:id="251"/>
      <w:bookmarkEnd w:id="253"/>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307" w:lineRule="exact"/>
        <w:ind w:left="0" w:right="0" w:firstLine="38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280" w:line="293" w:lineRule="exact"/>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四</w:t>
      </w:r>
      <w:bookmarkEnd w:id="256"/>
      <w:r>
        <w:rPr>
          <w:color w:val="000000"/>
          <w:spacing w:val="0"/>
          <w:w w:val="100"/>
          <w:position w:val="0"/>
        </w:rPr>
        <w:t>、</w:t>
        <w:tab/>
        <w:t>董事会对最近一期“非标准审计报告”相关情况的说明</w:t>
      </w:r>
      <w:bookmarkEnd w:id="254"/>
      <w:bookmarkEnd w:id="255"/>
      <w:bookmarkEnd w:id="257"/>
    </w:p>
    <w:p>
      <w:pPr>
        <w:pStyle w:val="Style2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93" w:lineRule="exact"/>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五</w:t>
      </w:r>
      <w:bookmarkEnd w:id="260"/>
      <w:r>
        <w:rPr>
          <w:color w:val="000000"/>
          <w:spacing w:val="0"/>
          <w:w w:val="100"/>
          <w:position w:val="0"/>
        </w:rPr>
        <w:t>、</w:t>
        <w:tab/>
        <w:t>董事会、监事会、独立董事（如有）对会计师事务所本报告期“非标准审计报告”的说 明</w:t>
      </w:r>
      <w:bookmarkEnd w:id="258"/>
      <w:bookmarkEnd w:id="259"/>
      <w:bookmarkEnd w:id="261"/>
    </w:p>
    <w:p>
      <w:pPr>
        <w:pStyle w:val="Style2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93"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六</w:t>
      </w:r>
      <w:bookmarkEnd w:id="264"/>
      <w:r>
        <w:rPr>
          <w:color w:val="000000"/>
          <w:spacing w:val="0"/>
          <w:w w:val="100"/>
          <w:position w:val="0"/>
        </w:rPr>
        <w:t>、</w:t>
        <w:tab/>
        <w:t>董事会关于报告期会计政策、会计估计变更或重大会计差错更正的说明</w:t>
      </w:r>
      <w:bookmarkEnd w:id="262"/>
      <w:bookmarkEnd w:id="263"/>
      <w:bookmarkEnd w:id="265"/>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340" w:line="307" w:lineRule="exact"/>
        <w:ind w:left="0" w:right="0" w:firstLine="380"/>
        <w:jc w:val="both"/>
      </w:pPr>
      <w:r>
        <w:rPr>
          <w:color w:val="000000"/>
          <w:spacing w:val="0"/>
          <w:w w:val="100"/>
          <w:position w:val="0"/>
        </w:rPr>
        <w:t>根据财政部修订和发布的新收入准则，公司变更了收入相关会计政策，以及公司为适应未来可能开展的“服务+设备” 的新业务模式和固定资产管理需求，对固定资产折旧年限进行了相应变更和补充，具体详见“第十二节财务报告/五、重要 会计政策及会计估计</w:t>
      </w:r>
      <w:r>
        <w:rPr>
          <w:color w:val="000000"/>
          <w:spacing w:val="0"/>
          <w:w w:val="100"/>
          <w:position w:val="0"/>
        </w:rPr>
        <w:t>/36</w:t>
      </w:r>
      <w:r>
        <w:rPr>
          <w:color w:val="000000"/>
          <w:spacing w:val="0"/>
          <w:w w:val="100"/>
          <w:position w:val="0"/>
        </w:rPr>
        <w:t>、重要会计政策和会计估计变更”。</w:t>
      </w:r>
    </w:p>
    <w:p>
      <w:pPr>
        <w:pStyle w:val="Style23"/>
        <w:keepNext/>
        <w:keepLines/>
        <w:widowControl w:val="0"/>
        <w:shd w:val="clear" w:color="auto" w:fill="auto"/>
        <w:tabs>
          <w:tab w:pos="522" w:val="left"/>
        </w:tabs>
        <w:bidi w:val="0"/>
        <w:spacing w:before="0" w:after="280" w:line="293"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七</w:t>
      </w:r>
      <w:bookmarkEnd w:id="268"/>
      <w:r>
        <w:rPr>
          <w:color w:val="000000"/>
          <w:spacing w:val="0"/>
          <w:w w:val="100"/>
          <w:position w:val="0"/>
        </w:rPr>
        <w:t>、</w:t>
        <w:tab/>
        <w:t>与上年度财务报告相比，合并报表范围发生变化的情况说明</w:t>
      </w:r>
      <w:bookmarkEnd w:id="266"/>
      <w:bookmarkEnd w:id="267"/>
      <w:bookmarkEnd w:id="269"/>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340" w:line="307" w:lineRule="exact"/>
        <w:ind w:left="0" w:right="0" w:firstLine="380"/>
        <w:jc w:val="both"/>
      </w:pPr>
      <w:r>
        <w:rPr>
          <w:color w:val="000000"/>
          <w:spacing w:val="0"/>
          <w:w w:val="100"/>
          <w:position w:val="0"/>
        </w:rPr>
        <w:t>参见“第四节经营情况讨论与分析/二、主营业务分析</w:t>
      </w:r>
      <w:r>
        <w:rPr>
          <w:color w:val="000000"/>
          <w:spacing w:val="0"/>
          <w:w w:val="100"/>
          <w:position w:val="0"/>
        </w:rPr>
        <w:t>/2</w:t>
      </w:r>
      <w:r>
        <w:rPr>
          <w:color w:val="000000"/>
          <w:spacing w:val="0"/>
          <w:w w:val="100"/>
          <w:position w:val="0"/>
        </w:rPr>
        <w:t xml:space="preserve">、收入与成本/ </w:t>
      </w:r>
      <w:r>
        <w:rPr>
          <w:color w:val="000000"/>
          <w:spacing w:val="0"/>
          <w:w w:val="100"/>
          <w:position w:val="0"/>
        </w:rPr>
        <w:t>（6）</w:t>
      </w:r>
      <w:r>
        <w:rPr>
          <w:color w:val="000000"/>
          <w:spacing w:val="0"/>
          <w:w w:val="100"/>
          <w:position w:val="0"/>
        </w:rPr>
        <w:t>报告期内合并范围是否发生变动”。</w:t>
      </w:r>
    </w:p>
    <w:p>
      <w:pPr>
        <w:pStyle w:val="Style23"/>
        <w:keepNext/>
        <w:keepLines/>
        <w:widowControl w:val="0"/>
        <w:shd w:val="clear" w:color="auto" w:fill="auto"/>
        <w:tabs>
          <w:tab w:pos="522" w:val="left"/>
        </w:tabs>
        <w:bidi w:val="0"/>
        <w:spacing w:before="0" w:after="340" w:line="293"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八</w:t>
      </w:r>
      <w:bookmarkEnd w:id="272"/>
      <w:r>
        <w:rPr>
          <w:color w:val="000000"/>
          <w:spacing w:val="0"/>
          <w:w w:val="100"/>
          <w:position w:val="0"/>
        </w:rPr>
        <w:t>、</w:t>
        <w:tab/>
        <w:t>聘任、解聘会计师事务所情况</w:t>
      </w:r>
      <w:bookmarkEnd w:id="270"/>
      <w:bookmarkEnd w:id="271"/>
      <w:bookmarkEnd w:id="27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吴杰、代娟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吴杰连续服务</w:t>
            </w:r>
            <w:r>
              <w:rPr>
                <w:color w:val="000000"/>
                <w:spacing w:val="0"/>
                <w:w w:val="100"/>
                <w:position w:val="0"/>
              </w:rPr>
              <w:t>3</w:t>
            </w:r>
            <w:r>
              <w:rPr>
                <w:color w:val="000000"/>
                <w:spacing w:val="0"/>
                <w:w w:val="100"/>
                <w:position w:val="0"/>
              </w:rPr>
              <w:t>年、代娟连续服务</w:t>
            </w:r>
            <w:r>
              <w:rPr>
                <w:color w:val="000000"/>
                <w:spacing w:val="0"/>
                <w:w w:val="100"/>
                <w:position w:val="0"/>
              </w:rPr>
              <w:t>2</w:t>
            </w:r>
            <w:r>
              <w:rPr>
                <w:color w:val="000000"/>
                <w:spacing w:val="0"/>
                <w:w w:val="100"/>
                <w:position w:val="0"/>
              </w:rPr>
              <w:t>年</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九</w:t>
      </w:r>
      <w:bookmarkEnd w:id="276"/>
      <w:r>
        <w:rPr>
          <w:color w:val="000000"/>
          <w:spacing w:val="0"/>
          <w:w w:val="100"/>
          <w:position w:val="0"/>
        </w:rPr>
        <w:t>、年度报告披露后面临退市情况</w:t>
      </w:r>
      <w:bookmarkEnd w:id="274"/>
      <w:bookmarkEnd w:id="275"/>
      <w:bookmarkEnd w:id="27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r>
        <w:rPr>
          <w:color w:val="000000"/>
          <w:spacing w:val="0"/>
          <w:w w:val="100"/>
          <w:position w:val="0"/>
        </w:rPr>
        <w:t>十、破产重整相关事项</w:t>
      </w:r>
      <w:bookmarkEnd w:id="278"/>
      <w:bookmarkEnd w:id="279"/>
      <w:bookmarkEnd w:id="280"/>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r>
        <w:rPr>
          <w:color w:val="000000"/>
          <w:spacing w:val="0"/>
          <w:w w:val="100"/>
          <w:position w:val="0"/>
        </w:rPr>
        <w:t>十一、重大诉讼、仲裁事项</w:t>
      </w:r>
      <w:bookmarkEnd w:id="281"/>
      <w:bookmarkEnd w:id="282"/>
      <w:bookmarkEnd w:id="28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本年度公司无重大诉讼、仲裁事项。公司其他诉讼、仲裁的涉案总金额为</w:t>
      </w:r>
      <w:r>
        <w:rPr>
          <w:color w:val="000000"/>
          <w:spacing w:val="0"/>
          <w:w w:val="100"/>
          <w:position w:val="0"/>
        </w:rPr>
        <w:t>4,113.15</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r>
        <w:rPr>
          <w:color w:val="000000"/>
          <w:spacing w:val="0"/>
          <w:w w:val="100"/>
          <w:position w:val="0"/>
        </w:rPr>
        <w:t>十二、处罚及整改情况</w:t>
      </w:r>
      <w:bookmarkEnd w:id="284"/>
      <w:bookmarkEnd w:id="285"/>
      <w:bookmarkEnd w:id="286"/>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left"/>
      </w:pPr>
      <w:bookmarkStart w:id="287" w:name="bookmark287"/>
      <w:bookmarkStart w:id="288" w:name="bookmark288"/>
      <w:bookmarkStart w:id="289" w:name="bookmark289"/>
      <w:r>
        <w:rPr>
          <w:color w:val="000000"/>
          <w:spacing w:val="0"/>
          <w:w w:val="100"/>
          <w:position w:val="0"/>
        </w:rPr>
        <w:t>十三、公司及其控股股东、实际控制人的诚信状况</w:t>
      </w:r>
      <w:bookmarkEnd w:id="287"/>
      <w:bookmarkEnd w:id="288"/>
      <w:bookmarkEnd w:id="28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r>
        <w:rPr>
          <w:color w:val="000000"/>
          <w:spacing w:val="0"/>
          <w:w w:val="100"/>
          <w:position w:val="0"/>
        </w:rPr>
        <w:t>十四、公司股权激励计划、员工持股计划或其他员工激励措施的实施情况</w:t>
      </w:r>
      <w:bookmarkEnd w:id="290"/>
      <w:bookmarkEnd w:id="291"/>
      <w:bookmarkEnd w:id="29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r>
        <w:rPr>
          <w:color w:val="000000"/>
          <w:spacing w:val="0"/>
          <w:w w:val="100"/>
          <w:position w:val="0"/>
        </w:rPr>
        <w:t>十五、重大关联交易</w:t>
      </w:r>
      <w:bookmarkEnd w:id="293"/>
      <w:bookmarkEnd w:id="294"/>
      <w:bookmarkEnd w:id="295"/>
    </w:p>
    <w:p>
      <w:pPr>
        <w:pStyle w:val="Style30"/>
        <w:keepNext/>
        <w:keepLines/>
        <w:widowControl w:val="0"/>
        <w:shd w:val="clear" w:color="auto" w:fill="auto"/>
        <w:tabs>
          <w:tab w:pos="358"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1</w:t>
      </w:r>
      <w:bookmarkEnd w:id="298"/>
      <w:r>
        <w:rPr>
          <w:color w:val="000000"/>
          <w:spacing w:val="0"/>
          <w:w w:val="100"/>
          <w:position w:val="0"/>
        </w:rPr>
        <w:t>、</w:t>
        <w:tab/>
        <w:t>与日常经营相关的关联交易</w:t>
      </w:r>
      <w:bookmarkEnd w:id="296"/>
      <w:bookmarkEnd w:id="297"/>
      <w:bookmarkEnd w:id="29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公司报告期未发生与日常经营相关的重大关联交易。</w:t>
      </w:r>
    </w:p>
    <w:p>
      <w:pPr>
        <w:pStyle w:val="Style30"/>
        <w:keepNext/>
        <w:keepLines/>
        <w:widowControl w:val="0"/>
        <w:shd w:val="clear" w:color="auto" w:fill="auto"/>
        <w:tabs>
          <w:tab w:pos="373"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2</w:t>
      </w:r>
      <w:bookmarkEnd w:id="302"/>
      <w:r>
        <w:rPr>
          <w:color w:val="000000"/>
          <w:spacing w:val="0"/>
          <w:w w:val="100"/>
          <w:position w:val="0"/>
        </w:rPr>
        <w:t>、</w:t>
        <w:tab/>
        <w:t>资产或股权收购、出售发生的关联交易</w:t>
      </w:r>
      <w:bookmarkEnd w:id="300"/>
      <w:bookmarkEnd w:id="301"/>
      <w:bookmarkEnd w:id="30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68" w:val="left"/>
        </w:tabs>
        <w:bidi w:val="0"/>
        <w:spacing w:before="0" w:after="24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3</w:t>
      </w:r>
      <w:bookmarkEnd w:id="306"/>
      <w:r>
        <w:rPr>
          <w:color w:val="000000"/>
          <w:spacing w:val="0"/>
          <w:w w:val="100"/>
          <w:position w:val="0"/>
        </w:rPr>
        <w:t>、</w:t>
        <w:tab/>
        <w:t>共同对外投资的关联交易</w:t>
      </w:r>
      <w:bookmarkEnd w:id="304"/>
      <w:bookmarkEnd w:id="305"/>
      <w:bookmarkEnd w:id="307"/>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60" w:lineRule="exact"/>
        <w:ind w:left="0" w:right="0" w:firstLine="38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24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4</w:t>
      </w:r>
      <w:bookmarkEnd w:id="310"/>
      <w:r>
        <w:rPr>
          <w:color w:val="000000"/>
          <w:spacing w:val="0"/>
          <w:w w:val="100"/>
          <w:position w:val="0"/>
        </w:rPr>
        <w:t>、</w:t>
        <w:tab/>
        <w:t>关联债权债务往来</w:t>
      </w:r>
      <w:bookmarkEnd w:id="308"/>
      <w:bookmarkEnd w:id="309"/>
      <w:bookmarkEnd w:id="311"/>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60" w:lineRule="exact"/>
        <w:ind w:left="0" w:right="0" w:firstLine="380"/>
        <w:jc w:val="both"/>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2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5</w:t>
      </w:r>
      <w:bookmarkEnd w:id="314"/>
      <w:r>
        <w:rPr>
          <w:color w:val="000000"/>
          <w:spacing w:val="0"/>
          <w:w w:val="100"/>
          <w:position w:val="0"/>
        </w:rPr>
        <w:t>、</w:t>
        <w:tab/>
        <w:t>其他重大关联交易</w:t>
      </w:r>
      <w:bookmarkEnd w:id="312"/>
      <w:bookmarkEnd w:id="313"/>
      <w:bookmarkEnd w:id="315"/>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60" w:lineRule="exact"/>
        <w:ind w:left="0" w:right="0" w:firstLine="38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r>
        <w:rPr>
          <w:color w:val="000000"/>
          <w:spacing w:val="0"/>
          <w:w w:val="100"/>
          <w:position w:val="0"/>
        </w:rPr>
        <w:t>十六、重大合同及其履行情况</w:t>
      </w:r>
      <w:bookmarkEnd w:id="316"/>
      <w:bookmarkEnd w:id="317"/>
      <w:bookmarkEnd w:id="318"/>
    </w:p>
    <w:p>
      <w:pPr>
        <w:pStyle w:val="Style30"/>
        <w:keepNext/>
        <w:keepLines/>
        <w:widowControl w:val="0"/>
        <w:shd w:val="clear" w:color="auto" w:fill="auto"/>
        <w:tabs>
          <w:tab w:pos="358"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1</w:t>
      </w:r>
      <w:bookmarkEnd w:id="321"/>
      <w:r>
        <w:rPr>
          <w:color w:val="000000"/>
          <w:spacing w:val="0"/>
          <w:w w:val="100"/>
          <w:position w:val="0"/>
        </w:rPr>
        <w:t>、</w:t>
        <w:tab/>
        <w:t>托管、承包、租赁事项情况</w:t>
      </w:r>
      <w:bookmarkEnd w:id="319"/>
      <w:bookmarkEnd w:id="320"/>
      <w:bookmarkEnd w:id="322"/>
    </w:p>
    <w:p>
      <w:pPr>
        <w:pStyle w:val="Style30"/>
        <w:keepNext/>
        <w:keepLines/>
        <w:widowControl w:val="0"/>
        <w:numPr>
          <w:ilvl w:val="0"/>
          <w:numId w:val="5"/>
        </w:numPr>
        <w:shd w:val="clear" w:color="auto" w:fill="auto"/>
        <w:tabs>
          <w:tab w:pos="493" w:val="left"/>
        </w:tabs>
        <w:bidi w:val="0"/>
        <w:spacing w:before="0" w:after="240" w:line="240" w:lineRule="auto"/>
        <w:ind w:left="0" w:right="0" w:firstLine="0"/>
        <w:jc w:val="left"/>
      </w:pPr>
      <w:bookmarkStart w:id="319" w:name="bookmark319"/>
      <w:bookmarkStart w:id="320" w:name="bookmark320"/>
      <w:bookmarkStart w:id="323" w:name="bookmark323"/>
      <w:bookmarkStart w:id="324" w:name="bookmark324"/>
      <w:bookmarkEnd w:id="323"/>
      <w:r>
        <w:rPr>
          <w:color w:val="000000"/>
          <w:spacing w:val="0"/>
          <w:w w:val="100"/>
          <w:position w:val="0"/>
        </w:rPr>
        <w:t>托管情况</w:t>
      </w:r>
      <w:bookmarkEnd w:id="319"/>
      <w:bookmarkEnd w:id="320"/>
      <w:bookmarkEnd w:id="324"/>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60" w:lineRule="exact"/>
        <w:ind w:left="0" w:right="0" w:firstLine="380"/>
        <w:jc w:val="both"/>
      </w:pPr>
      <w:r>
        <w:rPr>
          <w:color w:val="000000"/>
          <w:spacing w:val="0"/>
          <w:w w:val="100"/>
          <w:position w:val="0"/>
        </w:rPr>
        <w:t>公司报告期不存在托管情况。</w:t>
      </w:r>
    </w:p>
    <w:p>
      <w:pPr>
        <w:pStyle w:val="Style43"/>
        <w:keepNext w:val="0"/>
        <w:keepLines w:val="0"/>
        <w:widowControl w:val="0"/>
        <w:numPr>
          <w:ilvl w:val="0"/>
          <w:numId w:val="5"/>
        </w:numPr>
        <w:shd w:val="clear" w:color="auto" w:fill="auto"/>
        <w:tabs>
          <w:tab w:pos="493" w:val="left"/>
        </w:tabs>
        <w:bidi w:val="0"/>
        <w:spacing w:before="0" w:after="240" w:line="240" w:lineRule="auto"/>
        <w:ind w:left="0" w:right="0" w:firstLine="0"/>
        <w:jc w:val="left"/>
      </w:pPr>
      <w:bookmarkStart w:id="325" w:name="bookmark325"/>
      <w:bookmarkStart w:id="326" w:name="bookmark326"/>
      <w:bookmarkEnd w:id="325"/>
      <w:r>
        <w:rPr>
          <w:color w:val="000000"/>
          <w:spacing w:val="0"/>
          <w:w w:val="100"/>
          <w:position w:val="0"/>
        </w:rPr>
        <w:t>承包情况</w:t>
      </w:r>
      <w:bookmarkEnd w:id="326"/>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60" w:lineRule="exact"/>
        <w:ind w:left="0" w:right="0" w:firstLine="380"/>
        <w:jc w:val="both"/>
      </w:pPr>
      <w:r>
        <w:rPr>
          <w:color w:val="000000"/>
          <w:spacing w:val="0"/>
          <w:w w:val="100"/>
          <w:position w:val="0"/>
        </w:rPr>
        <w:t>公司报告期不存在承包情况。</w:t>
      </w:r>
    </w:p>
    <w:p>
      <w:pPr>
        <w:pStyle w:val="Style43"/>
        <w:keepNext w:val="0"/>
        <w:keepLines w:val="0"/>
        <w:widowControl w:val="0"/>
        <w:numPr>
          <w:ilvl w:val="0"/>
          <w:numId w:val="5"/>
        </w:numPr>
        <w:shd w:val="clear" w:color="auto" w:fill="auto"/>
        <w:tabs>
          <w:tab w:pos="493" w:val="left"/>
        </w:tabs>
        <w:bidi w:val="0"/>
        <w:spacing w:before="0" w:after="240" w:line="240" w:lineRule="auto"/>
        <w:ind w:left="0" w:right="0" w:firstLine="0"/>
        <w:jc w:val="left"/>
      </w:pPr>
      <w:bookmarkStart w:id="327" w:name="bookmark327"/>
      <w:bookmarkStart w:id="328" w:name="bookmark328"/>
      <w:bookmarkEnd w:id="327"/>
      <w:r>
        <w:rPr>
          <w:color w:val="000000"/>
          <w:spacing w:val="0"/>
          <w:w w:val="100"/>
          <w:position w:val="0"/>
        </w:rPr>
        <w:t>租赁情况</w:t>
      </w:r>
      <w:bookmarkEnd w:id="328"/>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租赁情况说明</w:t>
      </w:r>
    </w:p>
    <w:p>
      <w:pPr>
        <w:pStyle w:val="Style26"/>
        <w:keepNext w:val="0"/>
        <w:keepLines w:val="0"/>
        <w:widowControl w:val="0"/>
        <w:shd w:val="clear" w:color="auto" w:fill="auto"/>
        <w:bidi w:val="0"/>
        <w:spacing w:before="0" w:after="0" w:line="360" w:lineRule="exact"/>
        <w:ind w:left="0" w:right="0" w:firstLine="380"/>
        <w:jc w:val="left"/>
      </w:pPr>
      <w:r>
        <w:rPr>
          <w:color w:val="000000"/>
          <w:spacing w:val="0"/>
          <w:w w:val="100"/>
          <w:position w:val="0"/>
        </w:rPr>
        <w:t>报告期内，公司发生租用其他公司资产的租赁费用为</w:t>
      </w:r>
      <w:r>
        <w:rPr>
          <w:color w:val="000000"/>
          <w:spacing w:val="0"/>
          <w:w w:val="100"/>
          <w:position w:val="0"/>
        </w:rPr>
        <w:t>9,475,500.76</w:t>
      </w:r>
      <w:r>
        <w:rPr>
          <w:color w:val="000000"/>
          <w:spacing w:val="0"/>
          <w:w w:val="100"/>
          <w:position w:val="0"/>
        </w:rPr>
        <w:t>元，主要为办公场地租赁。 为公司带来的损益达到公司报告期利润总额</w:t>
      </w:r>
      <w:r>
        <w:rPr>
          <w:color w:val="000000"/>
          <w:spacing w:val="0"/>
          <w:w w:val="100"/>
          <w:position w:val="0"/>
        </w:rPr>
        <w:t>10%</w:t>
      </w:r>
      <w:r>
        <w:rPr>
          <w:color w:val="000000"/>
          <w:spacing w:val="0"/>
          <w:w w:val="100"/>
          <w:position w:val="0"/>
        </w:rPr>
        <w:t>以上的项目</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60" w:lineRule="exact"/>
        <w:ind w:left="0" w:right="0" w:firstLine="380"/>
        <w:jc w:val="left"/>
      </w:pPr>
      <w:r>
        <w:rPr>
          <w:color w:val="000000"/>
          <w:spacing w:val="0"/>
          <w:w w:val="100"/>
          <w:position w:val="0"/>
        </w:rPr>
        <w:t>公司报告期不存在为公司带来的损益达到公司报告期利润总额</w:t>
      </w:r>
      <w:r>
        <w:rPr>
          <w:color w:val="000000"/>
          <w:spacing w:val="0"/>
          <w:w w:val="100"/>
          <w:position w:val="0"/>
        </w:rPr>
        <w:t>10%</w:t>
      </w:r>
      <w:r>
        <w:rPr>
          <w:color w:val="000000"/>
          <w:spacing w:val="0"/>
          <w:w w:val="100"/>
          <w:position w:val="0"/>
        </w:rPr>
        <w:t>以上的租赁项目。</w:t>
      </w:r>
    </w:p>
    <w:p>
      <w:pPr>
        <w:pStyle w:val="Style30"/>
        <w:keepNext/>
        <w:keepLines/>
        <w:widowControl w:val="0"/>
        <w:shd w:val="clear" w:color="auto" w:fill="auto"/>
        <w:tabs>
          <w:tab w:pos="373" w:val="left"/>
        </w:tabs>
        <w:bidi w:val="0"/>
        <w:spacing w:before="0" w:after="24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2</w:t>
      </w:r>
      <w:bookmarkEnd w:id="331"/>
      <w:r>
        <w:rPr>
          <w:color w:val="000000"/>
          <w:spacing w:val="0"/>
          <w:w w:val="100"/>
          <w:position w:val="0"/>
        </w:rPr>
        <w:t>、</w:t>
        <w:tab/>
        <w:t>重大担保</w:t>
      </w:r>
      <w:bookmarkEnd w:id="329"/>
      <w:bookmarkEnd w:id="330"/>
      <w:bookmarkEnd w:id="332"/>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40" w:line="360" w:lineRule="exact"/>
        <w:ind w:left="0" w:right="0" w:firstLine="380"/>
        <w:jc w:val="both"/>
      </w:pPr>
      <w:r>
        <w:rPr>
          <w:color w:val="000000"/>
          <w:spacing w:val="0"/>
          <w:w w:val="100"/>
          <w:position w:val="0"/>
        </w:rPr>
        <w:t>公司报告期不存在对外担保情况。</w:t>
      </w:r>
    </w:p>
    <w:p>
      <w:pPr>
        <w:pStyle w:val="Style36"/>
        <w:keepNext/>
        <w:keepLines/>
        <w:widowControl w:val="0"/>
        <w:shd w:val="clear" w:color="auto" w:fill="auto"/>
        <w:tabs>
          <w:tab w:pos="36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w:t>
        <w:tab/>
        <w:t>委托他人进行现金资产管理情况</w:t>
      </w:r>
      <w:bookmarkEnd w:id="333"/>
      <w:bookmarkEnd w:id="334"/>
      <w:bookmarkEnd w:id="336"/>
    </w:p>
    <w:p>
      <w:pPr>
        <w:pStyle w:val="Style36"/>
        <w:keepNext/>
        <w:keepLines/>
        <w:widowControl w:val="0"/>
        <w:shd w:val="clear" w:color="auto" w:fill="auto"/>
        <w:tabs>
          <w:tab w:pos="493" w:val="left"/>
        </w:tabs>
        <w:bidi w:val="0"/>
        <w:spacing w:before="0" w:after="2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1）</w:t>
        <w:tab/>
      </w:r>
      <w:r>
        <w:rPr>
          <w:color w:val="000000"/>
          <w:spacing w:val="0"/>
          <w:w w:val="100"/>
          <w:position w:val="0"/>
        </w:rPr>
        <w:t>委托理财情况</w:t>
      </w:r>
      <w:bookmarkEnd w:id="337"/>
      <w:bookmarkEnd w:id="338"/>
      <w:bookmarkEnd w:id="340"/>
    </w:p>
    <w:p>
      <w:pPr>
        <w:pStyle w:val="Style26"/>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15" w:lineRule="exact"/>
        <w:ind w:left="0" w:right="0" w:firstLine="200"/>
        <w:jc w:val="left"/>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after="26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2）</w:t>
        <w:tab/>
      </w:r>
      <w:r>
        <w:rPr>
          <w:color w:val="000000"/>
          <w:spacing w:val="0"/>
          <w:w w:val="100"/>
          <w:position w:val="0"/>
        </w:rPr>
        <w:t>委托贷款情况</w:t>
      </w:r>
      <w:bookmarkEnd w:id="341"/>
      <w:bookmarkEnd w:id="342"/>
      <w:bookmarkEnd w:id="344"/>
    </w:p>
    <w:p>
      <w:pPr>
        <w:pStyle w:val="Style26"/>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4</w:t>
      </w:r>
      <w:bookmarkEnd w:id="347"/>
      <w:r>
        <w:rPr>
          <w:color w:val="000000"/>
          <w:spacing w:val="0"/>
          <w:w w:val="100"/>
          <w:position w:val="0"/>
        </w:rPr>
        <w:t>、</w:t>
        <w:tab/>
        <w:t>其他重大合同</w:t>
      </w:r>
      <w:bookmarkEnd w:id="345"/>
      <w:bookmarkEnd w:id="346"/>
      <w:bookmarkEnd w:id="348"/>
    </w:p>
    <w:p>
      <w:pPr>
        <w:pStyle w:val="Style26"/>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十七、社会责任情况</w:t>
      </w:r>
      <w:bookmarkEnd w:id="349"/>
      <w:bookmarkEnd w:id="350"/>
      <w:bookmarkEnd w:id="351"/>
    </w:p>
    <w:p>
      <w:pPr>
        <w:pStyle w:val="Style30"/>
        <w:keepNext/>
        <w:keepLines/>
        <w:widowControl w:val="0"/>
        <w:shd w:val="clear" w:color="auto" w:fill="auto"/>
        <w:tabs>
          <w:tab w:pos="358" w:val="left"/>
        </w:tabs>
        <w:bidi w:val="0"/>
        <w:spacing w:before="0" w:after="2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1</w:t>
      </w:r>
      <w:bookmarkEnd w:id="354"/>
      <w:r>
        <w:rPr>
          <w:color w:val="000000"/>
          <w:spacing w:val="0"/>
          <w:w w:val="100"/>
          <w:position w:val="0"/>
        </w:rPr>
        <w:t>、</w:t>
        <w:tab/>
        <w:t>履行社会责任情况</w:t>
      </w:r>
      <w:bookmarkEnd w:id="352"/>
      <w:bookmarkEnd w:id="353"/>
      <w:bookmarkEnd w:id="355"/>
    </w:p>
    <w:p>
      <w:pPr>
        <w:pStyle w:val="Style26"/>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公司践行“为股东创造财富，为客户创造价值，对员工真心关爱，对社会真诚回馈”的企业理念，积极承担对利益相关 方的社会责任，努力推进公司、社会与环境的和谐发展。报告期内，公司继续在投资者权益保护、职工权益与关怀、社会公 益和教育扶贫等方面履行社会责任：</w:t>
      </w:r>
    </w:p>
    <w:p>
      <w:pPr>
        <w:pStyle w:val="Style26"/>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重视投资者权益保护。公司依法召开股东大会，全面采取现场投票与网络投票结合的方式扩大中小股东参与股东大会的 比例；积极落实现金分红政策，回馈股东；尊重和保护投资者权益，认真履行信息披露义务，通过网上业绩说明会、投资者 咨询电话、互动易平台、公司网站、微信公众号等多种渠道持续加强与投资者的沟通交流工作，促进投资者对公司的了解和 认同。</w:t>
      </w:r>
    </w:p>
    <w:p>
      <w:pPr>
        <w:pStyle w:val="Style26"/>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注重职工权益与关怀。公司贯彻“以人为本”的企业理念，推进和谐稳定的劳动关系建设，切实保障员工合法权益，生 产经营虽受疫情影响亦坚持稳定员工岗位，创造就业机会；注重员工培训和发展，建立了相对完善的人才发展体系，积极创 建学习型组织，搭建多层次培训体系，提升员工的专业素养，助力员工职业发展；继续通过“天喻阳光关爱基金”帮扶困难 员工。</w:t>
      </w:r>
    </w:p>
    <w:p>
      <w:pPr>
        <w:pStyle w:val="Style26"/>
        <w:keepNext w:val="0"/>
        <w:keepLines w:val="0"/>
        <w:widowControl w:val="0"/>
        <w:shd w:val="clear" w:color="auto" w:fill="auto"/>
        <w:bidi w:val="0"/>
        <w:spacing w:before="0" w:after="380" w:line="305" w:lineRule="exact"/>
        <w:ind w:left="0" w:right="0" w:firstLine="380"/>
        <w:jc w:val="both"/>
      </w:pPr>
      <w:r>
        <w:rPr>
          <w:color w:val="000000"/>
          <w:spacing w:val="0"/>
          <w:w w:val="100"/>
          <w:position w:val="0"/>
        </w:rPr>
        <w:t>积极参与社会公益和教育扶贫。公司及其发起设立的湖北省春辉助学基金会继续在湖北省红安县、咸宁市咸安区等地开 展面向寒门学子的爱心助学活动，支持社会公益事业；公司通过湖北省春辉助学基金会向云南省临沧市临翔区第一中学捐赠 价值</w:t>
      </w:r>
      <w:r>
        <w:rPr>
          <w:color w:val="000000"/>
          <w:spacing w:val="0"/>
          <w:w w:val="100"/>
          <w:position w:val="0"/>
        </w:rPr>
        <w:t>160</w:t>
      </w:r>
      <w:r>
        <w:rPr>
          <w:color w:val="000000"/>
          <w:spacing w:val="0"/>
          <w:w w:val="100"/>
          <w:position w:val="0"/>
        </w:rPr>
        <w:t>万元的智慧教育软硬件产品和</w:t>
      </w:r>
      <w:r>
        <w:rPr>
          <w:color w:val="000000"/>
          <w:spacing w:val="0"/>
          <w:w w:val="100"/>
          <w:position w:val="0"/>
        </w:rPr>
        <w:t>50</w:t>
      </w:r>
      <w:r>
        <w:rPr>
          <w:color w:val="000000"/>
          <w:spacing w:val="0"/>
          <w:w w:val="100"/>
          <w:position w:val="0"/>
        </w:rPr>
        <w:t>万元公益助学资金，帮助当地推进教育信息化建设和发展。</w:t>
      </w:r>
    </w:p>
    <w:p>
      <w:pPr>
        <w:pStyle w:val="Style30"/>
        <w:keepNext/>
        <w:keepLines/>
        <w:widowControl w:val="0"/>
        <w:shd w:val="clear" w:color="auto" w:fill="auto"/>
        <w:tabs>
          <w:tab w:pos="373" w:val="left"/>
        </w:tabs>
        <w:bidi w:val="0"/>
        <w:spacing w:before="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2</w:t>
      </w:r>
      <w:bookmarkEnd w:id="358"/>
      <w:r>
        <w:rPr>
          <w:color w:val="000000"/>
          <w:spacing w:val="0"/>
          <w:w w:val="100"/>
          <w:position w:val="0"/>
        </w:rPr>
        <w:t>、</w:t>
        <w:tab/>
        <w:t>履行精准扶贫社会责任情况</w:t>
      </w:r>
      <w:bookmarkEnd w:id="356"/>
      <w:bookmarkEnd w:id="357"/>
      <w:bookmarkEnd w:id="359"/>
    </w:p>
    <w:p>
      <w:pPr>
        <w:pStyle w:val="Style36"/>
        <w:keepNext/>
        <w:keepLines/>
        <w:widowControl w:val="0"/>
        <w:shd w:val="clear" w:color="auto" w:fill="auto"/>
        <w:bidi w:val="0"/>
        <w:spacing w:before="0" w:after="26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1）</w:t>
      </w:r>
      <w:r>
        <w:rPr>
          <w:color w:val="000000"/>
          <w:spacing w:val="0"/>
          <w:w w:val="100"/>
          <w:position w:val="0"/>
        </w:rPr>
        <w:t>精准扶贫规划</w:t>
      </w:r>
      <w:bookmarkEnd w:id="360"/>
      <w:bookmarkEnd w:id="361"/>
      <w:bookmarkEnd w:id="363"/>
    </w:p>
    <w:p>
      <w:pPr>
        <w:pStyle w:val="Style26"/>
        <w:keepNext w:val="0"/>
        <w:keepLines w:val="0"/>
        <w:widowControl w:val="0"/>
        <w:shd w:val="clear" w:color="auto" w:fill="auto"/>
        <w:bidi w:val="0"/>
        <w:spacing w:before="0" w:after="260" w:line="315" w:lineRule="exact"/>
        <w:ind w:left="0" w:right="0" w:firstLine="380"/>
        <w:jc w:val="both"/>
      </w:pPr>
      <w:r>
        <w:rPr>
          <w:color w:val="000000"/>
          <w:spacing w:val="0"/>
          <w:w w:val="100"/>
          <w:position w:val="0"/>
        </w:rPr>
        <w:t>公司积极响应国家精准扶贫、精准脱贫的号召，聚焦云南贫困地区，持续深入开展扶贫工作。</w:t>
      </w:r>
    </w:p>
    <w:p>
      <w:pPr>
        <w:pStyle w:val="Style36"/>
        <w:keepNext/>
        <w:keepLines/>
        <w:widowControl w:val="0"/>
        <w:shd w:val="clear" w:color="auto" w:fill="auto"/>
        <w:bidi w:val="0"/>
        <w:spacing w:before="0" w:after="28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2）</w:t>
      </w:r>
      <w:r>
        <w:rPr>
          <w:color w:val="000000"/>
          <w:spacing w:val="0"/>
          <w:w w:val="100"/>
          <w:position w:val="0"/>
        </w:rPr>
        <w:t>年度精准扶贫概要</w:t>
      </w:r>
      <w:bookmarkEnd w:id="364"/>
      <w:bookmarkEnd w:id="365"/>
      <w:bookmarkEnd w:id="367"/>
    </w:p>
    <w:p>
      <w:pPr>
        <w:pStyle w:val="Style26"/>
        <w:keepNext w:val="0"/>
        <w:keepLines w:val="0"/>
        <w:widowControl w:val="0"/>
        <w:shd w:val="clear" w:color="auto" w:fill="auto"/>
        <w:bidi w:val="0"/>
        <w:spacing w:before="0" w:after="380" w:line="293" w:lineRule="exact"/>
        <w:ind w:left="0" w:right="0" w:firstLine="360"/>
        <w:jc w:val="both"/>
      </w:pPr>
      <w:r>
        <w:rPr>
          <w:color w:val="000000"/>
          <w:spacing w:val="0"/>
          <w:w w:val="100"/>
          <w:position w:val="0"/>
        </w:rPr>
        <w:t>公司努力践行社会责任，积极参与教育扶贫。报告期内，公司及其发起设立的湖北省春辉助学基金会向云南省临沧市临 翔区第一中学捐赠价值</w:t>
      </w:r>
      <w:r>
        <w:rPr>
          <w:color w:val="000000"/>
          <w:spacing w:val="0"/>
          <w:w w:val="100"/>
          <w:position w:val="0"/>
        </w:rPr>
        <w:t>160</w:t>
      </w:r>
      <w:r>
        <w:rPr>
          <w:color w:val="000000"/>
          <w:spacing w:val="0"/>
          <w:w w:val="100"/>
          <w:position w:val="0"/>
        </w:rPr>
        <w:t>万元的智慧教育软硬件产品和</w:t>
      </w:r>
      <w:r>
        <w:rPr>
          <w:color w:val="000000"/>
          <w:spacing w:val="0"/>
          <w:w w:val="100"/>
          <w:position w:val="0"/>
        </w:rPr>
        <w:t>50</w:t>
      </w:r>
      <w:r>
        <w:rPr>
          <w:color w:val="000000"/>
          <w:spacing w:val="0"/>
          <w:w w:val="100"/>
          <w:position w:val="0"/>
        </w:rPr>
        <w:t>万元公益助学资金，以提升其教育教学质量。</w:t>
      </w:r>
    </w:p>
    <w:p>
      <w:pPr>
        <w:pStyle w:val="Style36"/>
        <w:keepNext/>
        <w:keepLines/>
        <w:widowControl w:val="0"/>
        <w:shd w:val="clear" w:color="auto" w:fill="auto"/>
        <w:bidi w:val="0"/>
        <w:spacing w:before="0" w:after="38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3）</w:t>
      </w:r>
      <w:r>
        <w:rPr>
          <w:color w:val="000000"/>
          <w:spacing w:val="0"/>
          <w:w w:val="100"/>
          <w:position w:val="0"/>
        </w:rPr>
        <w:t>精准扶贫成效</w:t>
      </w:r>
      <w:bookmarkEnd w:id="368"/>
      <w:bookmarkEnd w:id="369"/>
      <w:bookmarkEnd w:id="371"/>
    </w:p>
    <w:tbl>
      <w:tblPr>
        <w:tblOverlap w:val="never"/>
        <w:jc w:val="center"/>
        <w:tblLayout w:type="fixed"/>
      </w:tblPr>
      <w:tblGrid>
        <w:gridCol w:w="3629"/>
        <w:gridCol w:w="1555"/>
        <w:gridCol w:w="43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数量/开展情况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color w:val="000000"/>
                <w:spacing w:val="0"/>
                <w:w w:val="100"/>
                <w:position w:val="0"/>
              </w:rPr>
              <w:t>1</w:t>
            </w: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改善贫困地区教育资源投入金额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4）</w:t>
      </w:r>
      <w:r>
        <w:rPr>
          <w:color w:val="000000"/>
          <w:spacing w:val="0"/>
          <w:w w:val="100"/>
          <w:position w:val="0"/>
        </w:rPr>
        <w:t>后续精准扶贫计划</w:t>
      </w:r>
      <w:bookmarkEnd w:id="372"/>
      <w:bookmarkEnd w:id="373"/>
      <w:bookmarkEnd w:id="375"/>
    </w:p>
    <w:p>
      <w:pPr>
        <w:pStyle w:val="Style26"/>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公司暂无后续精准扶贫计划。</w:t>
      </w:r>
    </w:p>
    <w:p>
      <w:pPr>
        <w:pStyle w:val="Style30"/>
        <w:keepNext/>
        <w:keepLines/>
        <w:widowControl w:val="0"/>
        <w:shd w:val="clear" w:color="auto" w:fill="auto"/>
        <w:bidi w:val="0"/>
        <w:spacing w:before="0" w:after="28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3</w:t>
      </w:r>
      <w:bookmarkEnd w:id="378"/>
      <w:r>
        <w:rPr>
          <w:color w:val="000000"/>
          <w:spacing w:val="0"/>
          <w:w w:val="100"/>
          <w:position w:val="0"/>
        </w:rPr>
        <w:t>、环境保护相关的情况</w:t>
      </w:r>
      <w:bookmarkEnd w:id="376"/>
      <w:bookmarkEnd w:id="377"/>
      <w:bookmarkEnd w:id="379"/>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公司严格遵守国家相关法规，按照公司《环境管理体系运行控制程序》、《环境监测和测量程序》、《环境因素识别和 评价程序》、《危险化学品使用管理规定》、《突发环境事件应急预案》等制度开展环保工作；已通过</w:t>
      </w:r>
      <w:r>
        <w:rPr>
          <w:color w:val="000000"/>
          <w:spacing w:val="0"/>
          <w:w w:val="100"/>
          <w:position w:val="0"/>
        </w:rPr>
        <w:t>IS014001</w:t>
      </w:r>
      <w:r>
        <w:rPr>
          <w:color w:val="000000"/>
          <w:spacing w:val="0"/>
          <w:w w:val="100"/>
          <w:position w:val="0"/>
        </w:rPr>
        <w:t>环境管理体 系认证，依法取得水务、环保部门颁发的《城市排水许可证》、《武汉市污染物排放许可证》，并严格按照相关标准进行排 放；制订环境检测计划并按时开展自查工作，发现隐患，及时治理；定期维护公司化粪池、隔油池、油烟净化器、活性炭吸 附塔等环保设备，改善设施排污处理能力，减少排放量。报告期内，公司委托第三方环保检测机构对公司办公区、生产厂区 废水、废气及噪声进行检测，各项指标监测结果均达标。</w:t>
      </w:r>
    </w:p>
    <w:p>
      <w:pPr>
        <w:pStyle w:val="Style23"/>
        <w:keepNext/>
        <w:keepLines/>
        <w:widowControl w:val="0"/>
        <w:shd w:val="clear" w:color="auto" w:fill="auto"/>
        <w:bidi w:val="0"/>
        <w:spacing w:before="0" w:after="280" w:line="240" w:lineRule="auto"/>
        <w:ind w:left="0" w:right="0" w:firstLine="0"/>
        <w:jc w:val="both"/>
      </w:pPr>
      <w:bookmarkStart w:id="380" w:name="bookmark380"/>
      <w:bookmarkStart w:id="381" w:name="bookmark381"/>
      <w:bookmarkStart w:id="382" w:name="bookmark382"/>
      <w:r>
        <w:rPr>
          <w:color w:val="000000"/>
          <w:spacing w:val="0"/>
          <w:w w:val="100"/>
          <w:position w:val="0"/>
        </w:rPr>
        <w:t>十八、其他重大事项的说明</w:t>
      </w:r>
      <w:bookmarkEnd w:id="380"/>
      <w:bookmarkEnd w:id="381"/>
      <w:bookmarkEnd w:id="382"/>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280" w:line="317" w:lineRule="exact"/>
        <w:ind w:left="0" w:right="0" w:firstLine="360"/>
        <w:jc w:val="both"/>
      </w:pPr>
      <w:r>
        <w:rPr>
          <w:color w:val="000000"/>
          <w:spacing w:val="0"/>
          <w:w w:val="100"/>
          <w:position w:val="0"/>
        </w:rPr>
        <w:t>公司控股股东华工创投计划自</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日通过深圳证券交易所交易系统以集中竞价交易或大宗交 易方式减持其持有的公司首次公开发行前股份合计不超过</w:t>
      </w:r>
      <w:r>
        <w:rPr>
          <w:color w:val="000000"/>
          <w:spacing w:val="0"/>
          <w:w w:val="100"/>
          <w:position w:val="0"/>
        </w:rPr>
        <w:t>2,000</w:t>
      </w:r>
      <w:r>
        <w:rPr>
          <w:color w:val="000000"/>
          <w:spacing w:val="0"/>
          <w:w w:val="100"/>
          <w:position w:val="0"/>
        </w:rPr>
        <w:t>万股（占公司总股本的比例为</w:t>
      </w:r>
      <w:r>
        <w:rPr>
          <w:color w:val="000000"/>
          <w:spacing w:val="0"/>
          <w:w w:val="100"/>
          <w:position w:val="0"/>
        </w:rPr>
        <w:t xml:space="preserve">4. </w:t>
      </w:r>
      <w:r>
        <w:rPr>
          <w:color w:val="000000"/>
          <w:spacing w:val="0"/>
          <w:w w:val="100"/>
          <w:position w:val="0"/>
        </w:rPr>
        <w:t>65%），</w:t>
      </w:r>
      <w:r>
        <w:rPr>
          <w:color w:val="000000"/>
          <w:spacing w:val="0"/>
          <w:w w:val="100"/>
          <w:position w:val="0"/>
        </w:rPr>
        <w:t>并于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13</w:t>
      </w:r>
      <w:r>
        <w:rPr>
          <w:color w:val="000000"/>
          <w:spacing w:val="0"/>
          <w:w w:val="100"/>
          <w:position w:val="0"/>
        </w:rPr>
        <w:t xml:space="preserve">日、 </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日以集中竞价交易方式减持公司股份</w:t>
      </w:r>
      <w:r>
        <w:rPr>
          <w:color w:val="000000"/>
          <w:spacing w:val="0"/>
          <w:w w:val="100"/>
          <w:position w:val="0"/>
        </w:rPr>
        <w:t>4,300,600</w:t>
      </w:r>
      <w:r>
        <w:rPr>
          <w:color w:val="000000"/>
          <w:spacing w:val="0"/>
          <w:w w:val="100"/>
          <w:position w:val="0"/>
        </w:rPr>
        <w:t>股，截至</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日，华工创投上述股份减持计划的减持时 间区间届满（详见公司分别于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日在巨潮资讯网披露的相关 公告）。</w:t>
      </w:r>
    </w:p>
    <w:p>
      <w:pPr>
        <w:pStyle w:val="Style26"/>
        <w:keepNext w:val="0"/>
        <w:keepLines w:val="0"/>
        <w:widowControl w:val="0"/>
        <w:shd w:val="clear" w:color="auto" w:fill="auto"/>
        <w:bidi w:val="0"/>
        <w:spacing w:before="0" w:after="0" w:line="307" w:lineRule="exact"/>
        <w:ind w:left="0" w:right="0" w:firstLine="360"/>
        <w:jc w:val="both"/>
      </w:pPr>
      <w:r>
        <w:rPr>
          <w:color w:val="000000"/>
          <w:spacing w:val="0"/>
          <w:w w:val="100"/>
          <w:position w:val="0"/>
        </w:rPr>
        <w:t>为加快智慧教育业务在西南地区的发展，公司以现金认缴出资</w:t>
      </w:r>
      <w:r>
        <w:rPr>
          <w:color w:val="000000"/>
          <w:spacing w:val="0"/>
          <w:w w:val="100"/>
          <w:position w:val="0"/>
        </w:rPr>
        <w:t>1</w:t>
      </w:r>
      <w:r>
        <w:rPr>
          <w:color w:val="000000"/>
          <w:spacing w:val="0"/>
          <w:w w:val="100"/>
          <w:position w:val="0"/>
        </w:rPr>
        <w:t>亿元设立全资子公司四川天喻云，首期实缴出资</w:t>
      </w:r>
      <w:r>
        <w:rPr>
          <w:color w:val="000000"/>
          <w:spacing w:val="0"/>
          <w:w w:val="100"/>
          <w:position w:val="0"/>
        </w:rPr>
        <w:t xml:space="preserve">1,000 </w:t>
      </w:r>
      <w:r>
        <w:rPr>
          <w:color w:val="000000"/>
          <w:spacing w:val="0"/>
          <w:w w:val="100"/>
          <w:position w:val="0"/>
        </w:rPr>
        <w:t>万元，剩余出资根据四川天喻云的业务开展情况缴付（详见公司于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日在巨潮资讯网披露的相关公告）。四川天 喻云于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日完成工商注册登记，纳入公司合并财务报表范围。</w:t>
      </w:r>
    </w:p>
    <w:p>
      <w:pPr>
        <w:pStyle w:val="Style26"/>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公司于</w:t>
      </w:r>
      <w:r>
        <w:rPr>
          <w:color w:val="000000"/>
          <w:spacing w:val="0"/>
          <w:w w:val="100"/>
          <w:position w:val="0"/>
        </w:rPr>
        <w:t>2017</w:t>
      </w:r>
      <w:r>
        <w:rPr>
          <w:color w:val="000000"/>
          <w:spacing w:val="0"/>
          <w:w w:val="100"/>
          <w:position w:val="0"/>
        </w:rPr>
        <w:t>年与慧云科技股份有限公司、张家口丰泰股权投资基金有限公司共同投资设立规模为</w:t>
      </w:r>
      <w:r>
        <w:rPr>
          <w:color w:val="000000"/>
          <w:spacing w:val="0"/>
          <w:w w:val="100"/>
          <w:position w:val="0"/>
        </w:rPr>
        <w:t>2.02</w:t>
      </w:r>
      <w:r>
        <w:rPr>
          <w:color w:val="000000"/>
          <w:spacing w:val="0"/>
          <w:w w:val="100"/>
          <w:position w:val="0"/>
        </w:rPr>
        <w:t>亿元的张家口喻智 教育科技合伙企业（有限合伙）（以下简称“喻智教育”），投资公司子公司天喻教育承接或参与的教育信息化</w:t>
      </w:r>
      <w:r>
        <w:rPr>
          <w:color w:val="000000"/>
          <w:spacing w:val="0"/>
          <w:w w:val="100"/>
          <w:position w:val="0"/>
        </w:rPr>
        <w:t>PPP</w:t>
      </w:r>
      <w:r>
        <w:rPr>
          <w:color w:val="000000"/>
          <w:spacing w:val="0"/>
          <w:w w:val="100"/>
          <w:position w:val="0"/>
        </w:rPr>
        <w:t>项目（详 见公司于</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日在巨潮资讯网披露的相关公告）。鉴于喻智教育成立后一直未开展实际经营，合伙人未实缴出资， 为降低管理运营成本，全体合伙人决定解散喻智教育。喻智教育于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日完成工商注销登记。</w:t>
      </w:r>
    </w:p>
    <w:p>
      <w:pPr>
        <w:pStyle w:val="Style26"/>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公司股东产业集团、华工创投通过公开征集转让的方式向武汉同喻投资合伙企业（有限合伙）（以下简称“同喻投资”） 协议转让其持有的公司</w:t>
      </w:r>
      <w:r>
        <w:rPr>
          <w:color w:val="000000"/>
          <w:spacing w:val="0"/>
          <w:w w:val="100"/>
          <w:position w:val="0"/>
        </w:rPr>
        <w:t>11,572,908</w:t>
      </w:r>
      <w:r>
        <w:rPr>
          <w:color w:val="000000"/>
          <w:spacing w:val="0"/>
          <w:w w:val="100"/>
          <w:position w:val="0"/>
        </w:rPr>
        <w:t>股、</w:t>
      </w:r>
      <w:r>
        <w:rPr>
          <w:color w:val="000000"/>
          <w:spacing w:val="0"/>
          <w:w w:val="100"/>
          <w:position w:val="0"/>
        </w:rPr>
        <w:t>94,126,270</w:t>
      </w:r>
      <w:r>
        <w:rPr>
          <w:color w:val="000000"/>
          <w:spacing w:val="0"/>
          <w:w w:val="100"/>
          <w:position w:val="0"/>
        </w:rPr>
        <w:t>股股份，分别占公司总股本的</w:t>
      </w:r>
      <w:r>
        <w:rPr>
          <w:color w:val="000000"/>
          <w:spacing w:val="0"/>
          <w:w w:val="100"/>
          <w:position w:val="0"/>
        </w:rPr>
        <w:t>2.69%</w:t>
      </w:r>
      <w:r>
        <w:rPr>
          <w:color w:val="000000"/>
          <w:spacing w:val="0"/>
          <w:w w:val="100"/>
          <w:position w:val="0"/>
        </w:rPr>
        <w:t>、</w:t>
      </w:r>
      <w:r>
        <w:rPr>
          <w:color w:val="000000"/>
          <w:spacing w:val="0"/>
          <w:w w:val="100"/>
          <w:position w:val="0"/>
        </w:rPr>
        <w:t>21.89%</w:t>
      </w:r>
      <w:r>
        <w:rPr>
          <w:color w:val="000000"/>
          <w:spacing w:val="0"/>
          <w:w w:val="100"/>
          <w:position w:val="0"/>
        </w:rPr>
        <w:t>，交易各方于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21 </w:t>
      </w:r>
      <w:r>
        <w:rPr>
          <w:color w:val="000000"/>
          <w:spacing w:val="0"/>
          <w:w w:val="100"/>
          <w:position w:val="0"/>
        </w:rPr>
        <w:t>日签署了附生效条件的《股份转让协议》。若本次股份转让实施完成，公司控股股东将变更为同喻投资，实际控制人将变更 为艾迪和闫春雨。（详见公司分别于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 xml:space="preserve">日、 </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日在巨潮资讯网披露的相关公告）。</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公司持股</w:t>
      </w:r>
      <w:r>
        <w:rPr>
          <w:color w:val="000000"/>
          <w:spacing w:val="0"/>
          <w:w w:val="100"/>
          <w:position w:val="0"/>
        </w:rPr>
        <w:t>5%</w:t>
      </w:r>
      <w:r>
        <w:rPr>
          <w:color w:val="000000"/>
          <w:spacing w:val="0"/>
          <w:w w:val="100"/>
          <w:position w:val="0"/>
        </w:rPr>
        <w:t>以上股东光谷基金计划自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日，以集中竞价交易或大宗交易方式减持其持有的 公司首次公开发行前股份合计不超过</w:t>
      </w:r>
      <w:r>
        <w:rPr>
          <w:color w:val="000000"/>
          <w:spacing w:val="0"/>
          <w:w w:val="100"/>
          <w:position w:val="0"/>
        </w:rPr>
        <w:t>1,290</w:t>
      </w:r>
      <w:r>
        <w:rPr>
          <w:color w:val="000000"/>
          <w:spacing w:val="0"/>
          <w:w w:val="100"/>
          <w:position w:val="0"/>
        </w:rPr>
        <w:t>万股，占公司总股本比例为</w:t>
      </w:r>
      <w:r>
        <w:rPr>
          <w:color w:val="000000"/>
          <w:spacing w:val="0"/>
          <w:w w:val="100"/>
          <w:position w:val="0"/>
        </w:rPr>
        <w:t>3%，</w:t>
      </w:r>
      <w:r>
        <w:rPr>
          <w:color w:val="000000"/>
          <w:spacing w:val="0"/>
          <w:w w:val="100"/>
          <w:position w:val="0"/>
        </w:rPr>
        <w:t>并于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日以集中竞价交易和大宗交易方式减持公司股份</w:t>
      </w:r>
      <w:r>
        <w:rPr>
          <w:color w:val="000000"/>
          <w:spacing w:val="0"/>
          <w:w w:val="100"/>
          <w:position w:val="0"/>
        </w:rPr>
        <w:t>6,460,483</w:t>
      </w:r>
      <w:r>
        <w:rPr>
          <w:color w:val="000000"/>
          <w:spacing w:val="0"/>
          <w:w w:val="100"/>
          <w:position w:val="0"/>
        </w:rPr>
        <w:t>股（详见公司分别于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日在巨潮资讯网披露的相关公告）。</w:t>
      </w:r>
    </w:p>
    <w:p>
      <w:pPr>
        <w:pStyle w:val="Style26"/>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公司于</w:t>
      </w:r>
      <w:r>
        <w:rPr>
          <w:color w:val="000000"/>
          <w:spacing w:val="0"/>
          <w:w w:val="100"/>
          <w:position w:val="0"/>
        </w:rPr>
        <w:t>2014</w:t>
      </w:r>
      <w:r>
        <w:rPr>
          <w:color w:val="000000"/>
          <w:spacing w:val="0"/>
          <w:w w:val="100"/>
          <w:position w:val="0"/>
        </w:rPr>
        <w:t>年与武汉中商集团股份有限公司（以下简称“中商集团”，现已更名为“居然之家新零售集团股份有限公 司”）成立合资公司武汉中天慧购电商服务有限公司（以下简称</w:t>
      </w:r>
      <w:r>
        <w:rPr>
          <w:color w:val="000000"/>
          <w:spacing w:val="0"/>
          <w:w w:val="100"/>
          <w:position w:val="0"/>
        </w:rPr>
        <w:t>"</w:t>
      </w:r>
      <w:r>
        <w:rPr>
          <w:color w:val="000000"/>
          <w:spacing w:val="0"/>
          <w:w w:val="100"/>
          <w:position w:val="0"/>
        </w:rPr>
        <w:t>中天慧购”），开展中商集团的智能零售。</w:t>
      </w:r>
      <w:r>
        <w:rPr>
          <w:color w:val="000000"/>
          <w:spacing w:val="0"/>
          <w:w w:val="100"/>
          <w:position w:val="0"/>
        </w:rPr>
        <w:t>2</w:t>
      </w:r>
      <w:r>
        <w:rPr>
          <w:color w:val="000000"/>
          <w:spacing w:val="0"/>
          <w:w w:val="100"/>
          <w:position w:val="0"/>
        </w:rPr>
        <w:t>。电子商务运 营业务（详见公司于</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日在巨潮资讯网披露的相关公告）。鉴于目前相关业务已停滞，为整合资 源，优化资产结构，双方股东决定解散中天慧购。中天慧购于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日完成工商注销登记。</w:t>
      </w:r>
    </w:p>
    <w:p>
      <w:pPr>
        <w:pStyle w:val="Style23"/>
        <w:keepNext/>
        <w:keepLines/>
        <w:widowControl w:val="0"/>
        <w:shd w:val="clear" w:color="auto" w:fill="auto"/>
        <w:bidi w:val="0"/>
        <w:spacing w:before="0" w:after="240" w:line="240" w:lineRule="auto"/>
        <w:ind w:left="0" w:right="0" w:firstLine="0"/>
        <w:jc w:val="both"/>
      </w:pPr>
      <w:bookmarkStart w:id="383" w:name="bookmark383"/>
      <w:bookmarkStart w:id="384" w:name="bookmark384"/>
      <w:bookmarkStart w:id="385" w:name="bookmark385"/>
      <w:r>
        <w:rPr>
          <w:color w:val="000000"/>
          <w:spacing w:val="0"/>
          <w:w w:val="100"/>
          <w:position w:val="0"/>
        </w:rPr>
        <w:t>十九、公司子公司重大事项</w:t>
      </w:r>
      <w:bookmarkEnd w:id="383"/>
      <w:bookmarkEnd w:id="384"/>
      <w:bookmarkEnd w:id="385"/>
    </w:p>
    <w:p>
      <w:pPr>
        <w:pStyle w:val="Style26"/>
        <w:keepNext w:val="0"/>
        <w:keepLines w:val="0"/>
        <w:widowControl w:val="0"/>
        <w:shd w:val="clear" w:color="auto" w:fill="auto"/>
        <w:bidi w:val="0"/>
        <w:spacing w:before="0" w:after="0" w:line="336" w:lineRule="exact"/>
        <w:ind w:left="0" w:right="0" w:firstLine="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336" w:lineRule="exact"/>
        <w:ind w:left="0" w:right="0" w:firstLine="360"/>
        <w:jc w:val="left"/>
      </w:pPr>
      <w:r>
        <w:rPr>
          <w:color w:val="000000"/>
          <w:spacing w:val="0"/>
          <w:w w:val="100"/>
          <w:position w:val="0"/>
        </w:rPr>
        <w:t>公司子公司聚联科技于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日完成名称变更的工商登记手续，名称由“武汉天喻聚联网络有限公司”变更为 “武汉天喻聚联科技有限公司”。</w:t>
      </w:r>
    </w:p>
    <w:p>
      <w:pPr>
        <w:pStyle w:val="Style2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 xml:space="preserve">为满足自身业务发展规划对营运资金的需求，公司子公司天喻教育向汉口银行申请了 </w:t>
      </w:r>
      <w:r>
        <w:rPr>
          <w:color w:val="000000"/>
          <w:spacing w:val="0"/>
          <w:w w:val="100"/>
          <w:position w:val="0"/>
        </w:rPr>
        <w:t>3,000</w:t>
      </w:r>
      <w:r>
        <w:rPr>
          <w:color w:val="000000"/>
          <w:spacing w:val="0"/>
          <w:w w:val="100"/>
          <w:position w:val="0"/>
        </w:rPr>
        <w:t xml:space="preserve">万元（其中净敞口 </w:t>
      </w:r>
      <w:r>
        <w:rPr>
          <w:color w:val="000000"/>
          <w:spacing w:val="0"/>
          <w:w w:val="100"/>
          <w:position w:val="0"/>
        </w:rPr>
        <w:t>2,000</w:t>
      </w:r>
      <w:r>
        <w:rPr>
          <w:color w:val="000000"/>
          <w:spacing w:val="0"/>
          <w:w w:val="100"/>
          <w:position w:val="0"/>
        </w:rPr>
        <w:t>万元） 综合授信额度，天喻教育控股子公司鱼渔课堂为天喻教育此次申请银行综合授信额度提供了不超过</w:t>
      </w:r>
      <w:r>
        <w:rPr>
          <w:color w:val="000000"/>
          <w:spacing w:val="0"/>
          <w:w w:val="100"/>
          <w:position w:val="0"/>
        </w:rPr>
        <w:t>2,200</w:t>
      </w:r>
      <w:r>
        <w:rPr>
          <w:color w:val="000000"/>
          <w:spacing w:val="0"/>
          <w:w w:val="100"/>
          <w:position w:val="0"/>
        </w:rPr>
        <w:t>万元的连带责任保 证担保（详见公司于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日在巨潮资讯网披露的相关公告）。</w:t>
      </w:r>
      <w:r>
        <w:br w:type="page"/>
      </w:r>
    </w:p>
    <w:p>
      <w:pPr>
        <w:pStyle w:val="Style9"/>
        <w:keepNext/>
        <w:keepLines/>
        <w:widowControl w:val="0"/>
        <w:shd w:val="clear" w:color="auto" w:fill="auto"/>
        <w:bidi w:val="0"/>
        <w:spacing w:before="0" w:after="520" w:line="240" w:lineRule="auto"/>
        <w:ind w:left="0" w:right="0" w:firstLine="0"/>
        <w:jc w:val="center"/>
      </w:pPr>
      <w:bookmarkStart w:id="386" w:name="bookmark386"/>
      <w:bookmarkStart w:id="387" w:name="bookmark387"/>
      <w:bookmarkStart w:id="388" w:name="bookmark388"/>
      <w:r>
        <w:rPr>
          <w:color w:val="000000"/>
          <w:spacing w:val="0"/>
          <w:w w:val="100"/>
          <w:position w:val="0"/>
        </w:rPr>
        <w:t>第六节股份变动及股东情况</w:t>
      </w:r>
      <w:bookmarkEnd w:id="386"/>
      <w:bookmarkEnd w:id="387"/>
      <w:bookmarkEnd w:id="388"/>
    </w:p>
    <w:p>
      <w:pPr>
        <w:pStyle w:val="Style23"/>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、股份变动情况</w:t>
      </w:r>
      <w:bookmarkEnd w:id="390"/>
      <w:bookmarkEnd w:id="391"/>
      <w:bookmarkEnd w:id="393"/>
      <w:bookmarkEnd w:id="389"/>
    </w:p>
    <w:p>
      <w:pPr>
        <w:pStyle w:val="Style30"/>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1</w:t>
      </w:r>
      <w:bookmarkEnd w:id="396"/>
      <w:r>
        <w:rPr>
          <w:color w:val="000000"/>
          <w:spacing w:val="0"/>
          <w:w w:val="100"/>
          <w:position w:val="0"/>
        </w:rPr>
        <w:t>、股份变动情况</w:t>
      </w:r>
      <w:bookmarkEnd w:id="394"/>
      <w:bookmarkEnd w:id="395"/>
      <w:bookmarkEnd w:id="397"/>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2"/>
        <w:gridCol w:w="1142"/>
        <w:gridCol w:w="821"/>
        <w:gridCol w:w="826"/>
        <w:gridCol w:w="821"/>
        <w:gridCol w:w="821"/>
        <w:gridCol w:w="826"/>
        <w:gridCol w:w="821"/>
        <w:gridCol w:w="1162"/>
        <w:gridCol w:w="80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4,067,212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4,067,212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4,067,212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4,067,212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425,988,788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425,988,788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425,988,788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425,988,788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430,056,000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430,056,000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股份变动的批准情况</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股份变动的过户情况</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采用集中竞价方式减持回购股份的实施进展情况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33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2</w:t>
      </w:r>
      <w:bookmarkEnd w:id="400"/>
      <w:r>
        <w:rPr>
          <w:color w:val="000000"/>
          <w:spacing w:val="0"/>
          <w:w w:val="100"/>
          <w:position w:val="0"/>
        </w:rPr>
        <w:t>、限售股份变动情况</w:t>
      </w:r>
      <w:bookmarkEnd w:id="398"/>
      <w:bookmarkEnd w:id="399"/>
      <w:bookmarkEnd w:id="401"/>
    </w:p>
    <w:p>
      <w:pPr>
        <w:pStyle w:val="Style26"/>
        <w:keepNext w:val="0"/>
        <w:keepLines w:val="0"/>
        <w:widowControl w:val="0"/>
        <w:shd w:val="clear" w:color="auto" w:fill="auto"/>
        <w:bidi w:val="0"/>
        <w:spacing w:before="0" w:after="160" w:line="336" w:lineRule="exact"/>
        <w:ind w:left="0" w:right="0" w:firstLine="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4,067,212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tabs>
          <w:tab w:pos="517"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二</w:t>
      </w:r>
      <w:bookmarkEnd w:id="404"/>
      <w:r>
        <w:rPr>
          <w:color w:val="000000"/>
          <w:spacing w:val="0"/>
          <w:w w:val="100"/>
          <w:position w:val="0"/>
        </w:rPr>
        <w:t>、</w:t>
        <w:tab/>
        <w:t>证券发行与上市情况</w:t>
      </w:r>
      <w:bookmarkEnd w:id="402"/>
      <w:bookmarkEnd w:id="403"/>
      <w:bookmarkEnd w:id="405"/>
    </w:p>
    <w:p>
      <w:pPr>
        <w:pStyle w:val="Style30"/>
        <w:keepNext/>
        <w:keepLines/>
        <w:widowControl w:val="0"/>
        <w:shd w:val="clear" w:color="auto" w:fill="auto"/>
        <w:tabs>
          <w:tab w:pos="380"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1</w:t>
      </w:r>
      <w:bookmarkEnd w:id="408"/>
      <w:r>
        <w:rPr>
          <w:color w:val="000000"/>
          <w:spacing w:val="0"/>
          <w:w w:val="100"/>
          <w:position w:val="0"/>
        </w:rPr>
        <w:t>、</w:t>
        <w:tab/>
        <w:t>报告期内证券发行（不含优先股）情况</w:t>
      </w:r>
      <w:bookmarkEnd w:id="406"/>
      <w:bookmarkEnd w:id="407"/>
      <w:bookmarkEnd w:id="40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0"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2</w:t>
      </w:r>
      <w:bookmarkEnd w:id="412"/>
      <w:r>
        <w:rPr>
          <w:color w:val="000000"/>
          <w:spacing w:val="0"/>
          <w:w w:val="100"/>
          <w:position w:val="0"/>
        </w:rPr>
        <w:t>、</w:t>
        <w:tab/>
        <w:t>公司股份总数及股东结构的变动、公司资产和负债结构的变动情况说明</w:t>
      </w:r>
      <w:bookmarkEnd w:id="410"/>
      <w:bookmarkEnd w:id="411"/>
      <w:bookmarkEnd w:id="41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0"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3</w:t>
      </w:r>
      <w:bookmarkEnd w:id="416"/>
      <w:r>
        <w:rPr>
          <w:color w:val="000000"/>
          <w:spacing w:val="0"/>
          <w:w w:val="100"/>
          <w:position w:val="0"/>
        </w:rPr>
        <w:t>、</w:t>
        <w:tab/>
        <w:t>现存的内部职工股情况</w:t>
      </w:r>
      <w:bookmarkEnd w:id="414"/>
      <w:bookmarkEnd w:id="415"/>
      <w:bookmarkEnd w:id="41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三</w:t>
      </w:r>
      <w:bookmarkEnd w:id="420"/>
      <w:r>
        <w:rPr>
          <w:color w:val="000000"/>
          <w:spacing w:val="0"/>
          <w:w w:val="100"/>
          <w:position w:val="0"/>
        </w:rPr>
        <w:t>、</w:t>
        <w:tab/>
        <w:t>股东和实际控制人情况</w:t>
      </w:r>
      <w:bookmarkEnd w:id="418"/>
      <w:bookmarkEnd w:id="419"/>
      <w:bookmarkEnd w:id="421"/>
    </w:p>
    <w:p>
      <w:pPr>
        <w:pStyle w:val="Style30"/>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1</w:t>
      </w:r>
      <w:bookmarkEnd w:id="424"/>
      <w:r>
        <w:rPr>
          <w:color w:val="000000"/>
          <w:spacing w:val="0"/>
          <w:w w:val="100"/>
          <w:position w:val="0"/>
        </w:rPr>
        <w:t>、公司股东数量及持股情况</w:t>
      </w:r>
      <w:bookmarkEnd w:id="422"/>
      <w:bookmarkEnd w:id="423"/>
      <w:bookmarkEnd w:id="42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单位：股</w:t>
      </w:r>
    </w:p>
    <w:tbl>
      <w:tblPr>
        <w:tblOverlap w:val="never"/>
        <w:jc w:val="center"/>
        <w:tblLayout w:type="fixed"/>
      </w:tblPr>
      <w:tblGrid>
        <w:gridCol w:w="1205"/>
        <w:gridCol w:w="216"/>
        <w:gridCol w:w="979"/>
        <w:gridCol w:w="931"/>
        <w:gridCol w:w="1066"/>
        <w:gridCol w:w="1061"/>
        <w:gridCol w:w="1066"/>
        <w:gridCol w:w="144"/>
        <w:gridCol w:w="1277"/>
        <w:gridCol w:w="571"/>
        <w:gridCol w:w="1070"/>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21,287 </w:t>
            </w:r>
            <w:r>
              <w:rPr>
                <w:color w:val="000000"/>
                <w:spacing w:val="0"/>
                <w:w w:val="100"/>
                <w:position w:val="0"/>
              </w:rPr>
              <w:t>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23,305 </w:t>
            </w:r>
            <w:r>
              <w:rPr>
                <w:color w:val="000000"/>
                <w:spacing w:val="0"/>
                <w:w w:val="100"/>
                <w:position w:val="0"/>
              </w:rPr>
              <w:t>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 月末表决权恢复的优先 股股东总数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rPr>
              <w:t>5%</w:t>
            </w:r>
            <w:r>
              <w:rPr>
                <w:color w:val="000000"/>
                <w:spacing w:val="0"/>
                <w:w w:val="100"/>
                <w:position w:val="0"/>
              </w:rPr>
              <w:t>以上的股东或前</w:t>
            </w:r>
            <w:r>
              <w:rPr>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持有有限售条 件的股份数量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13" w:hRule="exact"/>
        </w:trPr>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股份状态数量</w:t>
            </w:r>
          </w:p>
        </w:tc>
      </w:tr>
    </w:tbl>
    <w:p>
      <w:pPr>
        <w:spacing w:lineRule="exact" w:line="1"/>
        <w:rPr>
          <w:sz w:val="2"/>
          <w:szCs w:val="2"/>
        </w:rPr>
      </w:pPr>
      <w:r>
        <w:br w:type="page"/>
      </w:r>
    </w:p>
    <w:tbl>
      <w:tblPr>
        <w:tblOverlap w:val="never"/>
        <w:jc w:val="center"/>
        <w:tblLayout w:type="fixed"/>
      </w:tblPr>
      <w:tblGrid>
        <w:gridCol w:w="1421"/>
        <w:gridCol w:w="979"/>
        <w:gridCol w:w="442"/>
        <w:gridCol w:w="490"/>
        <w:gridCol w:w="1066"/>
        <w:gridCol w:w="1061"/>
        <w:gridCol w:w="1210"/>
        <w:gridCol w:w="144"/>
        <w:gridCol w:w="1133"/>
        <w:gridCol w:w="139"/>
        <w:gridCol w:w="710"/>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武汉华工创业投 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102,727,390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武汉光谷创业投 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67,217,227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武汉华中科技大 产业集团有限公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24,431,582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4,064,782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1,354,928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4,245,371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4,245,371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3,066,306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3,066,306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华春芳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2,026,200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color w:val="000000"/>
                <w:spacing w:val="0"/>
                <w:w w:val="100"/>
                <w:position w:val="0"/>
              </w:rPr>
              <w:t>10</w:t>
            </w:r>
            <w:r>
              <w:rPr>
                <w:color w:val="000000"/>
                <w:spacing w:val="0"/>
                <w:w w:val="100"/>
                <w:position w:val="0"/>
              </w:rPr>
              <w:t>名股东的情况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华工创投和产业集团受同一实际控制人华中科技大学控制。</w:t>
            </w: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FFFFFF"/>
            <w:vAlign w:val="center"/>
          </w:tcPr>
          <w:p>
            <w:pPr/>
          </w:p>
        </w:tc>
        <w:tc>
          <w:tcPr>
            <w:gridSpan w:val="5"/>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102,727,390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102,727,390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67,217,227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67,217,227</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24,431,582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24,431,582</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4,245,371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4,245,371</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华东仔</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3,066,306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3,066,306</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李栋</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2,112,700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2,112,700</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华春芳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2,026,200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2,026,200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王天龙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1,973,700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1,973,700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1,952,200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1,952,200</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pPr>
            <w:r>
              <w:rPr>
                <w:color w:val="000000"/>
                <w:spacing w:val="0"/>
                <w:w w:val="100"/>
                <w:position w:val="0"/>
              </w:rPr>
              <w:t>1,932,700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1,932,700</w:t>
            </w:r>
          </w:p>
        </w:tc>
      </w:tr>
      <w:tr>
        <w:trPr>
          <w:trHeight w:val="1334"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color w:val="000000"/>
                <w:spacing w:val="0"/>
                <w:w w:val="100"/>
                <w:position w:val="0"/>
              </w:rPr>
              <w:t>10</w:t>
            </w:r>
            <w:r>
              <w:rPr>
                <w:color w:val="000000"/>
                <w:spacing w:val="0"/>
                <w:w w:val="100"/>
                <w:position w:val="0"/>
              </w:rPr>
              <w:t>名无限售流通股股东之间，以 及前</w:t>
            </w:r>
            <w:r>
              <w:rPr>
                <w:color w:val="000000"/>
                <w:spacing w:val="0"/>
                <w:w w:val="100"/>
                <w:position w:val="0"/>
              </w:rPr>
              <w:t>10</w:t>
            </w:r>
            <w:r>
              <w:rPr>
                <w:color w:val="000000"/>
                <w:spacing w:val="0"/>
                <w:w w:val="100"/>
                <w:position w:val="0"/>
              </w:rPr>
              <w:t>名无限售流通股股东和前</w:t>
            </w:r>
            <w:r>
              <w:rPr>
                <w:color w:val="000000"/>
                <w:spacing w:val="0"/>
                <w:w w:val="100"/>
                <w:position w:val="0"/>
              </w:rPr>
              <w:t xml:space="preserve">10 </w:t>
            </w:r>
            <w:r>
              <w:rPr>
                <w:color w:val="000000"/>
                <w:spacing w:val="0"/>
                <w:w w:val="100"/>
                <w:position w:val="0"/>
              </w:rPr>
              <w:t>名股东之间关联关系或一致行动的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华工创投和产业集团受同一实际控制人华中科技大学控制。</w:t>
            </w:r>
          </w:p>
        </w:tc>
      </w:tr>
      <w:tr>
        <w:trPr>
          <w:trHeight w:val="686"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公司股东余建隆通过招商证券股份有限公司客户信用交易担保证券账户持有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4,245,371</w:t>
            </w:r>
            <w:r>
              <w:rPr>
                <w:color w:val="000000"/>
                <w:spacing w:val="0"/>
                <w:w w:val="100"/>
                <w:position w:val="0"/>
              </w:rPr>
              <w:t>股公司股票。公司股东华东仔除通过普通证券账户持有</w:t>
            </w:r>
            <w:r>
              <w:rPr>
                <w:color w:val="000000"/>
                <w:spacing w:val="0"/>
                <w:w w:val="100"/>
                <w:position w:val="0"/>
              </w:rPr>
              <w:t>5,000</w:t>
            </w:r>
            <w:r>
              <w:rPr>
                <w:color w:val="000000"/>
                <w:spacing w:val="0"/>
                <w:w w:val="100"/>
                <w:position w:val="0"/>
              </w:rPr>
              <w:t>股公司股票</w:t>
            </w:r>
          </w:p>
        </w:tc>
      </w:tr>
    </w:tbl>
    <w:p>
      <w:pPr>
        <w:spacing w:lineRule="exact" w:line="1"/>
        <w:rPr>
          <w:sz w:val="2"/>
          <w:szCs w:val="2"/>
        </w:rPr>
      </w:pPr>
      <w:r>
        <w:br w:type="page"/>
      </w:r>
    </w:p>
    <w:tbl>
      <w:tblPr>
        <w:tblOverlap w:val="never"/>
        <w:jc w:val="center"/>
        <w:tblLayout w:type="fixed"/>
      </w:tblPr>
      <w:tblGrid>
        <w:gridCol w:w="2842"/>
        <w:gridCol w:w="6744"/>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外，还通过光大证券股份有限公司客户信用交易担保证券账户持有</w:t>
            </w:r>
            <w:r>
              <w:rPr>
                <w:color w:val="000000"/>
                <w:spacing w:val="0"/>
                <w:w w:val="100"/>
                <w:position w:val="0"/>
              </w:rPr>
              <w:t>3,061,306</w:t>
            </w:r>
            <w:r>
              <w:rPr>
                <w:color w:val="000000"/>
                <w:spacing w:val="0"/>
                <w:w w:val="100"/>
                <w:position w:val="0"/>
              </w:rPr>
              <w:t>股公司 股票，实际合计持有</w:t>
            </w:r>
            <w:r>
              <w:rPr>
                <w:color w:val="000000"/>
                <w:spacing w:val="0"/>
                <w:w w:val="100"/>
                <w:position w:val="0"/>
              </w:rPr>
              <w:t>3,066,306</w:t>
            </w:r>
            <w:r>
              <w:rPr>
                <w:color w:val="000000"/>
                <w:spacing w:val="0"/>
                <w:w w:val="100"/>
                <w:position w:val="0"/>
              </w:rPr>
              <w:t>股公司股票。公司股东李栋通过中信证券股份有限公 司客户信用交易担保证券账户持有</w:t>
            </w:r>
            <w:r>
              <w:rPr>
                <w:color w:val="000000"/>
                <w:spacing w:val="0"/>
                <w:w w:val="100"/>
                <w:position w:val="0"/>
              </w:rPr>
              <w:t>2,112,700</w:t>
            </w:r>
            <w:r>
              <w:rPr>
                <w:color w:val="000000"/>
                <w:spacing w:val="0"/>
                <w:w w:val="100"/>
                <w:position w:val="0"/>
              </w:rPr>
              <w:t>股公司股票。公司股东王子忠除通过普 通证券账户持有</w:t>
            </w:r>
            <w:r>
              <w:rPr>
                <w:color w:val="000000"/>
                <w:spacing w:val="0"/>
                <w:w w:val="100"/>
                <w:position w:val="0"/>
              </w:rPr>
              <w:t>1,021,100</w:t>
            </w:r>
            <w:r>
              <w:rPr>
                <w:color w:val="000000"/>
                <w:spacing w:val="0"/>
                <w:w w:val="100"/>
                <w:position w:val="0"/>
              </w:rPr>
              <w:t>股公司股票外，还通过浙商证券股份有限公司客户信用交 易担保证券账户持有</w:t>
            </w:r>
            <w:r>
              <w:rPr>
                <w:color w:val="000000"/>
                <w:spacing w:val="0"/>
                <w:w w:val="100"/>
                <w:position w:val="0"/>
              </w:rPr>
              <w:t>931,100</w:t>
            </w:r>
            <w:r>
              <w:rPr>
                <w:color w:val="000000"/>
                <w:spacing w:val="0"/>
                <w:w w:val="100"/>
                <w:position w:val="0"/>
              </w:rPr>
              <w:t>股公司股票，实际合计持有</w:t>
            </w:r>
            <w:r>
              <w:rPr>
                <w:color w:val="000000"/>
                <w:spacing w:val="0"/>
                <w:w w:val="100"/>
                <w:position w:val="0"/>
              </w:rPr>
              <w:t>1,952,200</w:t>
            </w:r>
            <w:r>
              <w:rPr>
                <w:color w:val="000000"/>
                <w:spacing w:val="0"/>
                <w:w w:val="100"/>
                <w:position w:val="0"/>
              </w:rPr>
              <w:t>股公司股票。公 司股东向文除通过普通证券账户持有</w:t>
            </w:r>
            <w:r>
              <w:rPr>
                <w:color w:val="000000"/>
                <w:spacing w:val="0"/>
                <w:w w:val="100"/>
                <w:position w:val="0"/>
              </w:rPr>
              <w:t>1,904,200</w:t>
            </w:r>
            <w:r>
              <w:rPr>
                <w:color w:val="000000"/>
                <w:spacing w:val="0"/>
                <w:w w:val="100"/>
                <w:position w:val="0"/>
              </w:rPr>
              <w:t>股公司股票外，还通过长江证券股份 有限公司客户信用交易担保证券账户持有</w:t>
            </w:r>
            <w:r>
              <w:rPr>
                <w:color w:val="000000"/>
                <w:spacing w:val="0"/>
                <w:w w:val="100"/>
                <w:position w:val="0"/>
              </w:rPr>
              <w:t>28,500</w:t>
            </w:r>
            <w:r>
              <w:rPr>
                <w:color w:val="000000"/>
                <w:spacing w:val="0"/>
                <w:w w:val="100"/>
                <w:position w:val="0"/>
              </w:rPr>
              <w:t xml:space="preserve">股公司股票，实际合计持有 </w:t>
            </w:r>
            <w:r>
              <w:rPr>
                <w:color w:val="000000"/>
                <w:spacing w:val="0"/>
                <w:w w:val="100"/>
                <w:position w:val="0"/>
              </w:rPr>
              <w:t>1,932,700</w:t>
            </w:r>
            <w:r>
              <w:rPr>
                <w:color w:val="000000"/>
                <w:spacing w:val="0"/>
                <w:w w:val="100"/>
                <w:position w:val="0"/>
              </w:rPr>
              <w:t>股公司股票。</w:t>
            </w:r>
          </w:p>
        </w:tc>
      </w:tr>
    </w:tbl>
    <w:p>
      <w:pPr>
        <w:widowControl w:val="0"/>
        <w:spacing w:after="279" w:line="1" w:lineRule="exact"/>
      </w:pP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400" w:line="360" w:lineRule="exact"/>
        <w:ind w:left="0" w:right="0" w:firstLine="360"/>
        <w:jc w:val="left"/>
      </w:pPr>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40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2</w:t>
      </w:r>
      <w:bookmarkEnd w:id="428"/>
      <w:r>
        <w:rPr>
          <w:color w:val="000000"/>
          <w:spacing w:val="0"/>
          <w:w w:val="100"/>
          <w:position w:val="0"/>
        </w:rPr>
        <w:t>、公司控股股东情况</w:t>
      </w:r>
      <w:bookmarkEnd w:id="426"/>
      <w:bookmarkEnd w:id="427"/>
      <w:bookmarkEnd w:id="42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控股股东性质：中央国有控股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92"/>
        <w:gridCol w:w="2002"/>
        <w:gridCol w:w="1594"/>
        <w:gridCol w:w="1757"/>
        <w:gridCol w:w="223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914201007246709317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创业投资业务；代理其他创 业投资企业等机构或个人的 创业投资业务；创业投资咨 询业务；为创业企业提供创 业管理服务业务；参与设立 创业投资企业与创业投资管 理顾问机构。</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40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3</w:t>
      </w:r>
      <w:bookmarkEnd w:id="432"/>
      <w:r>
        <w:rPr>
          <w:color w:val="000000"/>
          <w:spacing w:val="0"/>
          <w:w w:val="100"/>
          <w:position w:val="0"/>
        </w:rPr>
        <w:t>、公司实际控制人及其一致行动人</w:t>
      </w:r>
      <w:bookmarkEnd w:id="430"/>
      <w:bookmarkEnd w:id="431"/>
      <w:bookmarkEnd w:id="43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实际控制人性质：高等学校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565"/>
        <w:gridCol w:w="2126"/>
        <w:gridCol w:w="1560"/>
        <w:gridCol w:w="1771"/>
        <w:gridCol w:w="25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李元元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12100000441626842D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培养高等学历人才，促进科技文 化发展。理学类、工学类、医学 类、文学类、管理学类、经济学 类、教育学类、法学类、哲学类</w:t>
            </w:r>
          </w:p>
        </w:tc>
      </w:tr>
    </w:tbl>
    <w:p>
      <w:pPr>
        <w:spacing w:lineRule="exact" w:line="1"/>
        <w:rPr>
          <w:sz w:val="2"/>
          <w:szCs w:val="2"/>
        </w:rPr>
      </w:pPr>
      <w:r>
        <w:br w:type="page"/>
      </w:r>
    </w:p>
    <w:tbl>
      <w:tblPr>
        <w:tblOverlap w:val="never"/>
        <w:jc w:val="center"/>
        <w:tblLayout w:type="fixed"/>
      </w:tblPr>
      <w:tblGrid>
        <w:gridCol w:w="1565"/>
        <w:gridCol w:w="2126"/>
        <w:gridCol w:w="1560"/>
        <w:gridCol w:w="1771"/>
        <w:gridCol w:w="255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学科高等专科、本科、硕士研究 生和博士研究生学历教育、博士 后培养、相关科学研究、继续教 育、专业培训、学术交流与科技 咨询。</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实际控制人报告期 内控制的其他境内 外上市公司的股权 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截至报告期末，华中科技大学控制的其他上市公司有华工科技产业股份有限公司（以下简称“华工科 技”</w:t>
            </w:r>
            <w:r>
              <w:rPr>
                <w:color w:val="000000"/>
                <w:spacing w:val="0"/>
                <w:w w:val="100"/>
                <w:position w:val="0"/>
              </w:rPr>
              <w:t>）</w:t>
            </w:r>
            <w:r>
              <w:rPr>
                <w:color w:val="000000"/>
                <w:spacing w:val="0"/>
                <w:w w:val="100"/>
                <w:position w:val="0"/>
              </w:rPr>
              <w:t>。华中科技大学通过产业集团持有华工科技</w:t>
            </w:r>
            <w:r>
              <w:rPr>
                <w:color w:val="000000"/>
                <w:spacing w:val="0"/>
                <w:w w:val="100"/>
                <w:position w:val="0"/>
              </w:rPr>
              <w:t>240,432,077</w:t>
            </w:r>
            <w:r>
              <w:rPr>
                <w:color w:val="000000"/>
                <w:spacing w:val="0"/>
                <w:w w:val="100"/>
                <w:position w:val="0"/>
              </w:rPr>
              <w:t>股股份，持股比例为</w:t>
            </w:r>
            <w:r>
              <w:rPr>
                <w:color w:val="000000"/>
                <w:spacing w:val="0"/>
                <w:w w:val="100"/>
                <w:position w:val="0"/>
              </w:rPr>
              <w:t>23.91%</w:t>
            </w:r>
            <w:r>
              <w:rPr>
                <w:color w:val="000000"/>
                <w:spacing w:val="0"/>
                <w:w w:val="100"/>
                <w:position w:val="0"/>
              </w:rPr>
              <w:t>。截至目 前，产业集团已通过公开征集受让方的方式协议转让所持有的华工科技</w:t>
            </w:r>
            <w:r>
              <w:rPr>
                <w:color w:val="000000"/>
                <w:spacing w:val="0"/>
                <w:w w:val="100"/>
                <w:position w:val="0"/>
              </w:rPr>
              <w:t>191,045,514</w:t>
            </w:r>
            <w:r>
              <w:rPr>
                <w:color w:val="000000"/>
                <w:spacing w:val="0"/>
                <w:w w:val="100"/>
                <w:position w:val="0"/>
              </w:rPr>
              <w:t>股股份，产业集 团不再为华工科技的控股股东，华中科技大学不再为华工科技的实际控制人。</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67589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stretch/>
                  </pic:blipFill>
                  <pic:spPr>
                    <a:xfrm>
                      <a:ext cx="4590415" cy="2675890"/>
                    </a:xfrm>
                    <a:prstGeom prst="rect"/>
                  </pic:spPr>
                </pic:pic>
              </a:graphicData>
            </a:graphic>
          </wp:inline>
        </w:drawing>
      </w:r>
    </w:p>
    <w:p>
      <w:pPr>
        <w:widowControl w:val="0"/>
        <w:spacing w:after="31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4</w:t>
      </w:r>
      <w:bookmarkEnd w:id="436"/>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434"/>
      <w:bookmarkEnd w:id="435"/>
      <w:bookmarkEnd w:id="437"/>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582"/>
        <w:gridCol w:w="2102"/>
        <w:gridCol w:w="1555"/>
        <w:gridCol w:w="1210"/>
        <w:gridCol w:w="234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法定代表人/单位负责人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武汉光谷创业投资基金有限公司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创业投资业务；代理其他创业 投资企业等机构或个人的创 业投资业务；创业投资咨询业 务；为创业企业提供创业管理 服务业务；参与设立创业投资 企业与创业投资管理顾问机 构。</w:t>
            </w:r>
          </w:p>
        </w:tc>
      </w:tr>
    </w:tbl>
    <w:p>
      <w:pPr>
        <w:pStyle w:val="Style30"/>
        <w:keepNext/>
        <w:keepLines/>
        <w:widowControl w:val="0"/>
        <w:shd w:val="clear" w:color="auto" w:fill="auto"/>
        <w:bidi w:val="0"/>
        <w:spacing w:before="0" w:after="40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5</w:t>
      </w:r>
      <w:bookmarkEnd w:id="440"/>
      <w:r>
        <w:rPr>
          <w:color w:val="000000"/>
          <w:spacing w:val="0"/>
          <w:w w:val="100"/>
          <w:position w:val="0"/>
        </w:rPr>
        <w:t>、控股股东、实际控制人、重组方及其他承诺主体股份限制减持情况</w:t>
      </w:r>
      <w:bookmarkEnd w:id="438"/>
      <w:bookmarkEnd w:id="439"/>
      <w:bookmarkEnd w:id="441"/>
    </w:p>
    <w:p>
      <w:pPr>
        <w:pStyle w:val="Style26"/>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69" w:right="697" w:bottom="1446" w:left="91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2970" cy="247015"/>
                <wp:wrapTopAndBottom/>
                <wp:docPr id="56" name="Shape 56"/>
                <a:graphic xmlns:a="http://schemas.openxmlformats.org/drawingml/2006/main">
                  <a:graphicData uri="http://schemas.microsoft.com/office/word/2010/wordprocessingShape">
                    <wps:wsp>
                      <wps:cNvSpPr txBox="1"/>
                      <wps:spPr>
                        <a:xfrm>
                          <a:ext cx="2172970" cy="247015"/>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442" w:name="bookmark442"/>
                            <w:bookmarkStart w:id="443" w:name="bookmark443"/>
                            <w:bookmarkStart w:id="444" w:name="bookmark444"/>
                            <w:r>
                              <w:rPr>
                                <w:color w:val="000000"/>
                                <w:spacing w:val="0"/>
                                <w:w w:val="100"/>
                                <w:position w:val="0"/>
                              </w:rPr>
                              <w:t>第七节优先股相关情况</w:t>
                            </w:r>
                            <w:bookmarkEnd w:id="442"/>
                            <w:bookmarkEnd w:id="443"/>
                            <w:bookmarkEnd w:id="444"/>
                          </w:p>
                        </w:txbxContent>
                      </wps:txbx>
                      <wps:bodyPr wrap="none" lIns="0" tIns="0" rIns="0" bIns="0">
                        <a:noAutoFit/>
                      </wps:bodyPr>
                    </wps:wsp>
                  </a:graphicData>
                </a:graphic>
              </wp:anchor>
            </w:drawing>
          </mc:Choice>
          <mc:Fallback>
            <w:pict>
              <v:shape id="_x0000_s1082" type="#_x0000_t202" style="position:absolute;margin-left:212.05000000000001pt;margin-top:0;width:171.09999999999999pt;height:19.449999999999999pt;z-index:-125829375;mso-wrap-distance-left:0;mso-wrap-distance-right:0;mso-wrap-distance-bottom:22.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442" w:name="bookmark442"/>
                      <w:bookmarkStart w:id="443" w:name="bookmark443"/>
                      <w:bookmarkStart w:id="444" w:name="bookmark444"/>
                      <w:r>
                        <w:rPr>
                          <w:color w:val="000000"/>
                          <w:spacing w:val="0"/>
                          <w:w w:val="100"/>
                          <w:position w:val="0"/>
                        </w:rPr>
                        <w:t>第七节优先股相关情况</w:t>
                      </w:r>
                      <w:bookmarkEnd w:id="442"/>
                      <w:bookmarkEnd w:id="443"/>
                      <w:bookmarkEnd w:id="444"/>
                    </w:p>
                  </w:txbxContent>
                </v:textbox>
                <w10:wrap type="topAndBottom" anchorx="page"/>
              </v:shape>
            </w:pict>
          </mc:Fallback>
        </mc:AlternateContent>
      </w:r>
    </w:p>
    <w:p>
      <w:pPr>
        <w:pStyle w:val="Style26"/>
        <w:keepNext w:val="0"/>
        <w:keepLines w:val="0"/>
        <w:widowControl w:val="0"/>
        <w:shd w:val="clear" w:color="auto" w:fill="auto"/>
        <w:bidi w:val="0"/>
        <w:spacing w:before="0" w:after="160" w:line="240" w:lineRule="auto"/>
        <w:ind w:left="0" w:right="0" w:firstLine="0"/>
        <w:jc w:val="left"/>
      </w:pPr>
      <w:bookmarkStart w:id="445" w:name="bookmark445"/>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45"/>
    </w:p>
    <w:p>
      <w:pPr>
        <w:pStyle w:val="Style26"/>
        <w:keepNext w:val="0"/>
        <w:keepLines w:val="0"/>
        <w:widowControl w:val="0"/>
        <w:shd w:val="clear" w:color="auto" w:fill="auto"/>
        <w:bidi w:val="0"/>
        <w:spacing w:before="0" w:after="0" w:line="240" w:lineRule="auto"/>
        <w:ind w:left="0" w:right="0" w:firstLine="380"/>
        <w:jc w:val="both"/>
        <w:sectPr>
          <w:footnotePr>
            <w:pos w:val="pageBottom"/>
            <w:numFmt w:val="decimal"/>
            <w:numRestart w:val="continuous"/>
          </w:footnotePr>
          <w:pgSz w:w="11900" w:h="16840"/>
          <w:pgMar w:top="1935" w:right="978" w:bottom="1935" w:left="1107"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446" w:name="bookmark446"/>
      <w:bookmarkStart w:id="447" w:name="bookmark447"/>
      <w:bookmarkStart w:id="448" w:name="bookmark448"/>
      <w:r>
        <w:rPr>
          <w:color w:val="000000"/>
          <w:spacing w:val="0"/>
          <w:w w:val="100"/>
          <w:position w:val="0"/>
        </w:rPr>
        <w:t>第八节可转换公司债券相关情况</w:t>
      </w:r>
      <w:bookmarkEnd w:id="446"/>
      <w:bookmarkEnd w:id="447"/>
      <w:bookmarkEnd w:id="448"/>
    </w:p>
    <w:p>
      <w:pPr>
        <w:pStyle w:val="Style26"/>
        <w:keepNext w:val="0"/>
        <w:keepLines w:val="0"/>
        <w:widowControl w:val="0"/>
        <w:shd w:val="clear" w:color="auto" w:fill="auto"/>
        <w:bidi w:val="0"/>
        <w:spacing w:before="0" w:after="160" w:line="240" w:lineRule="auto"/>
        <w:ind w:left="0" w:right="0" w:firstLine="0"/>
        <w:jc w:val="left"/>
      </w:pPr>
      <w:bookmarkStart w:id="449" w:name="bookmark449"/>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449"/>
    </w:p>
    <w:p>
      <w:pPr>
        <w:pStyle w:val="Style26"/>
        <w:keepNext w:val="0"/>
        <w:keepLines w:val="0"/>
        <w:widowControl w:val="0"/>
        <w:shd w:val="clear" w:color="auto" w:fill="auto"/>
        <w:bidi w:val="0"/>
        <w:spacing w:before="0" w:after="360" w:line="240" w:lineRule="auto"/>
        <w:ind w:left="0" w:right="0" w:firstLine="380"/>
        <w:jc w:val="left"/>
        <w:sectPr>
          <w:footnotePr>
            <w:pos w:val="pageBottom"/>
            <w:numFmt w:val="decimal"/>
            <w:numRestart w:val="continuous"/>
          </w:footnotePr>
          <w:pgSz w:w="11900" w:h="16840"/>
          <w:pgMar w:top="1935" w:right="978" w:bottom="1935" w:left="1107" w:header="0" w:footer="3" w:gutter="0"/>
          <w:cols w:space="720"/>
          <w:noEndnote/>
          <w:rtlGutter w:val="0"/>
          <w:docGrid w:linePitch="360"/>
        </w:sectPr>
      </w:pPr>
      <w:r>
        <w:rPr>
          <w:color w:val="000000"/>
          <w:spacing w:val="0"/>
          <w:w w:val="100"/>
          <w:position w:val="0"/>
        </w:rPr>
        <w:t>报告期公司不存在可转换公司债券。</w:t>
      </w:r>
    </w:p>
    <w:p>
      <w:pPr>
        <w:pStyle w:val="Style9"/>
        <w:keepNext/>
        <w:keepLines/>
        <w:widowControl w:val="0"/>
        <w:shd w:val="clear" w:color="auto" w:fill="auto"/>
        <w:bidi w:val="0"/>
        <w:spacing w:before="520" w:after="540" w:line="240" w:lineRule="auto"/>
        <w:ind w:left="0" w:right="0" w:firstLine="0"/>
        <w:jc w:val="center"/>
      </w:pPr>
      <w:bookmarkStart w:id="450" w:name="bookmark450"/>
      <w:bookmarkStart w:id="451" w:name="bookmark451"/>
      <w:bookmarkStart w:id="452" w:name="bookmark452"/>
      <w:r>
        <w:rPr>
          <w:color w:val="000000"/>
          <w:spacing w:val="0"/>
          <w:w w:val="100"/>
          <w:position w:val="0"/>
        </w:rPr>
        <w:t>第九节董事、监事、高级管理人员和员工情况</w:t>
      </w:r>
      <w:bookmarkEnd w:id="450"/>
      <w:bookmarkEnd w:id="451"/>
      <w:bookmarkEnd w:id="452"/>
    </w:p>
    <w:p>
      <w:pPr>
        <w:pStyle w:val="Style23"/>
        <w:keepNext/>
        <w:keepLines/>
        <w:widowControl w:val="0"/>
        <w:shd w:val="clear" w:color="auto" w:fill="auto"/>
        <w:bidi w:val="0"/>
        <w:spacing w:before="0" w:after="340" w:line="240" w:lineRule="auto"/>
        <w:ind w:left="0" w:right="0" w:firstLine="240"/>
        <w:jc w:val="left"/>
      </w:pPr>
      <w:bookmarkStart w:id="453" w:name="bookmark453"/>
      <w:bookmarkStart w:id="454" w:name="bookmark454"/>
      <w:bookmarkStart w:id="455" w:name="bookmark455"/>
      <w:bookmarkStart w:id="456" w:name="bookmark456"/>
      <w:r>
        <w:rPr>
          <w:color w:val="000000"/>
          <w:spacing w:val="0"/>
          <w:w w:val="100"/>
          <w:position w:val="0"/>
        </w:rPr>
        <w:t>、董事、监事和高级管理人员持股变动</w:t>
      </w:r>
      <w:bookmarkEnd w:id="454"/>
      <w:bookmarkEnd w:id="455"/>
      <w:bookmarkEnd w:id="456"/>
      <w:bookmarkEnd w:id="453"/>
    </w:p>
    <w:tbl>
      <w:tblPr>
        <w:tblOverlap w:val="never"/>
        <w:jc w:val="center"/>
        <w:tblLayout w:type="fixed"/>
      </w:tblPr>
      <w:tblGrid>
        <w:gridCol w:w="802"/>
        <w:gridCol w:w="2006"/>
        <w:gridCol w:w="797"/>
        <w:gridCol w:w="797"/>
        <w:gridCol w:w="797"/>
        <w:gridCol w:w="1651"/>
        <w:gridCol w:w="1699"/>
        <w:gridCol w:w="994"/>
        <w:gridCol w:w="797"/>
        <w:gridCol w:w="802"/>
        <w:gridCol w:w="797"/>
        <w:gridCol w:w="101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93"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5,419,710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2"/>
        <w:gridCol w:w="2006"/>
        <w:gridCol w:w="797"/>
        <w:gridCol w:w="797"/>
        <w:gridCol w:w="797"/>
        <w:gridCol w:w="1651"/>
        <w:gridCol w:w="1699"/>
        <w:gridCol w:w="994"/>
        <w:gridCol w:w="797"/>
        <w:gridCol w:w="802"/>
        <w:gridCol w:w="797"/>
        <w:gridCol w:w="101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5,422,950</w:t>
            </w:r>
          </w:p>
        </w:tc>
      </w:tr>
    </w:tbl>
    <w:p>
      <w:pPr>
        <w:widowControl w:val="0"/>
        <w:spacing w:after="39" w:line="1" w:lineRule="exact"/>
      </w:pPr>
    </w:p>
    <w:p>
      <w:pPr>
        <w:pStyle w:val="Style26"/>
        <w:keepNext w:val="0"/>
        <w:keepLines w:val="0"/>
        <w:widowControl w:val="0"/>
        <w:shd w:val="clear" w:color="auto" w:fill="auto"/>
        <w:bidi w:val="0"/>
        <w:spacing w:before="0" w:after="0" w:line="317" w:lineRule="exact"/>
        <w:ind w:left="0" w:right="0" w:firstLine="440"/>
        <w:jc w:val="left"/>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23" w:right="1412" w:bottom="1277" w:left="1422" w:header="0" w:footer="3" w:gutter="0"/>
          <w:cols w:space="720"/>
          <w:noEndnote/>
          <w:rtlGutter w:val="0"/>
          <w:docGrid w:linePitch="360"/>
        </w:sectPr>
      </w:pPr>
      <w:r>
        <w:rPr>
          <w:color w:val="000000"/>
          <w:spacing w:val="0"/>
          <w:w w:val="100"/>
          <w:position w:val="0"/>
        </w:rPr>
        <w:t>注：公司第七届董事会、第七届监事会的任期于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日届满，现任高级管理人员的任期于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日届满。鉴于目前公司控股股东华工创投及其一致行动 人产业集团正在推进公开征集转让公司股份事宜，为确保各项工作的连续性和稳定性，公司董事会和监事会将延期换届，董事会下设的审计委员会和公司高级管理人员将相应延期 换届。公司将在控股股东及其一致行动人转让公司股份事项完成后尽快推进相关换届工作（详见公司于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日在巨潮资讯网披露的《关于董事会、监事会及高级管理人 员延期换届的公告》）。</w:t>
      </w:r>
    </w:p>
    <w:p>
      <w:pPr>
        <w:pStyle w:val="Style23"/>
        <w:keepNext/>
        <w:keepLines/>
        <w:widowControl w:val="0"/>
        <w:shd w:val="clear" w:color="auto" w:fill="auto"/>
        <w:bidi w:val="0"/>
        <w:spacing w:before="340" w:line="240" w:lineRule="auto"/>
        <w:ind w:left="0" w:right="0" w:firstLine="0"/>
        <w:jc w:val="both"/>
      </w:pPr>
      <w:bookmarkStart w:id="457" w:name="bookmark457"/>
      <w:bookmarkStart w:id="458" w:name="bookmark458"/>
      <w:bookmarkStart w:id="459" w:name="bookmark459"/>
      <w:bookmarkStart w:id="460" w:name="bookmark460"/>
      <w:r>
        <w:rPr>
          <w:color w:val="000000"/>
          <w:spacing w:val="0"/>
          <w:w w:val="100"/>
          <w:position w:val="0"/>
        </w:rPr>
        <w:t>二</w:t>
      </w:r>
      <w:bookmarkEnd w:id="459"/>
      <w:r>
        <w:rPr>
          <w:color w:val="000000"/>
          <w:spacing w:val="0"/>
          <w:w w:val="100"/>
          <w:position w:val="0"/>
        </w:rPr>
        <w:t>、公司董事、监事、高级管理人员变动情况</w:t>
      </w:r>
      <w:bookmarkEnd w:id="457"/>
      <w:bookmarkEnd w:id="458"/>
      <w:bookmarkEnd w:id="460"/>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34"/>
        <w:gridCol w:w="1901"/>
        <w:gridCol w:w="1330"/>
        <w:gridCol w:w="1646"/>
        <w:gridCol w:w="42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因工作变动不再担任财务负责人职务，继续担任董事、 总经理职务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工作原因主动离职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副总经理兼董事会秘书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07</w:t>
            </w:r>
            <w:r>
              <w:rPr>
                <w:color w:val="000000"/>
                <w:spacing w:val="0"/>
                <w:w w:val="100"/>
                <w:position w:val="0"/>
              </w:rPr>
              <w:t>月</w:t>
            </w:r>
            <w:r>
              <w:rPr>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因工作变动不再担任副总经理兼董事会秘书职务</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三</w:t>
      </w:r>
      <w:bookmarkEnd w:id="463"/>
      <w:r>
        <w:rPr>
          <w:color w:val="000000"/>
          <w:spacing w:val="0"/>
          <w:w w:val="100"/>
          <w:position w:val="0"/>
        </w:rPr>
        <w:t>、任职情况</w:t>
      </w:r>
      <w:bookmarkEnd w:id="461"/>
      <w:bookmarkEnd w:id="462"/>
      <w:bookmarkEnd w:id="464"/>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17" w:lineRule="exact"/>
        <w:ind w:left="0" w:right="0" w:firstLine="0"/>
        <w:jc w:val="both"/>
      </w:pPr>
      <w:bookmarkStart w:id="465" w:name="bookmark465"/>
      <w:r>
        <w:rPr>
          <w:b/>
          <w:bCs/>
          <w:color w:val="000000"/>
          <w:spacing w:val="0"/>
          <w:w w:val="100"/>
          <w:position w:val="0"/>
        </w:rPr>
        <w:t>（</w:t>
      </w:r>
      <w:bookmarkEnd w:id="465"/>
      <w:r>
        <w:rPr>
          <w:b/>
          <w:bCs/>
          <w:color w:val="000000"/>
          <w:spacing w:val="0"/>
          <w:w w:val="100"/>
          <w:position w:val="0"/>
        </w:rPr>
        <w:t>1）董事</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张新访，男，中国国籍，无境外居留权，</w:t>
      </w:r>
      <w:r>
        <w:rPr>
          <w:color w:val="000000"/>
          <w:spacing w:val="0"/>
          <w:w w:val="100"/>
          <w:position w:val="0"/>
        </w:rPr>
        <w:t>1965</w:t>
      </w:r>
      <w:r>
        <w:rPr>
          <w:color w:val="000000"/>
          <w:spacing w:val="0"/>
          <w:w w:val="100"/>
          <w:position w:val="0"/>
        </w:rPr>
        <w:t>年</w:t>
      </w:r>
      <w:r>
        <w:rPr>
          <w:color w:val="000000"/>
          <w:spacing w:val="0"/>
          <w:w w:val="100"/>
          <w:position w:val="0"/>
        </w:rPr>
        <w:t>1</w:t>
      </w:r>
      <w:r>
        <w:rPr>
          <w:color w:val="000000"/>
          <w:spacing w:val="0"/>
          <w:w w:val="100"/>
          <w:position w:val="0"/>
        </w:rPr>
        <w:t>月出生，中共党员，工学博士学位，教授，博士生导师。曾任武汉华 中科技大产业集团有限公司董事长、总经理、董事，武汉华工创业投资有限责任公司董事、董事长，华工科技产业股份有限 公司董事，武汉华中数控股份有限公司董事。现任公司董事长。</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朱松青，男，中国国籍，无境外居留权，</w:t>
      </w:r>
      <w:r>
        <w:rPr>
          <w:color w:val="000000"/>
          <w:spacing w:val="0"/>
          <w:w w:val="100"/>
          <w:position w:val="0"/>
        </w:rPr>
        <w:t>1971</w:t>
      </w:r>
      <w:r>
        <w:rPr>
          <w:color w:val="000000"/>
          <w:spacing w:val="0"/>
          <w:w w:val="100"/>
          <w:position w:val="0"/>
        </w:rPr>
        <w:t>年</w:t>
      </w:r>
      <w:r>
        <w:rPr>
          <w:color w:val="000000"/>
          <w:spacing w:val="0"/>
          <w:w w:val="100"/>
          <w:position w:val="0"/>
        </w:rPr>
        <w:t>11</w:t>
      </w:r>
      <w:r>
        <w:rPr>
          <w:color w:val="000000"/>
          <w:spacing w:val="0"/>
          <w:w w:val="100"/>
          <w:position w:val="0"/>
        </w:rPr>
        <w:t>月出生，中共党员，经济学硕士学位，副教授。曾任武汉华中科技大 产业集团有限公司党委副书记、副总经理，武汉华工创业投资有限责任公司董事、总经理，武汉华工科技企业孵化器有限责 任公司执行董事，武汉华胜工程建设科技有限公司董事，科华银赛创业投资有限公司董事，武汉华中数控股份有限公司监事 会主席。现任公司董事，武汉华中科技大产业集团有限公司董事、总经理，武汉华工创业投资有限责任公司董事长，华工科 技产业股份有限公司董事。</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熊赟，男，中国国籍，无境外居留权，</w:t>
      </w:r>
      <w:r>
        <w:rPr>
          <w:color w:val="000000"/>
          <w:spacing w:val="0"/>
          <w:w w:val="100"/>
          <w:position w:val="0"/>
        </w:rPr>
        <w:t>1980</w:t>
      </w:r>
      <w:r>
        <w:rPr>
          <w:color w:val="000000"/>
          <w:spacing w:val="0"/>
          <w:w w:val="100"/>
          <w:position w:val="0"/>
        </w:rPr>
        <w:t>年</w:t>
      </w:r>
      <w:r>
        <w:rPr>
          <w:color w:val="000000"/>
          <w:spacing w:val="0"/>
          <w:w w:val="100"/>
          <w:position w:val="0"/>
        </w:rPr>
        <w:t>1</w:t>
      </w:r>
      <w:r>
        <w:rPr>
          <w:color w:val="000000"/>
          <w:spacing w:val="0"/>
          <w:w w:val="100"/>
          <w:position w:val="0"/>
        </w:rPr>
        <w:t>月出生，中共党员，华中科技大学经济学院金融专业和计算机学院计算 机科学与技术专业毕业，双学士学位。曾任华中科技大学学校办公室综合科副科长、学校办公室主任助理，武汉华中华昌能 源电气科技有限公司董事。现任公司董事，武汉华中科技大产业集团有限公司副总经理，武汉同济科技集团有限公司董事， 华中科技大学出版社有限责任公司董事。</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程哲，男，中国国籍，无境外居留权，</w:t>
      </w:r>
      <w:r>
        <w:rPr>
          <w:color w:val="000000"/>
          <w:spacing w:val="0"/>
          <w:w w:val="100"/>
          <w:position w:val="0"/>
        </w:rPr>
        <w:t>1980</w:t>
      </w:r>
      <w:r>
        <w:rPr>
          <w:color w:val="000000"/>
          <w:spacing w:val="0"/>
          <w:w w:val="100"/>
          <w:position w:val="0"/>
        </w:rPr>
        <w:t>年</w:t>
      </w:r>
      <w:r>
        <w:rPr>
          <w:color w:val="000000"/>
          <w:spacing w:val="0"/>
          <w:w w:val="100"/>
          <w:position w:val="0"/>
        </w:rPr>
        <w:t>1</w:t>
      </w:r>
      <w:r>
        <w:rPr>
          <w:color w:val="000000"/>
          <w:spacing w:val="0"/>
          <w:w w:val="100"/>
          <w:position w:val="0"/>
        </w:rPr>
        <w:t>月出生，中共党员，华中科技大学西方经济学和电磁场与微波技术专业 研究生，双学位硕士。曾任武汉东湖新技术开发区管理委员会项目工作组副组长，艾格太阳能（武汉）有限公司副董事长， 武汉光谷金融控股集团有限公司总经理助理，武汉科融成长创业投资管理有限公司总经理。现任公司董事，武汉光谷创业投 资基金有限公司董事长，武汉光谷金融控股集团有限公司副总经理，武汉光谷产业发展基金管理有限公司执行董事、常务副 总经理，武汉光谷人才私募投资管理有限公司董事长。</w:t>
      </w:r>
    </w:p>
    <w:p>
      <w:pPr>
        <w:pStyle w:val="Style2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颜佐辉，男，中国国籍，无境外居留权，</w:t>
      </w:r>
      <w:r>
        <w:rPr>
          <w:color w:val="000000"/>
          <w:spacing w:val="0"/>
          <w:w w:val="100"/>
          <w:position w:val="0"/>
        </w:rPr>
        <w:t>1970</w:t>
      </w:r>
      <w:r>
        <w:rPr>
          <w:color w:val="000000"/>
          <w:spacing w:val="0"/>
          <w:w w:val="100"/>
          <w:position w:val="0"/>
        </w:rPr>
        <w:t>年</w:t>
      </w:r>
      <w:r>
        <w:rPr>
          <w:color w:val="000000"/>
          <w:spacing w:val="0"/>
          <w:w w:val="100"/>
          <w:position w:val="0"/>
        </w:rPr>
        <w:t>7</w:t>
      </w:r>
      <w:r>
        <w:rPr>
          <w:color w:val="000000"/>
          <w:spacing w:val="0"/>
          <w:w w:val="100"/>
          <w:position w:val="0"/>
        </w:rPr>
        <w:t>月出生，本科学历。曾任中国扬子江轮船股份有限公司财务部副部长， 武汉东湖高新进出口有限公司财务部部长，武汉光谷进出口有限公司财务部部长，武汉光谷投资担保有限公司常务副总经理。 现任公司董事，武汉光谷金融控股集团有限公司财务管理部（融资部）负责人，武汉光谷创业投资基金有限公司监事，武汉 光谷征信管理有限公司董事长，武汉光谷集成电路发展有限公司董事，武汉光谷人才创业投资基金有限公司监事，武汉科融 成长创业投资管理有限公司监事，武汉中科医疗科技工业技术研究院有限公司监事，武汉东湖企业信用促进会理事长。</w:t>
      </w:r>
    </w:p>
    <w:p>
      <w:pPr>
        <w:pStyle w:val="Style2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孙静，女，中国国籍，无境外居留权，</w:t>
      </w:r>
      <w:r>
        <w:rPr>
          <w:color w:val="000000"/>
          <w:spacing w:val="0"/>
          <w:w w:val="100"/>
          <w:position w:val="0"/>
        </w:rPr>
        <w:t>1965</w:t>
      </w:r>
      <w:r>
        <w:rPr>
          <w:color w:val="000000"/>
          <w:spacing w:val="0"/>
          <w:w w:val="100"/>
          <w:position w:val="0"/>
        </w:rPr>
        <w:t>年</w:t>
      </w:r>
      <w:r>
        <w:rPr>
          <w:color w:val="000000"/>
          <w:spacing w:val="0"/>
          <w:w w:val="100"/>
          <w:position w:val="0"/>
        </w:rPr>
        <w:t>10</w:t>
      </w:r>
      <w:r>
        <w:rPr>
          <w:color w:val="000000"/>
          <w:spacing w:val="0"/>
          <w:w w:val="100"/>
          <w:position w:val="0"/>
        </w:rPr>
        <w:t>月出生，会计学专业，本科学历，会计师。曾任公司财务部部长、总经 理助理、副总经理、财务负责人。现任公司董事、总经理。</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邹卓瑜，女，中国国籍，无境外居留权，</w:t>
      </w:r>
      <w:r>
        <w:rPr>
          <w:color w:val="000000"/>
          <w:spacing w:val="0"/>
          <w:w w:val="100"/>
          <w:position w:val="0"/>
        </w:rPr>
        <w:t>1984</w:t>
      </w:r>
      <w:r>
        <w:rPr>
          <w:color w:val="000000"/>
          <w:spacing w:val="0"/>
          <w:w w:val="100"/>
          <w:position w:val="0"/>
        </w:rPr>
        <w:t>年</w:t>
      </w:r>
      <w:r>
        <w:rPr>
          <w:color w:val="000000"/>
          <w:spacing w:val="0"/>
          <w:w w:val="100"/>
          <w:position w:val="0"/>
        </w:rPr>
        <w:t>1</w:t>
      </w:r>
      <w:r>
        <w:rPr>
          <w:color w:val="000000"/>
          <w:spacing w:val="0"/>
          <w:w w:val="100"/>
          <w:position w:val="0"/>
        </w:rPr>
        <w:t xml:space="preserve">月出生，中共党员，清华大学会计学专业学士，清华大学工商管理专 业硕士，注册会计师。曾任毕马威华振会计师事务所（特殊普通合伙）审计师，太平洋联合资本集团私募股权投资部分析师， </w:t>
      </w:r>
      <w:r>
        <w:rPr>
          <w:color w:val="000000"/>
          <w:spacing w:val="0"/>
          <w:w w:val="100"/>
          <w:position w:val="0"/>
        </w:rPr>
        <w:t>浙商银行北京分行投资银行部项目经理，中国黄金集团资产管理有限公司高级投资经理。现任公司独立董事，北京先农投资 管理有限公司高级投资经理。</w:t>
      </w:r>
    </w:p>
    <w:p>
      <w:pPr>
        <w:pStyle w:val="Style26"/>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王清云，女，中国国籍，无境外居留权，</w:t>
      </w:r>
      <w:r>
        <w:rPr>
          <w:color w:val="000000"/>
          <w:spacing w:val="0"/>
          <w:w w:val="100"/>
          <w:position w:val="0"/>
        </w:rPr>
        <w:t>1964</w:t>
      </w:r>
      <w:r>
        <w:rPr>
          <w:color w:val="000000"/>
          <w:spacing w:val="0"/>
          <w:w w:val="100"/>
          <w:position w:val="0"/>
        </w:rPr>
        <w:t>年</w:t>
      </w:r>
      <w:r>
        <w:rPr>
          <w:color w:val="000000"/>
          <w:spacing w:val="0"/>
          <w:w w:val="100"/>
          <w:position w:val="0"/>
        </w:rPr>
        <w:t>12</w:t>
      </w:r>
      <w:r>
        <w:rPr>
          <w:color w:val="000000"/>
          <w:spacing w:val="0"/>
          <w:w w:val="100"/>
          <w:position w:val="0"/>
        </w:rPr>
        <w:t>月出生，中共党员，南开大学法学学士，中国人民大学法学硕士。曾 任中国教育出版传媒集团有限公司子公司高等教育出版社有限公司监事、版权事务与法律服务部副主任、纪检监察审计部主 任。现任公司独立董事，北京德恒律师事务所律师，克劳斯玛菲股份有限公司独立董事，四川川大智胜软件股份有限公司独 立董事。</w:t>
      </w:r>
    </w:p>
    <w:p>
      <w:pPr>
        <w:pStyle w:val="Style26"/>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黄澄清，男，中国国籍，无境外居留权，</w:t>
      </w:r>
      <w:r>
        <w:rPr>
          <w:color w:val="000000"/>
          <w:spacing w:val="0"/>
          <w:w w:val="100"/>
          <w:position w:val="0"/>
        </w:rPr>
        <w:t>1957</w:t>
      </w:r>
      <w:r>
        <w:rPr>
          <w:color w:val="000000"/>
          <w:spacing w:val="0"/>
          <w:w w:val="100"/>
          <w:position w:val="0"/>
        </w:rPr>
        <w:t>年</w:t>
      </w:r>
      <w:r>
        <w:rPr>
          <w:color w:val="000000"/>
          <w:spacing w:val="0"/>
          <w:w w:val="100"/>
          <w:position w:val="0"/>
        </w:rPr>
        <w:t>7</w:t>
      </w:r>
      <w:r>
        <w:rPr>
          <w:color w:val="000000"/>
          <w:spacing w:val="0"/>
          <w:w w:val="100"/>
          <w:position w:val="0"/>
        </w:rPr>
        <w:t>月出生，中共党员，北京邮电大学载波通信专业学士，北京大学</w:t>
      </w:r>
      <w:r>
        <w:rPr>
          <w:color w:val="000000"/>
          <w:spacing w:val="0"/>
          <w:w w:val="100"/>
          <w:position w:val="0"/>
        </w:rPr>
        <w:t xml:space="preserve">EMBA， </w:t>
      </w:r>
      <w:r>
        <w:rPr>
          <w:color w:val="000000"/>
          <w:spacing w:val="0"/>
          <w:w w:val="100"/>
          <w:position w:val="0"/>
        </w:rPr>
        <w:t>北京航空航天大学管理学博士。曾任国家计算机网络应急技术处理协调中心主任、党委书记，优刻得科技股份有限公司独立 董事。现任公司独立董事，中国互联网协会副理事长，中国网络空间安全协会副理事长，中科全联（北京）科技有限公司董 事长，云引擎（北京）网络科技有限公司董事，北京雅迪传媒股份有限公司独立董事，新华网股份有限公司独立董事，亚信 安全科技股份有限公司独立董事，广东希荻微电子股份有限公司独立董事。</w:t>
      </w:r>
    </w:p>
    <w:p>
      <w:pPr>
        <w:pStyle w:val="Style26"/>
        <w:keepNext w:val="0"/>
        <w:keepLines w:val="0"/>
        <w:widowControl w:val="0"/>
        <w:shd w:val="clear" w:color="auto" w:fill="auto"/>
        <w:tabs>
          <w:tab w:pos="534" w:val="left"/>
        </w:tabs>
        <w:bidi w:val="0"/>
        <w:spacing w:before="0" w:after="0" w:line="317" w:lineRule="exact"/>
        <w:ind w:left="0" w:right="0" w:firstLine="140"/>
        <w:jc w:val="left"/>
      </w:pPr>
      <w:bookmarkStart w:id="466" w:name="bookmark466"/>
      <w:r>
        <w:rPr>
          <w:b/>
          <w:bCs/>
          <w:color w:val="000000"/>
          <w:spacing w:val="0"/>
          <w:w w:val="100"/>
          <w:position w:val="0"/>
        </w:rPr>
        <w:t>（</w:t>
      </w:r>
      <w:bookmarkEnd w:id="466"/>
      <w:r>
        <w:rPr>
          <w:b/>
          <w:bCs/>
          <w:color w:val="000000"/>
          <w:spacing w:val="0"/>
          <w:w w:val="100"/>
          <w:position w:val="0"/>
        </w:rPr>
        <w:t>2）</w:t>
        <w:tab/>
        <w:t>监事</w:t>
      </w:r>
    </w:p>
    <w:p>
      <w:pPr>
        <w:pStyle w:val="Style26"/>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李士训，男，中国国籍，无境外居留权，</w:t>
      </w:r>
      <w:r>
        <w:rPr>
          <w:color w:val="000000"/>
          <w:spacing w:val="0"/>
          <w:w w:val="100"/>
          <w:position w:val="0"/>
        </w:rPr>
        <w:t>1963</w:t>
      </w:r>
      <w:r>
        <w:rPr>
          <w:color w:val="000000"/>
          <w:spacing w:val="0"/>
          <w:w w:val="100"/>
          <w:position w:val="0"/>
        </w:rPr>
        <w:t>年</w:t>
      </w:r>
      <w:r>
        <w:rPr>
          <w:color w:val="000000"/>
          <w:spacing w:val="0"/>
          <w:w w:val="100"/>
          <w:position w:val="0"/>
        </w:rPr>
        <w:t>7</w:t>
      </w:r>
      <w:r>
        <w:rPr>
          <w:color w:val="000000"/>
          <w:spacing w:val="0"/>
          <w:w w:val="100"/>
          <w:position w:val="0"/>
        </w:rPr>
        <w:t>月出生，本科学历，学士学位，会计师。曾任华中科技大学机械厂财 务主管、财务经理，华工科技产业股份有限公司财务主管、财务副经理、财务经理，武汉华工创业投资有限责任公司董事、 董事长、总经理。现任公司监事会主席，武汉华中科技大产业集团有限公司财务总监，温州华中科技发展有限公司董事长、 总经理，武汉鑫昶文化有限公司董事长，武汉华大机械工程有限公司董事，武汉华胜工程建设科技有限公司董事，武汉开目 信息技术股份有限公司董事，深圳市华科兆恒科技有限公司董事，华工制造装备数字化国家工程中心有限公司董事，武汉华 科大生命科技有限公司董事，武汉华中科大建筑规划设计研究院有限公司董事，武汉数字建造产业技术研究院有限公司董事， 武汉华中科大检测科技有限公司董事，华工科技产业股份有限公司监事长，华中科技大学出版社有限责任公司监事长，武汉 同济科技集团有限公司监事会主席，武汉华宏资产经营管理有限公司监事长，武汉数字化设计与制造创新中心有限公司监事 长，武汉华科喻园创新服务有限公司监事长，武汉华科大机电开发有限公司监事。</w:t>
      </w:r>
    </w:p>
    <w:p>
      <w:pPr>
        <w:pStyle w:val="Style26"/>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岳蓉，女，中国国籍，无境外居留权，</w:t>
      </w:r>
      <w:r>
        <w:rPr>
          <w:color w:val="000000"/>
          <w:spacing w:val="0"/>
          <w:w w:val="100"/>
          <w:position w:val="0"/>
        </w:rPr>
        <w:t>1974</w:t>
      </w:r>
      <w:r>
        <w:rPr>
          <w:color w:val="000000"/>
          <w:spacing w:val="0"/>
          <w:w w:val="100"/>
          <w:position w:val="0"/>
        </w:rPr>
        <w:t>年</w:t>
      </w:r>
      <w:r>
        <w:rPr>
          <w:color w:val="000000"/>
          <w:spacing w:val="0"/>
          <w:w w:val="100"/>
          <w:position w:val="0"/>
        </w:rPr>
        <w:t>7</w:t>
      </w:r>
      <w:r>
        <w:rPr>
          <w:color w:val="000000"/>
          <w:spacing w:val="0"/>
          <w:w w:val="100"/>
          <w:position w:val="0"/>
        </w:rPr>
        <w:t>月出生，经济学博士学位。曾任武汉华工创业投资有限责任公司总经理 助理、副总经理，湖北富邦科技股份有限公司董事，武汉四海一家传媒股份有限公司董事。现任公司监事，武汉华科大生命 科技有限公司董事长，武汉固德银赛创业投资管理有限公司董事、总经理，天津市灏洋生物制品科技有限责任公司董事，天 津灏洋华科生物科技有限公司董事，科华银赛创业投资有限公司董事、总经理，湖北科华炎帝创业投资有限公司董事，湖北 菲利华石英玻璃股份有限公司独立董事，视觉（中国）文化发展股份有限公司监事、北京瑞华赢科技发展股份有限公司监事。</w:t>
      </w:r>
    </w:p>
    <w:p>
      <w:pPr>
        <w:pStyle w:val="Style26"/>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王彬，女，中国国籍，无境外居留权，</w:t>
      </w:r>
      <w:r>
        <w:rPr>
          <w:color w:val="000000"/>
          <w:spacing w:val="0"/>
          <w:w w:val="100"/>
          <w:position w:val="0"/>
        </w:rPr>
        <w:t>1966</w:t>
      </w:r>
      <w:r>
        <w:rPr>
          <w:color w:val="000000"/>
          <w:spacing w:val="0"/>
          <w:w w:val="100"/>
          <w:position w:val="0"/>
        </w:rPr>
        <w:t>年</w:t>
      </w:r>
      <w:r>
        <w:rPr>
          <w:color w:val="000000"/>
          <w:spacing w:val="0"/>
          <w:w w:val="100"/>
          <w:position w:val="0"/>
        </w:rPr>
        <w:t>6</w:t>
      </w:r>
      <w:r>
        <w:rPr>
          <w:color w:val="000000"/>
          <w:spacing w:val="0"/>
          <w:w w:val="100"/>
          <w:position w:val="0"/>
        </w:rPr>
        <w:t>月出生，中共党员，本科学历，高级经济师。曾任公司综合管理部部长、 企业管理部部长、审计部部长、采购二部部长。现任公司职工代表监事、总经理助理。</w:t>
      </w:r>
    </w:p>
    <w:p>
      <w:pPr>
        <w:pStyle w:val="Style26"/>
        <w:keepNext w:val="0"/>
        <w:keepLines w:val="0"/>
        <w:widowControl w:val="0"/>
        <w:shd w:val="clear" w:color="auto" w:fill="auto"/>
        <w:tabs>
          <w:tab w:pos="534" w:val="left"/>
        </w:tabs>
        <w:bidi w:val="0"/>
        <w:spacing w:before="0" w:after="0" w:line="317" w:lineRule="exact"/>
        <w:ind w:left="0" w:right="0" w:firstLine="140"/>
        <w:jc w:val="left"/>
      </w:pPr>
      <w:bookmarkStart w:id="467" w:name="bookmark467"/>
      <w:r>
        <w:rPr>
          <w:b/>
          <w:bCs/>
          <w:color w:val="000000"/>
          <w:spacing w:val="0"/>
          <w:w w:val="100"/>
          <w:position w:val="0"/>
        </w:rPr>
        <w:t>（</w:t>
      </w:r>
      <w:bookmarkEnd w:id="467"/>
      <w:r>
        <w:rPr>
          <w:b/>
          <w:bCs/>
          <w:color w:val="000000"/>
          <w:spacing w:val="0"/>
          <w:w w:val="100"/>
          <w:position w:val="0"/>
        </w:rPr>
        <w:t>3）</w:t>
        <w:tab/>
        <w:t>高级管理人员</w:t>
      </w:r>
    </w:p>
    <w:p>
      <w:pPr>
        <w:pStyle w:val="Style26"/>
        <w:keepNext w:val="0"/>
        <w:keepLines w:val="0"/>
        <w:widowControl w:val="0"/>
        <w:shd w:val="clear" w:color="auto" w:fill="auto"/>
        <w:bidi w:val="0"/>
        <w:spacing w:before="0" w:after="0" w:line="323" w:lineRule="exact"/>
        <w:ind w:left="0" w:right="0" w:firstLine="500"/>
        <w:jc w:val="left"/>
      </w:pPr>
      <w:r>
        <w:rPr>
          <w:color w:val="000000"/>
          <w:spacing w:val="0"/>
          <w:w w:val="100"/>
          <w:position w:val="0"/>
        </w:rPr>
        <w:t>孙静，见董事简历。</w:t>
      </w:r>
    </w:p>
    <w:p>
      <w:pPr>
        <w:pStyle w:val="Style26"/>
        <w:keepNext w:val="0"/>
        <w:keepLines w:val="0"/>
        <w:widowControl w:val="0"/>
        <w:shd w:val="clear" w:color="auto" w:fill="auto"/>
        <w:bidi w:val="0"/>
        <w:spacing w:before="0" w:after="0" w:line="323" w:lineRule="exact"/>
        <w:ind w:left="140" w:right="0" w:firstLine="360"/>
        <w:jc w:val="both"/>
      </w:pPr>
      <w:r>
        <w:rPr>
          <w:color w:val="000000"/>
          <w:spacing w:val="0"/>
          <w:w w:val="100"/>
          <w:position w:val="0"/>
        </w:rPr>
        <w:t>张艳菊，女，中国国籍，无境外居留权，</w:t>
      </w:r>
      <w:r>
        <w:rPr>
          <w:color w:val="000000"/>
          <w:spacing w:val="0"/>
          <w:w w:val="100"/>
          <w:position w:val="0"/>
        </w:rPr>
        <w:t>1978</w:t>
      </w:r>
      <w:r>
        <w:rPr>
          <w:color w:val="000000"/>
          <w:spacing w:val="0"/>
          <w:w w:val="100"/>
          <w:position w:val="0"/>
        </w:rPr>
        <w:t>年</w:t>
      </w:r>
      <w:r>
        <w:rPr>
          <w:color w:val="000000"/>
          <w:spacing w:val="0"/>
          <w:w w:val="100"/>
          <w:position w:val="0"/>
        </w:rPr>
        <w:t>12</w:t>
      </w:r>
      <w:r>
        <w:rPr>
          <w:color w:val="000000"/>
          <w:spacing w:val="0"/>
          <w:w w:val="100"/>
          <w:position w:val="0"/>
        </w:rPr>
        <w:t>月出生，武汉大学会计学、金融学专业毕业，双学士学位，会计师。 曾任公司财务部副部长、财务部部长、总经理助理。现任公司副总经理、财务负责人。</w:t>
      </w:r>
    </w:p>
    <w:p>
      <w:pPr>
        <w:pStyle w:val="Style26"/>
        <w:keepNext w:val="0"/>
        <w:keepLines w:val="0"/>
        <w:widowControl w:val="0"/>
        <w:shd w:val="clear" w:color="auto" w:fill="auto"/>
        <w:bidi w:val="0"/>
        <w:spacing w:before="0" w:after="120" w:line="323" w:lineRule="exact"/>
        <w:ind w:left="140" w:right="0" w:firstLine="360"/>
        <w:jc w:val="both"/>
      </w:pPr>
      <w:r>
        <w:rPr>
          <w:color w:val="000000"/>
          <w:spacing w:val="0"/>
          <w:w w:val="100"/>
          <w:position w:val="0"/>
        </w:rPr>
        <w:t>万骏，男，中国国籍，无境外居留权，</w:t>
      </w:r>
      <w:r>
        <w:rPr>
          <w:color w:val="000000"/>
          <w:spacing w:val="0"/>
          <w:w w:val="100"/>
          <w:position w:val="0"/>
        </w:rPr>
        <w:t>1979</w:t>
      </w:r>
      <w:r>
        <w:rPr>
          <w:color w:val="000000"/>
          <w:spacing w:val="0"/>
          <w:w w:val="100"/>
          <w:position w:val="0"/>
        </w:rPr>
        <w:t>年</w:t>
      </w:r>
      <w:r>
        <w:rPr>
          <w:color w:val="000000"/>
          <w:spacing w:val="0"/>
          <w:w w:val="100"/>
          <w:position w:val="0"/>
        </w:rPr>
        <w:t>11</w:t>
      </w:r>
      <w:r>
        <w:rPr>
          <w:color w:val="000000"/>
          <w:spacing w:val="0"/>
          <w:w w:val="100"/>
          <w:position w:val="0"/>
        </w:rPr>
        <w:t>月出生，中南财经政法大学法学学士、工商管理硕士，取得深圳证券交 易所董事会秘书资格证书，具备法律职业资格，证券、基金从业资格。曾任公司法务经理、董事会办公室主任、子公司武汉 天喻教育科技有限公司副总经理、公司总经理助理。现任公司副总经理、董事会秘书。</w:t>
      </w:r>
    </w:p>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21"/>
        <w:gridCol w:w="2976"/>
        <w:gridCol w:w="1560"/>
        <w:gridCol w:w="1560"/>
        <w:gridCol w:w="1560"/>
        <w:gridCol w:w="145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21"/>
        <w:gridCol w:w="2976"/>
        <w:gridCol w:w="1560"/>
        <w:gridCol w:w="1560"/>
        <w:gridCol w:w="1560"/>
        <w:gridCol w:w="14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武汉华中科技大产业集团有限公司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武汉华工创业投资有限责任公司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05"/>
        <w:gridCol w:w="3192"/>
        <w:gridCol w:w="1061"/>
        <w:gridCol w:w="1603"/>
        <w:gridCol w:w="1680"/>
        <w:gridCol w:w="144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在其他单位是否</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武汉同济科技集团有限公司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华中科技大学出版社有限责任公司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武汉光谷产业发展基金管理有限公司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执行董事、常 务副总经理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武汉光谷人才私募投资基金有限公司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武汉光谷人才投资管理有限公司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财务管理部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（融资部）负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武汉光谷征信管理有限公司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武汉光谷集成电路发展有限公司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武汉光谷人才创业投资基金有限公司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武汉科融成长创业投资管理有限公司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武汉中科医疗科技工业技术研究院有限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武汉东湖企业信用促进会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北京先农投资管理有限公司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高级投资经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北京德恒律师事务所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四川川大智胜软件股份有限公司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克劳斯玛菲股份有限公司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中国网络空间安全协会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中科全联（北京）科技有限公司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603"/>
        <w:gridCol w:w="1680"/>
        <w:gridCol w:w="1445"/>
      </w:tblGrid>
      <w:tr>
        <w:trPr>
          <w:trHeight w:val="40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云引擎（北京）网络科技有限公司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北京雅迪传媒股份有限公司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亚信安全科技股份有限公司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广东希荻微电子股份有限公司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温州华中科技发展有限公司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武汉鑫昶文化有限公司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武汉华大机械工程有限公司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武汉华胜工程建设科技有限公司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武汉开目信息技术股份有限公司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深圳市华科兆恒科技有限公司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华工制造装备数字化国家工程中心有限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武汉华中科大建筑规划设计研究院有限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武汉数字建造产业技术研究院有限公司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武汉华中科大检测科技有限公司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华工科技产业股份有限公司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华中科技大学出版社有限责任公司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武汉数字化设计与制造创新中心有限公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武汉同济科技集团有限公司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武汉华宏资产经营管理有限公司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武汉华科喻园创新服务有限公司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武汉华科大机电开发有限公司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天津市灏洋生物制品科技有限责任公司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天津灏洋华科生物科技有限公司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湖北科华炎帝创业投资有限公司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湖北菲利华石英玻璃股份有限公司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right"/>
        <w:tblLayout w:type="fixed"/>
      </w:tblPr>
      <w:tblGrid>
        <w:gridCol w:w="3197"/>
        <w:gridCol w:w="1061"/>
        <w:gridCol w:w="1603"/>
        <w:gridCol w:w="1680"/>
        <w:gridCol w:w="144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北京瑞华赢科技发展股份有限公司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四</w:t>
      </w:r>
      <w:bookmarkEnd w:id="470"/>
      <w:r>
        <w:rPr>
          <w:color w:val="000000"/>
          <w:spacing w:val="0"/>
          <w:w w:val="100"/>
          <w:position w:val="0"/>
        </w:rPr>
        <w:t>、董事、监事、高级管理人员报酬情况</w:t>
      </w:r>
      <w:bookmarkEnd w:id="468"/>
      <w:bookmarkEnd w:id="469"/>
      <w:bookmarkEnd w:id="47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922"/>
        <w:gridCol w:w="5846"/>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公司第七届董事会第二十五次会议审议通过《</w:t>
            </w:r>
            <w:r>
              <w:rPr>
                <w:color w:val="000000"/>
                <w:spacing w:val="0"/>
                <w:w w:val="100"/>
                <w:position w:val="0"/>
              </w:rPr>
              <w:t>2020</w:t>
            </w:r>
            <w:r>
              <w:rPr>
                <w:color w:val="000000"/>
                <w:spacing w:val="0"/>
                <w:w w:val="100"/>
                <w:position w:val="0"/>
              </w:rPr>
              <w:t>年度经营层薪酬考核方 案》</w:t>
            </w:r>
            <w:r>
              <w:rPr>
                <w:color w:val="000000"/>
                <w:spacing w:val="0"/>
                <w:w w:val="100"/>
                <w:position w:val="0"/>
              </w:rPr>
              <w:t>,</w:t>
            </w:r>
            <w:r>
              <w:rPr>
                <w:color w:val="000000"/>
                <w:spacing w:val="0"/>
                <w:w w:val="100"/>
                <w:position w:val="0"/>
              </w:rPr>
              <w:t>公司</w:t>
            </w:r>
            <w:r>
              <w:rPr>
                <w:color w:val="000000"/>
                <w:spacing w:val="0"/>
                <w:w w:val="100"/>
                <w:position w:val="0"/>
              </w:rPr>
              <w:t>2019</w:t>
            </w:r>
            <w:r>
              <w:rPr>
                <w:color w:val="000000"/>
                <w:spacing w:val="0"/>
                <w:w w:val="100"/>
                <w:position w:val="0"/>
              </w:rPr>
              <w:t>年年度股东大会审议通过《</w:t>
            </w:r>
            <w:r>
              <w:rPr>
                <w:color w:val="000000"/>
                <w:spacing w:val="0"/>
                <w:w w:val="100"/>
                <w:position w:val="0"/>
              </w:rPr>
              <w:t>2020</w:t>
            </w:r>
            <w:r>
              <w:rPr>
                <w:color w:val="000000"/>
                <w:spacing w:val="0"/>
                <w:w w:val="100"/>
                <w:position w:val="0"/>
              </w:rPr>
              <w:t>年度董事长薪酬考核方案》。</w:t>
            </w:r>
          </w:p>
        </w:tc>
      </w:tr>
      <w:tr>
        <w:trPr>
          <w:trHeight w:val="13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公司董事和高级管理人员的报酬按照年度薪酬考核方案，结合其履职情况、 工作业绩、忠实与勤勉义务的履行情况等考核确定并发放。独立董事津贴 依据股东大会审议通过的标准发放。公司职工代表监事的报酬根据公司人 力资源部相关规定经考核后发放。</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报告期内，公司实际支付董事、监事、高级管理人员（含报告期内离任董 事、监事、高级管理人员）报酬合计</w:t>
            </w:r>
            <w:r>
              <w:rPr>
                <w:color w:val="000000"/>
                <w:spacing w:val="0"/>
                <w:w w:val="100"/>
                <w:position w:val="0"/>
              </w:rPr>
              <w:t>438.62</w:t>
            </w:r>
            <w:r>
              <w:rPr>
                <w:color w:val="000000"/>
                <w:spacing w:val="0"/>
                <w:w w:val="100"/>
                <w:position w:val="0"/>
              </w:rPr>
              <w:t>万元。</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张新访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朱松青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颜佐辉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李士训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张艳菊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副总经理、财务 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吴俊军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五</w:t>
      </w:r>
      <w:bookmarkEnd w:id="474"/>
      <w:r>
        <w:rPr>
          <w:color w:val="000000"/>
          <w:spacing w:val="0"/>
          <w:w w:val="100"/>
          <w:position w:val="0"/>
        </w:rPr>
        <w:t>、公司员工情况</w:t>
      </w:r>
      <w:bookmarkEnd w:id="472"/>
      <w:bookmarkEnd w:id="473"/>
      <w:bookmarkEnd w:id="475"/>
    </w:p>
    <w:p>
      <w:pPr>
        <w:pStyle w:val="Style30"/>
        <w:keepNext/>
        <w:keepLines/>
        <w:widowControl w:val="0"/>
        <w:shd w:val="clear" w:color="auto" w:fill="auto"/>
        <w:bidi w:val="0"/>
        <w:spacing w:before="0" w:after="32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1</w:t>
      </w:r>
      <w:bookmarkEnd w:id="478"/>
      <w:r>
        <w:rPr>
          <w:color w:val="000000"/>
          <w:spacing w:val="0"/>
          <w:w w:val="100"/>
          <w:position w:val="0"/>
        </w:rPr>
        <w:t>、员工数量、专业构成及教育程度</w:t>
      </w:r>
      <w:bookmarkEnd w:id="476"/>
      <w:bookmarkEnd w:id="477"/>
      <w:bookmarkEnd w:id="47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2,191</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1,096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pPr>
            <w:r>
              <w:rPr>
                <w:color w:val="000000"/>
                <w:spacing w:val="0"/>
                <w:w w:val="100"/>
                <w:position w:val="0"/>
              </w:rPr>
              <w:t>2,191</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2</w:t>
      </w:r>
      <w:bookmarkEnd w:id="482"/>
      <w:r>
        <w:rPr>
          <w:color w:val="000000"/>
          <w:spacing w:val="0"/>
          <w:w w:val="100"/>
          <w:position w:val="0"/>
        </w:rPr>
        <w:t>、薪酬政策</w:t>
      </w:r>
      <w:bookmarkEnd w:id="480"/>
      <w:bookmarkEnd w:id="481"/>
      <w:bookmarkEnd w:id="483"/>
    </w:p>
    <w:p>
      <w:pPr>
        <w:pStyle w:val="Style26"/>
        <w:keepNext w:val="0"/>
        <w:keepLines w:val="0"/>
        <w:widowControl w:val="0"/>
        <w:shd w:val="clear" w:color="auto" w:fill="auto"/>
        <w:bidi w:val="0"/>
        <w:spacing w:before="0" w:after="320" w:line="317" w:lineRule="exact"/>
        <w:ind w:left="0" w:right="0" w:firstLine="360"/>
        <w:jc w:val="left"/>
      </w:pPr>
      <w:r>
        <w:rPr>
          <w:color w:val="000000"/>
          <w:spacing w:val="0"/>
          <w:w w:val="100"/>
          <w:position w:val="0"/>
        </w:rPr>
        <w:t>公司建立了较完善的薪酬体系，根据有关法律法规并结合公司实际情况制定并持续完善员工薪酬、绩效考核、员工福利 等制度，并针对公司新业务方向引进关键核心人才。在控股子公司制定了股权激励+业绩奖励相结合的激励制度。</w:t>
      </w:r>
    </w:p>
    <w:p>
      <w:pPr>
        <w:pStyle w:val="Style30"/>
        <w:keepNext/>
        <w:keepLines/>
        <w:widowControl w:val="0"/>
        <w:shd w:val="clear" w:color="auto" w:fill="auto"/>
        <w:tabs>
          <w:tab w:pos="367" w:val="left"/>
        </w:tabs>
        <w:bidi w:val="0"/>
        <w:spacing w:before="0" w:after="28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rPr>
        <w:t>3</w:t>
      </w:r>
      <w:bookmarkEnd w:id="486"/>
      <w:r>
        <w:rPr>
          <w:color w:val="000000"/>
          <w:spacing w:val="0"/>
          <w:w w:val="100"/>
          <w:position w:val="0"/>
        </w:rPr>
        <w:t>、</w:t>
        <w:tab/>
        <w:t>培训计划</w:t>
      </w:r>
      <w:bookmarkEnd w:id="484"/>
      <w:bookmarkEnd w:id="485"/>
      <w:bookmarkEnd w:id="487"/>
    </w:p>
    <w:p>
      <w:pPr>
        <w:pStyle w:val="Style26"/>
        <w:keepNext w:val="0"/>
        <w:keepLines w:val="0"/>
        <w:widowControl w:val="0"/>
        <w:shd w:val="clear" w:color="auto" w:fill="auto"/>
        <w:bidi w:val="0"/>
        <w:spacing w:before="0" w:after="380" w:line="309" w:lineRule="exact"/>
        <w:ind w:left="0" w:right="0" w:firstLine="380"/>
        <w:jc w:val="left"/>
      </w:pPr>
      <w:r>
        <w:rPr>
          <w:color w:val="000000"/>
          <w:spacing w:val="0"/>
          <w:w w:val="100"/>
          <w:position w:val="0"/>
        </w:rPr>
        <w:t>公司将以市场为导向，根据业务发展战略对创新、技术和人才的需求，针对管理和新技术方向人才，着力提升管理者角 色认知和领导力，为实现公司战略目标奠定管理基础；发挥各层级管理人员中坚力量，指导公司后备人才梯队的培养工作， 建立后备人才的造血机制，提升组织人才准备度；推进专业岗位人才学习体系建设，强化关键岗位专业能力学习，萃取岗位 知识经验，营造组织内学习氛围。</w:t>
      </w:r>
    </w:p>
    <w:p>
      <w:pPr>
        <w:pStyle w:val="Style30"/>
        <w:keepNext/>
        <w:keepLines/>
        <w:widowControl w:val="0"/>
        <w:shd w:val="clear" w:color="auto" w:fill="auto"/>
        <w:tabs>
          <w:tab w:pos="377" w:val="left"/>
        </w:tabs>
        <w:bidi w:val="0"/>
        <w:spacing w:before="0" w:after="28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4</w:t>
      </w:r>
      <w:bookmarkEnd w:id="490"/>
      <w:r>
        <w:rPr>
          <w:color w:val="000000"/>
          <w:spacing w:val="0"/>
          <w:w w:val="100"/>
          <w:position w:val="0"/>
        </w:rPr>
        <w:t>、</w:t>
        <w:tab/>
        <w:t>劳务外包情况</w:t>
      </w:r>
      <w:bookmarkEnd w:id="488"/>
      <w:bookmarkEnd w:id="489"/>
      <w:bookmarkEnd w:id="491"/>
    </w:p>
    <w:p>
      <w:pPr>
        <w:pStyle w:val="Style26"/>
        <w:keepNext w:val="0"/>
        <w:keepLines w:val="0"/>
        <w:widowControl w:val="0"/>
        <w:shd w:val="clear" w:color="auto" w:fill="auto"/>
        <w:bidi w:val="0"/>
        <w:spacing w:before="0" w:after="340" w:line="309" w:lineRule="exact"/>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78" w:right="497" w:bottom="1503" w:left="91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keepLines/>
        <w:widowControl w:val="0"/>
        <w:shd w:val="clear" w:color="auto" w:fill="auto"/>
        <w:bidi w:val="0"/>
        <w:spacing w:before="520" w:after="560" w:line="240" w:lineRule="auto"/>
        <w:ind w:left="0" w:right="0" w:firstLine="0"/>
        <w:jc w:val="center"/>
      </w:pPr>
      <w:bookmarkStart w:id="492" w:name="bookmark492"/>
      <w:bookmarkStart w:id="493" w:name="bookmark493"/>
      <w:bookmarkStart w:id="494" w:name="bookmark494"/>
      <w:r>
        <w:rPr>
          <w:color w:val="000000"/>
          <w:spacing w:val="0"/>
          <w:w w:val="100"/>
          <w:position w:val="0"/>
        </w:rPr>
        <w:t>第十节公司治理</w:t>
      </w:r>
      <w:bookmarkEnd w:id="492"/>
      <w:bookmarkEnd w:id="493"/>
      <w:bookmarkEnd w:id="494"/>
    </w:p>
    <w:p>
      <w:pPr>
        <w:pStyle w:val="Style23"/>
        <w:keepNext/>
        <w:keepLines/>
        <w:widowControl w:val="0"/>
        <w:shd w:val="clear" w:color="auto" w:fill="auto"/>
        <w:bidi w:val="0"/>
        <w:spacing w:before="0" w:after="280" w:line="240" w:lineRule="auto"/>
        <w:ind w:left="0" w:right="0" w:firstLine="0"/>
        <w:jc w:val="left"/>
      </w:pPr>
      <w:bookmarkStart w:id="495" w:name="bookmark495"/>
      <w:bookmarkStart w:id="496" w:name="bookmark496"/>
      <w:bookmarkStart w:id="497" w:name="bookmark497"/>
      <w:bookmarkStart w:id="498" w:name="bookmark498"/>
      <w:bookmarkStart w:id="499" w:name="bookmark499"/>
      <w:r>
        <w:rPr>
          <w:color w:val="000000"/>
          <w:spacing w:val="0"/>
          <w:w w:val="100"/>
          <w:position w:val="0"/>
        </w:rPr>
        <w:t>一</w:t>
      </w:r>
      <w:bookmarkEnd w:id="498"/>
      <w:r>
        <w:rPr>
          <w:color w:val="000000"/>
          <w:spacing w:val="0"/>
          <w:w w:val="100"/>
          <w:position w:val="0"/>
        </w:rPr>
        <w:t>、公司治理的基本状况</w:t>
      </w:r>
      <w:bookmarkEnd w:id="496"/>
      <w:bookmarkEnd w:id="497"/>
      <w:bookmarkEnd w:id="499"/>
      <w:bookmarkEnd w:id="495"/>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《深圳证券交易所创业板上市公司规范运作指引》和其他相关法律、行政法规、部门规章、规范性文件的要求，不断改善公 司治理结构，建立健全公司内部控制制度，规范公司内部管理，切实履行信息披露义务，积极开展投资者关系管理工作，提 升公司治理水平。截至报告期末，公司治理的实际状况符合中国证监会发布的有关上市公司治理的部门规章、规范性文件和 深圳证券交易所发布的相关自律规则的要求。</w:t>
      </w:r>
    </w:p>
    <w:p>
      <w:pPr>
        <w:pStyle w:val="Style43"/>
        <w:keepNext w:val="0"/>
        <w:keepLines w:val="0"/>
        <w:widowControl w:val="0"/>
        <w:shd w:val="clear" w:color="auto" w:fill="auto"/>
        <w:tabs>
          <w:tab w:pos="322" w:val="left"/>
        </w:tabs>
        <w:bidi w:val="0"/>
        <w:spacing w:before="0" w:line="240" w:lineRule="auto"/>
        <w:ind w:left="0" w:right="0" w:firstLine="0"/>
        <w:jc w:val="left"/>
      </w:pPr>
      <w:bookmarkStart w:id="500" w:name="bookmark500"/>
      <w:r>
        <w:rPr>
          <w:color w:val="000000"/>
          <w:spacing w:val="0"/>
          <w:w w:val="100"/>
          <w:position w:val="0"/>
        </w:rPr>
        <w:t>1</w:t>
      </w:r>
      <w:bookmarkEnd w:id="500"/>
      <w:r>
        <w:rPr>
          <w:color w:val="000000"/>
          <w:spacing w:val="0"/>
          <w:w w:val="100"/>
          <w:position w:val="0"/>
        </w:rPr>
        <w:t>、</w:t>
        <w:tab/>
        <w:t>股东与股东大会</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公司严格按照《公司章程》、公司《股东大会议事规则》、《中小投资者单独计票管理办法》的规定召集、召开股东大 会。公司召开股东大会全面采取现场投票与网络投票结合的方式，审议影响中小投资者利益的重大事项时对中小投资者表决 单独计票，并及时披露中小投资者的表决结果，确保全体股东特别是中小股东享有平等地位，保障股东对公司重大事项的知 情、参与决策和监督等权利。</w:t>
      </w:r>
    </w:p>
    <w:p>
      <w:pPr>
        <w:pStyle w:val="Style43"/>
        <w:keepNext w:val="0"/>
        <w:keepLines w:val="0"/>
        <w:widowControl w:val="0"/>
        <w:shd w:val="clear" w:color="auto" w:fill="auto"/>
        <w:tabs>
          <w:tab w:pos="336" w:val="left"/>
        </w:tabs>
        <w:bidi w:val="0"/>
        <w:spacing w:before="0" w:line="240" w:lineRule="auto"/>
        <w:ind w:left="0" w:right="0" w:firstLine="0"/>
        <w:jc w:val="left"/>
      </w:pPr>
      <w:bookmarkStart w:id="501" w:name="bookmark501"/>
      <w:r>
        <w:rPr>
          <w:color w:val="000000"/>
          <w:spacing w:val="0"/>
          <w:w w:val="100"/>
          <w:position w:val="0"/>
        </w:rPr>
        <w:t>2</w:t>
      </w:r>
      <w:bookmarkEnd w:id="501"/>
      <w:r>
        <w:rPr>
          <w:color w:val="000000"/>
          <w:spacing w:val="0"/>
          <w:w w:val="100"/>
          <w:position w:val="0"/>
        </w:rPr>
        <w:t>、</w:t>
        <w:tab/>
        <w:t>董事与董事会</w:t>
      </w:r>
    </w:p>
    <w:p>
      <w:pPr>
        <w:pStyle w:val="Style2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公司董事会有</w:t>
      </w:r>
      <w:r>
        <w:rPr>
          <w:color w:val="000000"/>
          <w:spacing w:val="0"/>
          <w:w w:val="100"/>
          <w:position w:val="0"/>
        </w:rPr>
        <w:t>9</w:t>
      </w:r>
      <w:r>
        <w:rPr>
          <w:color w:val="000000"/>
          <w:spacing w:val="0"/>
          <w:w w:val="100"/>
          <w:position w:val="0"/>
        </w:rPr>
        <w:t>名董事，其中</w:t>
      </w:r>
      <w:r>
        <w:rPr>
          <w:color w:val="000000"/>
          <w:spacing w:val="0"/>
          <w:w w:val="100"/>
          <w:position w:val="0"/>
        </w:rPr>
        <w:t>3</w:t>
      </w:r>
      <w:r>
        <w:rPr>
          <w:color w:val="000000"/>
          <w:spacing w:val="0"/>
          <w:w w:val="100"/>
          <w:position w:val="0"/>
        </w:rPr>
        <w:t>名独立董事，董事的选举程序、董事会的人数及人员构成符合法律、法规和《公司章程》 的要求。公司董事依据《深圳证券交易所创业板上市公司规范运作指引》、公司《董事会议事规则》、《独立董事工作制度》 等开展工作，出席公司董事会，列席公司股东大会，勤勉尽责地履行职责和义务，同时积极参加相关培训，熟悉相关法律法 规。公司董事会的召集、召开符合法律、行政法规、部门规章、规范性文件和《公司章程》等制度的有关规定。公司董事会 下设审计委员会，审计委员会成员由</w:t>
      </w:r>
      <w:r>
        <w:rPr>
          <w:color w:val="000000"/>
          <w:spacing w:val="0"/>
          <w:w w:val="100"/>
          <w:position w:val="0"/>
        </w:rPr>
        <w:t>3</w:t>
      </w:r>
      <w:r>
        <w:rPr>
          <w:color w:val="000000"/>
          <w:spacing w:val="0"/>
          <w:w w:val="100"/>
          <w:position w:val="0"/>
        </w:rPr>
        <w:t>名董事组成，其中</w:t>
      </w:r>
      <w:r>
        <w:rPr>
          <w:color w:val="000000"/>
          <w:spacing w:val="0"/>
          <w:w w:val="100"/>
          <w:position w:val="0"/>
        </w:rPr>
        <w:t>2</w:t>
      </w:r>
      <w:r>
        <w:rPr>
          <w:color w:val="000000"/>
          <w:spacing w:val="0"/>
          <w:w w:val="100"/>
          <w:position w:val="0"/>
        </w:rPr>
        <w:t>名独立董事，主任委员为会计专业人士，由独立董事担任，审计委 员会按照公司《董事会审计委员会工作制度》、《董事会审计委员会年度报告工作制度》的要求，认真履行职责，为公司董 事会的决策提供科学、专业的意见。</w:t>
      </w:r>
    </w:p>
    <w:p>
      <w:pPr>
        <w:pStyle w:val="Style43"/>
        <w:keepNext w:val="0"/>
        <w:keepLines w:val="0"/>
        <w:widowControl w:val="0"/>
        <w:shd w:val="clear" w:color="auto" w:fill="auto"/>
        <w:tabs>
          <w:tab w:pos="336" w:val="left"/>
        </w:tabs>
        <w:bidi w:val="0"/>
        <w:spacing w:before="0" w:line="240" w:lineRule="auto"/>
        <w:ind w:left="0" w:right="0" w:firstLine="0"/>
        <w:jc w:val="left"/>
      </w:pPr>
      <w:bookmarkStart w:id="502" w:name="bookmark502"/>
      <w:r>
        <w:rPr>
          <w:color w:val="000000"/>
          <w:spacing w:val="0"/>
          <w:w w:val="100"/>
          <w:position w:val="0"/>
        </w:rPr>
        <w:t>3</w:t>
      </w:r>
      <w:bookmarkEnd w:id="502"/>
      <w:r>
        <w:rPr>
          <w:color w:val="000000"/>
          <w:spacing w:val="0"/>
          <w:w w:val="100"/>
          <w:position w:val="0"/>
        </w:rPr>
        <w:t>、</w:t>
        <w:tab/>
        <w:t>监事与监事会</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公司监事会有</w:t>
      </w:r>
      <w:r>
        <w:rPr>
          <w:color w:val="000000"/>
          <w:spacing w:val="0"/>
          <w:w w:val="100"/>
          <w:position w:val="0"/>
        </w:rPr>
        <w:t>3</w:t>
      </w:r>
      <w:r>
        <w:rPr>
          <w:color w:val="000000"/>
          <w:spacing w:val="0"/>
          <w:w w:val="100"/>
          <w:position w:val="0"/>
        </w:rPr>
        <w:t>名监事，其中</w:t>
      </w:r>
      <w:r>
        <w:rPr>
          <w:color w:val="000000"/>
          <w:spacing w:val="0"/>
          <w:w w:val="100"/>
          <w:position w:val="0"/>
        </w:rPr>
        <w:t>1</w:t>
      </w:r>
      <w:r>
        <w:rPr>
          <w:color w:val="000000"/>
          <w:spacing w:val="0"/>
          <w:w w:val="100"/>
          <w:position w:val="0"/>
        </w:rPr>
        <w:t>名职工代表监事，监事的选举程序、监事会的人数及人员构成符合法律、法规和《公司章 程》的要求。公司监事按照公司《监事会议事规则》的要求，认真履行监督职责，对公司重大事项、关联交易、财务状况以 及董事、高级管理人员履行职责的合法合规性进行监督。公司监事会的召集、召开符合法律、行政法规、部门规章、规范性 文件和《公司章程》等制度的有关规定。</w:t>
      </w:r>
    </w:p>
    <w:p>
      <w:pPr>
        <w:pStyle w:val="Style43"/>
        <w:keepNext w:val="0"/>
        <w:keepLines w:val="0"/>
        <w:widowControl w:val="0"/>
        <w:shd w:val="clear" w:color="auto" w:fill="auto"/>
        <w:tabs>
          <w:tab w:pos="341" w:val="left"/>
        </w:tabs>
        <w:bidi w:val="0"/>
        <w:spacing w:before="0" w:line="240" w:lineRule="auto"/>
        <w:ind w:left="0" w:right="0" w:firstLine="0"/>
        <w:jc w:val="both"/>
      </w:pPr>
      <w:bookmarkStart w:id="503" w:name="bookmark503"/>
      <w:r>
        <w:rPr>
          <w:color w:val="000000"/>
          <w:spacing w:val="0"/>
          <w:w w:val="100"/>
          <w:position w:val="0"/>
        </w:rPr>
        <w:t>4</w:t>
      </w:r>
      <w:bookmarkEnd w:id="503"/>
      <w:r>
        <w:rPr>
          <w:color w:val="000000"/>
          <w:spacing w:val="0"/>
          <w:w w:val="100"/>
          <w:position w:val="0"/>
        </w:rPr>
        <w:t>、</w:t>
        <w:tab/>
        <w:t>关联交易</w:t>
      </w:r>
    </w:p>
    <w:p>
      <w:pPr>
        <w:pStyle w:val="Style26"/>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公司严格按照有关法律、法规、《公司章程》、公司《关联交易管理制度》、《关联交易管理细则》的规定审核、披露 公司各项关联交易事项，公司关联交易价格公允，不存在损害公司利益、中小股东利益及违规操作的情况。</w:t>
      </w:r>
    </w:p>
    <w:p>
      <w:pPr>
        <w:pStyle w:val="Style43"/>
        <w:keepNext w:val="0"/>
        <w:keepLines w:val="0"/>
        <w:widowControl w:val="0"/>
        <w:shd w:val="clear" w:color="auto" w:fill="auto"/>
        <w:tabs>
          <w:tab w:pos="341" w:val="left"/>
        </w:tabs>
        <w:bidi w:val="0"/>
        <w:spacing w:before="0" w:line="240" w:lineRule="auto"/>
        <w:ind w:left="0" w:right="0" w:firstLine="0"/>
        <w:jc w:val="left"/>
      </w:pPr>
      <w:bookmarkStart w:id="504" w:name="bookmark504"/>
      <w:r>
        <w:rPr>
          <w:color w:val="000000"/>
          <w:spacing w:val="0"/>
          <w:w w:val="100"/>
          <w:position w:val="0"/>
        </w:rPr>
        <w:t>5</w:t>
      </w:r>
      <w:bookmarkEnd w:id="504"/>
      <w:r>
        <w:rPr>
          <w:color w:val="000000"/>
          <w:spacing w:val="0"/>
          <w:w w:val="100"/>
          <w:position w:val="0"/>
        </w:rPr>
        <w:t>、</w:t>
        <w:tab/>
        <w:t>绩效评价与激励约束机制</w:t>
      </w:r>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 xml:space="preserve">公司董事的薪酬由股东大会决定，高级管理人员的薪酬由董事会决定。公司经营层的薪酬与公司经营业绩、根据公司经 </w:t>
      </w:r>
      <w:r>
        <w:rPr>
          <w:color w:val="000000"/>
          <w:spacing w:val="0"/>
          <w:w w:val="100"/>
          <w:position w:val="0"/>
        </w:rPr>
        <w:t>营目标制定的关键管理工作相关指标挂钩。</w:t>
      </w:r>
    </w:p>
    <w:p>
      <w:pPr>
        <w:pStyle w:val="Style43"/>
        <w:keepNext w:val="0"/>
        <w:keepLines w:val="0"/>
        <w:widowControl w:val="0"/>
        <w:shd w:val="clear" w:color="auto" w:fill="auto"/>
        <w:tabs>
          <w:tab w:pos="403" w:val="left"/>
        </w:tabs>
        <w:bidi w:val="0"/>
        <w:spacing w:before="0" w:after="260" w:line="240" w:lineRule="auto"/>
        <w:ind w:left="0" w:right="0" w:firstLine="0"/>
        <w:jc w:val="left"/>
      </w:pPr>
      <w:bookmarkStart w:id="505" w:name="bookmark505"/>
      <w:r>
        <w:rPr>
          <w:color w:val="000000"/>
          <w:spacing w:val="0"/>
          <w:w w:val="100"/>
          <w:position w:val="0"/>
        </w:rPr>
        <w:t>6</w:t>
      </w:r>
      <w:bookmarkEnd w:id="505"/>
      <w:r>
        <w:rPr>
          <w:color w:val="000000"/>
          <w:spacing w:val="0"/>
          <w:w w:val="100"/>
          <w:position w:val="0"/>
        </w:rPr>
        <w:t>、</w:t>
        <w:tab/>
        <w:t>信息披露与透明度</w:t>
      </w:r>
    </w:p>
    <w:p>
      <w:pPr>
        <w:pStyle w:val="Style26"/>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公司严格按照有关法律、法规以及公司《信息披露事务管理制度》、《投资者关系管理制度》等的要求，真实、准确、 完整、及时、公平地披露有关信息；指定公司董事会秘书负责信息披露工作，协调公司与投资者的关系，接待投资者来访， 回答投资者咨询；指定《中国证券报》、《证券时报》、《上海证券报》、《证券日报》和巨潮资讯网</w:t>
      </w:r>
      <w:r>
        <w:rPr>
          <w:color w:val="000000"/>
          <w:spacing w:val="0"/>
          <w:w w:val="100"/>
          <w:position w:val="0"/>
        </w:rPr>
        <w:t xml:space="preserve">（www.cninfo.com.cn） </w:t>
      </w:r>
      <w:r>
        <w:rPr>
          <w:color w:val="000000"/>
          <w:spacing w:val="0"/>
          <w:w w:val="100"/>
          <w:position w:val="0"/>
        </w:rPr>
        <w:t>为公司信息披露报纸和网站，确保公司所有股东能够以平等的机会获得信息。</w:t>
      </w:r>
    </w:p>
    <w:p>
      <w:pPr>
        <w:pStyle w:val="Style43"/>
        <w:keepNext w:val="0"/>
        <w:keepLines w:val="0"/>
        <w:widowControl w:val="0"/>
        <w:shd w:val="clear" w:color="auto" w:fill="auto"/>
        <w:tabs>
          <w:tab w:pos="403" w:val="left"/>
        </w:tabs>
        <w:bidi w:val="0"/>
        <w:spacing w:before="0" w:after="260" w:line="240" w:lineRule="auto"/>
        <w:ind w:left="0" w:right="0" w:firstLine="0"/>
        <w:jc w:val="both"/>
      </w:pPr>
      <w:bookmarkStart w:id="506" w:name="bookmark506"/>
      <w:r>
        <w:rPr>
          <w:color w:val="000000"/>
          <w:spacing w:val="0"/>
          <w:w w:val="100"/>
          <w:position w:val="0"/>
        </w:rPr>
        <w:t>7</w:t>
      </w:r>
      <w:bookmarkEnd w:id="506"/>
      <w:r>
        <w:rPr>
          <w:color w:val="000000"/>
          <w:spacing w:val="0"/>
          <w:w w:val="100"/>
          <w:position w:val="0"/>
        </w:rPr>
        <w:t>、</w:t>
        <w:tab/>
        <w:t>利益相关者</w:t>
      </w:r>
    </w:p>
    <w:p>
      <w:pPr>
        <w:pStyle w:val="Style26"/>
        <w:keepNext w:val="0"/>
        <w:keepLines w:val="0"/>
        <w:widowControl w:val="0"/>
        <w:shd w:val="clear" w:color="auto" w:fill="auto"/>
        <w:bidi w:val="0"/>
        <w:spacing w:before="0" w:after="0" w:line="360" w:lineRule="exact"/>
        <w:ind w:left="0" w:right="0" w:firstLine="360"/>
        <w:jc w:val="left"/>
      </w:pPr>
      <w:r>
        <w:rPr>
          <w:color w:val="000000"/>
          <w:spacing w:val="0"/>
          <w:w w:val="100"/>
          <w:position w:val="0"/>
        </w:rPr>
        <w:t>公司尊重和维护利益相关者的合法权利，协调平衡股东、员工、社会等各方利益。</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360" w:line="360" w:lineRule="exact"/>
        <w:ind w:left="0" w:right="0" w:firstLine="36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二</w:t>
      </w:r>
      <w:bookmarkEnd w:id="509"/>
      <w:r>
        <w:rPr>
          <w:color w:val="000000"/>
          <w:spacing w:val="0"/>
          <w:w w:val="100"/>
          <w:position w:val="0"/>
        </w:rPr>
        <w:t>、</w:t>
        <w:tab/>
        <w:t>公司相对于控股股东在业务、人员、资产、机构、财务等方面的独立情况</w:t>
      </w:r>
      <w:bookmarkEnd w:id="507"/>
      <w:bookmarkEnd w:id="508"/>
      <w:bookmarkEnd w:id="510"/>
    </w:p>
    <w:p>
      <w:pPr>
        <w:pStyle w:val="Style26"/>
        <w:keepNext w:val="0"/>
        <w:keepLines w:val="0"/>
        <w:widowControl w:val="0"/>
        <w:shd w:val="clear" w:color="auto" w:fill="auto"/>
        <w:bidi w:val="0"/>
        <w:spacing w:before="0" w:after="360" w:line="317" w:lineRule="exact"/>
        <w:ind w:left="0" w:right="0" w:firstLine="360"/>
        <w:jc w:val="left"/>
      </w:pPr>
      <w:r>
        <w:rPr>
          <w:color w:val="000000"/>
          <w:spacing w:val="0"/>
          <w:w w:val="100"/>
          <w:position w:val="0"/>
        </w:rPr>
        <w:t>公司的重大决策由股东大会和董事会依法作出。公司控股股东严格规范其行为，未直接或间接干预公司的决策及依法开 展的生产经营活动。公司拥有自主经营能力，在业务、人员、资产、机构、财务上独立于控股股东。</w:t>
      </w:r>
    </w:p>
    <w:p>
      <w:pPr>
        <w:pStyle w:val="Style23"/>
        <w:keepNext/>
        <w:keepLines/>
        <w:widowControl w:val="0"/>
        <w:shd w:val="clear" w:color="auto" w:fill="auto"/>
        <w:tabs>
          <w:tab w:pos="517" w:val="left"/>
        </w:tabs>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三</w:t>
      </w:r>
      <w:bookmarkEnd w:id="513"/>
      <w:r>
        <w:rPr>
          <w:color w:val="000000"/>
          <w:spacing w:val="0"/>
          <w:w w:val="100"/>
          <w:position w:val="0"/>
        </w:rPr>
        <w:t>、</w:t>
        <w:tab/>
        <w:t>同业竞争情况</w:t>
      </w:r>
      <w:bookmarkEnd w:id="511"/>
      <w:bookmarkEnd w:id="512"/>
      <w:bookmarkEnd w:id="514"/>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、报告期内召开的年度股东大会和临时股东大会的有关情况</w:t>
      </w:r>
      <w:bookmarkEnd w:id="515"/>
      <w:bookmarkEnd w:id="516"/>
      <w:bookmarkEnd w:id="518"/>
    </w:p>
    <w:p>
      <w:pPr>
        <w:pStyle w:val="Style30"/>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1</w:t>
      </w:r>
      <w:bookmarkEnd w:id="521"/>
      <w:r>
        <w:rPr>
          <w:color w:val="000000"/>
          <w:spacing w:val="0"/>
          <w:w w:val="100"/>
          <w:position w:val="0"/>
        </w:rPr>
        <w:t>、本报告期股东大会情况</w:t>
      </w:r>
      <w:bookmarkEnd w:id="519"/>
      <w:bookmarkEnd w:id="520"/>
      <w:bookmarkEnd w:id="522"/>
    </w:p>
    <w:tbl>
      <w:tblPr>
        <w:tblOverlap w:val="never"/>
        <w:jc w:val="center"/>
        <w:tblLayout w:type="fixed"/>
      </w:tblPr>
      <w:tblGrid>
        <w:gridCol w:w="1603"/>
        <w:gridCol w:w="1594"/>
        <w:gridCol w:w="1027"/>
        <w:gridCol w:w="1594"/>
        <w:gridCol w:w="1594"/>
        <w:gridCol w:w="277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rPr>
              <w:t>《</w:t>
            </w:r>
            <w:r>
              <w:rPr>
                <w:color w:val="000000"/>
                <w:spacing w:val="0"/>
                <w:w w:val="100"/>
                <w:position w:val="0"/>
              </w:rPr>
              <w:t>2020</w:t>
            </w:r>
            <w:r>
              <w:rPr>
                <w:color w:val="000000"/>
                <w:spacing w:val="0"/>
                <w:w w:val="100"/>
                <w:position w:val="0"/>
              </w:rPr>
              <w:t>年第一次临时股东大会决 议公告》（公告编号：</w:t>
            </w:r>
            <w:r>
              <w:rPr>
                <w:color w:val="000000"/>
                <w:spacing w:val="0"/>
                <w:w w:val="100"/>
                <w:position w:val="0"/>
              </w:rPr>
              <w:t>2020-025）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w:t>
            </w:r>
            <w:r>
              <w:rPr>
                <w:color w:val="000000"/>
                <w:spacing w:val="0"/>
                <w:w w:val="100"/>
                <w:position w:val="0"/>
              </w:rPr>
              <w:t>2019</w:t>
            </w:r>
            <w:r>
              <w:rPr>
                <w:color w:val="000000"/>
                <w:spacing w:val="0"/>
                <w:w w:val="100"/>
                <w:position w:val="0"/>
              </w:rPr>
              <w:t>年年度股东大会决议公告》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r>
              <w:rPr>
                <w:color w:val="000000"/>
                <w:spacing w:val="0"/>
                <w:w w:val="100"/>
                <w:position w:val="0"/>
              </w:rPr>
              <w:t>2020-040）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0" w:line="317" w:lineRule="exact"/>
              <w:ind w:left="0" w:right="0" w:firstLine="0"/>
              <w:jc w:val="left"/>
            </w:pPr>
            <w:r>
              <w:rPr>
                <w:i/>
                <w:iCs/>
                <w:color w:val="000000"/>
                <w:spacing w:val="0"/>
                <w:w w:val="100"/>
                <w:position w:val="0"/>
              </w:rPr>
              <w:t>《</w:t>
            </w:r>
            <w:r>
              <w:rPr>
                <w:color w:val="000000"/>
                <w:spacing w:val="0"/>
                <w:w w:val="100"/>
                <w:position w:val="0"/>
              </w:rPr>
              <w:t>2020</w:t>
            </w:r>
            <w:r>
              <w:rPr>
                <w:color w:val="000000"/>
                <w:spacing w:val="0"/>
                <w:w w:val="100"/>
                <w:position w:val="0"/>
              </w:rPr>
              <w:t>年第二次临时股东大会决 议公告》（公告编号：</w:t>
            </w:r>
            <w:r>
              <w:rPr>
                <w:color w:val="000000"/>
                <w:spacing w:val="0"/>
                <w:w w:val="100"/>
                <w:position w:val="0"/>
              </w:rPr>
              <w:t>2020-056）</w:t>
            </w:r>
          </w:p>
        </w:tc>
      </w:tr>
    </w:tbl>
    <w:p>
      <w:pPr>
        <w:pStyle w:val="Style30"/>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2</w:t>
      </w:r>
      <w:bookmarkEnd w:id="525"/>
      <w:r>
        <w:rPr>
          <w:color w:val="000000"/>
          <w:spacing w:val="0"/>
          <w:w w:val="100"/>
          <w:position w:val="0"/>
        </w:rPr>
        <w:t>、表决权恢复的优先股股东请求召开临时股东大会</w:t>
      </w:r>
      <w:bookmarkEnd w:id="523"/>
      <w:bookmarkEnd w:id="524"/>
      <w:bookmarkEnd w:id="52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五</w:t>
      </w:r>
      <w:bookmarkEnd w:id="529"/>
      <w:r>
        <w:rPr>
          <w:color w:val="000000"/>
          <w:spacing w:val="0"/>
          <w:w w:val="100"/>
          <w:position w:val="0"/>
        </w:rPr>
        <w:t>、报告期内独立董事履行职责的情况</w:t>
      </w:r>
      <w:bookmarkEnd w:id="527"/>
      <w:bookmarkEnd w:id="528"/>
      <w:bookmarkEnd w:id="530"/>
    </w:p>
    <w:p>
      <w:pPr>
        <w:pStyle w:val="Style30"/>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r>
        <w:rPr>
          <w:color w:val="000000"/>
          <w:spacing w:val="0"/>
          <w:w w:val="100"/>
          <w:position w:val="0"/>
        </w:rPr>
        <w:t>1</w:t>
      </w:r>
      <w:r>
        <w:rPr>
          <w:color w:val="000000"/>
          <w:spacing w:val="0"/>
          <w:w w:val="100"/>
          <w:position w:val="0"/>
        </w:rPr>
        <w:t>、独立董事出席董事会及股东大会的情况</w:t>
      </w:r>
      <w:bookmarkEnd w:id="531"/>
      <w:bookmarkEnd w:id="532"/>
      <w:bookmarkEnd w:id="533"/>
    </w:p>
    <w:tbl>
      <w:tblPr>
        <w:tblOverlap w:val="never"/>
        <w:jc w:val="center"/>
        <w:tblLayout w:type="fixed"/>
      </w:tblPr>
      <w:tblGrid>
        <w:gridCol w:w="1430"/>
        <w:gridCol w:w="1166"/>
        <w:gridCol w:w="1344"/>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现场出席董事会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邹卓瑜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（视频方式）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王清云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（视频方式）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黄澄清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（视频方式）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（视频方式）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（视频方式）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26"/>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公司独立董事不存在连续两次未亲自出席董事会的情况。</w:t>
      </w:r>
    </w:p>
    <w:p>
      <w:pPr>
        <w:pStyle w:val="Style30"/>
        <w:keepNext/>
        <w:keepLines/>
        <w:widowControl w:val="0"/>
        <w:shd w:val="clear" w:color="auto" w:fill="auto"/>
        <w:tabs>
          <w:tab w:pos="373"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2</w:t>
      </w:r>
      <w:bookmarkEnd w:id="536"/>
      <w:r>
        <w:rPr>
          <w:color w:val="000000"/>
          <w:spacing w:val="0"/>
          <w:w w:val="100"/>
          <w:position w:val="0"/>
        </w:rPr>
        <w:t>、</w:t>
        <w:tab/>
        <w:t>独立董事对公司有关事项提出异议的情况</w:t>
      </w:r>
      <w:bookmarkEnd w:id="534"/>
      <w:bookmarkEnd w:id="535"/>
      <w:bookmarkEnd w:id="537"/>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3" w:val="left"/>
        </w:tabs>
        <w:bidi w:val="0"/>
        <w:spacing w:before="0" w:after="2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3</w:t>
      </w:r>
      <w:bookmarkEnd w:id="540"/>
      <w:r>
        <w:rPr>
          <w:color w:val="000000"/>
          <w:spacing w:val="0"/>
          <w:w w:val="100"/>
          <w:position w:val="0"/>
        </w:rPr>
        <w:t>、</w:t>
        <w:tab/>
        <w:t>独立董事履行职责的其他说明</w:t>
      </w:r>
      <w:bookmarkEnd w:id="538"/>
      <w:bookmarkEnd w:id="539"/>
      <w:bookmarkEnd w:id="541"/>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公司独立董事严格按照中国证监会和深圳证券交易所的有关规定及《公司章程》、《董事会议事规则》、《独立董事工 作制度》履行职责，积极参加董事会会议，认真审议各项议案，对报告期内公司年度利润分配预案、续聘年度审计机构、年 度经营层薪酬考核方案、年度内部控制评价报告、计提资产减值准备、关联交易、委托理财、提名董事候选人、聘任高级管 理人员、会计政策和会计估计变更、子公司之间提供担保等事项发表了独立意见；同时密切关注公司经营情况，结合自身专 业特长在公司业务发展、财务管理、投资决策等方面提出了专业性建议，为完善公司监督机制，维护公司和全体股东的合法 权益发挥了重要的作用。</w:t>
      </w:r>
    </w:p>
    <w:p>
      <w:pPr>
        <w:pStyle w:val="Style23"/>
        <w:keepNext/>
        <w:keepLines/>
        <w:widowControl w:val="0"/>
        <w:shd w:val="clear" w:color="auto" w:fill="auto"/>
        <w:bidi w:val="0"/>
        <w:spacing w:before="0" w:after="2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六</w:t>
      </w:r>
      <w:bookmarkEnd w:id="544"/>
      <w:r>
        <w:rPr>
          <w:color w:val="000000"/>
          <w:spacing w:val="0"/>
          <w:w w:val="100"/>
          <w:position w:val="0"/>
        </w:rPr>
        <w:t>、董事会下设专门委员会在报告期内履行职责情况</w:t>
      </w:r>
      <w:bookmarkEnd w:id="542"/>
      <w:bookmarkEnd w:id="543"/>
      <w:bookmarkEnd w:id="545"/>
    </w:p>
    <w:p>
      <w:pPr>
        <w:pStyle w:val="Style26"/>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 xml:space="preserve">报告期内，公司董事会下设审计委员会共召开四次会议，审议通过了公司关联交易情况报告、内部控制评价报告、财务 报告、续聘年度审计机构、内部审计工作报告及计划等事项。审计委员会围绕年报编制及财务报表审计，按照公司《董事会 </w:t>
      </w:r>
      <w:r>
        <w:rPr>
          <w:color w:val="000000"/>
          <w:spacing w:val="0"/>
          <w:w w:val="100"/>
          <w:position w:val="0"/>
        </w:rPr>
        <w:t>审计委员会年度报告工作制度》的要求，认真听取经营层对公司生产经营情况及重大事项进展情况的汇报，并与年审注册会 计师就关键审计事项进行了事前、事中、事后沟通，督促年审注册会计师按时完成审计工作。</w:t>
      </w:r>
    </w:p>
    <w:p>
      <w:pPr>
        <w:pStyle w:val="Style23"/>
        <w:keepNext/>
        <w:keepLines/>
        <w:widowControl w:val="0"/>
        <w:shd w:val="clear" w:color="auto" w:fill="auto"/>
        <w:tabs>
          <w:tab w:pos="522"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七</w:t>
      </w:r>
      <w:bookmarkEnd w:id="548"/>
      <w:r>
        <w:rPr>
          <w:color w:val="000000"/>
          <w:spacing w:val="0"/>
          <w:w w:val="100"/>
          <w:position w:val="0"/>
        </w:rPr>
        <w:t>、</w:t>
        <w:tab/>
        <w:t>监事会工作情况</w:t>
      </w:r>
      <w:bookmarkEnd w:id="546"/>
      <w:bookmarkEnd w:id="547"/>
      <w:bookmarkEnd w:id="549"/>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口 </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公司监事会对报告期内的监督事项无异议。</w:t>
      </w:r>
    </w:p>
    <w:p>
      <w:pPr>
        <w:pStyle w:val="Style23"/>
        <w:keepNext/>
        <w:keepLines/>
        <w:widowControl w:val="0"/>
        <w:shd w:val="clear" w:color="auto" w:fill="auto"/>
        <w:tabs>
          <w:tab w:pos="522"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八</w:t>
      </w:r>
      <w:bookmarkEnd w:id="552"/>
      <w:r>
        <w:rPr>
          <w:color w:val="000000"/>
          <w:spacing w:val="0"/>
          <w:w w:val="100"/>
          <w:position w:val="0"/>
        </w:rPr>
        <w:t>、</w:t>
        <w:tab/>
        <w:t>高级管理人员的考评及激励情况</w:t>
      </w:r>
      <w:bookmarkEnd w:id="550"/>
      <w:bookmarkEnd w:id="551"/>
      <w:bookmarkEnd w:id="553"/>
    </w:p>
    <w:p>
      <w:pPr>
        <w:pStyle w:val="Style26"/>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公司高级管理人员的薪酬由基本年薪和年终业绩奖励组成。其中，基本年薪主要与岗位、资历经验、任职年限挂钩，年 终业绩奖励与公司经营业绩、重要经营管理指标挂钩。公司根据年度经营目标完成情况以及高级管理人员的工作业绩对高级 管理人员进行年度绩效考核并确定年终业绩奖励。</w:t>
      </w:r>
    </w:p>
    <w:p>
      <w:pPr>
        <w:pStyle w:val="Style23"/>
        <w:keepNext/>
        <w:keepLines/>
        <w:widowControl w:val="0"/>
        <w:shd w:val="clear" w:color="auto" w:fill="auto"/>
        <w:tabs>
          <w:tab w:pos="522" w:val="left"/>
        </w:tabs>
        <w:bidi w:val="0"/>
        <w:spacing w:before="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九</w:t>
      </w:r>
      <w:bookmarkEnd w:id="556"/>
      <w:r>
        <w:rPr>
          <w:color w:val="000000"/>
          <w:spacing w:val="0"/>
          <w:w w:val="100"/>
          <w:position w:val="0"/>
        </w:rPr>
        <w:t>、</w:t>
        <w:tab/>
        <w:t>内部控制评价报告</w:t>
      </w:r>
      <w:bookmarkEnd w:id="554"/>
      <w:bookmarkEnd w:id="555"/>
      <w:bookmarkEnd w:id="557"/>
    </w:p>
    <w:p>
      <w:pPr>
        <w:pStyle w:val="Style30"/>
        <w:keepNext/>
        <w:keepLines/>
        <w:widowControl w:val="0"/>
        <w:shd w:val="clear" w:color="auto" w:fill="auto"/>
        <w:bidi w:val="0"/>
        <w:spacing w:before="0" w:after="260" w:line="240" w:lineRule="auto"/>
        <w:ind w:left="0" w:right="0" w:firstLine="0"/>
        <w:jc w:val="left"/>
      </w:pPr>
      <w:bookmarkStart w:id="558" w:name="bookmark558"/>
      <w:bookmarkStart w:id="559" w:name="bookmark559"/>
      <w:bookmarkStart w:id="560" w:name="bookmark560"/>
      <w:r>
        <w:rPr>
          <w:color w:val="000000"/>
          <w:spacing w:val="0"/>
          <w:w w:val="100"/>
          <w:position w:val="0"/>
        </w:rPr>
        <w:t>1</w:t>
      </w:r>
      <w:r>
        <w:rPr>
          <w:color w:val="000000"/>
          <w:spacing w:val="0"/>
          <w:w w:val="100"/>
          <w:position w:val="0"/>
        </w:rPr>
        <w:t>、报告期内发现的内部控制重大缺陷的具体情况</w:t>
      </w:r>
      <w:bookmarkEnd w:id="558"/>
      <w:bookmarkEnd w:id="559"/>
      <w:bookmarkEnd w:id="560"/>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 是 </w:t>
      </w:r>
      <w:r>
        <w:rPr>
          <w:i/>
          <w:iCs/>
          <w:color w:val="000000"/>
          <w:spacing w:val="0"/>
          <w:w w:val="100"/>
          <w:position w:val="0"/>
        </w:rPr>
        <w:t>』</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r>
        <w:rPr>
          <w:color w:val="000000"/>
          <w:spacing w:val="0"/>
          <w:w w:val="100"/>
          <w:position w:val="0"/>
        </w:rPr>
        <w:t>2</w:t>
      </w:r>
      <w:r>
        <w:rPr>
          <w:color w:val="000000"/>
          <w:spacing w:val="0"/>
          <w:w w:val="100"/>
          <w:position w:val="0"/>
        </w:rPr>
        <w:t>、内控自我评价报告</w:t>
      </w:r>
      <w:bookmarkEnd w:id="561"/>
      <w:bookmarkEnd w:id="562"/>
      <w:bookmarkEnd w:id="563"/>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www.cninfo.com.cn</w:t>
            </w:r>
            <w:r>
              <w:rPr>
                <w:color w:val="000000"/>
                <w:spacing w:val="0"/>
                <w:w w:val="100"/>
                <w:position w:val="0"/>
              </w:rPr>
              <w:t>《</w:t>
            </w:r>
            <w:r>
              <w:rPr>
                <w:color w:val="000000"/>
                <w:spacing w:val="0"/>
                <w:w w:val="100"/>
                <w:position w:val="0"/>
              </w:rPr>
              <w:t>2020</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 </w:t>
            </w:r>
            <w:r>
              <w:rPr>
                <w:color w:val="000000"/>
                <w:spacing w:val="0"/>
                <w:w w:val="100"/>
                <w:position w:val="0"/>
              </w:rPr>
              <w:t>90%</w:t>
            </w:r>
          </w:p>
        </w:tc>
      </w:tr>
      <w:tr>
        <w:trPr>
          <w:trHeight w:val="398"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.重大缺陷：外部审计机构、上市公司监 管机构或其他外部机构发现公司董事、监 事和高级管理人员在经营管理活动中舞 弊；对已经公告的财务报表进行重大差错 更正；外部审计机构发现当期财务报表存 在重大错报，而内部控制在运行过程中未 能发现该错报。</w:t>
            </w:r>
            <w:r>
              <w:rPr>
                <w:color w:val="000000"/>
                <w:spacing w:val="0"/>
                <w:w w:val="100"/>
                <w:position w:val="0"/>
              </w:rPr>
              <w:t>2</w:t>
            </w:r>
            <w:r>
              <w:rPr>
                <w:color w:val="000000"/>
                <w:spacing w:val="0"/>
                <w:w w:val="100"/>
                <w:position w:val="0"/>
              </w:rPr>
              <w:t>.重要缺陷：未依照公认 的会计准则选择和应用会计政策；未建立 经营管理活动相关的反舞弊程序和控制措 施；对于非常规或特殊交易的账务处理没 有建立相应的控制机制或没有实施且没有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color w:val="000000"/>
                <w:spacing w:val="0"/>
                <w:w w:val="100"/>
                <w:position w:val="0"/>
              </w:rPr>
              <w:t>.重大缺陷：公司重要业务事项、环节 和高风险领域缺乏制度控制或制度体 系失效，对公司经营造成重大影响；公 司缺乏对重大决策、重大事项、重要人 事任免事项及大额资金支付业务的决 策程序，导致公司出现重大损失；公司 严重违犯国家法律、法规或规范性文 件，受到政府部门责令停产停业、暂扣 或吊销许可证及执照的行政处罚，对公 司造成严重的负面影响或重大损失；公 司受到中国证监会处罚、证券交易所公</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相应的补偿性控制。</w:t>
            </w:r>
            <w:r>
              <w:rPr>
                <w:color w:val="000000"/>
                <w:spacing w:val="0"/>
                <w:w w:val="100"/>
                <w:position w:val="0"/>
              </w:rPr>
              <w:t xml:space="preserve">3, </w:t>
            </w:r>
            <w:r>
              <w:rPr>
                <w:color w:val="000000"/>
                <w:spacing w:val="0"/>
                <w:w w:val="100"/>
                <w:position w:val="0"/>
              </w:rPr>
              <w:t>一般缺陷：不构成 重大缺陷和重要缺陷的内部控制缺陷，认 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开谴责；公司核心管理人员和高级技术 人员流失严重，造成经营活动难以正常 进行。</w:t>
            </w:r>
            <w:r>
              <w:rPr>
                <w:color w:val="000000"/>
                <w:spacing w:val="0"/>
                <w:w w:val="100"/>
                <w:position w:val="0"/>
              </w:rPr>
              <w:t>2</w:t>
            </w:r>
            <w:r>
              <w:rPr>
                <w:color w:val="000000"/>
                <w:spacing w:val="0"/>
                <w:w w:val="100"/>
                <w:position w:val="0"/>
              </w:rPr>
              <w:t>.重要缺陷：公司重要业务事 项、环节和高风险领域相关的制度控制 或系统存在缺陷，对公司经营造成重要 影响；公司重大决策、重大事项、重要 人事任免事项及大额资金支付业务决 策程序不完善或不规范，导致公司出现 重要损失；公司违犯国家法律、法规或 规范性文件，受到除责令停产停业、暂 扣或吊销许可证及执照以外的行政处 罚；公司受到注册地中国证监会派出机 构处罚、证券交易所通报批评；公司关 键岗位业务人员流失严重。</w:t>
            </w:r>
            <w:r>
              <w:rPr>
                <w:color w:val="000000"/>
                <w:spacing w:val="0"/>
                <w:w w:val="100"/>
                <w:position w:val="0"/>
              </w:rPr>
              <w:t>3</w:t>
            </w:r>
            <w:r>
              <w:rPr>
                <w:color w:val="000000"/>
                <w:spacing w:val="0"/>
                <w:w w:val="100"/>
                <w:position w:val="0"/>
              </w:rPr>
              <w:t>.一般缺 陷：不构成重大缺陷和重要缺陷的内部 控制缺陷，认定为一般缺陷。</w:t>
            </w:r>
          </w:p>
        </w:tc>
      </w:tr>
      <w:tr>
        <w:trPr>
          <w:trHeight w:val="8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7"/>
              </w:numPr>
              <w:shd w:val="clear" w:color="auto" w:fill="auto"/>
              <w:tabs>
                <w:tab w:pos="182" w:val="left"/>
              </w:tabs>
              <w:bidi w:val="0"/>
              <w:spacing w:before="0" w:after="0" w:line="312" w:lineRule="exact"/>
              <w:ind w:left="0" w:right="0" w:firstLine="0"/>
              <w:jc w:val="both"/>
            </w:pPr>
            <w:r>
              <w:rPr>
                <w:color w:val="000000"/>
                <w:spacing w:val="0"/>
                <w:w w:val="100"/>
                <w:position w:val="0"/>
              </w:rPr>
              <w:t>重大缺陷（财务报告错报金额大于等 于）：利润总额的</w:t>
            </w:r>
            <w:r>
              <w:rPr>
                <w:color w:val="000000"/>
                <w:spacing w:val="0"/>
                <w:w w:val="100"/>
                <w:position w:val="0"/>
              </w:rPr>
              <w:t>10%，</w:t>
            </w:r>
            <w:r>
              <w:rPr>
                <w:color w:val="000000"/>
                <w:spacing w:val="0"/>
                <w:w w:val="100"/>
                <w:position w:val="0"/>
              </w:rPr>
              <w:t>且绝对金额大于等 于</w:t>
            </w:r>
            <w:r>
              <w:rPr>
                <w:color w:val="000000"/>
                <w:spacing w:val="0"/>
                <w:w w:val="100"/>
                <w:position w:val="0"/>
              </w:rPr>
              <w:t>500</w:t>
            </w:r>
            <w:r>
              <w:rPr>
                <w:color w:val="000000"/>
                <w:spacing w:val="0"/>
                <w:w w:val="100"/>
                <w:position w:val="0"/>
              </w:rPr>
              <w:t>万元；净资产的</w:t>
            </w:r>
            <w:r>
              <w:rPr>
                <w:color w:val="000000"/>
                <w:spacing w:val="0"/>
                <w:w w:val="100"/>
                <w:position w:val="0"/>
              </w:rPr>
              <w:t>3%，</w:t>
            </w:r>
            <w:r>
              <w:rPr>
                <w:color w:val="000000"/>
                <w:spacing w:val="0"/>
                <w:w w:val="100"/>
                <w:position w:val="0"/>
              </w:rPr>
              <w:t>且绝对金额大 于等于</w:t>
            </w:r>
            <w:r>
              <w:rPr>
                <w:color w:val="000000"/>
                <w:spacing w:val="0"/>
                <w:w w:val="100"/>
                <w:position w:val="0"/>
              </w:rPr>
              <w:t>2,500</w:t>
            </w:r>
            <w:r>
              <w:rPr>
                <w:color w:val="000000"/>
                <w:spacing w:val="0"/>
                <w:w w:val="100"/>
                <w:position w:val="0"/>
              </w:rPr>
              <w:t>万元；营业收入总额的</w:t>
            </w:r>
            <w:r>
              <w:rPr>
                <w:color w:val="000000"/>
                <w:spacing w:val="0"/>
                <w:w w:val="100"/>
                <w:position w:val="0"/>
              </w:rPr>
              <w:t xml:space="preserve">3%， </w:t>
            </w:r>
            <w:r>
              <w:rPr>
                <w:color w:val="000000"/>
                <w:spacing w:val="0"/>
                <w:w w:val="100"/>
                <w:position w:val="0"/>
              </w:rPr>
              <w:t>且绝对金额大于等于</w:t>
            </w:r>
            <w:r>
              <w:rPr>
                <w:color w:val="000000"/>
                <w:spacing w:val="0"/>
                <w:w w:val="100"/>
                <w:position w:val="0"/>
              </w:rPr>
              <w:t>3,000</w:t>
            </w:r>
            <w:r>
              <w:rPr>
                <w:color w:val="000000"/>
                <w:spacing w:val="0"/>
                <w:w w:val="100"/>
                <w:position w:val="0"/>
              </w:rPr>
              <w:t>万元；资产总 额的</w:t>
            </w:r>
            <w:r>
              <w:rPr>
                <w:color w:val="000000"/>
                <w:spacing w:val="0"/>
                <w:w w:val="100"/>
                <w:position w:val="0"/>
              </w:rPr>
              <w:t>2%，</w:t>
            </w:r>
            <w:r>
              <w:rPr>
                <w:color w:val="000000"/>
                <w:spacing w:val="0"/>
                <w:w w:val="100"/>
                <w:position w:val="0"/>
              </w:rPr>
              <w:t>且绝对金额大于等于</w:t>
            </w:r>
            <w:r>
              <w:rPr>
                <w:color w:val="000000"/>
                <w:spacing w:val="0"/>
                <w:w w:val="100"/>
                <w:position w:val="0"/>
              </w:rPr>
              <w:t>3,000</w:t>
            </w:r>
            <w:r>
              <w:rPr>
                <w:color w:val="000000"/>
                <w:spacing w:val="0"/>
                <w:w w:val="100"/>
                <w:position w:val="0"/>
              </w:rPr>
              <w:t>万元。</w:t>
            </w:r>
          </w:p>
          <w:p>
            <w:pPr>
              <w:pStyle w:val="Style2"/>
              <w:keepNext w:val="0"/>
              <w:keepLines w:val="0"/>
              <w:widowControl w:val="0"/>
              <w:numPr>
                <w:ilvl w:val="0"/>
                <w:numId w:val="7"/>
              </w:numPr>
              <w:shd w:val="clear" w:color="auto" w:fill="auto"/>
              <w:tabs>
                <w:tab w:pos="187" w:val="left"/>
              </w:tabs>
              <w:bidi w:val="0"/>
              <w:spacing w:before="0" w:after="0" w:line="312" w:lineRule="exact"/>
              <w:ind w:left="0" w:right="0" w:firstLine="0"/>
              <w:jc w:val="both"/>
            </w:pPr>
            <w:r>
              <w:rPr>
                <w:color w:val="000000"/>
                <w:spacing w:val="0"/>
                <w:w w:val="100"/>
                <w:position w:val="0"/>
              </w:rPr>
              <w:t>重要缺陷（财务报告错报金额小于）：利 润总额的</w:t>
            </w:r>
            <w:r>
              <w:rPr>
                <w:color w:val="000000"/>
                <w:spacing w:val="0"/>
                <w:w w:val="100"/>
                <w:position w:val="0"/>
              </w:rPr>
              <w:t>10%，</w:t>
            </w:r>
            <w:r>
              <w:rPr>
                <w:color w:val="000000"/>
                <w:spacing w:val="0"/>
                <w:w w:val="100"/>
                <w:position w:val="0"/>
              </w:rPr>
              <w:t>且绝对金额小于</w:t>
            </w:r>
            <w:r>
              <w:rPr>
                <w:color w:val="000000"/>
                <w:spacing w:val="0"/>
                <w:w w:val="100"/>
                <w:position w:val="0"/>
              </w:rPr>
              <w:t>500</w:t>
            </w:r>
            <w:r>
              <w:rPr>
                <w:color w:val="000000"/>
                <w:spacing w:val="0"/>
                <w:w w:val="100"/>
                <w:position w:val="0"/>
              </w:rPr>
              <w:t>万元； 净资产的</w:t>
            </w:r>
            <w:r>
              <w:rPr>
                <w:color w:val="000000"/>
                <w:spacing w:val="0"/>
                <w:w w:val="100"/>
                <w:position w:val="0"/>
              </w:rPr>
              <w:t>3%，</w:t>
            </w:r>
            <w:r>
              <w:rPr>
                <w:color w:val="000000"/>
                <w:spacing w:val="0"/>
                <w:w w:val="100"/>
                <w:position w:val="0"/>
              </w:rPr>
              <w:t>且绝对金额小于</w:t>
            </w:r>
            <w:r>
              <w:rPr>
                <w:color w:val="000000"/>
                <w:spacing w:val="0"/>
                <w:w w:val="100"/>
                <w:position w:val="0"/>
              </w:rPr>
              <w:t>2,500</w:t>
            </w:r>
            <w:r>
              <w:rPr>
                <w:color w:val="000000"/>
                <w:spacing w:val="0"/>
                <w:w w:val="100"/>
                <w:position w:val="0"/>
              </w:rPr>
              <w:t>万元； 营业收入总额的</w:t>
            </w:r>
            <w:r>
              <w:rPr>
                <w:color w:val="000000"/>
                <w:spacing w:val="0"/>
                <w:w w:val="100"/>
                <w:position w:val="0"/>
              </w:rPr>
              <w:t>3%，</w:t>
            </w:r>
            <w:r>
              <w:rPr>
                <w:color w:val="000000"/>
                <w:spacing w:val="0"/>
                <w:w w:val="100"/>
                <w:position w:val="0"/>
              </w:rPr>
              <w:t xml:space="preserve">且绝对金额小于 </w:t>
            </w:r>
            <w:r>
              <w:rPr>
                <w:color w:val="000000"/>
                <w:spacing w:val="0"/>
                <w:w w:val="100"/>
                <w:position w:val="0"/>
              </w:rPr>
              <w:t>3,000</w:t>
            </w:r>
            <w:r>
              <w:rPr>
                <w:color w:val="000000"/>
                <w:spacing w:val="0"/>
                <w:w w:val="100"/>
                <w:position w:val="0"/>
              </w:rPr>
              <w:t>万元；资产总额的</w:t>
            </w:r>
            <w:r>
              <w:rPr>
                <w:color w:val="000000"/>
                <w:spacing w:val="0"/>
                <w:w w:val="100"/>
                <w:position w:val="0"/>
              </w:rPr>
              <w:t>2%,</w:t>
            </w:r>
            <w:r>
              <w:rPr>
                <w:color w:val="000000"/>
                <w:spacing w:val="0"/>
                <w:w w:val="100"/>
                <w:position w:val="0"/>
              </w:rPr>
              <w:t>且绝对金额 小于</w:t>
            </w:r>
            <w:r>
              <w:rPr>
                <w:color w:val="000000"/>
                <w:spacing w:val="0"/>
                <w:w w:val="100"/>
                <w:position w:val="0"/>
              </w:rPr>
              <w:t>3,000</w:t>
            </w:r>
            <w:r>
              <w:rPr>
                <w:color w:val="000000"/>
                <w:spacing w:val="0"/>
                <w:w w:val="100"/>
                <w:position w:val="0"/>
              </w:rPr>
              <w:t>万元。重要缺陷（财务报告错 报金额且大于等于）：利润总额的</w:t>
            </w:r>
            <w:r>
              <w:rPr>
                <w:color w:val="000000"/>
                <w:spacing w:val="0"/>
                <w:w w:val="100"/>
                <w:position w:val="0"/>
              </w:rPr>
              <w:t>5%,</w:t>
            </w:r>
            <w:r>
              <w:rPr>
                <w:color w:val="000000"/>
                <w:spacing w:val="0"/>
                <w:w w:val="100"/>
                <w:position w:val="0"/>
              </w:rPr>
              <w:t>且 绝对金额大于等于</w:t>
            </w:r>
            <w:r>
              <w:rPr>
                <w:color w:val="000000"/>
                <w:spacing w:val="0"/>
                <w:w w:val="100"/>
                <w:position w:val="0"/>
              </w:rPr>
              <w:t>300</w:t>
            </w:r>
            <w:r>
              <w:rPr>
                <w:color w:val="000000"/>
                <w:spacing w:val="0"/>
                <w:w w:val="100"/>
                <w:position w:val="0"/>
              </w:rPr>
              <w:t xml:space="preserve">万元；净资产的 </w:t>
            </w:r>
            <w:r>
              <w:rPr>
                <w:color w:val="000000"/>
                <w:spacing w:val="0"/>
                <w:w w:val="100"/>
                <w:position w:val="0"/>
              </w:rPr>
              <w:t>1.5%</w:t>
            </w:r>
            <w:r>
              <w:rPr>
                <w:color w:val="000000"/>
                <w:spacing w:val="0"/>
                <w:w w:val="100"/>
                <w:position w:val="0"/>
              </w:rPr>
              <w:t>，且绝对金额大于等于</w:t>
            </w:r>
            <w:r>
              <w:rPr>
                <w:color w:val="000000"/>
                <w:spacing w:val="0"/>
                <w:w w:val="100"/>
                <w:position w:val="0"/>
              </w:rPr>
              <w:t>1,300</w:t>
            </w:r>
            <w:r>
              <w:rPr>
                <w:color w:val="000000"/>
                <w:spacing w:val="0"/>
                <w:w w:val="100"/>
                <w:position w:val="0"/>
              </w:rPr>
              <w:t>万元； 营业收入总额的</w:t>
            </w:r>
            <w:r>
              <w:rPr>
                <w:color w:val="000000"/>
                <w:spacing w:val="0"/>
                <w:w w:val="100"/>
                <w:position w:val="0"/>
              </w:rPr>
              <w:t>1.5%,</w:t>
            </w:r>
            <w:r>
              <w:rPr>
                <w:color w:val="000000"/>
                <w:spacing w:val="0"/>
                <w:w w:val="100"/>
                <w:position w:val="0"/>
              </w:rPr>
              <w:t>且绝对金额大于等 于</w:t>
            </w:r>
            <w:r>
              <w:rPr>
                <w:color w:val="000000"/>
                <w:spacing w:val="0"/>
                <w:w w:val="100"/>
                <w:position w:val="0"/>
              </w:rPr>
              <w:t>1,500</w:t>
            </w:r>
            <w:r>
              <w:rPr>
                <w:color w:val="000000"/>
                <w:spacing w:val="0"/>
                <w:w w:val="100"/>
                <w:position w:val="0"/>
              </w:rPr>
              <w:t>万元；资产总额的</w:t>
            </w:r>
            <w:r>
              <w:rPr>
                <w:color w:val="000000"/>
                <w:spacing w:val="0"/>
                <w:w w:val="100"/>
                <w:position w:val="0"/>
              </w:rPr>
              <w:t>1%，</w:t>
            </w:r>
            <w:r>
              <w:rPr>
                <w:color w:val="000000"/>
                <w:spacing w:val="0"/>
                <w:w w:val="100"/>
                <w:position w:val="0"/>
              </w:rPr>
              <w:t>且绝对金 额大于等于</w:t>
            </w:r>
            <w:r>
              <w:rPr>
                <w:color w:val="000000"/>
                <w:spacing w:val="0"/>
                <w:w w:val="100"/>
                <w:position w:val="0"/>
              </w:rPr>
              <w:t>1,500</w:t>
            </w:r>
            <w:r>
              <w:rPr>
                <w:color w:val="000000"/>
                <w:spacing w:val="0"/>
                <w:w w:val="100"/>
                <w:position w:val="0"/>
              </w:rPr>
              <w:t>万元。</w:t>
            </w:r>
            <w:r>
              <w:rPr>
                <w:color w:val="000000"/>
                <w:spacing w:val="0"/>
                <w:w w:val="100"/>
                <w:position w:val="0"/>
              </w:rPr>
              <w:t>3</w:t>
            </w:r>
            <w:r>
              <w:rPr>
                <w:color w:val="000000"/>
                <w:spacing w:val="0"/>
                <w:w w:val="100"/>
                <w:position w:val="0"/>
              </w:rPr>
              <w:t>.一般缺陷（财 务报告错报金额小于）：利润总额的</w:t>
            </w:r>
            <w:r>
              <w:rPr>
                <w:color w:val="000000"/>
                <w:spacing w:val="0"/>
                <w:w w:val="100"/>
                <w:position w:val="0"/>
              </w:rPr>
              <w:t xml:space="preserve">5%， </w:t>
            </w:r>
            <w:r>
              <w:rPr>
                <w:color w:val="000000"/>
                <w:spacing w:val="0"/>
                <w:w w:val="100"/>
                <w:position w:val="0"/>
              </w:rPr>
              <w:t>且绝对金额小于</w:t>
            </w:r>
            <w:r>
              <w:rPr>
                <w:color w:val="000000"/>
                <w:spacing w:val="0"/>
                <w:w w:val="100"/>
                <w:position w:val="0"/>
              </w:rPr>
              <w:t>300</w:t>
            </w:r>
            <w:r>
              <w:rPr>
                <w:color w:val="000000"/>
                <w:spacing w:val="0"/>
                <w:w w:val="100"/>
                <w:position w:val="0"/>
              </w:rPr>
              <w:t>万元;净资产的</w:t>
            </w:r>
            <w:r>
              <w:rPr>
                <w:color w:val="000000"/>
                <w:spacing w:val="0"/>
                <w:w w:val="100"/>
                <w:position w:val="0"/>
              </w:rPr>
              <w:t xml:space="preserve">1.5%， </w:t>
            </w:r>
            <w:r>
              <w:rPr>
                <w:color w:val="000000"/>
                <w:spacing w:val="0"/>
                <w:w w:val="100"/>
                <w:position w:val="0"/>
              </w:rPr>
              <w:t>且绝对金额小于</w:t>
            </w:r>
            <w:r>
              <w:rPr>
                <w:color w:val="000000"/>
                <w:spacing w:val="0"/>
                <w:w w:val="100"/>
                <w:position w:val="0"/>
              </w:rPr>
              <w:t>1,300</w:t>
            </w:r>
            <w:r>
              <w:rPr>
                <w:color w:val="000000"/>
                <w:spacing w:val="0"/>
                <w:w w:val="100"/>
                <w:position w:val="0"/>
              </w:rPr>
              <w:t>万元；营业收入总 额的</w:t>
            </w:r>
            <w:r>
              <w:rPr>
                <w:color w:val="000000"/>
                <w:spacing w:val="0"/>
                <w:w w:val="100"/>
                <w:position w:val="0"/>
              </w:rPr>
              <w:t>1.5%,</w:t>
            </w:r>
            <w:r>
              <w:rPr>
                <w:color w:val="000000"/>
                <w:spacing w:val="0"/>
                <w:w w:val="100"/>
                <w:position w:val="0"/>
              </w:rPr>
              <w:t>且绝对金额小于</w:t>
            </w:r>
            <w:r>
              <w:rPr>
                <w:color w:val="000000"/>
                <w:spacing w:val="0"/>
                <w:w w:val="100"/>
                <w:position w:val="0"/>
              </w:rPr>
              <w:t>1,500</w:t>
            </w:r>
            <w:r>
              <w:rPr>
                <w:color w:val="000000"/>
                <w:spacing w:val="0"/>
                <w:w w:val="100"/>
                <w:position w:val="0"/>
              </w:rPr>
              <w:t>万元； 资产总额的</w:t>
            </w:r>
            <w:r>
              <w:rPr>
                <w:color w:val="000000"/>
                <w:spacing w:val="0"/>
                <w:w w:val="100"/>
                <w:position w:val="0"/>
              </w:rPr>
              <w:t>1%，</w:t>
            </w:r>
            <w:r>
              <w:rPr>
                <w:color w:val="000000"/>
                <w:spacing w:val="0"/>
                <w:w w:val="100"/>
                <w:position w:val="0"/>
              </w:rPr>
              <w:t>且绝对金额小于</w:t>
            </w:r>
            <w:r>
              <w:rPr>
                <w:color w:val="000000"/>
                <w:spacing w:val="0"/>
                <w:w w:val="100"/>
                <w:position w:val="0"/>
              </w:rPr>
              <w:t>1,500</w:t>
            </w:r>
            <w:r>
              <w:rPr>
                <w:color w:val="000000"/>
                <w:spacing w:val="0"/>
                <w:w w:val="100"/>
                <w:position w:val="0"/>
              </w:rPr>
              <w:t>万 元。注：如同属上述四个指标的缺陷衡量 范围，采用孰低原则；上述指标均采用最 近一个会计年度经审计的合并财务报表数 据，如数据为负值，取其绝对值计算。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重大缺陷：直接财产损失或影响程度 大于等于利润总额的</w:t>
            </w:r>
            <w:r>
              <w:rPr>
                <w:color w:val="000000"/>
                <w:spacing w:val="0"/>
                <w:w w:val="100"/>
                <w:position w:val="0"/>
              </w:rPr>
              <w:t>10%，</w:t>
            </w:r>
            <w:r>
              <w:rPr>
                <w:color w:val="000000"/>
                <w:spacing w:val="0"/>
                <w:w w:val="100"/>
                <w:position w:val="0"/>
              </w:rPr>
              <w:t>且绝对金额 大于等于</w:t>
            </w:r>
            <w:r>
              <w:rPr>
                <w:color w:val="000000"/>
                <w:spacing w:val="0"/>
                <w:w w:val="100"/>
                <w:position w:val="0"/>
              </w:rPr>
              <w:t>500</w:t>
            </w:r>
            <w:r>
              <w:rPr>
                <w:color w:val="000000"/>
                <w:spacing w:val="0"/>
                <w:w w:val="100"/>
                <w:position w:val="0"/>
              </w:rPr>
              <w:t>万元。</w:t>
            </w:r>
            <w:r>
              <w:rPr>
                <w:color w:val="000000"/>
                <w:spacing w:val="0"/>
                <w:w w:val="100"/>
                <w:position w:val="0"/>
              </w:rPr>
              <w:t>2</w:t>
            </w:r>
            <w:r>
              <w:rPr>
                <w:color w:val="000000"/>
                <w:spacing w:val="0"/>
                <w:w w:val="100"/>
                <w:position w:val="0"/>
              </w:rPr>
              <w:t>.重要缺陷：直 接财产损失或影响程度小于利润总额 的</w:t>
            </w:r>
            <w:r>
              <w:rPr>
                <w:color w:val="000000"/>
                <w:spacing w:val="0"/>
                <w:w w:val="100"/>
                <w:position w:val="0"/>
              </w:rPr>
              <w:t>10%</w:t>
            </w:r>
            <w:r>
              <w:rPr>
                <w:color w:val="000000"/>
                <w:spacing w:val="0"/>
                <w:w w:val="100"/>
                <w:position w:val="0"/>
              </w:rPr>
              <w:t>且大于等于</w:t>
            </w:r>
            <w:r>
              <w:rPr>
                <w:color w:val="000000"/>
                <w:spacing w:val="0"/>
                <w:w w:val="100"/>
                <w:position w:val="0"/>
              </w:rPr>
              <w:t xml:space="preserve">5% </w:t>
            </w:r>
            <w:r>
              <w:rPr>
                <w:color w:val="000000"/>
                <w:spacing w:val="0"/>
                <w:w w:val="100"/>
                <w:position w:val="0"/>
              </w:rPr>
              <w:t xml:space="preserve">,且绝对金额小于 </w:t>
            </w:r>
            <w:r>
              <w:rPr>
                <w:color w:val="000000"/>
                <w:spacing w:val="0"/>
                <w:w w:val="100"/>
                <w:position w:val="0"/>
              </w:rPr>
              <w:t>500</w:t>
            </w:r>
            <w:r>
              <w:rPr>
                <w:color w:val="000000"/>
                <w:spacing w:val="0"/>
                <w:w w:val="100"/>
                <w:position w:val="0"/>
              </w:rPr>
              <w:t>万元，大于等于</w:t>
            </w:r>
            <w:r>
              <w:rPr>
                <w:color w:val="000000"/>
                <w:spacing w:val="0"/>
                <w:w w:val="100"/>
                <w:position w:val="0"/>
              </w:rPr>
              <w:t>300</w:t>
            </w:r>
            <w:r>
              <w:rPr>
                <w:color w:val="000000"/>
                <w:spacing w:val="0"/>
                <w:w w:val="100"/>
                <w:position w:val="0"/>
              </w:rPr>
              <w:t>万元。</w:t>
            </w:r>
            <w:r>
              <w:rPr>
                <w:color w:val="000000"/>
                <w:spacing w:val="0"/>
                <w:w w:val="100"/>
                <w:position w:val="0"/>
              </w:rPr>
              <w:t>3.</w:t>
            </w:r>
            <w:r>
              <w:rPr>
                <w:color w:val="000000"/>
                <w:spacing w:val="0"/>
                <w:w w:val="100"/>
                <w:position w:val="0"/>
              </w:rPr>
              <w:t>—</w:t>
            </w:r>
            <w:r>
              <w:rPr>
                <w:color w:val="000000"/>
                <w:spacing w:val="0"/>
                <w:w w:val="100"/>
                <w:position w:val="0"/>
              </w:rPr>
              <w:t>般 缺陷：直接财产损失或影响程度小于利 润总额的</w:t>
            </w:r>
            <w:r>
              <w:rPr>
                <w:color w:val="000000"/>
                <w:spacing w:val="0"/>
                <w:w w:val="100"/>
                <w:position w:val="0"/>
              </w:rPr>
              <w:t>5%,</w:t>
            </w:r>
            <w:r>
              <w:rPr>
                <w:color w:val="000000"/>
                <w:spacing w:val="0"/>
                <w:w w:val="100"/>
                <w:position w:val="0"/>
              </w:rPr>
              <w:t>且绝对金额小于</w:t>
            </w:r>
            <w:r>
              <w:rPr>
                <w:color w:val="000000"/>
                <w:spacing w:val="0"/>
                <w:w w:val="100"/>
                <w:position w:val="0"/>
              </w:rPr>
              <w:t>300</w:t>
            </w:r>
            <w:r>
              <w:rPr>
                <w:color w:val="000000"/>
                <w:spacing w:val="0"/>
                <w:w w:val="100"/>
                <w:position w:val="0"/>
              </w:rPr>
              <w:t>万 元。注：上述指标采用最近一个会计 年度经审计的合并财务报表数据，如数 据为负值，取其绝对值计算。</w:t>
            </w:r>
          </w:p>
        </w:tc>
      </w:tr>
    </w:tbl>
    <w:p>
      <w:pPr>
        <w:spacing w:lineRule="exact" w:line="1"/>
        <w:rPr>
          <w:sz w:val="2"/>
          <w:szCs w:val="2"/>
        </w:rPr>
      </w:pPr>
      <w:r>
        <w:br w:type="page"/>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r>
        <w:rPr>
          <w:color w:val="000000"/>
          <w:spacing w:val="0"/>
          <w:w w:val="100"/>
          <w:position w:val="0"/>
        </w:rPr>
        <w:t>十、内部控制审计报告或鉴证报告</w:t>
      </w:r>
      <w:bookmarkEnd w:id="564"/>
      <w:bookmarkEnd w:id="565"/>
      <w:bookmarkEnd w:id="566"/>
    </w:p>
    <w:p>
      <w:pPr>
        <w:pStyle w:val="Style2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643" w:bottom="1518" w:left="105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keepLines/>
        <w:widowControl w:val="0"/>
        <w:shd w:val="clear" w:color="auto" w:fill="auto"/>
        <w:bidi w:val="0"/>
        <w:spacing w:before="0" w:after="440" w:line="240" w:lineRule="auto"/>
        <w:ind w:left="0" w:right="0" w:firstLine="0"/>
        <w:jc w:val="center"/>
      </w:pPr>
      <w:bookmarkStart w:id="567" w:name="bookmark567"/>
      <w:bookmarkStart w:id="568" w:name="bookmark568"/>
      <w:bookmarkStart w:id="569" w:name="bookmark569"/>
      <w:r>
        <w:rPr>
          <w:color w:val="000000"/>
          <w:spacing w:val="0"/>
          <w:w w:val="100"/>
          <w:position w:val="0"/>
        </w:rPr>
        <w:t>第十一节公司债券相关情况</w:t>
      </w:r>
      <w:bookmarkEnd w:id="567"/>
      <w:bookmarkEnd w:id="568"/>
      <w:bookmarkEnd w:id="569"/>
    </w:p>
    <w:p>
      <w:pPr>
        <w:pStyle w:val="Style26"/>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926" w:right="1194" w:bottom="1926" w:left="1112" w:header="0" w:footer="3" w:gutter="0"/>
          <w:cols w:space="720"/>
          <w:noEndnote/>
          <w:rtlGutter w:val="0"/>
          <w:docGrid w:linePitch="360"/>
        </w:sectPr>
      </w:pPr>
      <w:bookmarkStart w:id="570" w:name="bookmark570"/>
      <w:r>
        <w:rPr>
          <w:color w:val="000000"/>
          <w:spacing w:val="0"/>
          <w:w w:val="100"/>
          <w:position w:val="0"/>
        </w:rPr>
        <w:t xml:space="preserve">公司是否存在公开发行并在证券交易所上市，且在年度报告批准报出日未到期或到期未能全额兑付的公司债券 </w:t>
      </w:r>
      <w:r>
        <w:rPr>
          <w:color w:val="000000"/>
          <w:spacing w:val="0"/>
          <w:w w:val="100"/>
          <w:position w:val="0"/>
        </w:rPr>
        <w:t xml:space="preserve">口 </w:t>
      </w:r>
      <w:r>
        <w:rPr>
          <w:color w:val="000000"/>
          <w:spacing w:val="0"/>
          <w:w w:val="100"/>
          <w:position w:val="0"/>
        </w:rPr>
        <w:t xml:space="preserve">是 </w:t>
      </w:r>
      <w:r>
        <w:rPr>
          <w:i/>
          <w:iCs/>
          <w:color w:val="000000"/>
          <w:spacing w:val="0"/>
          <w:w w:val="100"/>
          <w:position w:val="0"/>
        </w:rPr>
        <w:t>』</w:t>
      </w:r>
      <w:r>
        <w:rPr>
          <w:color w:val="000000"/>
          <w:spacing w:val="0"/>
          <w:w w:val="100"/>
          <w:position w:val="0"/>
        </w:rPr>
        <w:t>否</w:t>
      </w:r>
      <w:bookmarkEnd w:id="570"/>
    </w:p>
    <w:p>
      <w:pPr>
        <w:pStyle w:val="Style9"/>
        <w:keepNext/>
        <w:keepLines/>
        <w:widowControl w:val="0"/>
        <w:shd w:val="clear" w:color="auto" w:fill="auto"/>
        <w:bidi w:val="0"/>
        <w:spacing w:before="560" w:after="540" w:line="240" w:lineRule="auto"/>
        <w:ind w:left="0" w:right="0" w:firstLine="0"/>
        <w:jc w:val="center"/>
      </w:pPr>
      <w:bookmarkStart w:id="571" w:name="bookmark571"/>
      <w:bookmarkStart w:id="572" w:name="bookmark572"/>
      <w:bookmarkStart w:id="573" w:name="bookmark573"/>
      <w:r>
        <w:rPr>
          <w:color w:val="000000"/>
          <w:spacing w:val="0"/>
          <w:w w:val="100"/>
          <w:position w:val="0"/>
        </w:rPr>
        <w:t>第十二节财务报告</w:t>
      </w:r>
      <w:bookmarkEnd w:id="571"/>
      <w:bookmarkEnd w:id="572"/>
      <w:bookmarkEnd w:id="573"/>
    </w:p>
    <w:p>
      <w:pPr>
        <w:pStyle w:val="Style23"/>
        <w:keepNext/>
        <w:keepLines/>
        <w:widowControl w:val="0"/>
        <w:shd w:val="clear" w:color="auto" w:fill="auto"/>
        <w:bidi w:val="0"/>
        <w:spacing w:before="0" w:after="320" w:line="240" w:lineRule="auto"/>
        <w:ind w:left="0" w:right="0" w:firstLine="240"/>
        <w:jc w:val="both"/>
      </w:pPr>
      <w:bookmarkStart w:id="574" w:name="bookmark574"/>
      <w:bookmarkStart w:id="575" w:name="bookmark575"/>
      <w:bookmarkStart w:id="576" w:name="bookmark576"/>
      <w:bookmarkStart w:id="577" w:name="bookmark577"/>
      <w:r>
        <w:rPr>
          <w:color w:val="000000"/>
          <w:spacing w:val="0"/>
          <w:w w:val="100"/>
          <w:position w:val="0"/>
        </w:rPr>
        <w:t>、审计报告</w:t>
      </w:r>
      <w:bookmarkEnd w:id="575"/>
      <w:bookmarkEnd w:id="576"/>
      <w:bookmarkEnd w:id="577"/>
      <w:bookmarkEnd w:id="57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color w:val="000000"/>
                <w:spacing w:val="0"/>
                <w:w w:val="100"/>
                <w:position w:val="0"/>
              </w:rPr>
              <w:t>[2021]0101430</w:t>
            </w:r>
            <w:r>
              <w:rPr>
                <w:color w:val="000000"/>
                <w:spacing w:val="0"/>
                <w:w w:val="100"/>
                <w:position w:val="0"/>
              </w:rPr>
              <w:t>号</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吴杰、代娟</w:t>
            </w:r>
          </w:p>
        </w:tc>
      </w:tr>
    </w:tbl>
    <w:p>
      <w:pPr>
        <w:pStyle w:val="Style33"/>
        <w:keepNext w:val="0"/>
        <w:keepLines w:val="0"/>
        <w:widowControl w:val="0"/>
        <w:shd w:val="clear" w:color="auto" w:fill="auto"/>
        <w:bidi w:val="0"/>
        <w:spacing w:before="0" w:after="0" w:line="240" w:lineRule="auto"/>
        <w:ind w:left="4234" w:right="0" w:firstLine="0"/>
        <w:jc w:val="left"/>
      </w:pPr>
      <w:r>
        <w:rPr>
          <w:color w:val="000000"/>
          <w:spacing w:val="0"/>
          <w:w w:val="100"/>
          <w:position w:val="0"/>
        </w:rPr>
        <w:t>审计报告正文</w:t>
      </w:r>
    </w:p>
    <w:p>
      <w:pPr>
        <w:widowControl w:val="0"/>
        <w:spacing w:after="319" w:line="1" w:lineRule="exact"/>
      </w:pPr>
    </w:p>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6"/>
        <w:keepNext w:val="0"/>
        <w:keepLines w:val="0"/>
        <w:widowControl w:val="0"/>
        <w:shd w:val="clear" w:color="auto" w:fill="auto"/>
        <w:bidi w:val="0"/>
        <w:spacing w:before="0" w:after="240" w:line="317" w:lineRule="exact"/>
        <w:ind w:left="0" w:right="0" w:firstLine="0"/>
        <w:jc w:val="right"/>
      </w:pPr>
      <w:r>
        <w:rPr>
          <w:color w:val="000000"/>
          <w:spacing w:val="0"/>
          <w:w w:val="100"/>
          <w:position w:val="0"/>
        </w:rPr>
        <w:t>众环审字</w:t>
      </w:r>
      <w:r>
        <w:rPr>
          <w:color w:val="000000"/>
          <w:spacing w:val="0"/>
          <w:w w:val="100"/>
          <w:position w:val="0"/>
        </w:rPr>
        <w:t>[2021]0101430</w:t>
      </w:r>
      <w:r>
        <w:rPr>
          <w:color w:val="000000"/>
          <w:spacing w:val="0"/>
          <w:w w:val="100"/>
          <w:position w:val="0"/>
        </w:rPr>
        <w:t>号</w:t>
      </w:r>
    </w:p>
    <w:p>
      <w:pPr>
        <w:pStyle w:val="Style9"/>
        <w:keepNext/>
        <w:keepLines/>
        <w:widowControl w:val="0"/>
        <w:shd w:val="clear" w:color="auto" w:fill="auto"/>
        <w:bidi w:val="0"/>
        <w:spacing w:before="0" w:after="100" w:line="317" w:lineRule="exact"/>
        <w:ind w:left="0" w:right="0" w:firstLine="0"/>
        <w:jc w:val="left"/>
        <w:rPr>
          <w:sz w:val="17"/>
          <w:szCs w:val="17"/>
        </w:rPr>
      </w:pPr>
      <w:bookmarkStart w:id="578" w:name="bookmark578"/>
      <w:bookmarkStart w:id="579" w:name="bookmark579"/>
      <w:bookmarkStart w:id="580" w:name="bookmark580"/>
      <w:r>
        <w:rPr>
          <w:color w:val="000000"/>
          <w:spacing w:val="0"/>
          <w:w w:val="100"/>
          <w:position w:val="0"/>
          <w:sz w:val="17"/>
          <w:szCs w:val="17"/>
        </w:rPr>
        <w:t>武汉天喻信息产业股份有限公司全体股东：</w:t>
      </w:r>
      <w:bookmarkEnd w:id="578"/>
      <w:bookmarkEnd w:id="579"/>
      <w:bookmarkEnd w:id="580"/>
    </w:p>
    <w:p>
      <w:pPr>
        <w:pStyle w:val="Style9"/>
        <w:keepNext/>
        <w:keepLines/>
        <w:widowControl w:val="0"/>
        <w:shd w:val="clear" w:color="auto" w:fill="auto"/>
        <w:tabs>
          <w:tab w:pos="843" w:val="left"/>
        </w:tabs>
        <w:bidi w:val="0"/>
        <w:spacing w:before="0" w:after="0" w:line="317" w:lineRule="exact"/>
        <w:ind w:left="0" w:right="0" w:firstLine="360"/>
        <w:jc w:val="both"/>
        <w:rPr>
          <w:sz w:val="17"/>
          <w:szCs w:val="17"/>
        </w:rPr>
      </w:pPr>
      <w:bookmarkStart w:id="581" w:name="bookmark581"/>
      <w:bookmarkStart w:id="582" w:name="bookmark582"/>
      <w:bookmarkStart w:id="583" w:name="bookmark583"/>
      <w:bookmarkStart w:id="584" w:name="bookmark584"/>
      <w:r>
        <w:rPr>
          <w:color w:val="000000"/>
          <w:spacing w:val="0"/>
          <w:w w:val="100"/>
          <w:position w:val="0"/>
          <w:sz w:val="17"/>
          <w:szCs w:val="17"/>
        </w:rPr>
        <w:t>一</w:t>
      </w:r>
      <w:bookmarkEnd w:id="583"/>
      <w:r>
        <w:rPr>
          <w:color w:val="000000"/>
          <w:spacing w:val="0"/>
          <w:w w:val="100"/>
          <w:position w:val="0"/>
          <w:sz w:val="17"/>
          <w:szCs w:val="17"/>
        </w:rPr>
        <w:t>、</w:t>
        <w:tab/>
        <w:t>审计意见</w:t>
      </w:r>
      <w:bookmarkEnd w:id="581"/>
      <w:bookmarkEnd w:id="582"/>
      <w:bookmarkEnd w:id="584"/>
    </w:p>
    <w:p>
      <w:pPr>
        <w:pStyle w:val="Style26"/>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我们审计了武汉天喻信息产业股份有限公司（以下简称“天喻信息”</w:t>
      </w:r>
      <w:r>
        <w:rPr>
          <w:color w:val="000000"/>
          <w:spacing w:val="0"/>
          <w:w w:val="100"/>
          <w:position w:val="0"/>
        </w:rPr>
        <w:t>）</w:t>
      </w:r>
      <w:r>
        <w:rPr>
          <w:color w:val="000000"/>
          <w:spacing w:val="0"/>
          <w:w w:val="100"/>
          <w:position w:val="0"/>
        </w:rPr>
        <w:t>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 司资产负债表，</w:t>
      </w:r>
      <w:r>
        <w:rPr>
          <w:color w:val="000000"/>
          <w:spacing w:val="0"/>
          <w:w w:val="100"/>
          <w:position w:val="0"/>
        </w:rPr>
        <w:t>2020</w:t>
      </w:r>
      <w:r>
        <w:rPr>
          <w:color w:val="000000"/>
          <w:spacing w:val="0"/>
          <w:w w:val="100"/>
          <w:position w:val="0"/>
        </w:rPr>
        <w:t>年度的合并及公司利润表、合并及公司现金流量表、合并及公司股东权益变动表以及相关财务报表附 注。</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我们认为，后附的财务报表在所有重大方面按照企业会计准则的规定编制，公允反映了天喻信息</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 并及公司的财务状况以及</w:t>
      </w:r>
      <w:r>
        <w:rPr>
          <w:color w:val="000000"/>
          <w:spacing w:val="0"/>
          <w:w w:val="100"/>
          <w:position w:val="0"/>
        </w:rPr>
        <w:t>2020</w:t>
      </w:r>
      <w:r>
        <w:rPr>
          <w:color w:val="000000"/>
          <w:spacing w:val="0"/>
          <w:w w:val="100"/>
          <w:position w:val="0"/>
        </w:rPr>
        <w:t>年度合并及公司的经营成果和现金流量。</w:t>
      </w:r>
    </w:p>
    <w:p>
      <w:pPr>
        <w:pStyle w:val="Style9"/>
        <w:keepNext/>
        <w:keepLines/>
        <w:widowControl w:val="0"/>
        <w:shd w:val="clear" w:color="auto" w:fill="auto"/>
        <w:tabs>
          <w:tab w:pos="843" w:val="left"/>
        </w:tabs>
        <w:bidi w:val="0"/>
        <w:spacing w:before="0" w:after="0" w:line="317" w:lineRule="exact"/>
        <w:ind w:left="0" w:right="0" w:firstLine="360"/>
        <w:jc w:val="both"/>
        <w:rPr>
          <w:sz w:val="17"/>
          <w:szCs w:val="17"/>
        </w:rPr>
      </w:pPr>
      <w:bookmarkStart w:id="585" w:name="bookmark585"/>
      <w:bookmarkStart w:id="586" w:name="bookmark586"/>
      <w:bookmarkStart w:id="587" w:name="bookmark587"/>
      <w:bookmarkStart w:id="588" w:name="bookmark588"/>
      <w:r>
        <w:rPr>
          <w:color w:val="000000"/>
          <w:spacing w:val="0"/>
          <w:w w:val="100"/>
          <w:position w:val="0"/>
          <w:sz w:val="17"/>
          <w:szCs w:val="17"/>
        </w:rPr>
        <w:t>二</w:t>
      </w:r>
      <w:bookmarkEnd w:id="587"/>
      <w:r>
        <w:rPr>
          <w:color w:val="000000"/>
          <w:spacing w:val="0"/>
          <w:w w:val="100"/>
          <w:position w:val="0"/>
          <w:sz w:val="17"/>
          <w:szCs w:val="17"/>
        </w:rPr>
        <w:t>、</w:t>
        <w:tab/>
        <w:t>形成审计意见的基础</w:t>
      </w:r>
      <w:bookmarkEnd w:id="585"/>
      <w:bookmarkEnd w:id="586"/>
      <w:bookmarkEnd w:id="588"/>
    </w:p>
    <w:p>
      <w:pPr>
        <w:pStyle w:val="Style26"/>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步阐述了我们在这些准则下的责任。按照中国注册会计师职业道德守则，我们独立于天喻信息公司，并履行了职业道德方面 的其他责任。我们相信，我们获取的审计证据是充分、适当的，为发表审计意见提供了基础。</w:t>
      </w:r>
    </w:p>
    <w:p>
      <w:pPr>
        <w:pStyle w:val="Style9"/>
        <w:keepNext/>
        <w:keepLines/>
        <w:widowControl w:val="0"/>
        <w:shd w:val="clear" w:color="auto" w:fill="auto"/>
        <w:tabs>
          <w:tab w:pos="843" w:val="left"/>
        </w:tabs>
        <w:bidi w:val="0"/>
        <w:spacing w:before="0" w:after="0" w:line="317" w:lineRule="exact"/>
        <w:ind w:left="0" w:right="0" w:firstLine="360"/>
        <w:jc w:val="both"/>
        <w:rPr>
          <w:sz w:val="17"/>
          <w:szCs w:val="17"/>
        </w:rPr>
      </w:pPr>
      <w:bookmarkStart w:id="589" w:name="bookmark589"/>
      <w:bookmarkStart w:id="590" w:name="bookmark590"/>
      <w:bookmarkStart w:id="591" w:name="bookmark591"/>
      <w:bookmarkStart w:id="592" w:name="bookmark592"/>
      <w:r>
        <w:rPr>
          <w:color w:val="000000"/>
          <w:spacing w:val="0"/>
          <w:w w:val="100"/>
          <w:position w:val="0"/>
          <w:sz w:val="17"/>
          <w:szCs w:val="17"/>
        </w:rPr>
        <w:t>三</w:t>
      </w:r>
      <w:bookmarkEnd w:id="591"/>
      <w:r>
        <w:rPr>
          <w:color w:val="000000"/>
          <w:spacing w:val="0"/>
          <w:w w:val="100"/>
          <w:position w:val="0"/>
          <w:sz w:val="17"/>
          <w:szCs w:val="17"/>
        </w:rPr>
        <w:t>、</w:t>
        <w:tab/>
        <w:t>关键审计事项</w:t>
      </w:r>
      <w:bookmarkEnd w:id="589"/>
      <w:bookmarkEnd w:id="590"/>
      <w:bookmarkEnd w:id="592"/>
    </w:p>
    <w:p>
      <w:pPr>
        <w:pStyle w:val="Style26"/>
        <w:keepNext w:val="0"/>
        <w:keepLines w:val="0"/>
        <w:widowControl w:val="0"/>
        <w:shd w:val="clear" w:color="auto" w:fill="auto"/>
        <w:bidi w:val="0"/>
        <w:spacing w:before="0" w:after="320" w:line="322"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33"/>
        <w:keepNext w:val="0"/>
        <w:keepLines w:val="0"/>
        <w:widowControl w:val="0"/>
        <w:shd w:val="clear" w:color="auto" w:fill="auto"/>
        <w:bidi w:val="0"/>
        <w:spacing w:before="0" w:after="0" w:line="240" w:lineRule="auto"/>
        <w:ind w:left="0" w:right="0" w:firstLine="0"/>
        <w:jc w:val="left"/>
      </w:pPr>
      <w:bookmarkStart w:id="593" w:name="bookmark593"/>
      <w:r>
        <w:rPr>
          <w:b/>
          <w:bCs/>
          <w:color w:val="000000"/>
          <w:spacing w:val="0"/>
          <w:w w:val="100"/>
          <w:position w:val="0"/>
        </w:rPr>
        <w:t>（一）存货跌价准备计提</w:t>
      </w:r>
      <w:bookmarkEnd w:id="593"/>
    </w:p>
    <w:tbl>
      <w:tblPr>
        <w:tblOverlap w:val="never"/>
        <w:jc w:val="center"/>
        <w:tblLayout w:type="fixed"/>
      </w:tblPr>
      <w:tblGrid>
        <w:gridCol w:w="4301"/>
        <w:gridCol w:w="4392"/>
      </w:tblGrid>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193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请参见财务报表附注七</w:t>
            </w:r>
            <w:r>
              <w:rPr>
                <w:color w:val="000000"/>
                <w:spacing w:val="0"/>
                <w:w w:val="100"/>
                <w:position w:val="0"/>
              </w:rPr>
              <w:t xml:space="preserve">.8 </w:t>
            </w:r>
            <w:r>
              <w:rPr>
                <w:color w:val="000000"/>
                <w:spacing w:val="0"/>
                <w:w w:val="100"/>
                <w:position w:val="0"/>
              </w:rPr>
              <w:t>“存货”</w:t>
            </w:r>
            <w:r>
              <w:rPr>
                <w:i/>
                <w:iCs/>
                <w:color w:val="000000"/>
                <w:spacing w:val="0"/>
                <w:w w:val="100"/>
                <w:position w:val="0"/>
              </w:rPr>
              <w:t>。</w:t>
            </w:r>
            <w:r>
              <w:rPr>
                <w:color w:val="000000"/>
                <w:spacing w:val="0"/>
                <w:w w:val="100"/>
                <w:position w:val="0"/>
              </w:rPr>
              <w:t>截至</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日，天喻信息存货账面余额为</w:t>
            </w:r>
            <w:r>
              <w:rPr>
                <w:color w:val="000000"/>
                <w:spacing w:val="0"/>
                <w:w w:val="100"/>
                <w:position w:val="0"/>
              </w:rPr>
              <w:t>41,503.37</w:t>
            </w:r>
            <w:r>
              <w:rPr>
                <w:color w:val="000000"/>
                <w:spacing w:val="0"/>
                <w:w w:val="100"/>
                <w:position w:val="0"/>
              </w:rPr>
              <w:t>万 元，跌价准备余额为</w:t>
            </w:r>
            <w:r>
              <w:rPr>
                <w:color w:val="000000"/>
                <w:spacing w:val="0"/>
                <w:w w:val="100"/>
                <w:position w:val="0"/>
              </w:rPr>
              <w:t>14,764.31</w:t>
            </w:r>
            <w:r>
              <w:rPr>
                <w:color w:val="000000"/>
                <w:spacing w:val="0"/>
                <w:w w:val="100"/>
                <w:position w:val="0"/>
              </w:rPr>
              <w:t>万元，存货账面价 值重大，占合并财务报表资产总额的</w:t>
            </w:r>
            <w:r>
              <w:rPr>
                <w:color w:val="000000"/>
                <w:spacing w:val="0"/>
                <w:w w:val="100"/>
                <w:position w:val="0"/>
              </w:rPr>
              <w:t>9.48%</w:t>
            </w:r>
            <w:r>
              <w:rPr>
                <w:color w:val="000000"/>
                <w:spacing w:val="0"/>
                <w:w w:val="100"/>
                <w:position w:val="0"/>
              </w:rPr>
              <w:t>。由于存 货金额重大且存货跌价准备的计提涉及管理层作出 重大判断,我们将存货跌价准备计提作为关键审计事 项</w:t>
            </w:r>
          </w:p>
        </w:tc>
        <w:tc>
          <w:tcPr>
            <w:tcBorders>
              <w:top w:val="single" w:sz="4"/>
              <w:left w:val="single" w:sz="4"/>
              <w:bottom w:val="single" w:sz="4"/>
            </w:tcBorders>
            <w:shd w:val="clear" w:color="auto" w:fill="FFFFFF"/>
            <w:vAlign w:val="bottom"/>
          </w:tcPr>
          <w:p>
            <w:pPr>
              <w:pStyle w:val="Style2"/>
              <w:keepNext w:val="0"/>
              <w:keepLines w:val="0"/>
              <w:widowControl w:val="0"/>
              <w:numPr>
                <w:ilvl w:val="0"/>
                <w:numId w:val="9"/>
              </w:numPr>
              <w:shd w:val="clear" w:color="auto" w:fill="auto"/>
              <w:tabs>
                <w:tab w:pos="192" w:val="left"/>
              </w:tabs>
              <w:bidi w:val="0"/>
              <w:spacing w:before="0" w:after="100" w:line="226" w:lineRule="exact"/>
              <w:ind w:left="0" w:right="0" w:firstLine="0"/>
              <w:jc w:val="left"/>
            </w:pPr>
            <w:r>
              <w:rPr>
                <w:color w:val="000000"/>
                <w:spacing w:val="0"/>
                <w:w w:val="100"/>
                <w:position w:val="0"/>
              </w:rPr>
              <w:t>评价管理层与计提存货跌价准备相关的关键财务 报告内部控制设计和运行有效性；</w:t>
            </w:r>
          </w:p>
          <w:p>
            <w:pPr>
              <w:pStyle w:val="Style2"/>
              <w:keepNext w:val="0"/>
              <w:keepLines w:val="0"/>
              <w:widowControl w:val="0"/>
              <w:numPr>
                <w:ilvl w:val="0"/>
                <w:numId w:val="9"/>
              </w:numPr>
              <w:shd w:val="clear" w:color="auto" w:fill="auto"/>
              <w:tabs>
                <w:tab w:pos="187" w:val="left"/>
              </w:tabs>
              <w:bidi w:val="0"/>
              <w:spacing w:before="0" w:after="220" w:line="245" w:lineRule="exact"/>
              <w:ind w:left="0" w:right="0" w:firstLine="0"/>
              <w:jc w:val="left"/>
            </w:pPr>
            <w:r>
              <w:rPr>
                <w:color w:val="000000"/>
                <w:spacing w:val="0"/>
                <w:w w:val="100"/>
                <w:position w:val="0"/>
              </w:rPr>
              <w:t>执行存货监盘，检查存货的数量和状况，关注残次 冷背等存在减值迹象的存货是否被正确识别；</w:t>
            </w:r>
          </w:p>
          <w:p>
            <w:pPr>
              <w:pStyle w:val="Style2"/>
              <w:keepNext w:val="0"/>
              <w:keepLines w:val="0"/>
              <w:widowControl w:val="0"/>
              <w:numPr>
                <w:ilvl w:val="0"/>
                <w:numId w:val="9"/>
              </w:numPr>
              <w:shd w:val="clear" w:color="auto" w:fill="auto"/>
              <w:tabs>
                <w:tab w:pos="182" w:val="left"/>
              </w:tabs>
              <w:bidi w:val="0"/>
              <w:spacing w:before="0" w:after="160" w:line="240" w:lineRule="exact"/>
              <w:ind w:left="0" w:right="0" w:firstLine="0"/>
              <w:jc w:val="left"/>
            </w:pPr>
            <w:r>
              <w:rPr>
                <w:color w:val="000000"/>
                <w:spacing w:val="0"/>
                <w:w w:val="100"/>
                <w:position w:val="0"/>
              </w:rPr>
              <w:t>对存货可变现净值所涉及的重要假设进行评价，例 如检查销售价格和至完工时发生的成本、销售费用以</w:t>
            </w:r>
          </w:p>
        </w:tc>
      </w:tr>
    </w:tbl>
    <w:p>
      <w:pPr>
        <w:widowControl w:val="0"/>
        <w:spacing w:line="1" w:lineRule="exact"/>
      </w:pPr>
    </w:p>
    <w:tbl>
      <w:tblPr>
        <w:tblOverlap w:val="never"/>
        <w:jc w:val="center"/>
        <w:tblLayout w:type="fixed"/>
      </w:tblPr>
      <w:tblGrid>
        <w:gridCol w:w="4301"/>
        <w:gridCol w:w="4392"/>
      </w:tblGrid>
      <w:tr>
        <w:trPr>
          <w:trHeight w:val="36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163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260" w:line="235" w:lineRule="exact"/>
              <w:ind w:left="0" w:right="0" w:firstLine="0"/>
              <w:jc w:val="left"/>
            </w:pPr>
            <w:r>
              <w:rPr>
                <w:color w:val="000000"/>
                <w:spacing w:val="0"/>
                <w:w w:val="100"/>
                <w:position w:val="0"/>
              </w:rPr>
              <w:t>及相关税金等；</w:t>
            </w:r>
          </w:p>
          <w:p>
            <w:pPr>
              <w:pStyle w:val="Style2"/>
              <w:keepNext w:val="0"/>
              <w:keepLines w:val="0"/>
              <w:widowControl w:val="0"/>
              <w:numPr>
                <w:ilvl w:val="0"/>
                <w:numId w:val="11"/>
              </w:numPr>
              <w:shd w:val="clear" w:color="auto" w:fill="auto"/>
              <w:tabs>
                <w:tab w:pos="192" w:val="left"/>
              </w:tabs>
              <w:bidi w:val="0"/>
              <w:spacing w:before="0" w:after="260" w:line="235" w:lineRule="exact"/>
              <w:ind w:left="0" w:right="0" w:firstLine="0"/>
              <w:jc w:val="left"/>
            </w:pPr>
            <w:r>
              <w:rPr>
                <w:color w:val="000000"/>
                <w:spacing w:val="0"/>
                <w:w w:val="100"/>
                <w:position w:val="0"/>
              </w:rPr>
              <w:t>重新计算存货跌价准备的计提金额；</w:t>
            </w:r>
          </w:p>
          <w:p>
            <w:pPr>
              <w:pStyle w:val="Style2"/>
              <w:keepNext w:val="0"/>
              <w:keepLines w:val="0"/>
              <w:widowControl w:val="0"/>
              <w:numPr>
                <w:ilvl w:val="0"/>
                <w:numId w:val="11"/>
              </w:numPr>
              <w:shd w:val="clear" w:color="auto" w:fill="auto"/>
              <w:tabs>
                <w:tab w:pos="187" w:val="left"/>
              </w:tabs>
              <w:bidi w:val="0"/>
              <w:spacing w:before="0" w:after="260" w:line="235" w:lineRule="exact"/>
              <w:ind w:left="0" w:right="0" w:firstLine="0"/>
              <w:jc w:val="left"/>
            </w:pPr>
            <w:r>
              <w:rPr>
                <w:color w:val="000000"/>
                <w:spacing w:val="0"/>
                <w:w w:val="100"/>
                <w:position w:val="0"/>
              </w:rPr>
              <w:t>检查在财务报表中有关存货跌价准备的披露是否 符合企业会计准则的要求。</w:t>
            </w:r>
          </w:p>
        </w:tc>
      </w:tr>
    </w:tbl>
    <w:p>
      <w:pPr>
        <w:widowControl w:val="0"/>
        <w:spacing w:after="2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51" w:right="0" w:firstLine="0"/>
        <w:jc w:val="left"/>
      </w:pPr>
      <w:bookmarkStart w:id="594" w:name="bookmark594"/>
      <w:r>
        <w:rPr>
          <w:b/>
          <w:bCs/>
          <w:color w:val="000000"/>
          <w:spacing w:val="0"/>
          <w:w w:val="100"/>
          <w:position w:val="0"/>
        </w:rPr>
        <w:t>（二）应收账款坏账准备计提</w:t>
      </w:r>
      <w:bookmarkEnd w:id="594"/>
    </w:p>
    <w:tbl>
      <w:tblPr>
        <w:tblOverlap w:val="never"/>
        <w:jc w:val="center"/>
        <w:tblLayout w:type="fixed"/>
      </w:tblPr>
      <w:tblGrid>
        <w:gridCol w:w="4795"/>
        <w:gridCol w:w="4891"/>
      </w:tblGrid>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313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100" w:line="238" w:lineRule="exact"/>
              <w:ind w:left="0" w:right="0" w:firstLine="620"/>
              <w:jc w:val="both"/>
            </w:pPr>
            <w:r>
              <w:rPr>
                <w:color w:val="000000"/>
                <w:spacing w:val="0"/>
                <w:w w:val="100"/>
                <w:position w:val="0"/>
              </w:rPr>
              <w:t>请参见财务报表附注七</w:t>
            </w:r>
            <w:r>
              <w:rPr>
                <w:color w:val="000000"/>
                <w:spacing w:val="0"/>
                <w:w w:val="100"/>
                <w:position w:val="0"/>
              </w:rPr>
              <w:t xml:space="preserve">.4 </w:t>
            </w:r>
            <w:r>
              <w:rPr>
                <w:color w:val="000000"/>
                <w:spacing w:val="0"/>
                <w:w w:val="100"/>
                <w:position w:val="0"/>
              </w:rPr>
              <w:t>“应收账款”。</w:t>
            </w:r>
          </w:p>
          <w:p>
            <w:pPr>
              <w:pStyle w:val="Style2"/>
              <w:keepNext w:val="0"/>
              <w:keepLines w:val="0"/>
              <w:widowControl w:val="0"/>
              <w:shd w:val="clear" w:color="auto" w:fill="auto"/>
              <w:bidi w:val="0"/>
              <w:spacing w:before="0" w:after="0" w:line="238" w:lineRule="exact"/>
              <w:ind w:left="620" w:right="0" w:firstLine="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日，天喻信息应收账款账面余 额为</w:t>
            </w:r>
            <w:r>
              <w:rPr>
                <w:color w:val="000000"/>
                <w:spacing w:val="0"/>
                <w:w w:val="100"/>
                <w:position w:val="0"/>
              </w:rPr>
              <w:t>88,987.11</w:t>
            </w:r>
            <w:r>
              <w:rPr>
                <w:color w:val="000000"/>
                <w:spacing w:val="0"/>
                <w:w w:val="100"/>
                <w:position w:val="0"/>
              </w:rPr>
              <w:t>万元，坏账准备余额为</w:t>
            </w:r>
            <w:r>
              <w:rPr>
                <w:color w:val="000000"/>
                <w:spacing w:val="0"/>
                <w:w w:val="100"/>
                <w:position w:val="0"/>
              </w:rPr>
              <w:t xml:space="preserve">15,464.62 </w:t>
            </w:r>
            <w:r>
              <w:rPr>
                <w:color w:val="000000"/>
                <w:spacing w:val="0"/>
                <w:w w:val="100"/>
                <w:position w:val="0"/>
              </w:rPr>
              <w:t>万元，应收账款账面价值重大，占合并财务报表资产 总额的</w:t>
            </w:r>
            <w:r>
              <w:rPr>
                <w:color w:val="000000"/>
                <w:spacing w:val="0"/>
                <w:w w:val="100"/>
                <w:position w:val="0"/>
              </w:rPr>
              <w:t>26.07%</w:t>
            </w:r>
            <w:r>
              <w:rPr>
                <w:color w:val="000000"/>
                <w:spacing w:val="0"/>
                <w:w w:val="100"/>
                <w:position w:val="0"/>
              </w:rPr>
              <w:t>。由于应收账款金额重大且应收账款 可收回金额的确定涉及管理层作出重大判断,我们将 应收账款坏账准备的计提作为关键审计事项。</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3"/>
              </w:numPr>
              <w:shd w:val="clear" w:color="auto" w:fill="auto"/>
              <w:tabs>
                <w:tab w:pos="182" w:val="left"/>
              </w:tabs>
              <w:bidi w:val="0"/>
              <w:spacing w:before="0" w:after="240" w:line="235" w:lineRule="exact"/>
              <w:ind w:left="0" w:right="0" w:firstLine="0"/>
              <w:jc w:val="both"/>
            </w:pPr>
            <w:r>
              <w:rPr>
                <w:color w:val="000000"/>
                <w:spacing w:val="0"/>
                <w:w w:val="100"/>
                <w:position w:val="0"/>
              </w:rPr>
              <w:t>评价管理层对确定应收账款坏账准备相关的关键 内部控制设计和运行有效性；</w:t>
            </w:r>
          </w:p>
          <w:p>
            <w:pPr>
              <w:pStyle w:val="Style2"/>
              <w:keepNext w:val="0"/>
              <w:keepLines w:val="0"/>
              <w:widowControl w:val="0"/>
              <w:numPr>
                <w:ilvl w:val="0"/>
                <w:numId w:val="13"/>
              </w:numPr>
              <w:shd w:val="clear" w:color="auto" w:fill="auto"/>
              <w:tabs>
                <w:tab w:pos="182" w:val="left"/>
              </w:tabs>
              <w:bidi w:val="0"/>
              <w:spacing w:before="0" w:after="240" w:line="232" w:lineRule="exact"/>
              <w:ind w:left="0" w:right="0" w:firstLine="0"/>
              <w:jc w:val="both"/>
            </w:pPr>
            <w:r>
              <w:rPr>
                <w:color w:val="000000"/>
                <w:spacing w:val="0"/>
                <w:w w:val="100"/>
                <w:position w:val="0"/>
              </w:rPr>
              <w:t>对于单项金额重大的应收账款，抽样并复核了管理 层计算可收回金额的依据，包括管理层结合客户经营 情况、市场环境、历史还款情况等对客户信用风险作 出的评估；</w:t>
            </w:r>
          </w:p>
          <w:p>
            <w:pPr>
              <w:pStyle w:val="Style2"/>
              <w:keepNext w:val="0"/>
              <w:keepLines w:val="0"/>
              <w:widowControl w:val="0"/>
              <w:numPr>
                <w:ilvl w:val="0"/>
                <w:numId w:val="13"/>
              </w:numPr>
              <w:shd w:val="clear" w:color="auto" w:fill="auto"/>
              <w:tabs>
                <w:tab w:pos="187" w:val="left"/>
              </w:tabs>
              <w:bidi w:val="0"/>
              <w:spacing w:before="0" w:after="240" w:line="234" w:lineRule="exact"/>
              <w:ind w:left="0" w:right="0" w:firstLine="0"/>
              <w:jc w:val="left"/>
            </w:pPr>
            <w:r>
              <w:rPr>
                <w:color w:val="000000"/>
                <w:spacing w:val="0"/>
                <w:w w:val="100"/>
                <w:position w:val="0"/>
              </w:rPr>
              <w:t>重新计算坏账准备计提金额是否准确。</w:t>
            </w:r>
          </w:p>
          <w:p>
            <w:pPr>
              <w:pStyle w:val="Style2"/>
              <w:keepNext w:val="0"/>
              <w:keepLines w:val="0"/>
              <w:widowControl w:val="0"/>
              <w:numPr>
                <w:ilvl w:val="0"/>
                <w:numId w:val="13"/>
              </w:numPr>
              <w:shd w:val="clear" w:color="auto" w:fill="auto"/>
              <w:tabs>
                <w:tab w:pos="192" w:val="left"/>
              </w:tabs>
              <w:bidi w:val="0"/>
              <w:spacing w:before="0" w:after="240" w:line="240" w:lineRule="exact"/>
              <w:ind w:left="0" w:right="0" w:firstLine="0"/>
              <w:jc w:val="left"/>
            </w:pPr>
            <w:r>
              <w:rPr>
                <w:color w:val="000000"/>
                <w:spacing w:val="0"/>
                <w:w w:val="100"/>
                <w:position w:val="0"/>
              </w:rPr>
              <w:t>检查在财务报表中有关应收账款坏账准备的披露 是否符合企业会计准则的要求。</w:t>
            </w:r>
          </w:p>
        </w:tc>
      </w:tr>
    </w:tbl>
    <w:p>
      <w:pPr>
        <w:widowControl w:val="0"/>
        <w:spacing w:after="99" w:line="1" w:lineRule="exact"/>
      </w:pPr>
    </w:p>
    <w:p>
      <w:pPr>
        <w:pStyle w:val="Style9"/>
        <w:keepNext/>
        <w:keepLines/>
        <w:widowControl w:val="0"/>
        <w:shd w:val="clear" w:color="auto" w:fill="auto"/>
        <w:tabs>
          <w:tab w:pos="854" w:val="left"/>
        </w:tabs>
        <w:bidi w:val="0"/>
        <w:spacing w:before="0" w:after="0" w:line="326" w:lineRule="exact"/>
        <w:ind w:left="0" w:right="0" w:firstLine="380"/>
        <w:jc w:val="both"/>
        <w:rPr>
          <w:sz w:val="17"/>
          <w:szCs w:val="17"/>
        </w:rPr>
      </w:pPr>
      <w:bookmarkStart w:id="595" w:name="bookmark595"/>
      <w:bookmarkStart w:id="596" w:name="bookmark596"/>
      <w:bookmarkStart w:id="597" w:name="bookmark597"/>
      <w:bookmarkStart w:id="598" w:name="bookmark598"/>
      <w:r>
        <w:rPr>
          <w:color w:val="000000"/>
          <w:spacing w:val="0"/>
          <w:w w:val="100"/>
          <w:position w:val="0"/>
          <w:sz w:val="17"/>
          <w:szCs w:val="17"/>
        </w:rPr>
        <w:t>四</w:t>
      </w:r>
      <w:bookmarkEnd w:id="597"/>
      <w:r>
        <w:rPr>
          <w:color w:val="000000"/>
          <w:spacing w:val="0"/>
          <w:w w:val="100"/>
          <w:position w:val="0"/>
          <w:sz w:val="17"/>
          <w:szCs w:val="17"/>
        </w:rPr>
        <w:t>、</w:t>
        <w:tab/>
        <w:t>其他信息</w:t>
      </w:r>
      <w:bookmarkEnd w:id="595"/>
      <w:bookmarkEnd w:id="596"/>
      <w:bookmarkEnd w:id="598"/>
    </w:p>
    <w:p>
      <w:pPr>
        <w:pStyle w:val="Style2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天喻信息管理层对其他信息负责。其他信息包括天喻信息</w:t>
      </w:r>
      <w:r>
        <w:rPr>
          <w:color w:val="000000"/>
          <w:spacing w:val="0"/>
          <w:w w:val="100"/>
          <w:position w:val="0"/>
        </w:rPr>
        <w:t>2020</w:t>
      </w:r>
      <w:r>
        <w:rPr>
          <w:color w:val="000000"/>
          <w:spacing w:val="0"/>
          <w:w w:val="100"/>
          <w:position w:val="0"/>
        </w:rPr>
        <w:t>年年度报告中涵盖的信息，但不包括财务报表和我们的 审计报告。</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我们对财务报表发表的审计意见不涵盖其他信息，我们也不对其他信息发表任何形式的鉴证结论。</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6"/>
        <w:keepNext w:val="0"/>
        <w:keepLines w:val="0"/>
        <w:widowControl w:val="0"/>
        <w:shd w:val="clear" w:color="auto" w:fill="auto"/>
        <w:bidi w:val="0"/>
        <w:spacing w:before="0" w:after="200" w:line="322" w:lineRule="exact"/>
        <w:ind w:left="0" w:right="0" w:firstLine="380"/>
        <w:jc w:val="left"/>
      </w:pPr>
      <w:r>
        <w:rPr>
          <w:color w:val="000000"/>
          <w:spacing w:val="0"/>
          <w:w w:val="100"/>
          <w:position w:val="0"/>
        </w:rPr>
        <w:t>基于我们已执行的工作，如果我们确定其他信息存在重大错报，我们应当报告该事实。在这方面，我们无任何事项需要 报告。</w:t>
      </w:r>
    </w:p>
    <w:p>
      <w:pPr>
        <w:pStyle w:val="Style9"/>
        <w:keepNext/>
        <w:keepLines/>
        <w:widowControl w:val="0"/>
        <w:shd w:val="clear" w:color="auto" w:fill="auto"/>
        <w:tabs>
          <w:tab w:pos="854" w:val="left"/>
        </w:tabs>
        <w:bidi w:val="0"/>
        <w:spacing w:before="0" w:after="0" w:line="302" w:lineRule="exact"/>
        <w:ind w:left="0" w:right="0" w:firstLine="380"/>
        <w:jc w:val="left"/>
        <w:rPr>
          <w:sz w:val="17"/>
          <w:szCs w:val="17"/>
        </w:rPr>
      </w:pPr>
      <w:bookmarkStart w:id="599" w:name="bookmark599"/>
      <w:bookmarkStart w:id="600" w:name="bookmark600"/>
      <w:bookmarkStart w:id="601" w:name="bookmark601"/>
      <w:bookmarkStart w:id="602" w:name="bookmark602"/>
      <w:r>
        <w:rPr>
          <w:color w:val="000000"/>
          <w:spacing w:val="0"/>
          <w:w w:val="100"/>
          <w:position w:val="0"/>
          <w:sz w:val="17"/>
          <w:szCs w:val="17"/>
        </w:rPr>
        <w:t>五</w:t>
      </w:r>
      <w:bookmarkEnd w:id="601"/>
      <w:r>
        <w:rPr>
          <w:color w:val="000000"/>
          <w:spacing w:val="0"/>
          <w:w w:val="100"/>
          <w:position w:val="0"/>
          <w:sz w:val="17"/>
          <w:szCs w:val="17"/>
        </w:rPr>
        <w:t>、</w:t>
        <w:tab/>
        <w:t>管理层和治理层对财务报表的责任</w:t>
      </w:r>
      <w:bookmarkEnd w:id="599"/>
      <w:bookmarkEnd w:id="600"/>
      <w:bookmarkEnd w:id="602"/>
    </w:p>
    <w:p>
      <w:pPr>
        <w:pStyle w:val="Style26"/>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天喻信息管理层（以下简称管理层）负责按照企业会计准则的规定编制财务报表，使其实现公允反映，并设计、执行和 维护必要的内部控制，以使财务报表不存在由于舞弊或错误导致的重大错报。</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在编制财务报表时，管理层负责评估天喻信息的持续经营能力，披露与持续经营相关的事项（如适用），并运用持续经 营假设，除非管理层计划清算天喻信息、终止运营或别无其他现实的选择。</w:t>
      </w:r>
    </w:p>
    <w:p>
      <w:pPr>
        <w:pStyle w:val="Style26"/>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治理层负责监督天喻信息的财务报告过程。</w:t>
      </w:r>
    </w:p>
    <w:p>
      <w:pPr>
        <w:pStyle w:val="Style9"/>
        <w:keepNext/>
        <w:keepLines/>
        <w:widowControl w:val="0"/>
        <w:shd w:val="clear" w:color="auto" w:fill="auto"/>
        <w:tabs>
          <w:tab w:pos="854" w:val="left"/>
        </w:tabs>
        <w:bidi w:val="0"/>
        <w:spacing w:before="0" w:after="0" w:line="312" w:lineRule="exact"/>
        <w:ind w:left="0" w:right="0" w:firstLine="380"/>
        <w:jc w:val="left"/>
        <w:rPr>
          <w:sz w:val="17"/>
          <w:szCs w:val="17"/>
        </w:rPr>
      </w:pPr>
      <w:bookmarkStart w:id="603" w:name="bookmark603"/>
      <w:bookmarkStart w:id="604" w:name="bookmark604"/>
      <w:bookmarkStart w:id="605" w:name="bookmark605"/>
      <w:bookmarkStart w:id="606" w:name="bookmark606"/>
      <w:r>
        <w:rPr>
          <w:color w:val="000000"/>
          <w:spacing w:val="0"/>
          <w:w w:val="100"/>
          <w:position w:val="0"/>
          <w:sz w:val="17"/>
          <w:szCs w:val="17"/>
        </w:rPr>
        <w:t>六</w:t>
      </w:r>
      <w:bookmarkEnd w:id="605"/>
      <w:r>
        <w:rPr>
          <w:color w:val="000000"/>
          <w:spacing w:val="0"/>
          <w:w w:val="100"/>
          <w:position w:val="0"/>
          <w:sz w:val="17"/>
          <w:szCs w:val="17"/>
        </w:rPr>
        <w:t>、</w:t>
        <w:tab/>
        <w:t>注册会计师对财务报表审计的责任</w:t>
      </w:r>
      <w:bookmarkEnd w:id="603"/>
      <w:bookmarkEnd w:id="604"/>
      <w:bookmarkEnd w:id="606"/>
    </w:p>
    <w:p>
      <w:pPr>
        <w:pStyle w:val="Style26"/>
        <w:keepNext w:val="0"/>
        <w:keepLines w:val="0"/>
        <w:widowControl w:val="0"/>
        <w:shd w:val="clear" w:color="auto" w:fill="auto"/>
        <w:bidi w:val="0"/>
        <w:spacing w:before="0" w:after="0" w:line="312" w:lineRule="exact"/>
        <w:ind w:left="0" w:right="0" w:firstLine="560"/>
        <w:jc w:val="left"/>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（一）识别和评估由于舞弊或错误导致的财务报表重大错报风险，设计和实施审计程序以应对这些风险，并获取充分、 </w:t>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6"/>
        <w:keepNext w:val="0"/>
        <w:keepLines w:val="0"/>
        <w:widowControl w:val="0"/>
        <w:shd w:val="clear" w:color="auto" w:fill="auto"/>
        <w:tabs>
          <w:tab w:pos="882" w:val="left"/>
        </w:tabs>
        <w:bidi w:val="0"/>
        <w:spacing w:before="0" w:after="0" w:line="314" w:lineRule="exact"/>
        <w:ind w:left="0" w:right="0" w:firstLine="360"/>
        <w:jc w:val="both"/>
      </w:pPr>
      <w:bookmarkStart w:id="607" w:name="bookmark607"/>
      <w:r>
        <w:rPr>
          <w:color w:val="000000"/>
          <w:spacing w:val="0"/>
          <w:w w:val="100"/>
          <w:position w:val="0"/>
        </w:rPr>
        <w:t>（</w:t>
      </w:r>
      <w:bookmarkEnd w:id="607"/>
      <w:r>
        <w:rPr>
          <w:color w:val="000000"/>
          <w:spacing w:val="0"/>
          <w:w w:val="100"/>
          <w:position w:val="0"/>
        </w:rPr>
        <w:t>二）</w:t>
        <w:tab/>
        <w:t>了解与审计相关的内部控制，以设计恰当的审计程序，但目的并非对内部控制的有效性发表意见。</w:t>
      </w:r>
    </w:p>
    <w:p>
      <w:pPr>
        <w:pStyle w:val="Style26"/>
        <w:keepNext w:val="0"/>
        <w:keepLines w:val="0"/>
        <w:widowControl w:val="0"/>
        <w:shd w:val="clear" w:color="auto" w:fill="auto"/>
        <w:tabs>
          <w:tab w:pos="882" w:val="left"/>
        </w:tabs>
        <w:bidi w:val="0"/>
        <w:spacing w:before="0" w:after="0" w:line="314" w:lineRule="exact"/>
        <w:ind w:left="0" w:right="0" w:firstLine="360"/>
        <w:jc w:val="both"/>
      </w:pPr>
      <w:bookmarkStart w:id="608" w:name="bookmark608"/>
      <w:r>
        <w:rPr>
          <w:color w:val="000000"/>
          <w:spacing w:val="0"/>
          <w:w w:val="100"/>
          <w:position w:val="0"/>
        </w:rPr>
        <w:t>（</w:t>
      </w:r>
      <w:bookmarkEnd w:id="608"/>
      <w:r>
        <w:rPr>
          <w:color w:val="000000"/>
          <w:spacing w:val="0"/>
          <w:w w:val="100"/>
          <w:position w:val="0"/>
        </w:rPr>
        <w:t>三）</w:t>
        <w:tab/>
        <w:t>评价管理层选用会计政策的恰当性和作出会计估计及相关披露的合理性。</w:t>
      </w:r>
    </w:p>
    <w:p>
      <w:pPr>
        <w:pStyle w:val="Style26"/>
        <w:keepNext w:val="0"/>
        <w:keepLines w:val="0"/>
        <w:widowControl w:val="0"/>
        <w:shd w:val="clear" w:color="auto" w:fill="auto"/>
        <w:tabs>
          <w:tab w:pos="978" w:val="left"/>
        </w:tabs>
        <w:bidi w:val="0"/>
        <w:spacing w:before="0" w:after="0" w:line="314" w:lineRule="exact"/>
        <w:ind w:left="0" w:right="0" w:firstLine="360"/>
        <w:jc w:val="both"/>
      </w:pPr>
      <w:bookmarkStart w:id="609" w:name="bookmark609"/>
      <w:r>
        <w:rPr>
          <w:color w:val="000000"/>
          <w:spacing w:val="0"/>
          <w:w w:val="100"/>
          <w:position w:val="0"/>
        </w:rPr>
        <w:t>（</w:t>
      </w:r>
      <w:bookmarkEnd w:id="609"/>
      <w:r>
        <w:rPr>
          <w:color w:val="000000"/>
          <w:spacing w:val="0"/>
          <w:w w:val="100"/>
          <w:position w:val="0"/>
        </w:rPr>
        <w:t>四）</w:t>
        <w:tab/>
        <w:t>对管理层使用持续经营假设的恰当性得出结论。同时，根据获取的审计证据，就可能导致对天喻信息持续经营能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于截至审计报告日可获得的信息。然而，未来的事项或情况可能导致天喻信息不能持续经营。</w:t>
      </w:r>
    </w:p>
    <w:p>
      <w:pPr>
        <w:pStyle w:val="Style26"/>
        <w:keepNext w:val="0"/>
        <w:keepLines w:val="0"/>
        <w:widowControl w:val="0"/>
        <w:shd w:val="clear" w:color="auto" w:fill="auto"/>
        <w:tabs>
          <w:tab w:pos="882" w:val="left"/>
        </w:tabs>
        <w:bidi w:val="0"/>
        <w:spacing w:before="0" w:after="0" w:line="314" w:lineRule="exact"/>
        <w:ind w:left="0" w:right="0" w:firstLine="360"/>
        <w:jc w:val="both"/>
      </w:pPr>
      <w:bookmarkStart w:id="610" w:name="bookmark610"/>
      <w:r>
        <w:rPr>
          <w:color w:val="000000"/>
          <w:spacing w:val="0"/>
          <w:w w:val="100"/>
          <w:position w:val="0"/>
        </w:rPr>
        <w:t>（</w:t>
      </w:r>
      <w:bookmarkEnd w:id="610"/>
      <w:r>
        <w:rPr>
          <w:color w:val="000000"/>
          <w:spacing w:val="0"/>
          <w:w w:val="100"/>
          <w:position w:val="0"/>
        </w:rPr>
        <w:t>五）</w:t>
        <w:tab/>
        <w:t>评价财务报表的总体列报、结构和内容，并评价财务报表是否公允反映相关交易和事项。</w:t>
      </w:r>
    </w:p>
    <w:p>
      <w:pPr>
        <w:pStyle w:val="Style26"/>
        <w:keepNext w:val="0"/>
        <w:keepLines w:val="0"/>
        <w:widowControl w:val="0"/>
        <w:shd w:val="clear" w:color="auto" w:fill="auto"/>
        <w:tabs>
          <w:tab w:pos="983" w:val="left"/>
        </w:tabs>
        <w:bidi w:val="0"/>
        <w:spacing w:before="0" w:after="0" w:line="312" w:lineRule="exact"/>
        <w:ind w:left="0" w:right="0" w:firstLine="360"/>
        <w:jc w:val="both"/>
      </w:pPr>
      <w:bookmarkStart w:id="611" w:name="bookmark611"/>
      <w:r>
        <w:rPr>
          <w:color w:val="000000"/>
          <w:spacing w:val="0"/>
          <w:w w:val="100"/>
          <w:position w:val="0"/>
        </w:rPr>
        <w:t>（</w:t>
      </w:r>
      <w:bookmarkEnd w:id="611"/>
      <w:r>
        <w:rPr>
          <w:color w:val="000000"/>
          <w:spacing w:val="0"/>
          <w:w w:val="100"/>
          <w:position w:val="0"/>
        </w:rPr>
        <w:t>六）</w:t>
        <w:tab/>
        <w:t>就天喻信息中实体或业务活动的财务信息获取充分、适当的审计证据，以对财务报表发表意见。我们负责指导、 监督和执行公司审计。我们对审计意见承担全部责任。</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6"/>
        <w:keepNext w:val="0"/>
        <w:keepLines w:val="0"/>
        <w:widowControl w:val="0"/>
        <w:shd w:val="clear" w:color="auto" w:fill="auto"/>
        <w:bidi w:val="0"/>
        <w:spacing w:before="0" w:after="234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6"/>
        <w:keepNext w:val="0"/>
        <w:keepLines w:val="0"/>
        <w:widowControl w:val="0"/>
        <w:shd w:val="clear" w:color="auto" w:fill="auto"/>
        <w:tabs>
          <w:tab w:pos="4966" w:val="left"/>
        </w:tabs>
        <w:bidi w:val="0"/>
        <w:spacing w:before="0" w:after="300" w:line="240" w:lineRule="auto"/>
        <w:ind w:left="0" w:right="0" w:firstLine="0"/>
        <w:jc w:val="left"/>
      </w:pPr>
      <w:r>
        <w:rPr>
          <w:color w:val="000000"/>
          <w:spacing w:val="0"/>
          <w:w w:val="100"/>
          <w:position w:val="0"/>
        </w:rPr>
        <w:t>中审众环会计师事务所（特殊普通合伙）</w:t>
        <w:tab/>
        <w:t>中国注册会计师：（项目合伙人）：吴杰</w:t>
      </w:r>
    </w:p>
    <w:p>
      <w:pPr>
        <w:pStyle w:val="Style26"/>
        <w:keepNext w:val="0"/>
        <w:keepLines w:val="0"/>
        <w:widowControl w:val="0"/>
        <w:shd w:val="clear" w:color="auto" w:fill="auto"/>
        <w:bidi w:val="0"/>
        <w:spacing w:before="0" w:after="300" w:line="240" w:lineRule="auto"/>
        <w:ind w:left="4960" w:right="0" w:firstLine="0"/>
        <w:jc w:val="left"/>
      </w:pPr>
      <w:r>
        <w:rPr>
          <w:color w:val="000000"/>
          <w:spacing w:val="0"/>
          <w:w w:val="100"/>
          <w:position w:val="0"/>
        </w:rPr>
        <w:t>中国注册会计师：代娟</w:t>
      </w:r>
    </w:p>
    <w:p>
      <w:pPr>
        <w:pStyle w:val="Style26"/>
        <w:keepNext w:val="0"/>
        <w:keepLines w:val="0"/>
        <w:widowControl w:val="0"/>
        <w:shd w:val="clear" w:color="auto" w:fill="auto"/>
        <w:tabs>
          <w:tab w:pos="4966" w:val="left"/>
        </w:tabs>
        <w:bidi w:val="0"/>
        <w:spacing w:before="0" w:after="0" w:line="240" w:lineRule="auto"/>
        <w:ind w:left="0" w:right="0" w:firstLine="0"/>
        <w:jc w:val="left"/>
      </w:pPr>
      <w:r>
        <w:rPr>
          <w:color w:val="000000"/>
          <w:spacing w:val="0"/>
          <w:w w:val="100"/>
          <w:position w:val="0"/>
        </w:rPr>
        <w:t>中国•武汉</w:t>
        <w:tab/>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w:t>
      </w:r>
      <w:r>
        <w:br w:type="page"/>
      </w:r>
    </w:p>
    <w:p>
      <w:pPr>
        <w:pStyle w:val="Style23"/>
        <w:keepNext/>
        <w:keepLines/>
        <w:widowControl w:val="0"/>
        <w:shd w:val="clear" w:color="auto" w:fill="auto"/>
        <w:bidi w:val="0"/>
        <w:spacing w:before="0" w:after="380" w:line="240" w:lineRule="auto"/>
        <w:ind w:left="0" w:right="0" w:firstLine="0"/>
        <w:jc w:val="left"/>
      </w:pPr>
      <w:bookmarkStart w:id="612" w:name="bookmark612"/>
      <w:bookmarkStart w:id="613" w:name="bookmark613"/>
      <w:bookmarkStart w:id="614" w:name="bookmark614"/>
      <w:r>
        <w:rPr>
          <w:color w:val="000000"/>
          <w:spacing w:val="0"/>
          <w:w w:val="100"/>
          <w:position w:val="0"/>
        </w:rPr>
        <w:t>二、财务报表</w:t>
      </w:r>
      <w:bookmarkEnd w:id="612"/>
      <w:bookmarkEnd w:id="613"/>
      <w:bookmarkEnd w:id="61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r>
        <w:rPr>
          <w:color w:val="000000"/>
          <w:spacing w:val="0"/>
          <w:w w:val="100"/>
          <w:position w:val="0"/>
        </w:rPr>
        <w:t>1</w:t>
      </w:r>
      <w:r>
        <w:rPr>
          <w:color w:val="000000"/>
          <w:spacing w:val="0"/>
          <w:w w:val="100"/>
          <w:position w:val="0"/>
        </w:rPr>
        <w:t>、合并资产负债表</w:t>
      </w:r>
      <w:bookmarkEnd w:id="615"/>
      <w:bookmarkEnd w:id="616"/>
      <w:bookmarkEnd w:id="61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编制单位：武汉天喻信息产业股份有限公司</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599,296,851.12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752,606,688.67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588,955,432.83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202,675,996.16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1,215,000.00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735,224,900.17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908,210,314.83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16,599,920.00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3,445,200.00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15,297,751.97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4,990,654.28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26,510,721.11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28,091,942.39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267,390,583.40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350,276,195.89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22,187,538.00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7,201,174.28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2,272,888,698.60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2,258,713,166.50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70,498,181.33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72,441,998.80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71,467,400.64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27,096,078.63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5,377,033.21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200,785,372.21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176,271,253.99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4,228,318.58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82,746,223.79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62,962,426.12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1,485,558.66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11,502,474.25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14,890,687.37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14,890,687.37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5,330,604.82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7,768,734.10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65,775,701.47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67,386,154.55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5,127,920.00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547,169,477.52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422,483,102.81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2,820,058,176.12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2,681,196,269.31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162,330,000.00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698,595,588.88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381,873,863.17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322,416,645.93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532,297,560.79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85,124,592.01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85,324,130.84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60,223,444.32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82,975,925.68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7,613,992.53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34,722,323.71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113,857,950.39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106,980,921.15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26,202,009.60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24,261,120.00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9,365,921.67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1,485,929,684.16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1,248,236,306.51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699,029.12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2,118,000.00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3,915,832.01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1,466,098.23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6,732,861.13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1,774,098.23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1,492,662,545.29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1,250,010,404.74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430,056,000.00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430,056,000.00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408,831,117.34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407,922,759.13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4,553,333.54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3,384,382.58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94,020,372.22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390,306,353.61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494,049,039.13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1,327,767,176.71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1,429,432,553.06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1,753,311.51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1,327,395,630.83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1,431,185,864.57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2,820,058,176.12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2,681,196,269.31</w:t>
            </w:r>
          </w:p>
        </w:tc>
      </w:tr>
    </w:tbl>
    <w:p>
      <w:pPr>
        <w:pStyle w:val="Style30"/>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694055</wp:posOffset>
                </wp:positionH>
                <wp:positionV relativeFrom="margin">
                  <wp:posOffset>2304415</wp:posOffset>
                </wp:positionV>
                <wp:extent cx="1054735" cy="149225"/>
                <wp:wrapTopAndBottom/>
                <wp:docPr id="78" name="Shape 7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wps:txbx>
                      <wps:bodyPr wrap="none" lIns="0" tIns="0" rIns="0" bIns="0">
                        <a:noAutoFit/>
                      </wps:bodyPr>
                    </wps:wsp>
                  </a:graphicData>
                </a:graphic>
              </wp:anchor>
            </w:drawing>
          </mc:Choice>
          <mc:Fallback>
            <w:pict>
              <v:shape id="_x0000_s1104" type="#_x0000_t202" style="position:absolute;margin-left:54.649999999999999pt;margin-top:181.45000000000002pt;width:83.049999999999997pt;height:11.75pt;z-index:-125829373;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2870200</wp:posOffset>
                </wp:positionH>
                <wp:positionV relativeFrom="margin">
                  <wp:posOffset>2304415</wp:posOffset>
                </wp:positionV>
                <wp:extent cx="1508760" cy="146050"/>
                <wp:wrapTopAndBottom/>
                <wp:docPr id="80" name="Shape 8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106" type="#_x0000_t202" style="position:absolute;margin-left:226.pt;margin-top:181.45000000000002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5494655</wp:posOffset>
                </wp:positionH>
                <wp:positionV relativeFrom="margin">
                  <wp:posOffset>2304415</wp:posOffset>
                </wp:positionV>
                <wp:extent cx="1286510" cy="149225"/>
                <wp:wrapTopAndBottom/>
                <wp:docPr id="82" name="Shape 8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108" type="#_x0000_t202" style="position:absolute;margin-left:432.65000000000003pt;margin-top:181.45000000000002pt;width:101.3pt;height:11.75pt;z-index:-125829369;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18" w:name="bookmark618"/>
      <w:bookmarkStart w:id="619" w:name="bookmark619"/>
      <w:bookmarkStart w:id="620" w:name="bookmark620"/>
      <w:r>
        <w:rPr>
          <w:color w:val="000000"/>
          <w:spacing w:val="0"/>
          <w:w w:val="100"/>
          <w:position w:val="0"/>
        </w:rPr>
        <w:t>2</w:t>
      </w:r>
      <w:r>
        <w:rPr>
          <w:color w:val="000000"/>
          <w:spacing w:val="0"/>
          <w:w w:val="100"/>
          <w:position w:val="0"/>
        </w:rPr>
        <w:t>、母公司资产负债表</w:t>
      </w:r>
      <w:bookmarkEnd w:id="618"/>
      <w:bookmarkEnd w:id="619"/>
      <w:bookmarkEnd w:id="62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526,536,104.64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668,909,546.41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546,697,716.16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202,675,996.16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1,215,000.00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696,026,538.40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859,019,735.40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16,599,920.00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3,445,200.00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9,851,380.84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2,256,049.48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367,646,278.99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326,865,201.44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209,672,826.84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253,957,226.07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20,720,605.56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2,250,298.70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2,395,176,371.43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2,320,594,253.66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65,194,017.55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156,315,802.86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155,453,649.30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19,999,999.89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194,989,042.62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167,885,731.95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991,150.44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47,946,698.71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38,809,589.14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3,171,261.13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2,932,586.47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66,361,892.47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67,540,827.03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5,127,920.00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560,097,785.67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437,479,322.47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2,955,274,157.10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2,758,073,576.13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711,521,288.88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381,873,863.17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307,088,903.33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510,199,840.57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66,717,607.62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67,002,278.81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42,356,972.58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64,726,435.72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1,021,433.03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29,916,213.26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104,392,437.87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88,169,495.12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26,202,009.60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24,261,120.00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7,740,550.91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1,367,325,875.01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1,165,864,575.46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67,505,715.07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2,911,420.19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719,543.24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71,617,135.26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719,543.24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1,438,943,010.27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1,166,584,118.70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430,056,000.00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430,056,000.00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404,906,115.45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403,997,757.24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94,020,372.22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587,348,659.16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663,415,327.97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1,516,331,146.83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1,591,489,457.43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2,955,274,157.10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2,758,073,576.13</w:t>
            </w:r>
          </w:p>
        </w:tc>
      </w:tr>
    </w:tbl>
    <w:p>
      <w:pPr>
        <w:pStyle w:val="Style30"/>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692785</wp:posOffset>
                </wp:positionH>
                <wp:positionV relativeFrom="margin">
                  <wp:posOffset>7156450</wp:posOffset>
                </wp:positionV>
                <wp:extent cx="1054735" cy="149225"/>
                <wp:wrapTopAndBottom/>
                <wp:docPr id="84" name="Shape 8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wps:txbx>
                      <wps:bodyPr wrap="none" lIns="0" tIns="0" rIns="0" bIns="0">
                        <a:noAutoFit/>
                      </wps:bodyPr>
                    </wps:wsp>
                  </a:graphicData>
                </a:graphic>
              </wp:anchor>
            </w:drawing>
          </mc:Choice>
          <mc:Fallback>
            <w:pict>
              <v:shape id="_x0000_s1110" type="#_x0000_t202" style="position:absolute;margin-left:54.550000000000004pt;margin-top:563.5pt;width:83.049999999999997pt;height:11.75pt;z-index:-125829367;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2868930</wp:posOffset>
                </wp:positionH>
                <wp:positionV relativeFrom="margin">
                  <wp:posOffset>7156450</wp:posOffset>
                </wp:positionV>
                <wp:extent cx="1508760" cy="146050"/>
                <wp:wrapTopAndBottom/>
                <wp:docPr id="86" name="Shape 8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112" type="#_x0000_t202" style="position:absolute;margin-left:225.90000000000001pt;margin-top:563.5pt;width:118.8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5493385</wp:posOffset>
                </wp:positionH>
                <wp:positionV relativeFrom="margin">
                  <wp:posOffset>7156450</wp:posOffset>
                </wp:positionV>
                <wp:extent cx="1286510" cy="149225"/>
                <wp:wrapTopAndBottom/>
                <wp:docPr id="88" name="Shape 8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114" type="#_x0000_t202" style="position:absolute;margin-left:432.55000000000001pt;margin-top:563.5pt;width:101.3pt;height:11.75pt;z-index:-125829363;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21" w:name="bookmark621"/>
      <w:bookmarkStart w:id="622" w:name="bookmark622"/>
      <w:bookmarkStart w:id="623" w:name="bookmark623"/>
      <w:bookmarkStart w:id="624" w:name="bookmark624"/>
      <w:r>
        <w:rPr>
          <w:color w:val="000000"/>
          <w:spacing w:val="0"/>
          <w:w w:val="100"/>
          <w:position w:val="0"/>
        </w:rPr>
        <w:t>3</w:t>
      </w:r>
      <w:bookmarkEnd w:id="623"/>
      <w:r>
        <w:rPr>
          <w:color w:val="000000"/>
          <w:spacing w:val="0"/>
          <w:w w:val="100"/>
          <w:position w:val="0"/>
        </w:rPr>
        <w:t>、合并利润表</w:t>
      </w:r>
      <w:bookmarkEnd w:id="621"/>
      <w:bookmarkEnd w:id="622"/>
      <w:bookmarkEnd w:id="624"/>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507"/>
        <w:gridCol w:w="2554"/>
        <w:gridCol w:w="241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1,693,529,679.18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2,212,106,995.85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1,693,529,679.18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2,212,106,995.85</w:t>
            </w:r>
          </w:p>
        </w:tc>
      </w:tr>
    </w:tbl>
    <w:p>
      <w:pPr>
        <w:widowControl w:val="0"/>
        <w:spacing w:line="1" w:lineRule="exact"/>
      </w:pPr>
      <w:r>
        <w:br w:type="page"/>
      </w:r>
    </w:p>
    <w:tbl>
      <w:tblPr>
        <w:tblOverlap w:val="never"/>
        <w:jc w:val="center"/>
        <w:tblLayout w:type="fixed"/>
      </w:tblPr>
      <w:tblGrid>
        <w:gridCol w:w="4507"/>
        <w:gridCol w:w="2554"/>
        <w:gridCol w:w="241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1,775,176,405.51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2,231,358,151.84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1,316,699,302.02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1,672,448,738.46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8,769,696.07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9,854,069.80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181,723,028.07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235,972,986.91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71,838,749.04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85,561,430.89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185,114,902.19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221,916,956.20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11,030,728.12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5,603,969.58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13,415,689.31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7,566,727.22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5,082,474.46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2,733,418.13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31,010,301.43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45,328,400.42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11,187,601.71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122,848,438.10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-532,802.71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9,846,964.32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89,058,562.56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-8,597,742.38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-12,342,295.60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-19,844,486.23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-22,102,849.87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-42,245.99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-58,235,732.76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203,496,853.63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784,627.24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1,194,018.36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1,276,309.41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2,452,622.59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-58,727,414.93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202,238,249.40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4,426,765.72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23,933,432.52</w:t>
            </w:r>
          </w:p>
        </w:tc>
      </w:tr>
    </w:tbl>
    <w:p>
      <w:pPr>
        <w:widowControl w:val="0"/>
        <w:spacing w:line="1" w:lineRule="exact"/>
      </w:pPr>
      <w:r>
        <w:br w:type="page"/>
      </w:r>
    </w:p>
    <w:tbl>
      <w:tblPr>
        <w:tblOverlap w:val="never"/>
        <w:jc w:val="center"/>
        <w:tblLayout w:type="fixed"/>
      </w:tblPr>
      <w:tblGrid>
        <w:gridCol w:w="4507"/>
        <w:gridCol w:w="2554"/>
        <w:gridCol w:w="241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-63,154,180.65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178,304,816.88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-63,154,180.65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178,304,816.88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-60,737,085.52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192,396,750.47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-2,417,095.13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-14,091,933.59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1,461,188.70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-1,367,523.94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1,168,950.96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-1,094,019.15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1,168,950.96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-1,094,019.15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1,168,950.96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-1,094,019.15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-273,504.79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-61,692,991.95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176,937,292.94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-59,568,134.56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191,302,731.32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-2,124,857.39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-14,365,438.38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0.4474</w:t>
            </w:r>
          </w:p>
        </w:tc>
      </w:tr>
    </w:tbl>
    <w:p>
      <w:pPr>
        <w:pStyle w:val="Style30"/>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392" behindDoc="0" locked="0" layoutInCell="1" allowOverlap="1">
                <wp:simplePos x="0" y="0"/>
                <wp:positionH relativeFrom="page">
                  <wp:posOffset>695960</wp:posOffset>
                </wp:positionH>
                <wp:positionV relativeFrom="margin">
                  <wp:posOffset>7924800</wp:posOffset>
                </wp:positionV>
                <wp:extent cx="1054735" cy="149225"/>
                <wp:wrapTopAndBottom/>
                <wp:docPr id="90" name="Shape 9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wps:txbx>
                      <wps:bodyPr wrap="none" lIns="0" tIns="0" rIns="0" bIns="0">
                        <a:noAutoFit/>
                      </wps:bodyPr>
                    </wps:wsp>
                  </a:graphicData>
                </a:graphic>
              </wp:anchor>
            </w:drawing>
          </mc:Choice>
          <mc:Fallback>
            <w:pict>
              <v:shape id="_x0000_s1116" type="#_x0000_t202" style="position:absolute;margin-left:54.800000000000004pt;margin-top:624.pt;width:83.049999999999997pt;height:11.75pt;z-index:-125829361;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v:textbox>
                <w10:wrap type="topAndBottom" anchorx="page" anchory="margin"/>
              </v:shape>
            </w:pict>
          </mc:Fallback>
        </mc:AlternateContent>
      </w:r>
      <w:r>
        <mc:AlternateContent>
          <mc:Choice Requires="wps">
            <w:drawing>
              <wp:anchor distT="152400" distB="3175" distL="2290445" distR="2516505" simplePos="0" relativeHeight="125829394" behindDoc="0" locked="0" layoutInCell="1" allowOverlap="1">
                <wp:simplePos x="0" y="0"/>
                <wp:positionH relativeFrom="page">
                  <wp:posOffset>2872105</wp:posOffset>
                </wp:positionH>
                <wp:positionV relativeFrom="margin">
                  <wp:posOffset>7924800</wp:posOffset>
                </wp:positionV>
                <wp:extent cx="1508760" cy="146050"/>
                <wp:wrapTopAndBottom/>
                <wp:docPr id="92" name="Shape 9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118" type="#_x0000_t202" style="position:absolute;margin-left:226.15000000000001pt;margin-top:624.pt;width:118.8pt;height:11.5pt;z-index:-125829359;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396" behindDoc="0" locked="0" layoutInCell="1" allowOverlap="1">
                <wp:simplePos x="0" y="0"/>
                <wp:positionH relativeFrom="page">
                  <wp:posOffset>5496560</wp:posOffset>
                </wp:positionH>
                <wp:positionV relativeFrom="margin">
                  <wp:posOffset>7924800</wp:posOffset>
                </wp:positionV>
                <wp:extent cx="1286510" cy="149225"/>
                <wp:wrapTopAndBottom/>
                <wp:docPr id="94" name="Shape 9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120" type="#_x0000_t202" style="position:absolute;margin-left:432.80000000000001pt;margin-top:624.pt;width:101.3pt;height:11.75pt;z-index:-125829357;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25" w:name="bookmark625"/>
      <w:bookmarkStart w:id="626" w:name="bookmark626"/>
      <w:bookmarkStart w:id="627" w:name="bookmark627"/>
      <w:bookmarkStart w:id="628" w:name="bookmark628"/>
      <w:r>
        <w:rPr>
          <w:color w:val="000000"/>
          <w:spacing w:val="0"/>
          <w:w w:val="100"/>
          <w:position w:val="0"/>
        </w:rPr>
        <w:t>4</w:t>
      </w:r>
      <w:bookmarkEnd w:id="627"/>
      <w:r>
        <w:rPr>
          <w:color w:val="000000"/>
          <w:spacing w:val="0"/>
          <w:w w:val="100"/>
          <w:position w:val="0"/>
        </w:rPr>
        <w:t>、母公司利润表</w:t>
      </w:r>
      <w:bookmarkEnd w:id="625"/>
      <w:bookmarkEnd w:id="626"/>
      <w:bookmarkEnd w:id="6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507"/>
        <w:gridCol w:w="2554"/>
        <w:gridCol w:w="241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1,511,004,336.93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2,037,741,798.45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1,271,076,819.22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1,629,944,872.08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6,968,360.49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8,371,919.83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101,314,501.75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125,119,809.49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50,357,073.00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56,101,909.76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125,789,232.75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143,235,400.95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-706,467.62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-3,464,099.38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13,887,589.96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7,557,107.71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17,070,624.96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11,487,057.80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21,681,302.82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35,219,489.00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8,834,964.80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116,015,914.87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-554, 668.91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以摊余成本计量的金融资产终止确认收益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9,439,897.65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89,058,562.56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-5,503,936.43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-21,063,057.45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-19,207,053.62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-115,757,392.64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-28,530,141.25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181,875,892.00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496,462.05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1,439,736.54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1,751,649.28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-29,965,932.09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180,620,704.77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3,095,136.72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21,697,583.12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-33,061,068.81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158,923,121.65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-33,061,068.81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158,923,121.65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07"/>
        <w:gridCol w:w="2554"/>
        <w:gridCol w:w="241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-33,061,068.81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158,923,121.65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bl>
    <w:p>
      <w:pPr>
        <w:pStyle w:val="Style30"/>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398" behindDoc="0" locked="0" layoutInCell="1" allowOverlap="1">
                <wp:simplePos x="0" y="0"/>
                <wp:positionH relativeFrom="page">
                  <wp:posOffset>692785</wp:posOffset>
                </wp:positionH>
                <wp:positionV relativeFrom="margin">
                  <wp:posOffset>3581400</wp:posOffset>
                </wp:positionV>
                <wp:extent cx="1054735" cy="149225"/>
                <wp:wrapTopAndBottom/>
                <wp:docPr id="96" name="Shape 9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wps:txbx>
                      <wps:bodyPr wrap="none" lIns="0" tIns="0" rIns="0" bIns="0">
                        <a:noAutoFit/>
                      </wps:bodyPr>
                    </wps:wsp>
                  </a:graphicData>
                </a:graphic>
              </wp:anchor>
            </w:drawing>
          </mc:Choice>
          <mc:Fallback>
            <w:pict>
              <v:shape id="_x0000_s1122" type="#_x0000_t202" style="position:absolute;margin-left:54.550000000000004pt;margin-top:282.pt;width:83.049999999999997pt;height:11.75pt;z-index:-125829355;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v:textbox>
                <w10:wrap type="topAndBottom" anchorx="page" anchory="margin"/>
              </v:shape>
            </w:pict>
          </mc:Fallback>
        </mc:AlternateContent>
      </w:r>
      <w:r>
        <mc:AlternateContent>
          <mc:Choice Requires="wps">
            <w:drawing>
              <wp:anchor distT="152400" distB="3175" distL="2290445" distR="2516505" simplePos="0" relativeHeight="125829400" behindDoc="0" locked="0" layoutInCell="1" allowOverlap="1">
                <wp:simplePos x="0" y="0"/>
                <wp:positionH relativeFrom="page">
                  <wp:posOffset>2868930</wp:posOffset>
                </wp:positionH>
                <wp:positionV relativeFrom="margin">
                  <wp:posOffset>3581400</wp:posOffset>
                </wp:positionV>
                <wp:extent cx="1508760" cy="146050"/>
                <wp:wrapTopAndBottom/>
                <wp:docPr id="98" name="Shape 9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124" type="#_x0000_t202" style="position:absolute;margin-left:225.90000000000001pt;margin-top:282.pt;width:118.8pt;height:11.5pt;z-index:-125829353;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402" behindDoc="0" locked="0" layoutInCell="1" allowOverlap="1">
                <wp:simplePos x="0" y="0"/>
                <wp:positionH relativeFrom="page">
                  <wp:posOffset>5493385</wp:posOffset>
                </wp:positionH>
                <wp:positionV relativeFrom="margin">
                  <wp:posOffset>3581400</wp:posOffset>
                </wp:positionV>
                <wp:extent cx="1286510" cy="149225"/>
                <wp:wrapTopAndBottom/>
                <wp:docPr id="100" name="Shape 10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126" type="#_x0000_t202" style="position:absolute;margin-left:432.55000000000001pt;margin-top:282.pt;width:101.3pt;height:11.75pt;z-index:-125829351;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29" w:name="bookmark629"/>
      <w:bookmarkStart w:id="630" w:name="bookmark630"/>
      <w:bookmarkStart w:id="631" w:name="bookmark631"/>
      <w:bookmarkStart w:id="632" w:name="bookmark632"/>
      <w:r>
        <w:rPr>
          <w:color w:val="000000"/>
          <w:spacing w:val="0"/>
          <w:w w:val="100"/>
          <w:position w:val="0"/>
        </w:rPr>
        <w:t>5</w:t>
      </w:r>
      <w:bookmarkEnd w:id="631"/>
      <w:r>
        <w:rPr>
          <w:color w:val="000000"/>
          <w:spacing w:val="0"/>
          <w:w w:val="100"/>
          <w:position w:val="0"/>
        </w:rPr>
        <w:t>、合并现金流量表</w:t>
      </w:r>
      <w:bookmarkEnd w:id="629"/>
      <w:bookmarkEnd w:id="630"/>
      <w:bookmarkEnd w:id="632"/>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941"/>
        <w:gridCol w:w="2837"/>
        <w:gridCol w:w="27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1,847,734,988.19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2,004,600,795.09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20,044,142.91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40,960,146.69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36,289,051.33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82,134,833.71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1,904,068,182.43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2,127,695,775.49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1,032,868,892.41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1,095,964,330.85</w:t>
            </w:r>
          </w:p>
        </w:tc>
      </w:tr>
    </w:tbl>
    <w:p>
      <w:pPr>
        <w:widowControl w:val="0"/>
        <w:spacing w:line="1" w:lineRule="exact"/>
      </w:pPr>
      <w:r>
        <w:br w:type="page"/>
      </w:r>
    </w:p>
    <w:tbl>
      <w:tblPr>
        <w:tblOverlap w:val="never"/>
        <w:jc w:val="center"/>
        <w:tblLayout w:type="fixed"/>
      </w:tblPr>
      <w:tblGrid>
        <w:gridCol w:w="3941"/>
        <w:gridCol w:w="2837"/>
        <w:gridCol w:w="27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317,269,337.44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373,090,077.49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99,737,968.84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127,089,199.21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205,939,056.11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249,826,429.54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1,655,815,254.80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1,845,970,037.09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248,252,927.63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281,725,738.40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2,581,231,446.95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702,987,898.00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17,316,618.42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7,174,341.24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308,282.15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2,598,811,913.75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710,470,521.39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71,282,338.34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37,729,056.06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2,986,999,999.89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3,058,282,338.23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609,729,056.06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-459, 470,424.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100,741,465.33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1,245,000.00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1,245,000.00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201,245,000.00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225,000,000.00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51,238,674.23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49,845,973.69</w:t>
            </w:r>
          </w:p>
        </w:tc>
      </w:tr>
    </w:tbl>
    <w:p>
      <w:pPr>
        <w:widowControl w:val="0"/>
        <w:spacing w:line="1" w:lineRule="exact"/>
      </w:pPr>
      <w:r>
        <w:br w:type="page"/>
      </w:r>
    </w:p>
    <w:tbl>
      <w:tblPr>
        <w:tblOverlap w:val="never"/>
        <w:jc w:val="center"/>
        <w:tblLayout w:type="fixed"/>
      </w:tblPr>
      <w:tblGrid>
        <w:gridCol w:w="3941"/>
        <w:gridCol w:w="2837"/>
        <w:gridCol w:w="27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51,238,674.23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274,845,973.69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111,091,325.77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-73,600,973.69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-1,466,219.41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194,398.47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-101,592,390.49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309,060,628.51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686,354,244.32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377,293,615.81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584,761,853.83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686,354,244.32</w:t>
            </w:r>
          </w:p>
        </w:tc>
      </w:tr>
    </w:tbl>
    <w:p>
      <w:pPr>
        <w:pStyle w:val="Style30"/>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6675" simplePos="0" relativeHeight="125829404" behindDoc="0" locked="0" layoutInCell="1" allowOverlap="1">
                <wp:simplePos x="0" y="0"/>
                <wp:positionH relativeFrom="page">
                  <wp:posOffset>694055</wp:posOffset>
                </wp:positionH>
                <wp:positionV relativeFrom="margin">
                  <wp:posOffset>2304415</wp:posOffset>
                </wp:positionV>
                <wp:extent cx="1054735" cy="149225"/>
                <wp:wrapTopAndBottom/>
                <wp:docPr id="102" name="Shape 10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wps:txbx>
                      <wps:bodyPr wrap="none" lIns="0" tIns="0" rIns="0" bIns="0">
                        <a:noAutoFit/>
                      </wps:bodyPr>
                    </wps:wsp>
                  </a:graphicData>
                </a:graphic>
              </wp:anchor>
            </w:drawing>
          </mc:Choice>
          <mc:Fallback>
            <w:pict>
              <v:shape id="_x0000_s1128" type="#_x0000_t202" style="position:absolute;margin-left:54.649999999999999pt;margin-top:181.45000000000002pt;width:83.049999999999997pt;height:11.75pt;z-index:-125829349;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v:textbox>
                <w10:wrap type="topAndBottom" anchorx="page" anchory="margin"/>
              </v:shape>
            </w:pict>
          </mc:Fallback>
        </mc:AlternateContent>
      </w:r>
      <w:r>
        <mc:AlternateContent>
          <mc:Choice Requires="wps">
            <w:drawing>
              <wp:anchor distT="152400" distB="3175" distL="2290445" distR="2516505" simplePos="0" relativeHeight="125829406" behindDoc="0" locked="0" layoutInCell="1" allowOverlap="1">
                <wp:simplePos x="0" y="0"/>
                <wp:positionH relativeFrom="page">
                  <wp:posOffset>2870200</wp:posOffset>
                </wp:positionH>
                <wp:positionV relativeFrom="margin">
                  <wp:posOffset>2304415</wp:posOffset>
                </wp:positionV>
                <wp:extent cx="1508760" cy="146050"/>
                <wp:wrapTopAndBottom/>
                <wp:docPr id="104" name="Shape 10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130" type="#_x0000_t202" style="position:absolute;margin-left:226.pt;margin-top:181.45000000000002pt;width:118.8pt;height:11.5pt;z-index:-125829347;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4914900" distR="114300" simplePos="0" relativeHeight="125829408" behindDoc="0" locked="0" layoutInCell="1" allowOverlap="1">
                <wp:simplePos x="0" y="0"/>
                <wp:positionH relativeFrom="page">
                  <wp:posOffset>5494655</wp:posOffset>
                </wp:positionH>
                <wp:positionV relativeFrom="margin">
                  <wp:posOffset>2304415</wp:posOffset>
                </wp:positionV>
                <wp:extent cx="1286510" cy="149225"/>
                <wp:wrapTopAndBottom/>
                <wp:docPr id="106" name="Shape 10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132" type="#_x0000_t202" style="position:absolute;margin-left:432.65000000000003pt;margin-top:181.45000000000002pt;width:101.3pt;height:11.75pt;z-index:-125829345;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color w:val="000000"/>
          <w:spacing w:val="0"/>
          <w:w w:val="100"/>
          <w:position w:val="0"/>
        </w:rPr>
        <w:t>6</w:t>
      </w:r>
      <w:bookmarkEnd w:id="635"/>
      <w:r>
        <w:rPr>
          <w:color w:val="000000"/>
          <w:spacing w:val="0"/>
          <w:w w:val="100"/>
          <w:position w:val="0"/>
        </w:rPr>
        <w:t>、母公司现金流量表</w:t>
      </w:r>
      <w:bookmarkEnd w:id="633"/>
      <w:bookmarkEnd w:id="634"/>
      <w:bookmarkEnd w:id="63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41"/>
        <w:gridCol w:w="2837"/>
        <w:gridCol w:w="27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1,644,777,534.59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1,804,936,551.29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15,156,707.77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32,727,312.68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30,766,258.38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71,872,426.86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1,690,700,500.74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1,909,536,290.83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961,384,193.45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1,061,910,434.01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207,293,562.22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205,824,731.51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82,745,413.26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105,256,066.76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168,947,877.82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255,587,512.89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1,420,371,046.75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1,628,578,745.17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270,329,453.99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280,957,545.66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2,545,231,446.95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690,987,898.00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14,911,533.49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3,363,684.21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164,656.81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2,560,192,850.64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694,516,239.02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64,275,133.33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19,949,647.05</w:t>
            </w:r>
          </w:p>
        </w:tc>
      </w:tr>
    </w:tbl>
    <w:p>
      <w:pPr>
        <w:widowControl w:val="0"/>
        <w:spacing w:line="1" w:lineRule="exact"/>
      </w:pPr>
      <w:r>
        <w:br w:type="page"/>
      </w:r>
    </w:p>
    <w:tbl>
      <w:tblPr>
        <w:tblOverlap w:val="never"/>
        <w:jc w:val="center"/>
        <w:tblLayout w:type="fixed"/>
      </w:tblPr>
      <w:tblGrid>
        <w:gridCol w:w="3941"/>
        <w:gridCol w:w="2837"/>
        <w:gridCol w:w="27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2,904,999,999.89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560,000,000.00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2,969,275,133.22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579,949,647.05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-409, 082,282.58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114,566,591.97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50,327,746.71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49,845,973.69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50,327,746.71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274,845,973.69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49,672,253.29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-74,845,973.69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-1,466,219.41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194,398.47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-90,546,794.71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320,872,562.41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602,659,102.06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281,786,539.65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512,112,307.35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602,659,102.06</w:t>
            </w:r>
          </w:p>
        </w:tc>
      </w:tr>
    </w:tbl>
    <w:p>
      <w:pPr>
        <w:sectPr>
          <w:footnotePr>
            <w:pos w:val="pageBottom"/>
            <w:numFmt w:val="decimal"/>
            <w:numRestart w:val="continuous"/>
          </w:footnotePr>
          <w:pgSz w:w="11900" w:h="16840"/>
          <w:pgMar w:top="1383" w:right="1077" w:bottom="1436" w:left="1050"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7" w:right="0" w:bottom="1157" w:left="0" w:header="0" w:footer="3" w:gutter="0"/>
          <w:cols w:space="720"/>
          <w:noEndnote/>
          <w:rtlGutter w:val="0"/>
          <w:docGrid w:linePitch="360"/>
        </w:sectPr>
      </w:pPr>
    </w:p>
    <w:p>
      <w:pPr>
        <w:pStyle w:val="Style26"/>
        <w:keepNext w:val="0"/>
        <w:keepLines w:val="0"/>
        <w:framePr w:w="1661" w:h="235" w:wrap="none" w:vAnchor="text" w:hAnchor="page" w:x="1183" w:y="21"/>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6"/>
        <w:keepNext w:val="0"/>
        <w:keepLines w:val="0"/>
        <w:framePr w:w="2376" w:h="230" w:wrap="none" w:vAnchor="text" w:hAnchor="page" w:x="4610" w:y="21"/>
        <w:widowControl w:val="0"/>
        <w:shd w:val="clear" w:color="auto" w:fill="auto"/>
        <w:bidi w:val="0"/>
        <w:spacing w:before="0" w:after="0" w:line="240" w:lineRule="auto"/>
        <w:ind w:left="0" w:right="0" w:firstLine="0"/>
        <w:jc w:val="center"/>
      </w:pPr>
      <w:r>
        <w:rPr>
          <w:color w:val="000000"/>
          <w:spacing w:val="0"/>
          <w:w w:val="100"/>
          <w:position w:val="0"/>
        </w:rPr>
        <w:t>主管会计工作负责人：张艳菊</w:t>
      </w:r>
    </w:p>
    <w:p>
      <w:pPr>
        <w:pStyle w:val="Style26"/>
        <w:keepNext w:val="0"/>
        <w:keepLines w:val="0"/>
        <w:framePr w:w="2026" w:h="235" w:wrap="none" w:vAnchor="text" w:hAnchor="page" w:x="8743" w:y="21"/>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47" w:right="1136" w:bottom="1157" w:left="1112" w:header="0" w:footer="3" w:gutter="0"/>
          <w:cols w:space="720"/>
          <w:noEndnote/>
          <w:rtlGutter w:val="0"/>
          <w:docGrid w:linePitch="360"/>
        </w:sectPr>
      </w:pPr>
    </w:p>
    <w:p>
      <w:pPr>
        <w:pStyle w:val="Style30"/>
        <w:keepNext/>
        <w:keepLines/>
        <w:widowControl w:val="0"/>
        <w:shd w:val="clear" w:color="auto" w:fill="auto"/>
        <w:bidi w:val="0"/>
        <w:spacing w:before="0" w:after="400" w:line="240" w:lineRule="auto"/>
        <w:ind w:left="0" w:right="0" w:firstLine="840"/>
        <w:jc w:val="left"/>
      </w:pPr>
      <w:bookmarkStart w:id="637" w:name="bookmark637"/>
      <w:bookmarkStart w:id="638" w:name="bookmark638"/>
      <w:bookmarkStart w:id="639" w:name="bookmark639"/>
      <w:bookmarkStart w:id="640" w:name="bookmark640"/>
      <w:r>
        <w:rPr>
          <w:color w:val="000000"/>
          <w:spacing w:val="0"/>
          <w:w w:val="100"/>
          <w:position w:val="0"/>
        </w:rPr>
        <w:t>7</w:t>
      </w:r>
      <w:bookmarkEnd w:id="639"/>
      <w:r>
        <w:rPr>
          <w:color w:val="000000"/>
          <w:spacing w:val="0"/>
          <w:w w:val="100"/>
          <w:position w:val="0"/>
        </w:rPr>
        <w:t>、合并所有者权益变动表</w:t>
      </w:r>
      <w:bookmarkEnd w:id="637"/>
      <w:bookmarkEnd w:id="638"/>
      <w:bookmarkEnd w:id="640"/>
    </w:p>
    <w:p>
      <w:pPr>
        <w:pStyle w:val="Style26"/>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4074" w:right="0" w:firstLine="0"/>
        <w:jc w:val="left"/>
      </w:pPr>
      <w:r>
        <w:rPr>
          <w:color w:val="000000"/>
          <w:spacing w:val="0"/>
          <w:w w:val="100"/>
          <w:position w:val="0"/>
        </w:rPr>
        <w:t>单位：元</w:t>
      </w:r>
    </w:p>
    <w:tbl>
      <w:tblPr>
        <w:tblOverlap w:val="never"/>
        <w:jc w:val="center"/>
        <w:tblLayout w:type="fixed"/>
      </w:tblPr>
      <w:tblGrid>
        <w:gridCol w:w="1560"/>
        <w:gridCol w:w="1411"/>
        <w:gridCol w:w="466"/>
        <w:gridCol w:w="466"/>
        <w:gridCol w:w="230"/>
        <w:gridCol w:w="1435"/>
        <w:gridCol w:w="547"/>
        <w:gridCol w:w="1258"/>
        <w:gridCol w:w="446"/>
        <w:gridCol w:w="1258"/>
        <w:gridCol w:w="581"/>
        <w:gridCol w:w="1402"/>
        <w:gridCol w:w="302"/>
        <w:gridCol w:w="1541"/>
        <w:gridCol w:w="1152"/>
        <w:gridCol w:w="159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407,922,759.13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3,384,382.58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494,049,039.13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1,429,432,553.06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1,753,311.51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1,431,185,864.57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407,922,759.13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3,384,382.58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494,049,039.13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1,429,432,553.06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1,753,311.51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1,431,185,864.57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 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1,168,950.96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-103,742,685.5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-101,665,376.35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-2,124,857.3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-103,790,233.74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1,168,950.96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-60,737,085.52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-59,568,134.56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-2,124,857.3</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Arial" w:eastAsia="Arial" w:hAnsi="Arial" w:cs="Arial"/>
                <w:color w:val="000000"/>
                <w:spacing w:val="0"/>
                <w:w w:val="100"/>
                <w:position w:val="0"/>
                <w:sz w:val="20"/>
                <w:szCs w:val="20"/>
                <w:vertAlign w:val="subscript"/>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-61,692,991.95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所有者投入的普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0"/>
        <w:gridCol w:w="1411"/>
        <w:gridCol w:w="466"/>
        <w:gridCol w:w="466"/>
        <w:gridCol w:w="230"/>
        <w:gridCol w:w="1435"/>
        <w:gridCol w:w="547"/>
        <w:gridCol w:w="1258"/>
        <w:gridCol w:w="446"/>
        <w:gridCol w:w="1258"/>
        <w:gridCol w:w="581"/>
        <w:gridCol w:w="1402"/>
        <w:gridCol w:w="302"/>
        <w:gridCol w:w="1541"/>
        <w:gridCol w:w="1152"/>
        <w:gridCol w:w="1598"/>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-43,005,600.00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r>
              <w:rPr>
                <w:color w:val="000000"/>
                <w:spacing w:val="0"/>
                <w:w w:val="100"/>
                <w:position w:val="0"/>
              </w:rPr>
              <w:t>其他综合收益结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0"/>
        <w:gridCol w:w="1411"/>
        <w:gridCol w:w="466"/>
        <w:gridCol w:w="466"/>
        <w:gridCol w:w="230"/>
        <w:gridCol w:w="1435"/>
        <w:gridCol w:w="547"/>
        <w:gridCol w:w="1258"/>
        <w:gridCol w:w="446"/>
        <w:gridCol w:w="1258"/>
        <w:gridCol w:w="581"/>
        <w:gridCol w:w="1402"/>
        <w:gridCol w:w="302"/>
        <w:gridCol w:w="1541"/>
        <w:gridCol w:w="1152"/>
        <w:gridCol w:w="159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908,358.21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408,831,117.34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4,553,333.54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390,306,353.61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1,327,767,176.71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-371,545.88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1,327,395,630.83</w:t>
            </w:r>
          </w:p>
        </w:tc>
      </w:tr>
    </w:tbl>
    <w:p>
      <w:pPr>
        <w:pStyle w:val="Style33"/>
        <w:keepNext w:val="0"/>
        <w:keepLines w:val="0"/>
        <w:widowControl w:val="0"/>
        <w:shd w:val="clear" w:color="auto" w:fill="auto"/>
        <w:bidi w:val="0"/>
        <w:spacing w:before="0" w:after="0" w:line="240" w:lineRule="auto"/>
        <w:ind w:left="826"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4261" w:right="0" w:firstLine="0"/>
        <w:jc w:val="left"/>
      </w:pPr>
      <w:r>
        <w:rPr>
          <w:color w:val="000000"/>
          <w:spacing w:val="0"/>
          <w:w w:val="100"/>
          <w:position w:val="0"/>
        </w:rPr>
        <w:t>单位：元</w:t>
      </w:r>
    </w:p>
    <w:tbl>
      <w:tblPr>
        <w:tblOverlap w:val="never"/>
        <w:jc w:val="center"/>
        <w:tblLayout w:type="fixed"/>
      </w:tblPr>
      <w:tblGrid>
        <w:gridCol w:w="1560"/>
        <w:gridCol w:w="1450"/>
        <w:gridCol w:w="446"/>
        <w:gridCol w:w="451"/>
        <w:gridCol w:w="264"/>
        <w:gridCol w:w="1445"/>
        <w:gridCol w:w="538"/>
        <w:gridCol w:w="1267"/>
        <w:gridCol w:w="518"/>
        <w:gridCol w:w="1262"/>
        <w:gridCol w:w="581"/>
        <w:gridCol w:w="1406"/>
        <w:gridCol w:w="254"/>
        <w:gridCol w:w="1589"/>
        <w:gridCol w:w="1426"/>
        <w:gridCol w:w="157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407,904,873.06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69,946,804.54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286,918,901.26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1,271,684,483.94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13,772,035.53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1,285,456,519.47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-72,379,503.3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8,181,255.51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73,631,299.57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9,433,051.73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1,119,600.43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10,552,652.16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407,904,873.06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4,478,401.73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78,128,060.05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360,550,200.83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1,281,117,535.67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14,891,635.96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1,296,009,171.63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 金额（减少以</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-1,094,019.15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15,892,312.17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133,498,838.30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148,315,017.39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-13,138,324.45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135,176,692.94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-1,094,019.15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192,396,750.47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191,302,731.32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-14,365,438.38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176,937,292.94</w:t>
            </w:r>
          </w:p>
        </w:tc>
      </w:tr>
    </w:tbl>
    <w:p>
      <w:pPr>
        <w:widowControl w:val="0"/>
        <w:spacing w:line="1" w:lineRule="exact"/>
      </w:pPr>
      <w:r>
        <w:br w:type="page"/>
      </w:r>
    </w:p>
    <w:tbl>
      <w:tblPr>
        <w:tblOverlap w:val="never"/>
        <w:jc w:val="center"/>
        <w:tblLayout w:type="fixed"/>
      </w:tblPr>
      <w:tblGrid>
        <w:gridCol w:w="1560"/>
        <w:gridCol w:w="1450"/>
        <w:gridCol w:w="446"/>
        <w:gridCol w:w="451"/>
        <w:gridCol w:w="264"/>
        <w:gridCol w:w="1445"/>
        <w:gridCol w:w="538"/>
        <w:gridCol w:w="1267"/>
        <w:gridCol w:w="518"/>
        <w:gridCol w:w="1262"/>
        <w:gridCol w:w="581"/>
        <w:gridCol w:w="1406"/>
        <w:gridCol w:w="254"/>
        <w:gridCol w:w="1589"/>
        <w:gridCol w:w="1426"/>
        <w:gridCol w:w="1570"/>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1,227,113.93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1,227,113.93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1,227,113.93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1,227,113.93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15,892,312.17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-58,897,912.17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15,892,312.17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-15,892,312.17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0"/>
        <w:gridCol w:w="1450"/>
        <w:gridCol w:w="446"/>
        <w:gridCol w:w="451"/>
        <w:gridCol w:w="264"/>
        <w:gridCol w:w="1445"/>
        <w:gridCol w:w="538"/>
        <w:gridCol w:w="1267"/>
        <w:gridCol w:w="518"/>
        <w:gridCol w:w="1262"/>
        <w:gridCol w:w="581"/>
        <w:gridCol w:w="1406"/>
        <w:gridCol w:w="254"/>
        <w:gridCol w:w="1589"/>
        <w:gridCol w:w="1426"/>
        <w:gridCol w:w="1570"/>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r>
              <w:rPr>
                <w:color w:val="000000"/>
                <w:spacing w:val="0"/>
                <w:w w:val="100"/>
                <w:position w:val="0"/>
              </w:rPr>
              <w:t>其他综合收益结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17,886.07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407,922,759.13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3,384,382.58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494,049,039.13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1,429,432,553.06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1,753,311.51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1,431,185,864.57</w:t>
            </w:r>
          </w:p>
        </w:tc>
      </w:tr>
    </w:tbl>
    <w:p>
      <w:pPr>
        <w:pStyle w:val="Style30"/>
        <w:keepNext/>
        <w:keepLines/>
        <w:widowControl w:val="0"/>
        <w:shd w:val="clear" w:color="auto" w:fill="auto"/>
        <w:bidi w:val="0"/>
        <w:spacing w:before="0" w:after="420" w:line="240" w:lineRule="auto"/>
        <w:ind w:left="1020" w:right="0" w:firstLine="0"/>
        <w:jc w:val="left"/>
      </w:pPr>
      <w:r>
        <mc:AlternateContent>
          <mc:Choice Requires="wps">
            <w:drawing>
              <wp:anchor distT="152400" distB="0" distL="114300" distR="7944485" simplePos="0" relativeHeight="125829410" behindDoc="0" locked="0" layoutInCell="1" allowOverlap="1">
                <wp:simplePos x="0" y="0"/>
                <wp:positionH relativeFrom="page">
                  <wp:posOffset>962025</wp:posOffset>
                </wp:positionH>
                <wp:positionV relativeFrom="margin">
                  <wp:posOffset>2449195</wp:posOffset>
                </wp:positionV>
                <wp:extent cx="1054735" cy="149225"/>
                <wp:wrapTopAndBottom/>
                <wp:docPr id="108" name="Shape 10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wps:txbx>
                      <wps:bodyPr wrap="none" lIns="0" tIns="0" rIns="0" bIns="0">
                        <a:noAutoFit/>
                      </wps:bodyPr>
                    </wps:wsp>
                  </a:graphicData>
                </a:graphic>
              </wp:anchor>
            </w:drawing>
          </mc:Choice>
          <mc:Fallback>
            <w:pict>
              <v:shape id="_x0000_s1134" type="#_x0000_t202" style="position:absolute;margin-left:75.75pt;margin-top:192.84999999999999pt;width:83.049999999999997pt;height:11.75pt;z-index:-125829343;mso-wrap-distance-left:9.pt;mso-wrap-distance-top:12.pt;mso-wrap-distance-right:625.5500000000000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法定代表人：张新访</w:t>
                      </w:r>
                    </w:p>
                  </w:txbxContent>
                </v:textbox>
                <w10:wrap type="topAndBottom" anchorx="page" anchory="margin"/>
              </v:shape>
            </w:pict>
          </mc:Fallback>
        </mc:AlternateContent>
      </w:r>
      <w:r>
        <mc:AlternateContent>
          <mc:Choice Requires="wps">
            <w:drawing>
              <wp:anchor distT="152400" distB="3175" distL="3832860" distR="3771900" simplePos="0" relativeHeight="125829412" behindDoc="0" locked="0" layoutInCell="1" allowOverlap="1">
                <wp:simplePos x="0" y="0"/>
                <wp:positionH relativeFrom="page">
                  <wp:posOffset>4680585</wp:posOffset>
                </wp:positionH>
                <wp:positionV relativeFrom="margin">
                  <wp:posOffset>2449195</wp:posOffset>
                </wp:positionV>
                <wp:extent cx="1508760" cy="146050"/>
                <wp:wrapTopAndBottom/>
                <wp:docPr id="110" name="Shape 11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wps:txbx>
                      <wps:bodyPr wrap="none" lIns="0" tIns="0" rIns="0" bIns="0">
                        <a:noAutoFit/>
                      </wps:bodyPr>
                    </wps:wsp>
                  </a:graphicData>
                </a:graphic>
              </wp:anchor>
            </w:drawing>
          </mc:Choice>
          <mc:Fallback>
            <w:pict>
              <v:shape id="_x0000_s1136" type="#_x0000_t202" style="position:absolute;margin-left:368.55000000000001pt;margin-top:192.84999999999999pt;width:118.8pt;height:11.5pt;z-index:-125829341;mso-wrap-distance-left:301.80000000000001pt;mso-wrap-distance-top:12.pt;mso-wrap-distance-right:297.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txbxContent>
                </v:textbox>
                <w10:wrap type="topAndBottom" anchorx="page" anchory="margin"/>
              </v:shape>
            </w:pict>
          </mc:Fallback>
        </mc:AlternateContent>
      </w:r>
      <w:r>
        <mc:AlternateContent>
          <mc:Choice Requires="wps">
            <w:drawing>
              <wp:anchor distT="152400" distB="0" distL="7712710" distR="114300" simplePos="0" relativeHeight="125829414" behindDoc="0" locked="0" layoutInCell="1" allowOverlap="1">
                <wp:simplePos x="0" y="0"/>
                <wp:positionH relativeFrom="page">
                  <wp:posOffset>8560435</wp:posOffset>
                </wp:positionH>
                <wp:positionV relativeFrom="margin">
                  <wp:posOffset>2449195</wp:posOffset>
                </wp:positionV>
                <wp:extent cx="1286510" cy="149225"/>
                <wp:wrapTopAndBottom/>
                <wp:docPr id="112" name="Shape 11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wps:txbx>
                      <wps:bodyPr wrap="none" lIns="0" tIns="0" rIns="0" bIns="0">
                        <a:noAutoFit/>
                      </wps:bodyPr>
                    </wps:wsp>
                  </a:graphicData>
                </a:graphic>
              </wp:anchor>
            </w:drawing>
          </mc:Choice>
          <mc:Fallback>
            <w:pict>
              <v:shape id="_x0000_s1138" type="#_x0000_t202" style="position:absolute;margin-left:674.05000000000007pt;margin-top:192.84999999999999pt;width:101.3pt;height:11.75pt;z-index:-125829339;mso-wrap-distance-left:607.3000000000000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txbxContent>
                </v:textbox>
                <w10:wrap type="topAndBottom" anchorx="page" anchory="margin"/>
              </v:shape>
            </w:pict>
          </mc:Fallback>
        </mc:AlternateContent>
      </w:r>
      <w:bookmarkStart w:id="641" w:name="bookmark641"/>
      <w:bookmarkStart w:id="642" w:name="bookmark642"/>
      <w:bookmarkStart w:id="643" w:name="bookmark643"/>
      <w:bookmarkStart w:id="644" w:name="bookmark644"/>
      <w:r>
        <w:rPr>
          <w:color w:val="000000"/>
          <w:spacing w:val="0"/>
          <w:w w:val="100"/>
          <w:position w:val="0"/>
        </w:rPr>
        <w:t>8</w:t>
      </w:r>
      <w:bookmarkEnd w:id="643"/>
      <w:r>
        <w:rPr>
          <w:color w:val="000000"/>
          <w:spacing w:val="0"/>
          <w:w w:val="100"/>
          <w:position w:val="0"/>
        </w:rPr>
        <w:t>、母公司所有者权益变动表</w:t>
      </w:r>
      <w:bookmarkEnd w:id="641"/>
      <w:bookmarkEnd w:id="642"/>
      <w:bookmarkEnd w:id="644"/>
    </w:p>
    <w:p>
      <w:pPr>
        <w:pStyle w:val="Style26"/>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958"/>
        <w:gridCol w:w="1354"/>
        <w:gridCol w:w="605"/>
        <w:gridCol w:w="605"/>
        <w:gridCol w:w="605"/>
        <w:gridCol w:w="1445"/>
        <w:gridCol w:w="730"/>
        <w:gridCol w:w="1320"/>
        <w:gridCol w:w="725"/>
        <w:gridCol w:w="1363"/>
        <w:gridCol w:w="1416"/>
        <w:gridCol w:w="710"/>
        <w:gridCol w:w="157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663,415,327.97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1,591,489,457.43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663,415,327.97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1,591,489,457.43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908,358.21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-76,066,668.81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-75,158,310.60</w:t>
            </w:r>
          </w:p>
        </w:tc>
      </w:tr>
    </w:tbl>
    <w:p>
      <w:pPr>
        <w:widowControl w:val="0"/>
        <w:spacing w:line="1" w:lineRule="exact"/>
      </w:pPr>
      <w:r>
        <w:br w:type="page"/>
      </w:r>
    </w:p>
    <w:tbl>
      <w:tblPr>
        <w:tblOverlap w:val="never"/>
        <w:jc w:val="center"/>
        <w:tblLayout w:type="fixed"/>
      </w:tblPr>
      <w:tblGrid>
        <w:gridCol w:w="1958"/>
        <w:gridCol w:w="1354"/>
        <w:gridCol w:w="605"/>
        <w:gridCol w:w="605"/>
        <w:gridCol w:w="605"/>
        <w:gridCol w:w="1445"/>
        <w:gridCol w:w="730"/>
        <w:gridCol w:w="1320"/>
        <w:gridCol w:w="725"/>
        <w:gridCol w:w="1363"/>
        <w:gridCol w:w="1416"/>
        <w:gridCol w:w="710"/>
        <w:gridCol w:w="1570"/>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-33,061,068.81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-33,061,068.81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4</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color w:val="000000"/>
                <w:spacing w:val="0"/>
                <w:w w:val="100"/>
                <w:position w:val="0"/>
              </w:rPr>
              <w:t>.其他综合收益结转留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58"/>
        <w:gridCol w:w="1354"/>
        <w:gridCol w:w="605"/>
        <w:gridCol w:w="605"/>
        <w:gridCol w:w="605"/>
        <w:gridCol w:w="1445"/>
        <w:gridCol w:w="730"/>
        <w:gridCol w:w="1320"/>
        <w:gridCol w:w="725"/>
        <w:gridCol w:w="1363"/>
        <w:gridCol w:w="1416"/>
        <w:gridCol w:w="710"/>
        <w:gridCol w:w="1570"/>
      </w:tblGrid>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908,358.21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404,906,115.45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587,348,659.16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1,516,331,146.83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1958"/>
        <w:gridCol w:w="1430"/>
        <w:gridCol w:w="571"/>
        <w:gridCol w:w="571"/>
        <w:gridCol w:w="571"/>
        <w:gridCol w:w="1402"/>
        <w:gridCol w:w="686"/>
        <w:gridCol w:w="1440"/>
        <w:gridCol w:w="782"/>
        <w:gridCol w:w="1344"/>
        <w:gridCol w:w="1416"/>
        <w:gridCol w:w="797"/>
        <w:gridCol w:w="1627"/>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69,946,804.54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489,758,818.92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1,470,617,285.78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-76,857,905.08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8,181,255.51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73,631,299.57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403,997,757.24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78,128,060.05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563,390,118.49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1,475,571,935.78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15,892,312.17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100,025,209.48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115,917,521.65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158,923,121.65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158,923,121.65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58"/>
        <w:gridCol w:w="1430"/>
        <w:gridCol w:w="571"/>
        <w:gridCol w:w="571"/>
        <w:gridCol w:w="571"/>
        <w:gridCol w:w="1402"/>
        <w:gridCol w:w="686"/>
        <w:gridCol w:w="1440"/>
        <w:gridCol w:w="782"/>
        <w:gridCol w:w="1344"/>
        <w:gridCol w:w="1416"/>
        <w:gridCol w:w="797"/>
        <w:gridCol w:w="1627"/>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15,892,312.17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-58,897,912.17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15,892,312.17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-15,892,312.17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-43,005,600.00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58"/>
        <w:gridCol w:w="1430"/>
        <w:gridCol w:w="571"/>
        <w:gridCol w:w="571"/>
        <w:gridCol w:w="571"/>
        <w:gridCol w:w="1402"/>
        <w:gridCol w:w="686"/>
        <w:gridCol w:w="1440"/>
        <w:gridCol w:w="782"/>
        <w:gridCol w:w="1344"/>
        <w:gridCol w:w="1416"/>
        <w:gridCol w:w="797"/>
        <w:gridCol w:w="162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403,997,757.24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663,415,327.97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1,591,489,457.43</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116" w:right="311" w:bottom="1228" w:left="502"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5" w:right="0" w:bottom="1150" w:left="0" w:header="0" w:footer="3" w:gutter="0"/>
          <w:cols w:space="720"/>
          <w:noEndnote/>
          <w:rtlGutter w:val="0"/>
          <w:docGrid w:linePitch="360"/>
        </w:sectPr>
      </w:pPr>
    </w:p>
    <w:p>
      <w:pPr>
        <w:pStyle w:val="Style26"/>
        <w:keepNext w:val="0"/>
        <w:keepLines w:val="0"/>
        <w:framePr w:w="1661" w:h="235" w:wrap="none" w:vAnchor="text" w:hAnchor="page" w:x="1204" w:y="21"/>
        <w:widowControl w:val="0"/>
        <w:shd w:val="clear" w:color="auto" w:fill="auto"/>
        <w:bidi w:val="0"/>
        <w:spacing w:before="0" w:after="0" w:line="240" w:lineRule="auto"/>
        <w:ind w:left="0" w:right="0" w:firstLine="0"/>
        <w:jc w:val="left"/>
      </w:pPr>
      <w:r>
        <w:rPr>
          <w:color w:val="000000"/>
          <w:spacing w:val="0"/>
          <w:w w:val="100"/>
          <w:position w:val="0"/>
        </w:rPr>
        <w:t>法定代表人：张新访</w:t>
      </w:r>
    </w:p>
    <w:p>
      <w:pPr>
        <w:pStyle w:val="Style26"/>
        <w:keepNext w:val="0"/>
        <w:keepLines w:val="0"/>
        <w:framePr w:w="2376" w:h="230" w:wrap="none" w:vAnchor="text" w:hAnchor="page" w:x="7237" w:y="21"/>
        <w:widowControl w:val="0"/>
        <w:shd w:val="clear" w:color="auto" w:fill="auto"/>
        <w:bidi w:val="0"/>
        <w:spacing w:before="0" w:after="0" w:line="240" w:lineRule="auto"/>
        <w:ind w:left="0" w:right="0" w:firstLine="0"/>
        <w:jc w:val="left"/>
      </w:pPr>
      <w:r>
        <w:rPr>
          <w:color w:val="000000"/>
          <w:spacing w:val="0"/>
          <w:w w:val="100"/>
          <w:position w:val="0"/>
        </w:rPr>
        <w:t>主管会计工作负责人：张艳菊</w:t>
      </w:r>
    </w:p>
    <w:p>
      <w:pPr>
        <w:pStyle w:val="Style26"/>
        <w:keepNext w:val="0"/>
        <w:keepLines w:val="0"/>
        <w:framePr w:w="2026" w:h="235" w:wrap="none" w:vAnchor="text" w:hAnchor="page" w:x="11821" w:y="21"/>
        <w:widowControl w:val="0"/>
        <w:shd w:val="clear" w:color="auto" w:fill="auto"/>
        <w:bidi w:val="0"/>
        <w:spacing w:before="0" w:after="0" w:line="240" w:lineRule="auto"/>
        <w:ind w:left="0" w:right="0" w:firstLine="0"/>
        <w:jc w:val="left"/>
      </w:pPr>
      <w:r>
        <w:rPr>
          <w:color w:val="000000"/>
          <w:spacing w:val="0"/>
          <w:w w:val="100"/>
          <w:position w:val="0"/>
        </w:rPr>
        <w:t>会计机构负责人：贾宗娟</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5" w:right="808" w:bottom="1150" w:left="1422" w:header="0" w:footer="3" w:gutter="0"/>
          <w:cols w:space="720"/>
          <w:noEndnote/>
          <w:rtlGutter w:val="0"/>
          <w:docGrid w:linePitch="360"/>
        </w:sectPr>
      </w:pPr>
    </w:p>
    <w:p>
      <w:pPr>
        <w:pStyle w:val="Style23"/>
        <w:keepNext/>
        <w:keepLines/>
        <w:widowControl w:val="0"/>
        <w:shd w:val="clear" w:color="auto" w:fill="auto"/>
        <w:tabs>
          <w:tab w:pos="595" w:val="left"/>
        </w:tabs>
        <w:bidi w:val="0"/>
        <w:spacing w:before="80" w:after="24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三</w:t>
      </w:r>
      <w:bookmarkEnd w:id="647"/>
      <w:r>
        <w:rPr>
          <w:color w:val="000000"/>
          <w:spacing w:val="0"/>
          <w:w w:val="100"/>
          <w:position w:val="0"/>
        </w:rPr>
        <w:t>、</w:t>
        <w:tab/>
        <w:t>公司基本情况</w:t>
      </w:r>
      <w:bookmarkEnd w:id="645"/>
      <w:bookmarkEnd w:id="646"/>
      <w:bookmarkEnd w:id="648"/>
    </w:p>
    <w:p>
      <w:pPr>
        <w:pStyle w:val="Style26"/>
        <w:keepNext w:val="0"/>
        <w:keepLines w:val="0"/>
        <w:widowControl w:val="0"/>
        <w:shd w:val="clear" w:color="auto" w:fill="auto"/>
        <w:tabs>
          <w:tab w:pos="675" w:val="left"/>
        </w:tabs>
        <w:bidi w:val="0"/>
        <w:spacing w:before="0" w:after="0" w:line="317" w:lineRule="exact"/>
        <w:ind w:left="0" w:right="0" w:firstLine="360"/>
        <w:jc w:val="left"/>
      </w:pPr>
      <w:bookmarkStart w:id="649" w:name="bookmark649"/>
      <w:r>
        <w:rPr>
          <w:color w:val="000000"/>
          <w:spacing w:val="0"/>
          <w:w w:val="100"/>
          <w:position w:val="0"/>
        </w:rPr>
        <w:t>1</w:t>
      </w:r>
      <w:bookmarkEnd w:id="649"/>
      <w:r>
        <w:rPr>
          <w:color w:val="000000"/>
          <w:spacing w:val="0"/>
          <w:w w:val="100"/>
          <w:position w:val="0"/>
        </w:rPr>
        <w:t>、</w:t>
        <w:tab/>
        <w:t>本公司历史沿革及注册资本</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公司是于</w:t>
      </w:r>
      <w:r>
        <w:rPr>
          <w:color w:val="000000"/>
          <w:spacing w:val="0"/>
          <w:w w:val="100"/>
          <w:position w:val="0"/>
        </w:rPr>
        <w:t>2000</w:t>
      </w:r>
      <w:r>
        <w:rPr>
          <w:color w:val="000000"/>
          <w:spacing w:val="0"/>
          <w:w w:val="100"/>
          <w:position w:val="0"/>
        </w:rPr>
        <w:t>年</w:t>
      </w:r>
      <w:r>
        <w:rPr>
          <w:color w:val="000000"/>
          <w:spacing w:val="0"/>
          <w:w w:val="100"/>
          <w:position w:val="0"/>
        </w:rPr>
        <w:t>11</w:t>
      </w:r>
      <w:r>
        <w:rPr>
          <w:color w:val="000000"/>
          <w:spacing w:val="0"/>
          <w:w w:val="100"/>
          <w:position w:val="0"/>
        </w:rPr>
        <w:t>月由武汉天喻信息产业有限责任公司整体变更设立的股份有限公司。</w:t>
      </w:r>
      <w:r>
        <w:rPr>
          <w:color w:val="000000"/>
          <w:spacing w:val="0"/>
          <w:w w:val="100"/>
          <w:position w:val="0"/>
        </w:rPr>
        <w:t>2011</w:t>
      </w:r>
      <w:r>
        <w:rPr>
          <w:color w:val="000000"/>
          <w:spacing w:val="0"/>
          <w:w w:val="100"/>
          <w:position w:val="0"/>
        </w:rPr>
        <w:t>年，经中国证券监督管理委 员会核准，公司首次公开发行人民币普通股</w:t>
      </w:r>
      <w:r>
        <w:rPr>
          <w:color w:val="000000"/>
          <w:spacing w:val="0"/>
          <w:w w:val="100"/>
          <w:position w:val="0"/>
        </w:rPr>
        <w:t>（A</w:t>
      </w:r>
      <w:r>
        <w:rPr>
          <w:color w:val="000000"/>
          <w:spacing w:val="0"/>
          <w:w w:val="100"/>
          <w:position w:val="0"/>
        </w:rPr>
        <w:t>股）股票</w:t>
      </w:r>
      <w:r>
        <w:rPr>
          <w:color w:val="000000"/>
          <w:spacing w:val="0"/>
          <w:w w:val="100"/>
          <w:position w:val="0"/>
        </w:rPr>
        <w:t>1,991</w:t>
      </w:r>
      <w:r>
        <w:rPr>
          <w:color w:val="000000"/>
          <w:spacing w:val="0"/>
          <w:w w:val="100"/>
          <w:position w:val="0"/>
        </w:rPr>
        <w:t>万股（每股面值人民币</w:t>
      </w:r>
      <w:r>
        <w:rPr>
          <w:color w:val="000000"/>
          <w:spacing w:val="0"/>
          <w:w w:val="100"/>
          <w:position w:val="0"/>
        </w:rPr>
        <w:t>1</w:t>
      </w:r>
      <w:r>
        <w:rPr>
          <w:color w:val="000000"/>
          <w:spacing w:val="0"/>
          <w:w w:val="100"/>
          <w:position w:val="0"/>
        </w:rPr>
        <w:t>元），每股发行价格为人民币</w:t>
      </w:r>
      <w:r>
        <w:rPr>
          <w:color w:val="000000"/>
          <w:spacing w:val="0"/>
          <w:w w:val="100"/>
          <w:position w:val="0"/>
        </w:rPr>
        <w:t>40</w:t>
      </w:r>
      <w:r>
        <w:rPr>
          <w:color w:val="000000"/>
          <w:spacing w:val="0"/>
          <w:w w:val="100"/>
          <w:position w:val="0"/>
        </w:rPr>
        <w:t>元， 并于</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日在深圳证券交易所创业板上市，发行后公司注册资本为</w:t>
      </w:r>
      <w:r>
        <w:rPr>
          <w:color w:val="000000"/>
          <w:spacing w:val="0"/>
          <w:w w:val="100"/>
          <w:position w:val="0"/>
        </w:rPr>
        <w:t>7,964</w:t>
      </w:r>
      <w:r>
        <w:rPr>
          <w:color w:val="000000"/>
          <w:spacing w:val="0"/>
          <w:w w:val="100"/>
          <w:position w:val="0"/>
        </w:rPr>
        <w:t>万元。</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月，经</w:t>
      </w:r>
      <w:r>
        <w:rPr>
          <w:color w:val="000000"/>
          <w:spacing w:val="0"/>
          <w:w w:val="100"/>
          <w:position w:val="0"/>
        </w:rPr>
        <w:t>2011</w:t>
      </w:r>
      <w:r>
        <w:rPr>
          <w:color w:val="000000"/>
          <w:spacing w:val="0"/>
          <w:w w:val="100"/>
          <w:position w:val="0"/>
        </w:rPr>
        <w:t>年年度股东大会决议通过，公司以</w:t>
      </w:r>
      <w:r>
        <w:rPr>
          <w:color w:val="000000"/>
          <w:spacing w:val="0"/>
          <w:w w:val="100"/>
          <w:position w:val="0"/>
        </w:rPr>
        <w:t>2011</w:t>
      </w:r>
      <w:r>
        <w:rPr>
          <w:color w:val="000000"/>
          <w:spacing w:val="0"/>
          <w:w w:val="100"/>
          <w:position w:val="0"/>
        </w:rPr>
        <w:t>年末总股本</w:t>
      </w:r>
      <w:r>
        <w:rPr>
          <w:color w:val="000000"/>
          <w:spacing w:val="0"/>
          <w:w w:val="100"/>
          <w:position w:val="0"/>
        </w:rPr>
        <w:t>7,964</w:t>
      </w:r>
      <w:r>
        <w:rPr>
          <w:color w:val="000000"/>
          <w:spacing w:val="0"/>
          <w:w w:val="100"/>
          <w:position w:val="0"/>
        </w:rPr>
        <w:t>万股为基数，以资本公积向全体股东每</w:t>
      </w:r>
      <w:r>
        <w:rPr>
          <w:color w:val="000000"/>
          <w:spacing w:val="0"/>
          <w:w w:val="100"/>
          <w:position w:val="0"/>
        </w:rPr>
        <w:t xml:space="preserve">10 </w:t>
      </w:r>
      <w:r>
        <w:rPr>
          <w:color w:val="000000"/>
          <w:spacing w:val="0"/>
          <w:w w:val="100"/>
          <w:position w:val="0"/>
        </w:rPr>
        <w:t>股转增</w:t>
      </w:r>
      <w:r>
        <w:rPr>
          <w:color w:val="000000"/>
          <w:spacing w:val="0"/>
          <w:w w:val="100"/>
          <w:position w:val="0"/>
        </w:rPr>
        <w:t>8</w:t>
      </w:r>
      <w:r>
        <w:rPr>
          <w:color w:val="000000"/>
          <w:spacing w:val="0"/>
          <w:w w:val="100"/>
          <w:position w:val="0"/>
        </w:rPr>
        <w:t>股，变更后注册资本为人民币</w:t>
      </w:r>
      <w:r>
        <w:rPr>
          <w:color w:val="000000"/>
          <w:spacing w:val="0"/>
          <w:w w:val="100"/>
          <w:position w:val="0"/>
        </w:rPr>
        <w:t>14,335.20</w:t>
      </w:r>
      <w:r>
        <w:rPr>
          <w:color w:val="000000"/>
          <w:spacing w:val="0"/>
          <w:w w:val="100"/>
          <w:position w:val="0"/>
        </w:rPr>
        <w:t>万元；</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月，经</w:t>
      </w:r>
      <w:r>
        <w:rPr>
          <w:color w:val="000000"/>
          <w:spacing w:val="0"/>
          <w:w w:val="100"/>
          <w:position w:val="0"/>
        </w:rPr>
        <w:t>2012</w:t>
      </w:r>
      <w:r>
        <w:rPr>
          <w:color w:val="000000"/>
          <w:spacing w:val="0"/>
          <w:w w:val="100"/>
          <w:position w:val="0"/>
        </w:rPr>
        <w:t>年年度股东大会决议通过，公司以</w:t>
      </w:r>
      <w:r>
        <w:rPr>
          <w:color w:val="000000"/>
          <w:spacing w:val="0"/>
          <w:w w:val="100"/>
          <w:position w:val="0"/>
        </w:rPr>
        <w:t>2012</w:t>
      </w:r>
      <w:r>
        <w:rPr>
          <w:color w:val="000000"/>
          <w:spacing w:val="0"/>
          <w:w w:val="100"/>
          <w:position w:val="0"/>
        </w:rPr>
        <w:t>年末总股 本</w:t>
      </w:r>
      <w:r>
        <w:rPr>
          <w:color w:val="000000"/>
          <w:spacing w:val="0"/>
          <w:w w:val="100"/>
          <w:position w:val="0"/>
        </w:rPr>
        <w:t>14,335.20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股，变更后注册资本为人民币</w:t>
      </w:r>
      <w:r>
        <w:rPr>
          <w:color w:val="000000"/>
          <w:spacing w:val="0"/>
          <w:w w:val="100"/>
          <w:position w:val="0"/>
        </w:rPr>
        <w:t>21,502.80</w:t>
      </w:r>
      <w:r>
        <w:rPr>
          <w:color w:val="000000"/>
          <w:spacing w:val="0"/>
          <w:w w:val="100"/>
          <w:position w:val="0"/>
        </w:rPr>
        <w:t>万元；</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 xml:space="preserve">月，经 </w:t>
      </w:r>
      <w:r>
        <w:rPr>
          <w:color w:val="000000"/>
          <w:spacing w:val="0"/>
          <w:w w:val="100"/>
          <w:position w:val="0"/>
        </w:rPr>
        <w:t>2013</w:t>
      </w:r>
      <w:r>
        <w:rPr>
          <w:color w:val="000000"/>
          <w:spacing w:val="0"/>
          <w:w w:val="100"/>
          <w:position w:val="0"/>
        </w:rPr>
        <w:t>年年度股东大会决议通过，公司以</w:t>
      </w:r>
      <w:r>
        <w:rPr>
          <w:color w:val="000000"/>
          <w:spacing w:val="0"/>
          <w:w w:val="100"/>
          <w:position w:val="0"/>
        </w:rPr>
        <w:t>2013</w:t>
      </w:r>
      <w:r>
        <w:rPr>
          <w:color w:val="000000"/>
          <w:spacing w:val="0"/>
          <w:w w:val="100"/>
          <w:position w:val="0"/>
        </w:rPr>
        <w:t>年末总股本</w:t>
      </w:r>
      <w:r>
        <w:rPr>
          <w:color w:val="000000"/>
          <w:spacing w:val="0"/>
          <w:w w:val="100"/>
          <w:position w:val="0"/>
        </w:rPr>
        <w:t>21,502.8</w:t>
      </w:r>
      <w:r>
        <w:rPr>
          <w:color w:val="000000"/>
          <w:spacing w:val="0"/>
          <w:w w:val="100"/>
          <w:position w:val="0"/>
        </w:rPr>
        <w:t>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股，变 更后注册资本为人民币</w:t>
      </w:r>
      <w:r>
        <w:rPr>
          <w:color w:val="000000"/>
          <w:spacing w:val="0"/>
          <w:w w:val="100"/>
          <w:position w:val="0"/>
        </w:rPr>
        <w:t>43,005.60</w:t>
      </w:r>
      <w:r>
        <w:rPr>
          <w:color w:val="000000"/>
          <w:spacing w:val="0"/>
          <w:w w:val="100"/>
          <w:position w:val="0"/>
        </w:rPr>
        <w:t>万元。</w:t>
      </w:r>
    </w:p>
    <w:p>
      <w:pPr>
        <w:pStyle w:val="Style26"/>
        <w:keepNext w:val="0"/>
        <w:keepLines w:val="0"/>
        <w:widowControl w:val="0"/>
        <w:shd w:val="clear" w:color="auto" w:fill="auto"/>
        <w:tabs>
          <w:tab w:pos="684" w:val="left"/>
        </w:tabs>
        <w:bidi w:val="0"/>
        <w:spacing w:before="0" w:after="0" w:line="317" w:lineRule="exact"/>
        <w:ind w:left="0" w:right="0" w:firstLine="360"/>
        <w:jc w:val="both"/>
      </w:pPr>
      <w:bookmarkStart w:id="650" w:name="bookmark650"/>
      <w:r>
        <w:rPr>
          <w:color w:val="000000"/>
          <w:spacing w:val="0"/>
          <w:w w:val="100"/>
          <w:position w:val="0"/>
        </w:rPr>
        <w:t>2</w:t>
      </w:r>
      <w:bookmarkEnd w:id="650"/>
      <w:r>
        <w:rPr>
          <w:color w:val="000000"/>
          <w:spacing w:val="0"/>
          <w:w w:val="100"/>
          <w:position w:val="0"/>
        </w:rPr>
        <w:t>、</w:t>
        <w:tab/>
        <w:t>本公司注册地：武汉市东湖新技术开发区华工大学科技园</w:t>
      </w:r>
    </w:p>
    <w:p>
      <w:pPr>
        <w:pStyle w:val="Style26"/>
        <w:keepNext w:val="0"/>
        <w:keepLines w:val="0"/>
        <w:widowControl w:val="0"/>
        <w:shd w:val="clear" w:color="auto" w:fill="auto"/>
        <w:tabs>
          <w:tab w:pos="684" w:val="left"/>
        </w:tabs>
        <w:bidi w:val="0"/>
        <w:spacing w:before="0" w:after="0" w:line="317" w:lineRule="exact"/>
        <w:ind w:left="0" w:right="0" w:firstLine="360"/>
        <w:jc w:val="both"/>
      </w:pPr>
      <w:bookmarkStart w:id="651" w:name="bookmark651"/>
      <w:r>
        <w:rPr>
          <w:color w:val="000000"/>
          <w:spacing w:val="0"/>
          <w:w w:val="100"/>
          <w:position w:val="0"/>
        </w:rPr>
        <w:t>3</w:t>
      </w:r>
      <w:bookmarkEnd w:id="651"/>
      <w:r>
        <w:rPr>
          <w:color w:val="000000"/>
          <w:spacing w:val="0"/>
          <w:w w:val="100"/>
          <w:position w:val="0"/>
        </w:rPr>
        <w:t>、</w:t>
        <w:tab/>
        <w:t>组织形式：股份有限公司（上市）</w:t>
      </w:r>
    </w:p>
    <w:p>
      <w:pPr>
        <w:pStyle w:val="Style26"/>
        <w:keepNext w:val="0"/>
        <w:keepLines w:val="0"/>
        <w:widowControl w:val="0"/>
        <w:shd w:val="clear" w:color="auto" w:fill="auto"/>
        <w:tabs>
          <w:tab w:pos="689" w:val="left"/>
        </w:tabs>
        <w:bidi w:val="0"/>
        <w:spacing w:before="0" w:after="0" w:line="317" w:lineRule="exact"/>
        <w:ind w:left="0" w:right="0" w:firstLine="360"/>
        <w:jc w:val="both"/>
      </w:pPr>
      <w:bookmarkStart w:id="652" w:name="bookmark652"/>
      <w:r>
        <w:rPr>
          <w:color w:val="000000"/>
          <w:spacing w:val="0"/>
          <w:w w:val="100"/>
          <w:position w:val="0"/>
        </w:rPr>
        <w:t>4</w:t>
      </w:r>
      <w:bookmarkEnd w:id="652"/>
      <w:r>
        <w:rPr>
          <w:color w:val="000000"/>
          <w:spacing w:val="0"/>
          <w:w w:val="100"/>
          <w:position w:val="0"/>
        </w:rPr>
        <w:t>、</w:t>
        <w:tab/>
        <w:t>总部地址：武汉市东湖新技术开发区华工大学科技园</w:t>
      </w:r>
    </w:p>
    <w:p>
      <w:pPr>
        <w:pStyle w:val="Style26"/>
        <w:keepNext w:val="0"/>
        <w:keepLines w:val="0"/>
        <w:widowControl w:val="0"/>
        <w:shd w:val="clear" w:color="auto" w:fill="auto"/>
        <w:tabs>
          <w:tab w:pos="689" w:val="left"/>
        </w:tabs>
        <w:bidi w:val="0"/>
        <w:spacing w:before="0" w:after="0" w:line="317" w:lineRule="exact"/>
        <w:ind w:left="0" w:right="0" w:firstLine="360"/>
        <w:jc w:val="both"/>
      </w:pPr>
      <w:bookmarkStart w:id="653" w:name="bookmark653"/>
      <w:r>
        <w:rPr>
          <w:color w:val="000000"/>
          <w:spacing w:val="0"/>
          <w:w w:val="100"/>
          <w:position w:val="0"/>
        </w:rPr>
        <w:t>5</w:t>
      </w:r>
      <w:bookmarkEnd w:id="653"/>
      <w:r>
        <w:rPr>
          <w:color w:val="000000"/>
          <w:spacing w:val="0"/>
          <w:w w:val="100"/>
          <w:position w:val="0"/>
        </w:rPr>
        <w:t>、</w:t>
        <w:tab/>
        <w:t>本公司的主营业务：</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本公司：主要从事与数据安全相关的智能卡、终端设备及系统解决方案等的设计、制造、销售和服务，商用密码产品的 开发、生产，以及相关商品和技术的进出口，产品应用于金融、通信、交通、税控、社保、医疗卫生及工商等政务领域，满 足不同客户群体的市场需求。</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子公司天喻教育：主要从事以国家教育信息化建设为背景的</w:t>
      </w:r>
      <w:r>
        <w:rPr>
          <w:color w:val="000000"/>
          <w:spacing w:val="0"/>
          <w:w w:val="100"/>
          <w:position w:val="0"/>
        </w:rPr>
        <w:t>K12</w:t>
      </w:r>
      <w:r>
        <w:rPr>
          <w:color w:val="000000"/>
          <w:spacing w:val="0"/>
          <w:w w:val="100"/>
          <w:position w:val="0"/>
        </w:rPr>
        <w:t>阶段教育云平台与应用的开发、销售、运营业务及</w:t>
      </w:r>
      <w:r>
        <w:rPr>
          <w:color w:val="000000"/>
          <w:spacing w:val="0"/>
          <w:w w:val="100"/>
          <w:position w:val="0"/>
        </w:rPr>
        <w:t xml:space="preserve">K12 </w:t>
      </w:r>
      <w:r>
        <w:rPr>
          <w:color w:val="000000"/>
          <w:spacing w:val="0"/>
          <w:w w:val="100"/>
          <w:position w:val="0"/>
        </w:rPr>
        <w:t>阶段学生在线学习服务平台运营服务。其子公司现代教育主要从事山东地区智慧教育产品的销售及运营服务；其子公司鱼渔 课堂主要从事</w:t>
      </w:r>
      <w:r>
        <w:rPr>
          <w:color w:val="000000"/>
          <w:spacing w:val="0"/>
          <w:w w:val="100"/>
          <w:position w:val="0"/>
        </w:rPr>
        <w:t>K12</w:t>
      </w:r>
      <w:r>
        <w:rPr>
          <w:color w:val="000000"/>
          <w:spacing w:val="0"/>
          <w:w w:val="100"/>
          <w:position w:val="0"/>
        </w:rPr>
        <w:t>学生个性化学习系统、资源的开发、销售和服务；其子公司河南喻周主要从事河南周口地区的智慧教育市 场开拓和智慧教育服务运营。</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子公司擎动网络：主要从事流通领域的供应链管理服务+金融服务平台的开发与运营服务。</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子公司百望信息及其子公司湖北百旺、黑龙江百望：以税控产品及服务的技术开发、产品销售、技术服务为主营业务， 致力于为增值税纳税企业提供税控盘、税务专用打印机、税控开票软件、涉税业务培训、税务服务支持、税务综合解决方案 等产品和服务，并向政府提供税控行业信息系统、技术服务、技术培训等服务。</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子公司聚联科技：面向银行、银行的个人和企业客户、商户提供基于移动互联网的产品和服务。构建</w:t>
      </w:r>
      <w:r>
        <w:rPr>
          <w:color w:val="000000"/>
          <w:spacing w:val="0"/>
          <w:w w:val="100"/>
          <w:position w:val="0"/>
        </w:rPr>
        <w:t>NFC</w:t>
      </w:r>
      <w:r>
        <w:rPr>
          <w:color w:val="000000"/>
          <w:spacing w:val="0"/>
          <w:w w:val="100"/>
          <w:position w:val="0"/>
        </w:rPr>
        <w:t>支付服务生态 体系，通过智能支付设备、支付管理平台、系统解决方案为用户提供支付应用服务。</w:t>
      </w:r>
    </w:p>
    <w:p>
      <w:pPr>
        <w:pStyle w:val="Style26"/>
        <w:keepNext w:val="0"/>
        <w:keepLines w:val="0"/>
        <w:widowControl w:val="0"/>
        <w:shd w:val="clear" w:color="auto" w:fill="auto"/>
        <w:tabs>
          <w:tab w:pos="689" w:val="left"/>
        </w:tabs>
        <w:bidi w:val="0"/>
        <w:spacing w:before="0" w:after="0" w:line="317" w:lineRule="exact"/>
        <w:ind w:left="0" w:right="0" w:firstLine="360"/>
        <w:jc w:val="both"/>
      </w:pPr>
      <w:bookmarkStart w:id="654" w:name="bookmark654"/>
      <w:r>
        <w:rPr>
          <w:color w:val="000000"/>
          <w:spacing w:val="0"/>
          <w:w w:val="100"/>
          <w:position w:val="0"/>
        </w:rPr>
        <w:t>6</w:t>
      </w:r>
      <w:bookmarkEnd w:id="654"/>
      <w:r>
        <w:rPr>
          <w:color w:val="000000"/>
          <w:spacing w:val="0"/>
          <w:w w:val="100"/>
          <w:position w:val="0"/>
        </w:rPr>
        <w:t>、</w:t>
        <w:tab/>
        <w:t>本公司母公司及实际控制人的名称：</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本公司的母公司为华工创投，实际控制人为华中科技大学。</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本报告于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日经公司第七届董事会第三十次会议批准报出。</w:t>
      </w:r>
    </w:p>
    <w:p>
      <w:pPr>
        <w:pStyle w:val="Style26"/>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日，本公司纳入合并范围的子公司共</w:t>
      </w:r>
      <w:r>
        <w:rPr>
          <w:color w:val="000000"/>
          <w:spacing w:val="0"/>
          <w:w w:val="100"/>
          <w:position w:val="0"/>
        </w:rPr>
        <w:t>15</w:t>
      </w:r>
      <w:r>
        <w:rPr>
          <w:color w:val="000000"/>
          <w:spacing w:val="0"/>
          <w:w w:val="100"/>
          <w:position w:val="0"/>
        </w:rPr>
        <w:t>户，详见本附注九“在其他主体中的权益”。本公司本年合并 范围比上年增加</w:t>
      </w:r>
      <w:r>
        <w:rPr>
          <w:color w:val="000000"/>
          <w:spacing w:val="0"/>
          <w:w w:val="100"/>
          <w:position w:val="0"/>
        </w:rPr>
        <w:t>4</w:t>
      </w:r>
      <w:r>
        <w:rPr>
          <w:color w:val="000000"/>
          <w:spacing w:val="0"/>
          <w:w w:val="100"/>
          <w:position w:val="0"/>
        </w:rPr>
        <w:t>户，减少</w:t>
      </w:r>
      <w:r>
        <w:rPr>
          <w:color w:val="000000"/>
          <w:spacing w:val="0"/>
          <w:w w:val="100"/>
          <w:position w:val="0"/>
        </w:rPr>
        <w:t>2</w:t>
      </w:r>
      <w:r>
        <w:rPr>
          <w:color w:val="000000"/>
          <w:spacing w:val="0"/>
          <w:w w:val="100"/>
          <w:position w:val="0"/>
        </w:rPr>
        <w:t>户，详见本附注八“合并范围的变更”。</w:t>
      </w:r>
    </w:p>
    <w:p>
      <w:pPr>
        <w:pStyle w:val="Style23"/>
        <w:keepNext/>
        <w:keepLines/>
        <w:widowControl w:val="0"/>
        <w:shd w:val="clear" w:color="auto" w:fill="auto"/>
        <w:tabs>
          <w:tab w:pos="595" w:val="left"/>
        </w:tabs>
        <w:bidi w:val="0"/>
        <w:spacing w:before="0" w:after="3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四</w:t>
      </w:r>
      <w:bookmarkEnd w:id="657"/>
      <w:r>
        <w:rPr>
          <w:color w:val="000000"/>
          <w:spacing w:val="0"/>
          <w:w w:val="100"/>
          <w:position w:val="0"/>
        </w:rPr>
        <w:t>、</w:t>
        <w:tab/>
        <w:t>财务报表的编制基础</w:t>
      </w:r>
      <w:bookmarkEnd w:id="655"/>
      <w:bookmarkEnd w:id="656"/>
      <w:bookmarkEnd w:id="658"/>
    </w:p>
    <w:p>
      <w:pPr>
        <w:pStyle w:val="Style30"/>
        <w:keepNext/>
        <w:keepLines/>
        <w:widowControl w:val="0"/>
        <w:shd w:val="clear" w:color="auto" w:fill="auto"/>
        <w:bidi w:val="0"/>
        <w:spacing w:before="0" w:after="280" w:line="240" w:lineRule="auto"/>
        <w:ind w:left="0" w:right="0" w:firstLine="0"/>
        <w:jc w:val="left"/>
      </w:pPr>
      <w:bookmarkStart w:id="659" w:name="bookmark659"/>
      <w:bookmarkStart w:id="660" w:name="bookmark660"/>
      <w:bookmarkStart w:id="661" w:name="bookmark661"/>
      <w:r>
        <w:rPr>
          <w:color w:val="000000"/>
          <w:spacing w:val="0"/>
          <w:w w:val="100"/>
          <w:position w:val="0"/>
        </w:rPr>
        <w:t>1</w:t>
      </w:r>
      <w:r>
        <w:rPr>
          <w:color w:val="000000"/>
          <w:spacing w:val="0"/>
          <w:w w:val="100"/>
          <w:position w:val="0"/>
        </w:rPr>
        <w:t>、编制基础</w:t>
      </w:r>
      <w:bookmarkEnd w:id="659"/>
      <w:bookmarkEnd w:id="660"/>
      <w:bookmarkEnd w:id="661"/>
    </w:p>
    <w:p>
      <w:pPr>
        <w:pStyle w:val="Style26"/>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本公司财务报表以持续经营假设为基础，根据实际发生的交易和事项，按照财政部发布的《企业会计准则一一基本准 则》（财政部令第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日及其后颁布和修订的</w:t>
      </w:r>
      <w:r>
        <w:rPr>
          <w:color w:val="000000"/>
          <w:spacing w:val="0"/>
          <w:w w:val="100"/>
          <w:position w:val="0"/>
        </w:rPr>
        <w:t>41</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rPr>
        <w:t>15</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年修订）》的披露规定编制。</w:t>
      </w:r>
    </w:p>
    <w:p>
      <w:pPr>
        <w:pStyle w:val="Style26"/>
        <w:keepNext w:val="0"/>
        <w:keepLines w:val="0"/>
        <w:widowControl w:val="0"/>
        <w:shd w:val="clear" w:color="auto" w:fill="auto"/>
        <w:bidi w:val="0"/>
        <w:spacing w:before="0" w:after="380" w:line="309" w:lineRule="exact"/>
        <w:ind w:left="0" w:right="0" w:firstLine="360"/>
        <w:jc w:val="both"/>
      </w:pPr>
      <w:r>
        <w:rPr>
          <w:color w:val="000000"/>
          <w:spacing w:val="0"/>
          <w:w w:val="100"/>
          <w:position w:val="0"/>
        </w:rPr>
        <w:t xml:space="preserve">根据企业会计准则的相关规定，本公司会计核算以权责发生制为基础。除某些金融工具外，本财务报表均以历史成本为 </w:t>
      </w:r>
      <w:r>
        <w:rPr>
          <w:color w:val="000000"/>
          <w:spacing w:val="0"/>
          <w:w w:val="100"/>
          <w:position w:val="0"/>
        </w:rPr>
        <w:t>计量基础。持有待售的非流动资产，按公允价值减去预计费用后的金额，以及符合持有待售条件时的原账面价值，取两者孰 低计价。资产如果发生减值，则按照相关规定计提相应的减值准备。</w:t>
      </w:r>
    </w:p>
    <w:p>
      <w:pPr>
        <w:pStyle w:val="Style30"/>
        <w:keepNext/>
        <w:keepLines/>
        <w:widowControl w:val="0"/>
        <w:shd w:val="clear" w:color="auto" w:fill="auto"/>
        <w:bidi w:val="0"/>
        <w:spacing w:before="0" w:after="280" w:line="240" w:lineRule="auto"/>
        <w:ind w:left="0" w:right="0" w:firstLine="0"/>
        <w:jc w:val="both"/>
      </w:pPr>
      <w:bookmarkStart w:id="662" w:name="bookmark662"/>
      <w:bookmarkStart w:id="663" w:name="bookmark663"/>
      <w:bookmarkStart w:id="664" w:name="bookmark664"/>
      <w:r>
        <w:rPr>
          <w:color w:val="000000"/>
          <w:spacing w:val="0"/>
          <w:w w:val="100"/>
          <w:position w:val="0"/>
        </w:rPr>
        <w:t>2</w:t>
      </w:r>
      <w:r>
        <w:rPr>
          <w:color w:val="000000"/>
          <w:spacing w:val="0"/>
          <w:w w:val="100"/>
          <w:position w:val="0"/>
        </w:rPr>
        <w:t>、持续经营</w:t>
      </w:r>
      <w:bookmarkEnd w:id="662"/>
      <w:bookmarkEnd w:id="663"/>
      <w:bookmarkEnd w:id="664"/>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本报告自报告期末起</w:t>
      </w:r>
      <w:r>
        <w:rPr>
          <w:color w:val="000000"/>
          <w:spacing w:val="0"/>
          <w:w w:val="100"/>
          <w:position w:val="0"/>
        </w:rPr>
        <w:t>12</w:t>
      </w:r>
      <w:r>
        <w:rPr>
          <w:color w:val="000000"/>
          <w:spacing w:val="0"/>
          <w:w w:val="100"/>
          <w:position w:val="0"/>
        </w:rPr>
        <w:t>个月内不存在对本公司持续经营能力产生重大疑虑的事项或情况。</w:t>
      </w:r>
    </w:p>
    <w:p>
      <w:pPr>
        <w:pStyle w:val="Style23"/>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五</w:t>
      </w:r>
      <w:bookmarkEnd w:id="667"/>
      <w:r>
        <w:rPr>
          <w:color w:val="000000"/>
          <w:spacing w:val="0"/>
          <w:w w:val="100"/>
          <w:position w:val="0"/>
        </w:rPr>
        <w:t>、重要会计政策及会计估计</w:t>
      </w:r>
      <w:bookmarkEnd w:id="665"/>
      <w:bookmarkEnd w:id="666"/>
      <w:bookmarkEnd w:id="668"/>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80" w:line="314" w:lineRule="exact"/>
        <w:ind w:left="0" w:right="0" w:firstLine="280"/>
        <w:jc w:val="both"/>
      </w:pPr>
      <w:r>
        <w:rPr>
          <w:color w:val="000000"/>
          <w:spacing w:val="0"/>
          <w:w w:val="100"/>
          <w:position w:val="0"/>
        </w:rPr>
        <w:t>本公司根据实际生产经营特点，依据相关企业会计准则的规定，对收入确认等交易和事项制定了若干项具体会计政策和 会计估计，详见本附注五、</w:t>
      </w:r>
      <w:r>
        <w:rPr>
          <w:color w:val="000000"/>
          <w:spacing w:val="0"/>
          <w:w w:val="100"/>
          <w:position w:val="0"/>
        </w:rPr>
        <w:t xml:space="preserve">31 </w:t>
      </w:r>
      <w:r>
        <w:rPr>
          <w:color w:val="000000"/>
          <w:spacing w:val="0"/>
          <w:w w:val="100"/>
          <w:position w:val="0"/>
        </w:rPr>
        <w:t>“收入”各项描述。关于管理层所作出的重大会计判断和估计的说明，请参阅附注五、</w:t>
      </w:r>
      <w:r>
        <w:rPr>
          <w:color w:val="000000"/>
          <w:spacing w:val="0"/>
          <w:w w:val="100"/>
          <w:position w:val="0"/>
        </w:rPr>
        <w:t xml:space="preserve">37 </w:t>
      </w:r>
      <w:r>
        <w:rPr>
          <w:color w:val="000000"/>
          <w:spacing w:val="0"/>
          <w:w w:val="100"/>
          <w:position w:val="0"/>
        </w:rPr>
        <w:t>“重 大会计判断和估计”。</w:t>
      </w:r>
    </w:p>
    <w:p>
      <w:pPr>
        <w:pStyle w:val="Style30"/>
        <w:keepNext/>
        <w:keepLines/>
        <w:widowControl w:val="0"/>
        <w:shd w:val="clear" w:color="auto" w:fill="auto"/>
        <w:tabs>
          <w:tab w:pos="358"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1</w:t>
      </w:r>
      <w:bookmarkEnd w:id="671"/>
      <w:r>
        <w:rPr>
          <w:color w:val="000000"/>
          <w:spacing w:val="0"/>
          <w:w w:val="100"/>
          <w:position w:val="0"/>
        </w:rPr>
        <w:t>、</w:t>
        <w:tab/>
        <w:t>遵循企业会计准则的声明</w:t>
      </w:r>
      <w:bookmarkEnd w:id="669"/>
      <w:bookmarkEnd w:id="670"/>
      <w:bookmarkEnd w:id="672"/>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本公司编制的财务报表符合企业会计准则的要求，真实、完整地反映了本公司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日的财务状况及</w:t>
      </w:r>
      <w:r>
        <w:rPr>
          <w:color w:val="000000"/>
          <w:spacing w:val="0"/>
          <w:w w:val="100"/>
          <w:position w:val="0"/>
        </w:rPr>
        <w:t>2020</w:t>
      </w:r>
      <w:r>
        <w:rPr>
          <w:color w:val="000000"/>
          <w:spacing w:val="0"/>
          <w:w w:val="100"/>
          <w:position w:val="0"/>
        </w:rPr>
        <w:t>年度的 经营成果和现金流量等有关信息。此外，本公司的财务报表在所有重大方面符合中国证券监督管理委员会</w:t>
      </w:r>
      <w:r>
        <w:rPr>
          <w:color w:val="000000"/>
          <w:spacing w:val="0"/>
          <w:w w:val="100"/>
          <w:position w:val="0"/>
        </w:rPr>
        <w:t>2014</w:t>
      </w:r>
      <w:r>
        <w:rPr>
          <w:color w:val="000000"/>
          <w:spacing w:val="0"/>
          <w:w w:val="100"/>
          <w:position w:val="0"/>
        </w:rPr>
        <w:t>年修订的《公 开发行证券的公司信息披露编报规则第</w:t>
      </w:r>
      <w:r>
        <w:rPr>
          <w:color w:val="000000"/>
          <w:spacing w:val="0"/>
          <w:w w:val="100"/>
          <w:position w:val="0"/>
        </w:rPr>
        <w:t>15</w:t>
      </w:r>
      <w:r>
        <w:rPr>
          <w:color w:val="000000"/>
          <w:spacing w:val="0"/>
          <w:w w:val="100"/>
          <w:position w:val="0"/>
        </w:rPr>
        <w:t>号一一财务报告的一般规定》有关财务报表及其附注的披露要求。</w:t>
      </w:r>
    </w:p>
    <w:p>
      <w:pPr>
        <w:pStyle w:val="Style30"/>
        <w:keepNext/>
        <w:keepLines/>
        <w:widowControl w:val="0"/>
        <w:shd w:val="clear" w:color="auto" w:fill="auto"/>
        <w:tabs>
          <w:tab w:pos="373" w:val="left"/>
        </w:tabs>
        <w:bidi w:val="0"/>
        <w:spacing w:before="0" w:after="2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2</w:t>
      </w:r>
      <w:bookmarkEnd w:id="675"/>
      <w:r>
        <w:rPr>
          <w:color w:val="000000"/>
          <w:spacing w:val="0"/>
          <w:w w:val="100"/>
          <w:position w:val="0"/>
        </w:rPr>
        <w:t>、</w:t>
        <w:tab/>
        <w:t>会计期间</w:t>
      </w:r>
      <w:bookmarkEnd w:id="673"/>
      <w:bookmarkEnd w:id="674"/>
      <w:bookmarkEnd w:id="676"/>
    </w:p>
    <w:p>
      <w:pPr>
        <w:pStyle w:val="Style26"/>
        <w:keepNext w:val="0"/>
        <w:keepLines w:val="0"/>
        <w:widowControl w:val="0"/>
        <w:shd w:val="clear" w:color="auto" w:fill="auto"/>
        <w:bidi w:val="0"/>
        <w:spacing w:before="0" w:after="280" w:line="298"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3" w:val="left"/>
        </w:tabs>
        <w:bidi w:val="0"/>
        <w:spacing w:before="0" w:after="280" w:line="314" w:lineRule="exact"/>
        <w:ind w:left="0" w:right="0" w:firstLine="0"/>
        <w:jc w:val="both"/>
        <w:rPr>
          <w:sz w:val="17"/>
          <w:szCs w:val="17"/>
        </w:rPr>
      </w:pPr>
      <w:bookmarkStart w:id="677" w:name="bookmark677"/>
      <w:bookmarkStart w:id="678" w:name="bookmark678"/>
      <w:bookmarkStart w:id="679" w:name="bookmark679"/>
      <w:bookmarkStart w:id="680" w:name="bookmark680"/>
      <w:r>
        <w:rPr>
          <w:color w:val="000000"/>
          <w:spacing w:val="0"/>
          <w:w w:val="100"/>
          <w:position w:val="0"/>
          <w:sz w:val="17"/>
          <w:szCs w:val="17"/>
        </w:rPr>
        <w:t>3</w:t>
      </w:r>
      <w:bookmarkEnd w:id="679"/>
      <w:r>
        <w:rPr>
          <w:color w:val="000000"/>
          <w:spacing w:val="0"/>
          <w:w w:val="100"/>
          <w:position w:val="0"/>
          <w:sz w:val="17"/>
          <w:szCs w:val="17"/>
        </w:rPr>
        <w:t>、</w:t>
        <w:tab/>
        <w:t>营业周期</w:t>
      </w:r>
      <w:bookmarkEnd w:id="677"/>
      <w:bookmarkEnd w:id="678"/>
      <w:bookmarkEnd w:id="680"/>
    </w:p>
    <w:p>
      <w:pPr>
        <w:pStyle w:val="Style26"/>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个月作为一个营业周 期，并以其作为资产和负债的流动性划分标准。</w:t>
      </w:r>
    </w:p>
    <w:p>
      <w:pPr>
        <w:pStyle w:val="Style30"/>
        <w:keepNext/>
        <w:keepLines/>
        <w:widowControl w:val="0"/>
        <w:shd w:val="clear" w:color="auto" w:fill="auto"/>
        <w:tabs>
          <w:tab w:pos="378" w:val="left"/>
        </w:tabs>
        <w:bidi w:val="0"/>
        <w:spacing w:before="0" w:after="2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4</w:t>
      </w:r>
      <w:bookmarkEnd w:id="683"/>
      <w:r>
        <w:rPr>
          <w:color w:val="000000"/>
          <w:spacing w:val="0"/>
          <w:w w:val="100"/>
          <w:position w:val="0"/>
        </w:rPr>
        <w:t>、</w:t>
        <w:tab/>
        <w:t>记账本位币</w:t>
      </w:r>
      <w:bookmarkEnd w:id="681"/>
      <w:bookmarkEnd w:id="682"/>
      <w:bookmarkEnd w:id="684"/>
    </w:p>
    <w:p>
      <w:pPr>
        <w:pStyle w:val="Style2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人民币为本公司及境内子公司经营所处的主要经济环境中的货币，本公司及境内子公司以人民币为记账本位币。本公 司编制本财务报表时所采用的货币为人民币。</w:t>
      </w:r>
    </w:p>
    <w:p>
      <w:pPr>
        <w:pStyle w:val="Style30"/>
        <w:keepNext/>
        <w:keepLines/>
        <w:widowControl w:val="0"/>
        <w:shd w:val="clear" w:color="auto" w:fill="auto"/>
        <w:tabs>
          <w:tab w:pos="378" w:val="left"/>
        </w:tabs>
        <w:bidi w:val="0"/>
        <w:spacing w:before="0" w:after="28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5</w:t>
      </w:r>
      <w:bookmarkEnd w:id="687"/>
      <w:r>
        <w:rPr>
          <w:color w:val="000000"/>
          <w:spacing w:val="0"/>
          <w:w w:val="100"/>
          <w:position w:val="0"/>
        </w:rPr>
        <w:t>、</w:t>
        <w:tab/>
        <w:t>同一控制下和非同一控制下企业合并的会计处理方法</w:t>
      </w:r>
      <w:bookmarkEnd w:id="685"/>
      <w:bookmarkEnd w:id="686"/>
      <w:bookmarkEnd w:id="688"/>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6"/>
        <w:keepNext w:val="0"/>
        <w:keepLines w:val="0"/>
        <w:widowControl w:val="0"/>
        <w:shd w:val="clear" w:color="auto" w:fill="auto"/>
        <w:bidi w:val="0"/>
        <w:spacing w:before="0" w:after="0" w:line="314" w:lineRule="exact"/>
        <w:ind w:left="0" w:right="0" w:firstLine="380"/>
        <w:jc w:val="both"/>
      </w:pPr>
      <w:bookmarkStart w:id="689" w:name="bookmark689"/>
      <w:r>
        <w:rPr>
          <w:color w:val="000000"/>
          <w:spacing w:val="0"/>
          <w:w w:val="100"/>
          <w:position w:val="0"/>
        </w:rPr>
        <w:t>（</w:t>
      </w:r>
      <w:bookmarkEnd w:id="689"/>
      <w:r>
        <w:rPr>
          <w:color w:val="000000"/>
          <w:spacing w:val="0"/>
          <w:w w:val="100"/>
          <w:position w:val="0"/>
        </w:rPr>
        <w:t>1）</w:t>
      </w:r>
      <w:r>
        <w:rPr>
          <w:color w:val="000000"/>
          <w:spacing w:val="0"/>
          <w:w w:val="100"/>
          <w:position w:val="0"/>
        </w:rPr>
        <w:t>同一控制下企业合并</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合并方为进行企业合并发生的各项直接费用，于发生时计入当期损益。</w:t>
      </w:r>
    </w:p>
    <w:p>
      <w:pPr>
        <w:pStyle w:val="Style26"/>
        <w:keepNext w:val="0"/>
        <w:keepLines w:val="0"/>
        <w:widowControl w:val="0"/>
        <w:numPr>
          <w:ilvl w:val="0"/>
          <w:numId w:val="15"/>
        </w:numPr>
        <w:shd w:val="clear" w:color="auto" w:fill="auto"/>
        <w:bidi w:val="0"/>
        <w:spacing w:before="0" w:after="0" w:line="313" w:lineRule="exact"/>
        <w:ind w:left="0" w:right="0" w:firstLine="380"/>
        <w:jc w:val="both"/>
      </w:pPr>
      <w:bookmarkStart w:id="690" w:name="bookmark690"/>
      <w:bookmarkEnd w:id="690"/>
      <w:r>
        <w:rPr>
          <w:color w:val="000000"/>
          <w:spacing w:val="0"/>
          <w:w w:val="100"/>
          <w:position w:val="0"/>
        </w:rPr>
        <w:t>非同一控制下企业合并</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号的通知》(财会</w:t>
      </w:r>
      <w:r>
        <w:rPr>
          <w:color w:val="000000"/>
          <w:spacing w:val="0"/>
          <w:w w:val="100"/>
          <w:position w:val="0"/>
        </w:rPr>
        <w:t>(2012) 19</w:t>
      </w:r>
      <w:r>
        <w:rPr>
          <w:color w:val="000000"/>
          <w:spacing w:val="0"/>
          <w:w w:val="100"/>
          <w:position w:val="0"/>
        </w:rPr>
        <w:t>号)和《企业会计准则第</w:t>
      </w:r>
      <w:r>
        <w:rPr>
          <w:color w:val="000000"/>
          <w:spacing w:val="0"/>
          <w:w w:val="100"/>
          <w:position w:val="0"/>
        </w:rPr>
        <w:t>33</w:t>
      </w:r>
      <w:r>
        <w:rPr>
          <w:color w:val="000000"/>
          <w:spacing w:val="0"/>
          <w:w w:val="100"/>
          <w:position w:val="0"/>
        </w:rPr>
        <w:t>号一一合并财务报表》第五十一条关于“一揽子交易”的判断标准(参见本附注五、</w:t>
      </w:r>
      <w:r>
        <w:rPr>
          <w:color w:val="000000"/>
          <w:spacing w:val="0"/>
          <w:w w:val="100"/>
          <w:position w:val="0"/>
        </w:rPr>
        <w:t>6“</w:t>
      </w:r>
      <w:r>
        <w:rPr>
          <w:color w:val="000000"/>
          <w:spacing w:val="0"/>
          <w:w w:val="100"/>
          <w:position w:val="0"/>
        </w:rPr>
        <w:t>合并 财务报表的编制方法”</w:t>
      </w:r>
      <w:r>
        <w:rPr>
          <w:color w:val="000000"/>
          <w:spacing w:val="0"/>
          <w:w w:val="100"/>
          <w:position w:val="0"/>
        </w:rPr>
        <w:t>(2))</w:t>
      </w:r>
      <w:r>
        <w:rPr>
          <w:color w:val="000000"/>
          <w:spacing w:val="0"/>
          <w:w w:val="100"/>
          <w:position w:val="0"/>
        </w:rPr>
        <w:t>，判断该多次交易是否属于“一揽子交易”。属于“一揽子交易”的，参考本部分前面各段 描述及本附注五、</w:t>
      </w:r>
      <w:r>
        <w:rPr>
          <w:color w:val="000000"/>
          <w:spacing w:val="0"/>
          <w:w w:val="100"/>
          <w:position w:val="0"/>
        </w:rPr>
        <w:t xml:space="preserve">20 </w:t>
      </w:r>
      <w:r>
        <w:rPr>
          <w:color w:val="000000"/>
          <w:spacing w:val="0"/>
          <w:w w:val="100"/>
          <w:position w:val="0"/>
        </w:rPr>
        <w:t>“长期股权投资”进行会计处理；不属于“一揽子交易”的，区分个别财务报表和合并财务报表进行相 关会计处理：</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w:t>
      </w:r>
    </w:p>
    <w:p>
      <w:pPr>
        <w:pStyle w:val="Style26"/>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w:t>
      </w:r>
    </w:p>
    <w:p>
      <w:pPr>
        <w:pStyle w:val="Style30"/>
        <w:keepNext/>
        <w:keepLines/>
        <w:widowControl w:val="0"/>
        <w:shd w:val="clear" w:color="auto" w:fill="auto"/>
        <w:bidi w:val="0"/>
        <w:spacing w:before="0" w:after="2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6</w:t>
      </w:r>
      <w:bookmarkEnd w:id="693"/>
      <w:r>
        <w:rPr>
          <w:color w:val="000000"/>
          <w:spacing w:val="0"/>
          <w:w w:val="100"/>
          <w:position w:val="0"/>
        </w:rPr>
        <w:t>、合并财务报表的编制方法</w:t>
      </w:r>
      <w:bookmarkEnd w:id="691"/>
      <w:bookmarkEnd w:id="692"/>
      <w:bookmarkEnd w:id="694"/>
    </w:p>
    <w:p>
      <w:pPr>
        <w:pStyle w:val="Style26"/>
        <w:keepNext w:val="0"/>
        <w:keepLines w:val="0"/>
        <w:widowControl w:val="0"/>
        <w:numPr>
          <w:ilvl w:val="0"/>
          <w:numId w:val="17"/>
        </w:numPr>
        <w:shd w:val="clear" w:color="auto" w:fill="auto"/>
        <w:tabs>
          <w:tab w:pos="680" w:val="left"/>
        </w:tabs>
        <w:bidi w:val="0"/>
        <w:spacing w:before="0" w:after="0" w:line="312" w:lineRule="exact"/>
        <w:ind w:left="0" w:right="0" w:firstLine="300"/>
        <w:jc w:val="both"/>
      </w:pPr>
      <w:bookmarkStart w:id="695" w:name="bookmark695"/>
      <w:bookmarkEnd w:id="695"/>
      <w:r>
        <w:rPr>
          <w:color w:val="000000"/>
          <w:spacing w:val="0"/>
          <w:w w:val="100"/>
          <w:position w:val="0"/>
        </w:rPr>
        <w:t>合并财务报表范围的确定原则</w:t>
      </w:r>
    </w:p>
    <w:p>
      <w:pPr>
        <w:pStyle w:val="Style2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一旦相关事实和情况的变化导致上述控制定义涉及的相关要素发生了变化，本公司将进行重新评估。</w:t>
      </w:r>
    </w:p>
    <w:p>
      <w:pPr>
        <w:pStyle w:val="Style26"/>
        <w:keepNext w:val="0"/>
        <w:keepLines w:val="0"/>
        <w:widowControl w:val="0"/>
        <w:numPr>
          <w:ilvl w:val="0"/>
          <w:numId w:val="17"/>
        </w:numPr>
        <w:shd w:val="clear" w:color="auto" w:fill="auto"/>
        <w:tabs>
          <w:tab w:pos="680" w:val="left"/>
        </w:tabs>
        <w:bidi w:val="0"/>
        <w:spacing w:before="0" w:after="0" w:line="312" w:lineRule="exact"/>
        <w:ind w:left="0" w:right="0" w:firstLine="300"/>
        <w:jc w:val="both"/>
      </w:pPr>
      <w:bookmarkStart w:id="696" w:name="bookmark696"/>
      <w:bookmarkEnd w:id="696"/>
      <w:r>
        <w:rPr>
          <w:color w:val="000000"/>
          <w:spacing w:val="0"/>
          <w:w w:val="100"/>
          <w:position w:val="0"/>
        </w:rPr>
        <w:t>合并财务报表编制的方法</w:t>
      </w:r>
    </w:p>
    <w:p>
      <w:pPr>
        <w:pStyle w:val="Style2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集团内所有重大往来余额、交易及未实现利润在合并财务报表编制时予以抵销。</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中股东权益及净利润项下单独列示。子公司当期综合收益中属于少数股东权益的份额，在合并利润表中综合收益总额项目下 以“归属于少数股东的综合收益总额”项目列示。少数股东分担的子公司的亏损超过了少数股东在该子公司期初股东权益中 所享有的份额，仍冲减少数股东权益。</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制权时采用与该子公司直接处置相关资产或负债相同的基础进行会计处理。其后，对该部分剩余股权按照《企业会计准则第 </w:t>
      </w:r>
      <w:r>
        <w:rPr>
          <w:color w:val="000000"/>
          <w:spacing w:val="0"/>
          <w:w w:val="100"/>
          <w:position w:val="0"/>
        </w:rPr>
        <w:t>2</w:t>
      </w:r>
      <w:r>
        <w:rPr>
          <w:color w:val="000000"/>
          <w:spacing w:val="0"/>
          <w:w w:val="100"/>
          <w:position w:val="0"/>
        </w:rPr>
        <w:t>号一一长期股权投资》或《企业会计准则第</w:t>
      </w:r>
      <w:r>
        <w:rPr>
          <w:color w:val="000000"/>
          <w:spacing w:val="0"/>
          <w:w w:val="100"/>
          <w:position w:val="0"/>
        </w:rPr>
        <w:t>22</w:t>
      </w:r>
      <w:r>
        <w:rPr>
          <w:color w:val="000000"/>
          <w:spacing w:val="0"/>
          <w:w w:val="100"/>
          <w:position w:val="0"/>
        </w:rPr>
        <w:t>号一一金融工具确认和计量》等相关规定进行后续计量，详见本附注五、</w:t>
      </w:r>
      <w:r>
        <w:rPr>
          <w:color w:val="000000"/>
          <w:spacing w:val="0"/>
          <w:w w:val="100"/>
          <w:position w:val="0"/>
        </w:rPr>
        <w:t xml:space="preserve">20 </w:t>
      </w:r>
      <w:r>
        <w:rPr>
          <w:color w:val="000000"/>
          <w:spacing w:val="0"/>
          <w:w w:val="100"/>
          <w:position w:val="0"/>
        </w:rPr>
        <w:t>“长 期股权投资”或本附注五、</w:t>
      </w:r>
      <w:r>
        <w:rPr>
          <w:color w:val="000000"/>
          <w:spacing w:val="0"/>
          <w:w w:val="100"/>
          <w:position w:val="0"/>
        </w:rPr>
        <w:t>10“</w:t>
      </w:r>
      <w:r>
        <w:rPr>
          <w:color w:val="000000"/>
          <w:spacing w:val="0"/>
          <w:w w:val="100"/>
          <w:position w:val="0"/>
        </w:rPr>
        <w:t>金融工具”。</w:t>
      </w:r>
    </w:p>
    <w:p>
      <w:pPr>
        <w:pStyle w:val="Style26"/>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rPr>
        <w:t>20“</w:t>
      </w:r>
      <w:r>
        <w:rPr>
          <w:color w:val="000000"/>
          <w:spacing w:val="0"/>
          <w:w w:val="100"/>
          <w:position w:val="0"/>
        </w:rPr>
        <w:t>长期股权投资”</w:t>
      </w:r>
      <w:r>
        <w:rPr>
          <w:color w:val="000000"/>
          <w:spacing w:val="0"/>
          <w:w w:val="100"/>
          <w:position w:val="0"/>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30"/>
        <w:keepNext/>
        <w:keepLines/>
        <w:widowControl w:val="0"/>
        <w:shd w:val="clear" w:color="auto" w:fill="auto"/>
        <w:tabs>
          <w:tab w:pos="312"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7</w:t>
      </w:r>
      <w:bookmarkEnd w:id="699"/>
      <w:r>
        <w:rPr>
          <w:color w:val="000000"/>
          <w:spacing w:val="0"/>
          <w:w w:val="100"/>
          <w:position w:val="0"/>
        </w:rPr>
        <w:t>、</w:t>
        <w:tab/>
        <w:t>合营安排分类及共同经营会计处理方法</w:t>
      </w:r>
      <w:bookmarkEnd w:id="697"/>
      <w:bookmarkEnd w:id="698"/>
      <w:bookmarkEnd w:id="700"/>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本公司对合营企业的投资采用权益法核算，按照本附注五、</w:t>
      </w:r>
      <w:r>
        <w:rPr>
          <w:color w:val="000000"/>
          <w:spacing w:val="0"/>
          <w:w w:val="100"/>
          <w:position w:val="0"/>
        </w:rPr>
        <w:t xml:space="preserve">20 </w:t>
      </w:r>
      <w:r>
        <w:rPr>
          <w:color w:val="000000"/>
          <w:spacing w:val="0"/>
          <w:w w:val="100"/>
          <w:position w:val="0"/>
        </w:rPr>
        <w:t>“长期股权投资”</w:t>
      </w:r>
      <w:r>
        <w:rPr>
          <w:color w:val="000000"/>
          <w:spacing w:val="0"/>
          <w:w w:val="100"/>
          <w:position w:val="0"/>
        </w:rPr>
        <w:t>（2）</w:t>
      </w:r>
      <w:r>
        <w:rPr>
          <w:color w:val="000000"/>
          <w:spacing w:val="0"/>
          <w:w w:val="100"/>
          <w:position w:val="0"/>
        </w:rPr>
        <w:t>②“权益法核算的长期股权投资” 中所述的会计政策处理。</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6"/>
        <w:keepNext w:val="0"/>
        <w:keepLines w:val="0"/>
        <w:widowControl w:val="0"/>
        <w:shd w:val="clear" w:color="auto" w:fill="auto"/>
        <w:bidi w:val="0"/>
        <w:spacing w:before="0" w:after="380" w:line="323" w:lineRule="exact"/>
        <w:ind w:left="0" w:right="0" w:firstLine="44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color w:val="000000"/>
          <w:spacing w:val="0"/>
          <w:w w:val="100"/>
          <w:position w:val="0"/>
        </w:rPr>
        <w:t>8</w:t>
      </w:r>
      <w:r>
        <w:rPr>
          <w:color w:val="000000"/>
          <w:spacing w:val="0"/>
          <w:w w:val="100"/>
          <w:position w:val="0"/>
        </w:rPr>
        <w:t>号一一资产减值》等规定的资产减值损失的，对于由本公司向共同经营投出或出售资产的情况，本公司全额确 认该损失；对于本公司自共同经营购买资产的情况，本公司按承担的份额确认该损失。</w:t>
      </w:r>
    </w:p>
    <w:p>
      <w:pPr>
        <w:pStyle w:val="Style30"/>
        <w:keepNext/>
        <w:keepLines/>
        <w:widowControl w:val="0"/>
        <w:shd w:val="clear" w:color="auto" w:fill="auto"/>
        <w:tabs>
          <w:tab w:pos="313" w:val="left"/>
        </w:tabs>
        <w:bidi w:val="0"/>
        <w:spacing w:before="0" w:after="280" w:line="240" w:lineRule="auto"/>
        <w:ind w:left="0" w:right="0" w:firstLine="0"/>
        <w:jc w:val="both"/>
      </w:pPr>
      <w:bookmarkStart w:id="701" w:name="bookmark701"/>
      <w:bookmarkStart w:id="702" w:name="bookmark702"/>
      <w:bookmarkStart w:id="703" w:name="bookmark703"/>
      <w:bookmarkStart w:id="704" w:name="bookmark704"/>
      <w:r>
        <w:rPr>
          <w:color w:val="000000"/>
          <w:spacing w:val="0"/>
          <w:w w:val="100"/>
          <w:position w:val="0"/>
        </w:rPr>
        <w:t>8</w:t>
      </w:r>
      <w:bookmarkEnd w:id="703"/>
      <w:r>
        <w:rPr>
          <w:color w:val="000000"/>
          <w:spacing w:val="0"/>
          <w:w w:val="100"/>
          <w:position w:val="0"/>
        </w:rPr>
        <w:t>、</w:t>
        <w:tab/>
        <w:t>现金及现金等价物的确定标准</w:t>
      </w:r>
      <w:bookmarkEnd w:id="701"/>
      <w:bookmarkEnd w:id="702"/>
      <w:bookmarkEnd w:id="704"/>
    </w:p>
    <w:p>
      <w:pPr>
        <w:pStyle w:val="Style2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30"/>
        <w:keepNext/>
        <w:keepLines/>
        <w:widowControl w:val="0"/>
        <w:shd w:val="clear" w:color="auto" w:fill="auto"/>
        <w:tabs>
          <w:tab w:pos="346" w:val="left"/>
        </w:tabs>
        <w:bidi w:val="0"/>
        <w:spacing w:before="0" w:after="2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9</w:t>
      </w:r>
      <w:bookmarkEnd w:id="707"/>
      <w:r>
        <w:rPr>
          <w:color w:val="000000"/>
          <w:spacing w:val="0"/>
          <w:w w:val="100"/>
          <w:position w:val="0"/>
        </w:rPr>
        <w:t>、</w:t>
        <w:tab/>
        <w:t>外币业务和外币报表折算</w:t>
      </w:r>
      <w:bookmarkEnd w:id="705"/>
      <w:bookmarkEnd w:id="706"/>
      <w:bookmarkEnd w:id="708"/>
    </w:p>
    <w:p>
      <w:pPr>
        <w:pStyle w:val="Style26"/>
        <w:keepNext w:val="0"/>
        <w:keepLines w:val="0"/>
        <w:widowControl w:val="0"/>
        <w:shd w:val="clear" w:color="auto" w:fill="auto"/>
        <w:tabs>
          <w:tab w:pos="614" w:val="left"/>
        </w:tabs>
        <w:bidi w:val="0"/>
        <w:spacing w:before="0" w:after="0" w:line="312" w:lineRule="exact"/>
        <w:ind w:left="0" w:right="0" w:firstLine="200"/>
        <w:jc w:val="both"/>
      </w:pPr>
      <w:bookmarkStart w:id="709" w:name="bookmark709"/>
      <w:r>
        <w:rPr>
          <w:color w:val="000000"/>
          <w:spacing w:val="0"/>
          <w:w w:val="100"/>
          <w:position w:val="0"/>
        </w:rPr>
        <w:t>（</w:t>
      </w:r>
      <w:bookmarkEnd w:id="709"/>
      <w:r>
        <w:rPr>
          <w:color w:val="000000"/>
          <w:spacing w:val="0"/>
          <w:w w:val="100"/>
          <w:position w:val="0"/>
        </w:rPr>
        <w:t>1）</w:t>
        <w:tab/>
      </w:r>
      <w:r>
        <w:rPr>
          <w:color w:val="000000"/>
          <w:spacing w:val="0"/>
          <w:w w:val="100"/>
          <w:position w:val="0"/>
        </w:rPr>
        <w:t>外币交易的折算方法</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本公司发生的外币交易在初始确认时，按交易日的即期汇率折算或即期汇率的近似汇率为记账本位币金额，但本公司发 生的外币兑换业务或涉及外币兑换的交易事项，按照实际采用的汇率折算为记账本位币金额。</w:t>
      </w:r>
    </w:p>
    <w:p>
      <w:pPr>
        <w:pStyle w:val="Style26"/>
        <w:keepNext w:val="0"/>
        <w:keepLines w:val="0"/>
        <w:widowControl w:val="0"/>
        <w:shd w:val="clear" w:color="auto" w:fill="auto"/>
        <w:tabs>
          <w:tab w:pos="614" w:val="left"/>
        </w:tabs>
        <w:bidi w:val="0"/>
        <w:spacing w:before="0" w:after="0" w:line="312" w:lineRule="exact"/>
        <w:ind w:left="0" w:right="0" w:firstLine="200"/>
        <w:jc w:val="both"/>
      </w:pPr>
      <w:bookmarkStart w:id="710" w:name="bookmark710"/>
      <w:r>
        <w:rPr>
          <w:color w:val="000000"/>
          <w:spacing w:val="0"/>
          <w:w w:val="100"/>
          <w:position w:val="0"/>
        </w:rPr>
        <w:t>（</w:t>
      </w:r>
      <w:bookmarkEnd w:id="710"/>
      <w:r>
        <w:rPr>
          <w:color w:val="000000"/>
          <w:spacing w:val="0"/>
          <w:w w:val="100"/>
          <w:position w:val="0"/>
        </w:rPr>
        <w:t>2）</w:t>
        <w:tab/>
      </w:r>
      <w:r>
        <w:rPr>
          <w:color w:val="000000"/>
          <w:spacing w:val="0"/>
          <w:w w:val="100"/>
          <w:position w:val="0"/>
        </w:rPr>
        <w:t>对于外币货币性项目和外币非货币性项目的折算方法</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以历史成本计量的外币非货币性项目，仍采用交易发生日的即期汇率或即期汇率的近似汇率折算的记账本位币金额计 量。以公允价值计量的外币非货币性项目，采用公允价值确定日的即期汇率或即期汇率的近似汇率折算，折算后的记账本位 币金额与原记账本位币金额的差额，作为公允价值变动（含汇率变动）处理，计入当期损益或确认为其他综合收益。</w:t>
      </w:r>
    </w:p>
    <w:p>
      <w:pPr>
        <w:pStyle w:val="Style26"/>
        <w:keepNext w:val="0"/>
        <w:keepLines w:val="0"/>
        <w:widowControl w:val="0"/>
        <w:shd w:val="clear" w:color="auto" w:fill="auto"/>
        <w:tabs>
          <w:tab w:pos="614" w:val="left"/>
        </w:tabs>
        <w:bidi w:val="0"/>
        <w:spacing w:before="0" w:after="0" w:line="312" w:lineRule="exact"/>
        <w:ind w:left="0" w:right="0" w:firstLine="200"/>
        <w:jc w:val="both"/>
      </w:pPr>
      <w:bookmarkStart w:id="711" w:name="bookmark711"/>
      <w:r>
        <w:rPr>
          <w:color w:val="000000"/>
          <w:spacing w:val="0"/>
          <w:w w:val="100"/>
          <w:position w:val="0"/>
        </w:rPr>
        <w:t>（</w:t>
      </w:r>
      <w:bookmarkEnd w:id="711"/>
      <w:r>
        <w:rPr>
          <w:color w:val="000000"/>
          <w:spacing w:val="0"/>
          <w:w w:val="100"/>
          <w:position w:val="0"/>
        </w:rPr>
        <w:t>3）</w:t>
        <w:tab/>
      </w:r>
      <w:r>
        <w:rPr>
          <w:color w:val="000000"/>
          <w:spacing w:val="0"/>
          <w:w w:val="100"/>
          <w:position w:val="0"/>
        </w:rPr>
        <w:t>外币财务报表的折算方法</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率折算；股东权益类项目除“未分配利润”项目外，其他项目采用发生时的即期汇率或即期汇率的近似汇率折算。利润表中 的收入和费用项目，采用交易发生日的即期汇率或即期汇率的近似汇率折算。年初未分配利润为上一年折算后的年末未分配 利润；期末未分配利润按折算后的利润分配各项目计算列示；折算后资产类项目与负债类项目和股东权益类项目合计数的差 额，作为外币报表折算差额，确认为其他综合收益。处置境外经营并丧失控制权时，将资产负债表中股东权益项目下列示的、 与该境外经营相关的外币报表折算差额，全部或按处置该境外经营的比例转入处置当期损益。</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外币现金流量，采用现金流量发生日的即期汇率或即期汇率的近似汇率折算。汇率变动对现金的影响额作为调节项目， 在现金流量表中单独列报。</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年初数和上年实际数按照上年财务报表折算后的数额列示。</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6"/>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30"/>
        <w:keepNext/>
        <w:keepLines/>
        <w:widowControl w:val="0"/>
        <w:shd w:val="clear" w:color="auto" w:fill="auto"/>
        <w:tabs>
          <w:tab w:pos="560" w:val="left"/>
        </w:tabs>
        <w:bidi w:val="0"/>
        <w:spacing w:before="0" w:after="28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1</w:t>
      </w:r>
      <w:bookmarkEnd w:id="714"/>
      <w:r>
        <w:rPr>
          <w:color w:val="000000"/>
          <w:spacing w:val="0"/>
          <w:w w:val="100"/>
          <w:position w:val="0"/>
        </w:rPr>
        <w:t>0</w:t>
      </w:r>
      <w:r>
        <w:rPr>
          <w:color w:val="000000"/>
          <w:spacing w:val="0"/>
          <w:w w:val="100"/>
          <w:position w:val="0"/>
        </w:rPr>
        <w:t>、</w:t>
        <w:tab/>
        <w:t>金融工具</w:t>
      </w:r>
      <w:bookmarkEnd w:id="712"/>
      <w:bookmarkEnd w:id="713"/>
      <w:bookmarkEnd w:id="715"/>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在本公司成为金融工具合同的一方时确认一项金融资产或金融负债。</w:t>
      </w:r>
    </w:p>
    <w:p>
      <w:pPr>
        <w:pStyle w:val="Style26"/>
        <w:keepNext w:val="0"/>
        <w:keepLines w:val="0"/>
        <w:widowControl w:val="0"/>
        <w:shd w:val="clear" w:color="auto" w:fill="auto"/>
        <w:bidi w:val="0"/>
        <w:spacing w:before="0" w:after="0" w:line="314" w:lineRule="exact"/>
        <w:ind w:left="0" w:right="0" w:firstLine="280"/>
        <w:jc w:val="both"/>
      </w:pPr>
      <w:r>
        <w:rPr>
          <w:color w:val="000000"/>
          <w:spacing w:val="0"/>
          <w:w w:val="100"/>
          <w:position w:val="0"/>
        </w:rPr>
        <w:t>（1）</w:t>
      </w:r>
      <w:r>
        <w:rPr>
          <w:color w:val="000000"/>
          <w:spacing w:val="0"/>
          <w:w w:val="100"/>
          <w:position w:val="0"/>
        </w:rPr>
        <w:t>金融资产的分类、确认和计量</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26"/>
        <w:keepNext w:val="0"/>
        <w:keepLines w:val="0"/>
        <w:widowControl w:val="0"/>
        <w:numPr>
          <w:ilvl w:val="0"/>
          <w:numId w:val="19"/>
        </w:numPr>
        <w:shd w:val="clear" w:color="auto" w:fill="auto"/>
        <w:tabs>
          <w:tab w:pos="786" w:val="left"/>
        </w:tabs>
        <w:bidi w:val="0"/>
        <w:spacing w:before="0" w:after="0" w:line="314" w:lineRule="exact"/>
        <w:ind w:left="0" w:right="0" w:firstLine="440"/>
        <w:jc w:val="both"/>
      </w:pPr>
      <w:bookmarkStart w:id="716" w:name="bookmark716"/>
      <w:bookmarkEnd w:id="716"/>
      <w:r>
        <w:rPr>
          <w:color w:val="000000"/>
          <w:spacing w:val="0"/>
          <w:w w:val="100"/>
          <w:position w:val="0"/>
        </w:rPr>
        <w:t>以摊余成本计量的金融资产</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26"/>
        <w:keepNext w:val="0"/>
        <w:keepLines w:val="0"/>
        <w:widowControl w:val="0"/>
        <w:numPr>
          <w:ilvl w:val="0"/>
          <w:numId w:val="19"/>
        </w:numPr>
        <w:shd w:val="clear" w:color="auto" w:fill="auto"/>
        <w:tabs>
          <w:tab w:pos="786" w:val="left"/>
        </w:tabs>
        <w:bidi w:val="0"/>
        <w:spacing w:before="0" w:after="0" w:line="314" w:lineRule="exact"/>
        <w:ind w:left="0" w:right="0" w:firstLine="440"/>
        <w:jc w:val="both"/>
      </w:pPr>
      <w:bookmarkStart w:id="717" w:name="bookmark717"/>
      <w:bookmarkEnd w:id="717"/>
      <w:r>
        <w:rPr>
          <w:color w:val="000000"/>
          <w:spacing w:val="0"/>
          <w:w w:val="100"/>
          <w:position w:val="0"/>
        </w:rPr>
        <w:t>以公允价值计量且其变动计入其他综合收益的金融资产</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26"/>
        <w:keepNext w:val="0"/>
        <w:keepLines w:val="0"/>
        <w:widowControl w:val="0"/>
        <w:numPr>
          <w:ilvl w:val="0"/>
          <w:numId w:val="19"/>
        </w:numPr>
        <w:shd w:val="clear" w:color="auto" w:fill="auto"/>
        <w:bidi w:val="0"/>
        <w:spacing w:before="0" w:after="0" w:line="313" w:lineRule="exact"/>
        <w:ind w:left="0" w:right="0" w:firstLine="440"/>
        <w:jc w:val="both"/>
      </w:pPr>
      <w:bookmarkStart w:id="718" w:name="bookmark718"/>
      <w:bookmarkEnd w:id="718"/>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26"/>
        <w:keepNext w:val="0"/>
        <w:keepLines w:val="0"/>
        <w:widowControl w:val="0"/>
        <w:shd w:val="clear" w:color="auto" w:fill="auto"/>
        <w:tabs>
          <w:tab w:pos="673" w:val="left"/>
        </w:tabs>
        <w:bidi w:val="0"/>
        <w:spacing w:before="0" w:after="0" w:line="313" w:lineRule="exact"/>
        <w:ind w:left="0" w:right="0" w:firstLine="280"/>
        <w:jc w:val="both"/>
      </w:pPr>
      <w:bookmarkStart w:id="719" w:name="bookmark719"/>
      <w:r>
        <w:rPr>
          <w:color w:val="000000"/>
          <w:spacing w:val="0"/>
          <w:w w:val="100"/>
          <w:position w:val="0"/>
        </w:rPr>
        <w:t>（</w:t>
      </w:r>
      <w:bookmarkEnd w:id="719"/>
      <w:r>
        <w:rPr>
          <w:color w:val="000000"/>
          <w:spacing w:val="0"/>
          <w:w w:val="100"/>
          <w:position w:val="0"/>
        </w:rPr>
        <w:t>2）</w:t>
        <w:tab/>
      </w:r>
      <w:r>
        <w:rPr>
          <w:color w:val="000000"/>
          <w:spacing w:val="0"/>
          <w:w w:val="100"/>
          <w:position w:val="0"/>
        </w:rPr>
        <w:t>金融负债的分类、确认和计量</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26"/>
        <w:keepNext w:val="0"/>
        <w:keepLines w:val="0"/>
        <w:widowControl w:val="0"/>
        <w:numPr>
          <w:ilvl w:val="0"/>
          <w:numId w:val="21"/>
        </w:numPr>
        <w:shd w:val="clear" w:color="auto" w:fill="auto"/>
        <w:tabs>
          <w:tab w:pos="766" w:val="left"/>
        </w:tabs>
        <w:bidi w:val="0"/>
        <w:spacing w:before="0" w:after="0" w:line="313" w:lineRule="exact"/>
        <w:ind w:left="0" w:right="0" w:firstLine="440"/>
        <w:jc w:val="both"/>
      </w:pPr>
      <w:bookmarkStart w:id="720" w:name="bookmark720"/>
      <w:bookmarkEnd w:id="720"/>
      <w:r>
        <w:rPr>
          <w:color w:val="000000"/>
          <w:spacing w:val="0"/>
          <w:w w:val="100"/>
          <w:position w:val="0"/>
        </w:rPr>
        <w:t>以公允价值计量且其变动计入当期损益的金融负债</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26"/>
        <w:keepNext w:val="0"/>
        <w:keepLines w:val="0"/>
        <w:widowControl w:val="0"/>
        <w:numPr>
          <w:ilvl w:val="0"/>
          <w:numId w:val="21"/>
        </w:numPr>
        <w:shd w:val="clear" w:color="auto" w:fill="auto"/>
        <w:tabs>
          <w:tab w:pos="766" w:val="left"/>
        </w:tabs>
        <w:bidi w:val="0"/>
        <w:spacing w:before="0" w:after="0" w:line="313" w:lineRule="exact"/>
        <w:ind w:left="0" w:right="0" w:firstLine="440"/>
        <w:jc w:val="both"/>
      </w:pPr>
      <w:bookmarkStart w:id="721" w:name="bookmark721"/>
      <w:bookmarkEnd w:id="721"/>
      <w:r>
        <w:rPr>
          <w:color w:val="000000"/>
          <w:spacing w:val="0"/>
          <w:w w:val="100"/>
          <w:position w:val="0"/>
        </w:rPr>
        <w:t>其他金融负债</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26"/>
        <w:keepNext w:val="0"/>
        <w:keepLines w:val="0"/>
        <w:widowControl w:val="0"/>
        <w:shd w:val="clear" w:color="auto" w:fill="auto"/>
        <w:tabs>
          <w:tab w:pos="673" w:val="left"/>
        </w:tabs>
        <w:bidi w:val="0"/>
        <w:spacing w:before="0" w:after="0" w:line="313" w:lineRule="exact"/>
        <w:ind w:left="0" w:right="0" w:firstLine="280"/>
        <w:jc w:val="both"/>
      </w:pPr>
      <w:bookmarkStart w:id="722" w:name="bookmark722"/>
      <w:r>
        <w:rPr>
          <w:color w:val="000000"/>
          <w:spacing w:val="0"/>
          <w:w w:val="100"/>
          <w:position w:val="0"/>
        </w:rPr>
        <w:t>（</w:t>
      </w:r>
      <w:bookmarkEnd w:id="722"/>
      <w:r>
        <w:rPr>
          <w:color w:val="000000"/>
          <w:spacing w:val="0"/>
          <w:w w:val="100"/>
          <w:position w:val="0"/>
        </w:rPr>
        <w:t>3）</w:t>
        <w:tab/>
      </w:r>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6"/>
        <w:keepNext w:val="0"/>
        <w:keepLines w:val="0"/>
        <w:widowControl w:val="0"/>
        <w:shd w:val="clear" w:color="auto" w:fill="auto"/>
        <w:tabs>
          <w:tab w:pos="673" w:val="left"/>
        </w:tabs>
        <w:bidi w:val="0"/>
        <w:spacing w:before="0" w:after="0" w:line="313" w:lineRule="exact"/>
        <w:ind w:left="0" w:right="0" w:firstLine="280"/>
        <w:jc w:val="both"/>
      </w:pPr>
      <w:bookmarkStart w:id="723" w:name="bookmark723"/>
      <w:r>
        <w:rPr>
          <w:color w:val="000000"/>
          <w:spacing w:val="0"/>
          <w:w w:val="100"/>
          <w:position w:val="0"/>
        </w:rPr>
        <w:t>（</w:t>
      </w:r>
      <w:bookmarkEnd w:id="723"/>
      <w:r>
        <w:rPr>
          <w:color w:val="000000"/>
          <w:spacing w:val="0"/>
          <w:w w:val="100"/>
          <w:position w:val="0"/>
        </w:rPr>
        <w:t>4）</w:t>
        <w:tab/>
      </w:r>
      <w:r>
        <w:rPr>
          <w:color w:val="000000"/>
          <w:spacing w:val="0"/>
          <w:w w:val="100"/>
          <w:position w:val="0"/>
        </w:rPr>
        <w:t>金融负债的终止确认</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金融负债（或其一部分）的现时义务已经解除的，本公司终止确认该金融负债（或该部分金融负债）。本公司（借入 </w:t>
      </w:r>
      <w:r>
        <w:rPr>
          <w:color w:val="000000"/>
          <w:spacing w:val="0"/>
          <w:w w:val="100"/>
          <w:position w:val="0"/>
        </w:rPr>
        <w:t>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26"/>
        <w:keepNext w:val="0"/>
        <w:keepLines w:val="0"/>
        <w:widowControl w:val="0"/>
        <w:shd w:val="clear" w:color="auto" w:fill="auto"/>
        <w:tabs>
          <w:tab w:pos="672" w:val="left"/>
        </w:tabs>
        <w:bidi w:val="0"/>
        <w:spacing w:before="0" w:after="0" w:line="312" w:lineRule="exact"/>
        <w:ind w:left="0" w:right="0" w:firstLine="280"/>
        <w:jc w:val="both"/>
      </w:pPr>
      <w:bookmarkStart w:id="724" w:name="bookmark724"/>
      <w:r>
        <w:rPr>
          <w:color w:val="000000"/>
          <w:spacing w:val="0"/>
          <w:w w:val="100"/>
          <w:position w:val="0"/>
        </w:rPr>
        <w:t>（</w:t>
      </w:r>
      <w:bookmarkEnd w:id="724"/>
      <w:r>
        <w:rPr>
          <w:color w:val="000000"/>
          <w:spacing w:val="0"/>
          <w:w w:val="100"/>
          <w:position w:val="0"/>
        </w:rPr>
        <w:t>5）</w:t>
        <w:tab/>
      </w:r>
      <w:r>
        <w:rPr>
          <w:color w:val="000000"/>
          <w:spacing w:val="0"/>
          <w:w w:val="100"/>
          <w:position w:val="0"/>
        </w:rPr>
        <w:t>金融资产和金融负债的抵销</w:t>
      </w:r>
    </w:p>
    <w:p>
      <w:pPr>
        <w:pStyle w:val="Style2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26"/>
        <w:keepNext w:val="0"/>
        <w:keepLines w:val="0"/>
        <w:widowControl w:val="0"/>
        <w:shd w:val="clear" w:color="auto" w:fill="auto"/>
        <w:tabs>
          <w:tab w:pos="672" w:val="left"/>
        </w:tabs>
        <w:bidi w:val="0"/>
        <w:spacing w:before="0" w:after="0" w:line="312" w:lineRule="exact"/>
        <w:ind w:left="0" w:right="0" w:firstLine="280"/>
        <w:jc w:val="both"/>
      </w:pPr>
      <w:bookmarkStart w:id="725" w:name="bookmark725"/>
      <w:r>
        <w:rPr>
          <w:color w:val="000000"/>
          <w:spacing w:val="0"/>
          <w:w w:val="100"/>
          <w:position w:val="0"/>
        </w:rPr>
        <w:t>（</w:t>
      </w:r>
      <w:bookmarkEnd w:id="725"/>
      <w:r>
        <w:rPr>
          <w:color w:val="000000"/>
          <w:spacing w:val="0"/>
          <w:w w:val="100"/>
          <w:position w:val="0"/>
        </w:rPr>
        <w:t>6）</w:t>
        <w:tab/>
      </w:r>
      <w:r>
        <w:rPr>
          <w:color w:val="000000"/>
          <w:spacing w:val="0"/>
          <w:w w:val="100"/>
          <w:position w:val="0"/>
        </w:rPr>
        <w:t>金融资产和金融负债的公允价值确定方法</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参照实质上相同的其他金融工具当前的公允价值、现金流量折现法和期权定价模型等。在估值时，本公司采用在当前情况下 适用并且有足够可利用数据和其他信息支持的估值技术，选择与市场参与者在相关资产或负债的交易中所考虑的资产或负债 特征相一致的输入值，并尽可能优先使用相关可观察输入值。在相关可观察输入值无法取得或取得不切实可行的情况下，使 用不可输入值。</w:t>
      </w:r>
    </w:p>
    <w:p>
      <w:pPr>
        <w:pStyle w:val="Style26"/>
        <w:keepNext w:val="0"/>
        <w:keepLines w:val="0"/>
        <w:widowControl w:val="0"/>
        <w:shd w:val="clear" w:color="auto" w:fill="auto"/>
        <w:tabs>
          <w:tab w:pos="672" w:val="left"/>
        </w:tabs>
        <w:bidi w:val="0"/>
        <w:spacing w:before="0" w:after="0" w:line="312" w:lineRule="exact"/>
        <w:ind w:left="0" w:right="0" w:firstLine="280"/>
        <w:jc w:val="both"/>
      </w:pPr>
      <w:bookmarkStart w:id="726" w:name="bookmark726"/>
      <w:r>
        <w:rPr>
          <w:color w:val="000000"/>
          <w:spacing w:val="0"/>
          <w:w w:val="100"/>
          <w:position w:val="0"/>
        </w:rPr>
        <w:t>（</w:t>
      </w:r>
      <w:bookmarkEnd w:id="726"/>
      <w:r>
        <w:rPr>
          <w:color w:val="000000"/>
          <w:spacing w:val="0"/>
          <w:w w:val="100"/>
          <w:position w:val="0"/>
        </w:rPr>
        <w:t>7）</w:t>
        <w:tab/>
      </w:r>
      <w:r>
        <w:rPr>
          <w:color w:val="000000"/>
          <w:spacing w:val="0"/>
          <w:w w:val="100"/>
          <w:position w:val="0"/>
        </w:rPr>
        <w:t>权益工具</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 本公司权益工具在存续期间分派股利（含分类为权益工具的工具所产生的“利息”）的，作为利润分配处理。</w:t>
      </w:r>
    </w:p>
    <w:p>
      <w:pPr>
        <w:pStyle w:val="Style26"/>
        <w:keepNext w:val="0"/>
        <w:keepLines w:val="0"/>
        <w:widowControl w:val="0"/>
        <w:shd w:val="clear" w:color="auto" w:fill="auto"/>
        <w:tabs>
          <w:tab w:pos="672" w:val="left"/>
        </w:tabs>
        <w:bidi w:val="0"/>
        <w:spacing w:before="0" w:after="0" w:line="312" w:lineRule="exact"/>
        <w:ind w:left="0" w:right="0" w:firstLine="280"/>
        <w:jc w:val="both"/>
      </w:pPr>
      <w:bookmarkStart w:id="727" w:name="bookmark727"/>
      <w:r>
        <w:rPr>
          <w:color w:val="000000"/>
          <w:spacing w:val="0"/>
          <w:w w:val="100"/>
          <w:position w:val="0"/>
        </w:rPr>
        <w:t>（</w:t>
      </w:r>
      <w:bookmarkEnd w:id="727"/>
      <w:r>
        <w:rPr>
          <w:color w:val="000000"/>
          <w:spacing w:val="0"/>
          <w:w w:val="100"/>
          <w:position w:val="0"/>
        </w:rPr>
        <w:t>8）</w:t>
        <w:tab/>
      </w:r>
      <w:r>
        <w:rPr>
          <w:color w:val="000000"/>
          <w:spacing w:val="0"/>
          <w:w w:val="100"/>
          <w:position w:val="0"/>
        </w:rPr>
        <w:t>金融资产减值</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本公司需确认减值损失的金融资产系以摊余成本计量的金融资产、以公允价值计量且其变动计入其他综合收益的债务 工具、租赁应收款，主要包括应收票据、应收账款、应收款项融资、其他应收款、债权投资、其他债权投资、长期应收款等。 此外，对合同资产及部分财务担保合同，也按照本部分所述会计政策计提减值准备和确认信用减值损失。</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减值准备的确认方法</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①减值准备的确认方法</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预期信用损失计量的一般方法是指，本公司在每个资产负债表日评估金融资产（含合同资产等其他适用项目，下同） 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color w:val="000000"/>
          <w:spacing w:val="0"/>
          <w:w w:val="100"/>
          <w:position w:val="0"/>
        </w:rPr>
        <w:t>12</w:t>
      </w:r>
      <w:r>
        <w:rPr>
          <w:color w:val="000000"/>
          <w:spacing w:val="0"/>
          <w:w w:val="100"/>
          <w:position w:val="0"/>
        </w:rPr>
        <w:t>个月内预期信用损失的金 额计量损失准备。本公司在评估预期信用损失时，考虑所有合理且有依据的信息，包括前瞻性信息。</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对于在资产负债表日具有较低信用风险的金融工具，本公司假设其信用风险自初始确认后并未显著增加，选择按照未 来</w:t>
      </w:r>
      <w:r>
        <w:rPr>
          <w:color w:val="000000"/>
          <w:spacing w:val="0"/>
          <w:w w:val="100"/>
          <w:position w:val="0"/>
        </w:rPr>
        <w:t>12</w:t>
      </w:r>
      <w:r>
        <w:rPr>
          <w:color w:val="000000"/>
          <w:spacing w:val="0"/>
          <w:w w:val="100"/>
          <w:position w:val="0"/>
        </w:rPr>
        <w:t>个月内的预期信用损失计量损失准备。</w:t>
      </w:r>
    </w:p>
    <w:p>
      <w:pPr>
        <w:pStyle w:val="Style26"/>
        <w:keepNext w:val="0"/>
        <w:keepLines w:val="0"/>
        <w:widowControl w:val="0"/>
        <w:numPr>
          <w:ilvl w:val="0"/>
          <w:numId w:val="23"/>
        </w:numPr>
        <w:shd w:val="clear" w:color="auto" w:fill="auto"/>
        <w:tabs>
          <w:tab w:pos="605" w:val="left"/>
        </w:tabs>
        <w:bidi w:val="0"/>
        <w:spacing w:before="0" w:after="0" w:line="312" w:lineRule="exact"/>
        <w:ind w:left="0" w:right="0" w:firstLine="280"/>
        <w:jc w:val="both"/>
      </w:pPr>
      <w:bookmarkStart w:id="728" w:name="bookmark728"/>
      <w:bookmarkEnd w:id="728"/>
      <w:r>
        <w:rPr>
          <w:color w:val="000000"/>
          <w:spacing w:val="0"/>
          <w:w w:val="100"/>
          <w:position w:val="0"/>
        </w:rPr>
        <w:t>信用风险自初始确认后是否显著增加的判断标准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6"/>
        <w:keepNext w:val="0"/>
        <w:keepLines w:val="0"/>
        <w:widowControl w:val="0"/>
        <w:numPr>
          <w:ilvl w:val="0"/>
          <w:numId w:val="23"/>
        </w:numPr>
        <w:shd w:val="clear" w:color="auto" w:fill="auto"/>
        <w:tabs>
          <w:tab w:pos="605" w:val="left"/>
        </w:tabs>
        <w:bidi w:val="0"/>
        <w:spacing w:before="0" w:after="0" w:line="312" w:lineRule="exact"/>
        <w:ind w:left="0" w:right="0" w:firstLine="280"/>
        <w:jc w:val="both"/>
      </w:pPr>
      <w:bookmarkStart w:id="729" w:name="bookmark729"/>
      <w:bookmarkEnd w:id="729"/>
      <w:r>
        <w:rPr>
          <w:color w:val="000000"/>
          <w:spacing w:val="0"/>
          <w:w w:val="100"/>
          <w:position w:val="0"/>
        </w:rPr>
        <w:t>以组合为基础评估预期信用风险的组合方法</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本公司对信用风险显著不同的金融资产单项评价信用风险，如：与对方存在争议或涉及诉讼、仲裁的应收款项；已有 明显迹象表明债务人很可能无法履行还款义务的应收款项等。</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26"/>
        <w:keepNext w:val="0"/>
        <w:keepLines w:val="0"/>
        <w:widowControl w:val="0"/>
        <w:numPr>
          <w:ilvl w:val="0"/>
          <w:numId w:val="23"/>
        </w:numPr>
        <w:shd w:val="clear" w:color="auto" w:fill="auto"/>
        <w:tabs>
          <w:tab w:pos="653" w:val="left"/>
        </w:tabs>
        <w:bidi w:val="0"/>
        <w:spacing w:before="0" w:after="0" w:line="310" w:lineRule="exact"/>
        <w:ind w:left="0" w:right="0" w:firstLine="280"/>
        <w:jc w:val="left"/>
      </w:pPr>
      <w:bookmarkStart w:id="730" w:name="bookmark730"/>
      <w:bookmarkEnd w:id="730"/>
      <w:r>
        <w:rPr>
          <w:color w:val="000000"/>
          <w:spacing w:val="0"/>
          <w:w w:val="100"/>
          <w:position w:val="0"/>
        </w:rPr>
        <w:t>金融资产减值的会计处理方法</w:t>
      </w:r>
    </w:p>
    <w:p>
      <w:pPr>
        <w:pStyle w:val="Style26"/>
        <w:keepNext w:val="0"/>
        <w:keepLines w:val="0"/>
        <w:widowControl w:val="0"/>
        <w:shd w:val="clear" w:color="auto" w:fill="auto"/>
        <w:bidi w:val="0"/>
        <w:spacing w:before="0" w:after="0" w:line="341" w:lineRule="exact"/>
        <w:ind w:left="0" w:right="0" w:firstLine="440"/>
        <w:jc w:val="left"/>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26"/>
        <w:keepNext w:val="0"/>
        <w:keepLines w:val="0"/>
        <w:widowControl w:val="0"/>
        <w:numPr>
          <w:ilvl w:val="0"/>
          <w:numId w:val="23"/>
        </w:numPr>
        <w:shd w:val="clear" w:color="auto" w:fill="auto"/>
        <w:tabs>
          <w:tab w:pos="653" w:val="left"/>
        </w:tabs>
        <w:bidi w:val="0"/>
        <w:spacing w:before="0" w:after="0" w:line="310" w:lineRule="exact"/>
        <w:ind w:left="0" w:right="0" w:firstLine="280"/>
        <w:jc w:val="left"/>
      </w:pPr>
      <w:bookmarkStart w:id="731" w:name="bookmark731"/>
      <w:bookmarkEnd w:id="731"/>
      <w:r>
        <w:rPr>
          <w:color w:val="000000"/>
          <w:spacing w:val="0"/>
          <w:w w:val="100"/>
          <w:position w:val="0"/>
        </w:rPr>
        <w:t>各类金融资产信用损失的确定方法</w:t>
      </w:r>
    </w:p>
    <w:p>
      <w:pPr>
        <w:pStyle w:val="Style2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A</w:t>
      </w:r>
      <w:r>
        <w:rPr>
          <w:color w:val="000000"/>
          <w:spacing w:val="0"/>
          <w:w w:val="100"/>
          <w:position w:val="0"/>
        </w:rPr>
        <w:t>、</w:t>
      </w:r>
      <w:r>
        <w:rPr>
          <w:color w:val="000000"/>
          <w:spacing w:val="0"/>
          <w:w w:val="100"/>
          <w:position w:val="0"/>
        </w:rPr>
        <w:t>应收票据</w:t>
      </w:r>
    </w:p>
    <w:p>
      <w:pPr>
        <w:pStyle w:val="Style26"/>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本公司对于应收票据按照相当于整个存续期内的预期信用损失金额计量损失准备。基于应收票据的信用风险特征，将</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其划分为不同组合:</w:t>
      </w:r>
    </w:p>
    <w:tbl>
      <w:tblPr>
        <w:tblOverlap w:val="never"/>
        <w:jc w:val="center"/>
        <w:tblLayout w:type="fixed"/>
      </w:tblPr>
      <w:tblGrid>
        <w:gridCol w:w="4469"/>
        <w:gridCol w:w="520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w:t>
            </w:r>
          </w:p>
        </w:tc>
      </w:tr>
    </w:tbl>
    <w:p>
      <w:pPr>
        <w:pStyle w:val="Style33"/>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B</w:t>
      </w:r>
      <w:r>
        <w:rPr>
          <w:color w:val="000000"/>
          <w:spacing w:val="0"/>
          <w:w w:val="100"/>
          <w:position w:val="0"/>
        </w:rPr>
        <w:t>、</w:t>
      </w:r>
      <w:r>
        <w:rPr>
          <w:color w:val="000000"/>
          <w:spacing w:val="0"/>
          <w:w w:val="100"/>
          <w:position w:val="0"/>
        </w:rPr>
        <w:t>应收账款</w:t>
      </w:r>
    </w:p>
    <w:p>
      <w:pPr>
        <w:pStyle w:val="Style33"/>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对于不含重大融资成分的应收账款，本公司按照相当于整个存续期内的预期信用损失金额计量损失准备。</w:t>
      </w:r>
    </w:p>
    <w:p>
      <w:pPr>
        <w:pStyle w:val="Style33"/>
        <w:keepNext w:val="0"/>
        <w:keepLines w:val="0"/>
        <w:widowControl w:val="0"/>
        <w:shd w:val="clear" w:color="auto" w:fill="auto"/>
        <w:bidi w:val="0"/>
        <w:spacing w:before="0" w:after="120" w:line="240" w:lineRule="auto"/>
        <w:ind w:left="408" w:right="0" w:firstLine="0"/>
        <w:jc w:val="left"/>
      </w:pPr>
      <w:r>
        <w:rPr>
          <w:color w:val="000000"/>
          <w:spacing w:val="0"/>
          <w:w w:val="100"/>
          <w:position w:val="0"/>
        </w:rPr>
        <w:t>对于包含重大融资成分的应收账款和租赁应收款，本公司选择始终按照相当于存续期内预期信用损失的金额计量损失</w:t>
      </w:r>
    </w:p>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准备</w:t>
      </w:r>
    </w:p>
    <w:p>
      <w:pPr>
        <w:pStyle w:val="Style33"/>
        <w:keepNext w:val="0"/>
        <w:keepLines w:val="0"/>
        <w:widowControl w:val="0"/>
        <w:shd w:val="clear" w:color="auto" w:fill="auto"/>
        <w:bidi w:val="0"/>
        <w:spacing w:before="0" w:after="0" w:line="240" w:lineRule="auto"/>
        <w:ind w:left="427"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197"/>
        <w:gridCol w:w="6475"/>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1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1 </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本组合以除公司合并报表范围外应收账款的账龄作为信用风险特征，本公司根据以 前年度与之相同或相类似的、按账龄段划分的具有类似信用风险特征的应收账款组 合的预期信用损失为基础，考虑前瞻性信息，确定预期信用损失。</w:t>
            </w:r>
          </w:p>
        </w:tc>
      </w:tr>
      <w:tr>
        <w:trPr>
          <w:trHeight w:val="11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2 </w:t>
            </w:r>
            <w:r>
              <w:rPr>
                <w:color w:val="000000"/>
                <w:spacing w:val="0"/>
                <w:w w:val="100"/>
                <w:position w:val="0"/>
              </w:rPr>
              <w:t>（内部往来）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本组合以公司合并报表范围内各企业之间的内部往来作为信用风险特征，除存在客 观证据表明无法收回外，本公司判断其不存在预期信用损失，确定预期信用损失率 为零。</w:t>
            </w:r>
          </w:p>
        </w:tc>
      </w:tr>
    </w:tbl>
    <w:p>
      <w:pPr>
        <w:pStyle w:val="Style33"/>
        <w:keepNext w:val="0"/>
        <w:keepLines w:val="0"/>
        <w:widowControl w:val="0"/>
        <w:shd w:val="clear" w:color="auto" w:fill="auto"/>
        <w:bidi w:val="0"/>
        <w:spacing w:before="0" w:after="120" w:line="240" w:lineRule="auto"/>
        <w:ind w:left="413" w:right="0" w:firstLine="0"/>
        <w:jc w:val="left"/>
      </w:pPr>
      <w:r>
        <w:rPr>
          <w:color w:val="000000"/>
          <w:spacing w:val="0"/>
          <w:w w:val="100"/>
          <w:position w:val="0"/>
        </w:rPr>
        <w:t>C</w:t>
      </w:r>
      <w:r>
        <w:rPr>
          <w:color w:val="000000"/>
          <w:spacing w:val="0"/>
          <w:w w:val="100"/>
          <w:position w:val="0"/>
        </w:rPr>
        <w:t>、</w:t>
      </w:r>
      <w:r>
        <w:rPr>
          <w:color w:val="000000"/>
          <w:spacing w:val="0"/>
          <w:w w:val="100"/>
          <w:position w:val="0"/>
        </w:rPr>
        <w:t>其他应收款</w:t>
      </w:r>
    </w:p>
    <w:p>
      <w:pPr>
        <w:pStyle w:val="Style33"/>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本公司依据其他应收款信用风险自初始确认后是否已经显著增加，采用相当于未来</w:t>
      </w:r>
      <w:r>
        <w:rPr>
          <w:color w:val="000000"/>
          <w:spacing w:val="0"/>
          <w:w w:val="100"/>
          <w:position w:val="0"/>
        </w:rPr>
        <w:t>12</w:t>
      </w:r>
      <w:r>
        <w:rPr>
          <w:color w:val="000000"/>
          <w:spacing w:val="0"/>
          <w:w w:val="100"/>
          <w:position w:val="0"/>
        </w:rPr>
        <w:t>个月内、或整个存续期的预期信</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用损失的金额计量减值损失。除了单项评估信用风险的其他应收款外，基于其信用风险特征，将其划分为不同组合:</w:t>
      </w:r>
    </w:p>
    <w:tbl>
      <w:tblPr>
        <w:tblOverlap w:val="never"/>
        <w:jc w:val="center"/>
        <w:tblLayout w:type="fixed"/>
      </w:tblPr>
      <w:tblGrid>
        <w:gridCol w:w="3197"/>
        <w:gridCol w:w="6475"/>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1 </w:t>
            </w:r>
            <w:r>
              <w:rPr>
                <w:color w:val="000000"/>
                <w:spacing w:val="0"/>
                <w:w w:val="100"/>
                <w:position w:val="0"/>
              </w:rPr>
              <w:t>（保证金和备用金）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本组合包括投标保证金、履约保证金、公司员工因经营需要暂时借支款项等。</w:t>
            </w:r>
          </w:p>
        </w:tc>
      </w:tr>
      <w:tr>
        <w:trPr>
          <w:trHeight w:val="11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color w:val="000000"/>
                <w:spacing w:val="0"/>
                <w:w w:val="100"/>
                <w:position w:val="0"/>
              </w:rPr>
              <w:t>组合</w:t>
            </w:r>
            <w:r>
              <w:rPr>
                <w:color w:val="000000"/>
                <w:spacing w:val="0"/>
                <w:w w:val="100"/>
                <w:position w:val="0"/>
              </w:rPr>
              <w:t xml:space="preserve">2 </w:t>
            </w:r>
            <w:r>
              <w:rPr>
                <w:color w:val="000000"/>
                <w:spacing w:val="0"/>
                <w:w w:val="100"/>
                <w:position w:val="0"/>
              </w:rPr>
              <w:t>（内部往来）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本组合以公司合并报表范围内各企业之间的内部往来作为信用风险特征，除存在客 观证据表明无法收回外，本公司判断其不存在预期信用损失，确定预期信用损失率 为零。</w:t>
            </w:r>
          </w:p>
        </w:tc>
      </w:tr>
      <w:tr>
        <w:trPr>
          <w:trHeight w:val="54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3 </w:t>
            </w:r>
            <w:r>
              <w:rPr>
                <w:color w:val="000000"/>
                <w:spacing w:val="0"/>
                <w:w w:val="100"/>
                <w:position w:val="0"/>
              </w:rPr>
              <w:t>（其他欠款）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未纳入以上两类的其他应收款项。</w:t>
            </w:r>
          </w:p>
        </w:tc>
      </w:tr>
    </w:tbl>
    <w:p>
      <w:pPr>
        <w:pStyle w:val="Style33"/>
        <w:keepNext w:val="0"/>
        <w:keepLines w:val="0"/>
        <w:widowControl w:val="0"/>
        <w:shd w:val="clear" w:color="auto" w:fill="auto"/>
        <w:bidi w:val="0"/>
        <w:spacing w:before="0" w:after="0" w:line="240" w:lineRule="auto"/>
        <w:ind w:left="408" w:right="0" w:firstLine="0"/>
        <w:jc w:val="left"/>
      </w:pPr>
      <w:r>
        <w:rPr>
          <w:color w:val="000000"/>
          <w:spacing w:val="0"/>
          <w:w w:val="100"/>
          <w:position w:val="0"/>
        </w:rPr>
        <w:t>D</w:t>
      </w:r>
      <w:r>
        <w:rPr>
          <w:color w:val="000000"/>
          <w:spacing w:val="0"/>
          <w:w w:val="100"/>
          <w:position w:val="0"/>
        </w:rPr>
        <w:t>、</w:t>
      </w:r>
      <w:r>
        <w:rPr>
          <w:color w:val="000000"/>
          <w:spacing w:val="0"/>
          <w:w w:val="100"/>
          <w:position w:val="0"/>
        </w:rPr>
        <w:t>长期应收款</w:t>
      </w:r>
    </w:p>
    <w:p>
      <w:pPr>
        <w:pStyle w:val="Style26"/>
        <w:keepNext w:val="0"/>
        <w:keepLines w:val="0"/>
        <w:widowControl w:val="0"/>
        <w:shd w:val="clear" w:color="auto" w:fill="auto"/>
        <w:bidi w:val="0"/>
        <w:spacing w:before="0" w:after="80" w:line="312" w:lineRule="exact"/>
        <w:ind w:left="0" w:right="0" w:firstLine="360"/>
        <w:jc w:val="left"/>
      </w:pPr>
      <w:r>
        <w:rPr>
          <w:color w:val="000000"/>
          <w:spacing w:val="0"/>
          <w:w w:val="100"/>
          <w:position w:val="0"/>
        </w:rPr>
        <w:t>由《企业会计准则第</w:t>
      </w:r>
      <w:r>
        <w:rPr>
          <w:color w:val="000000"/>
          <w:spacing w:val="0"/>
          <w:w w:val="100"/>
          <w:position w:val="0"/>
        </w:rPr>
        <w:t>14</w:t>
      </w:r>
      <w:r>
        <w:rPr>
          <w:color w:val="000000"/>
          <w:spacing w:val="0"/>
          <w:w w:val="100"/>
          <w:position w:val="0"/>
        </w:rPr>
        <w:t>号一一收入》规范的交易形成的长期应收款，对于未包含重大融资成分的，本公司按照相当于整 个存续期内的预期信用损失金额计量损失准备。对于包含重大融资成分的，本公司依据其信用风险自初始确认后是否已经显 著增加，而采用未来</w:t>
      </w:r>
      <w:r>
        <w:rPr>
          <w:color w:val="000000"/>
          <w:spacing w:val="0"/>
          <w:w w:val="100"/>
          <w:position w:val="0"/>
        </w:rPr>
        <w:t>12</w:t>
      </w:r>
      <w:r>
        <w:rPr>
          <w:color w:val="000000"/>
          <w:spacing w:val="0"/>
          <w:w w:val="100"/>
          <w:position w:val="0"/>
        </w:rPr>
        <w:t>个月内或者整个存续期内预期信用损失的金额计量损失准备。</w:t>
      </w:r>
    </w:p>
    <w:p>
      <w:pPr>
        <w:pStyle w:val="Style30"/>
        <w:keepNext/>
        <w:keepLines/>
        <w:widowControl w:val="0"/>
        <w:shd w:val="clear" w:color="auto" w:fill="auto"/>
        <w:tabs>
          <w:tab w:pos="464" w:val="left"/>
        </w:tabs>
        <w:bidi w:val="0"/>
        <w:spacing w:before="0" w:after="2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1</w:t>
      </w:r>
      <w:bookmarkEnd w:id="734"/>
      <w:r>
        <w:rPr>
          <w:color w:val="000000"/>
          <w:spacing w:val="0"/>
          <w:w w:val="100"/>
          <w:position w:val="0"/>
        </w:rPr>
        <w:t>1</w:t>
      </w:r>
      <w:r>
        <w:rPr>
          <w:color w:val="000000"/>
          <w:spacing w:val="0"/>
          <w:w w:val="100"/>
          <w:position w:val="0"/>
        </w:rPr>
        <w:t>、</w:t>
        <w:tab/>
        <w:t>应收票据</w:t>
      </w:r>
      <w:bookmarkEnd w:id="732"/>
      <w:bookmarkEnd w:id="733"/>
      <w:bookmarkEnd w:id="735"/>
    </w:p>
    <w:p>
      <w:pPr>
        <w:pStyle w:val="Style26"/>
        <w:keepNext w:val="0"/>
        <w:keepLines w:val="0"/>
        <w:widowControl w:val="0"/>
        <w:shd w:val="clear" w:color="auto" w:fill="auto"/>
        <w:bidi w:val="0"/>
        <w:spacing w:before="0" w:after="380" w:line="311" w:lineRule="exact"/>
        <w:ind w:left="0" w:right="0" w:firstLine="360"/>
        <w:jc w:val="left"/>
      </w:pPr>
      <w:r>
        <w:rPr>
          <w:color w:val="000000"/>
          <w:spacing w:val="0"/>
          <w:w w:val="100"/>
          <w:position w:val="0"/>
        </w:rPr>
        <w:t>详见本附注五、</w:t>
      </w:r>
      <w:r>
        <w:rPr>
          <w:color w:val="000000"/>
          <w:spacing w:val="0"/>
          <w:w w:val="100"/>
          <w:position w:val="0"/>
        </w:rPr>
        <w:t xml:space="preserve">10 </w:t>
      </w:r>
      <w:r>
        <w:rPr>
          <w:color w:val="000000"/>
          <w:spacing w:val="0"/>
          <w:w w:val="100"/>
          <w:position w:val="0"/>
        </w:rPr>
        <w:t>“金融工具”</w:t>
      </w:r>
    </w:p>
    <w:p>
      <w:pPr>
        <w:pStyle w:val="Style30"/>
        <w:keepNext/>
        <w:keepLines/>
        <w:widowControl w:val="0"/>
        <w:shd w:val="clear" w:color="auto" w:fill="auto"/>
        <w:tabs>
          <w:tab w:pos="464" w:val="left"/>
        </w:tabs>
        <w:bidi w:val="0"/>
        <w:spacing w:before="0" w:after="28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1</w:t>
      </w:r>
      <w:bookmarkEnd w:id="738"/>
      <w:r>
        <w:rPr>
          <w:color w:val="000000"/>
          <w:spacing w:val="0"/>
          <w:w w:val="100"/>
          <w:position w:val="0"/>
        </w:rPr>
        <w:t>2</w:t>
      </w:r>
      <w:r>
        <w:rPr>
          <w:color w:val="000000"/>
          <w:spacing w:val="0"/>
          <w:w w:val="100"/>
          <w:position w:val="0"/>
        </w:rPr>
        <w:t>、</w:t>
        <w:tab/>
        <w:t>应收账款</w:t>
      </w:r>
      <w:bookmarkEnd w:id="736"/>
      <w:bookmarkEnd w:id="737"/>
      <w:bookmarkEnd w:id="739"/>
    </w:p>
    <w:p>
      <w:pPr>
        <w:pStyle w:val="Style26"/>
        <w:keepNext w:val="0"/>
        <w:keepLines w:val="0"/>
        <w:widowControl w:val="0"/>
        <w:shd w:val="clear" w:color="auto" w:fill="auto"/>
        <w:bidi w:val="0"/>
        <w:spacing w:before="0" w:after="380" w:line="311" w:lineRule="exact"/>
        <w:ind w:left="0" w:right="0" w:firstLine="360"/>
        <w:jc w:val="left"/>
      </w:pPr>
      <w:r>
        <w:rPr>
          <w:color w:val="000000"/>
          <w:spacing w:val="0"/>
          <w:w w:val="100"/>
          <w:position w:val="0"/>
        </w:rPr>
        <w:t>详见本附注五、</w:t>
      </w:r>
      <w:r>
        <w:rPr>
          <w:color w:val="000000"/>
          <w:spacing w:val="0"/>
          <w:w w:val="100"/>
          <w:position w:val="0"/>
        </w:rPr>
        <w:t xml:space="preserve">10 </w:t>
      </w:r>
      <w:r>
        <w:rPr>
          <w:color w:val="000000"/>
          <w:spacing w:val="0"/>
          <w:w w:val="100"/>
          <w:position w:val="0"/>
        </w:rPr>
        <w:t>“金融工具”</w:t>
      </w:r>
    </w:p>
    <w:p>
      <w:pPr>
        <w:pStyle w:val="Style30"/>
        <w:keepNext/>
        <w:keepLines/>
        <w:widowControl w:val="0"/>
        <w:shd w:val="clear" w:color="auto" w:fill="auto"/>
        <w:tabs>
          <w:tab w:pos="464"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1</w:t>
      </w:r>
      <w:bookmarkEnd w:id="742"/>
      <w:r>
        <w:rPr>
          <w:color w:val="000000"/>
          <w:spacing w:val="0"/>
          <w:w w:val="100"/>
          <w:position w:val="0"/>
        </w:rPr>
        <w:t>3</w:t>
      </w:r>
      <w:r>
        <w:rPr>
          <w:color w:val="000000"/>
          <w:spacing w:val="0"/>
          <w:w w:val="100"/>
          <w:position w:val="0"/>
        </w:rPr>
        <w:t>、</w:t>
        <w:tab/>
        <w:t>应收款项融资</w:t>
      </w:r>
      <w:bookmarkEnd w:id="740"/>
      <w:bookmarkEnd w:id="741"/>
      <w:bookmarkEnd w:id="743"/>
    </w:p>
    <w:p>
      <w:pPr>
        <w:pStyle w:val="Style2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color w:val="000000"/>
          <w:spacing w:val="0"/>
          <w:w w:val="100"/>
          <w:position w:val="0"/>
        </w:rPr>
        <w:t xml:space="preserve">10 </w:t>
      </w:r>
      <w:r>
        <w:rPr>
          <w:color w:val="000000"/>
          <w:spacing w:val="0"/>
          <w:w w:val="100"/>
          <w:position w:val="0"/>
        </w:rPr>
        <w:t>“金融工具”。</w:t>
      </w:r>
    </w:p>
    <w:p>
      <w:pPr>
        <w:pStyle w:val="Style30"/>
        <w:keepNext/>
        <w:keepLines/>
        <w:widowControl w:val="0"/>
        <w:shd w:val="clear" w:color="auto" w:fill="auto"/>
        <w:tabs>
          <w:tab w:pos="464"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1</w:t>
      </w:r>
      <w:bookmarkEnd w:id="746"/>
      <w:r>
        <w:rPr>
          <w:color w:val="000000"/>
          <w:spacing w:val="0"/>
          <w:w w:val="100"/>
          <w:position w:val="0"/>
        </w:rPr>
        <w:t>4</w:t>
      </w:r>
      <w:r>
        <w:rPr>
          <w:color w:val="000000"/>
          <w:spacing w:val="0"/>
          <w:w w:val="100"/>
          <w:position w:val="0"/>
        </w:rPr>
        <w:t>、</w:t>
        <w:tab/>
        <w:t>其他应收款</w:t>
      </w:r>
      <w:bookmarkEnd w:id="744"/>
      <w:bookmarkEnd w:id="745"/>
      <w:bookmarkEnd w:id="747"/>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其他应收款的预期信用损失的确定方法及会计处理方法</w:t>
      </w:r>
    </w:p>
    <w:p>
      <w:pPr>
        <w:pStyle w:val="Style26"/>
        <w:keepNext w:val="0"/>
        <w:keepLines w:val="0"/>
        <w:widowControl w:val="0"/>
        <w:shd w:val="clear" w:color="auto" w:fill="auto"/>
        <w:bidi w:val="0"/>
        <w:spacing w:before="0" w:after="380" w:line="311" w:lineRule="exact"/>
        <w:ind w:left="0" w:right="0" w:firstLine="360"/>
        <w:jc w:val="left"/>
      </w:pPr>
      <w:r>
        <w:rPr>
          <w:color w:val="000000"/>
          <w:spacing w:val="0"/>
          <w:w w:val="100"/>
          <w:position w:val="0"/>
        </w:rPr>
        <w:t>详见本附注五、</w:t>
      </w:r>
      <w:r>
        <w:rPr>
          <w:color w:val="000000"/>
          <w:spacing w:val="0"/>
          <w:w w:val="100"/>
          <w:position w:val="0"/>
        </w:rPr>
        <w:t xml:space="preserve">10 </w:t>
      </w:r>
      <w:r>
        <w:rPr>
          <w:color w:val="000000"/>
          <w:spacing w:val="0"/>
          <w:w w:val="100"/>
          <w:position w:val="0"/>
        </w:rPr>
        <w:t>“金融工具”</w:t>
      </w:r>
    </w:p>
    <w:p>
      <w:pPr>
        <w:pStyle w:val="Style30"/>
        <w:keepNext/>
        <w:keepLines/>
        <w:widowControl w:val="0"/>
        <w:shd w:val="clear" w:color="auto" w:fill="auto"/>
        <w:tabs>
          <w:tab w:pos="464" w:val="left"/>
        </w:tabs>
        <w:bidi w:val="0"/>
        <w:spacing w:before="0" w:after="28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1</w:t>
      </w:r>
      <w:bookmarkEnd w:id="750"/>
      <w:r>
        <w:rPr>
          <w:color w:val="000000"/>
          <w:spacing w:val="0"/>
          <w:w w:val="100"/>
          <w:position w:val="0"/>
        </w:rPr>
        <w:t>5</w:t>
      </w:r>
      <w:r>
        <w:rPr>
          <w:color w:val="000000"/>
          <w:spacing w:val="0"/>
          <w:w w:val="100"/>
          <w:position w:val="0"/>
        </w:rPr>
        <w:t>、</w:t>
        <w:tab/>
        <w:t>存货</w:t>
      </w:r>
      <w:bookmarkEnd w:id="748"/>
      <w:bookmarkEnd w:id="749"/>
      <w:bookmarkEnd w:id="751"/>
    </w:p>
    <w:p>
      <w:pPr>
        <w:pStyle w:val="Style26"/>
        <w:keepNext w:val="0"/>
        <w:keepLines w:val="0"/>
        <w:widowControl w:val="0"/>
        <w:shd w:val="clear" w:color="auto" w:fill="auto"/>
        <w:tabs>
          <w:tab w:pos="805" w:val="left"/>
        </w:tabs>
        <w:bidi w:val="0"/>
        <w:spacing w:before="0" w:after="0" w:line="311" w:lineRule="exact"/>
        <w:ind w:left="0" w:right="0" w:firstLine="360"/>
        <w:jc w:val="both"/>
      </w:pPr>
      <w:bookmarkStart w:id="752" w:name="bookmark752"/>
      <w:r>
        <w:rPr>
          <w:color w:val="000000"/>
          <w:spacing w:val="0"/>
          <w:w w:val="100"/>
          <w:position w:val="0"/>
        </w:rPr>
        <w:t>（</w:t>
      </w:r>
      <w:bookmarkEnd w:id="752"/>
      <w:r>
        <w:rPr>
          <w:color w:val="000000"/>
          <w:spacing w:val="0"/>
          <w:w w:val="100"/>
          <w:position w:val="0"/>
        </w:rPr>
        <w:t>1）</w:t>
        <w:tab/>
      </w:r>
      <w:r>
        <w:rPr>
          <w:color w:val="000000"/>
          <w:spacing w:val="0"/>
          <w:w w:val="100"/>
          <w:position w:val="0"/>
        </w:rPr>
        <w:t>存货的分类</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存货主要包括在日常活动中持有以备出售的产成品或商品、处于生产过程中的在产品、在生产过程或提供劳务过程中耗 用的材料和物料等。具体划分为原材料、委托加工物资、在产品、半成品、库存商品、发出商品和劳务成本等。摊销期限不 超过一年或一个营业周期的合同履约成本也列报为存货。</w:t>
      </w:r>
    </w:p>
    <w:p>
      <w:pPr>
        <w:pStyle w:val="Style26"/>
        <w:keepNext w:val="0"/>
        <w:keepLines w:val="0"/>
        <w:widowControl w:val="0"/>
        <w:shd w:val="clear" w:color="auto" w:fill="auto"/>
        <w:tabs>
          <w:tab w:pos="805" w:val="left"/>
        </w:tabs>
        <w:bidi w:val="0"/>
        <w:spacing w:before="0" w:after="0" w:line="311" w:lineRule="exact"/>
        <w:ind w:left="0" w:right="0" w:firstLine="360"/>
        <w:jc w:val="both"/>
      </w:pPr>
      <w:bookmarkStart w:id="753" w:name="bookmark753"/>
      <w:r>
        <w:rPr>
          <w:color w:val="000000"/>
          <w:spacing w:val="0"/>
          <w:w w:val="100"/>
          <w:position w:val="0"/>
        </w:rPr>
        <w:t>（</w:t>
      </w:r>
      <w:bookmarkEnd w:id="753"/>
      <w:r>
        <w:rPr>
          <w:color w:val="000000"/>
          <w:spacing w:val="0"/>
          <w:w w:val="100"/>
          <w:position w:val="0"/>
        </w:rPr>
        <w:t>2）</w:t>
        <w:tab/>
      </w:r>
      <w:r>
        <w:rPr>
          <w:color w:val="000000"/>
          <w:spacing w:val="0"/>
          <w:w w:val="100"/>
          <w:position w:val="0"/>
        </w:rPr>
        <w:t>存货取得和发出的计价方法</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存货在取得时按实际成本计价，存货成本包括采购成本、加工成本和其他成本。领用和发出时按加权平均法计价。</w:t>
      </w:r>
    </w:p>
    <w:p>
      <w:pPr>
        <w:pStyle w:val="Style26"/>
        <w:keepNext w:val="0"/>
        <w:keepLines w:val="0"/>
        <w:widowControl w:val="0"/>
        <w:shd w:val="clear" w:color="auto" w:fill="auto"/>
        <w:tabs>
          <w:tab w:pos="805" w:val="left"/>
        </w:tabs>
        <w:bidi w:val="0"/>
        <w:spacing w:before="0" w:after="0" w:line="311" w:lineRule="exact"/>
        <w:ind w:left="0" w:right="0" w:firstLine="360"/>
        <w:jc w:val="both"/>
      </w:pPr>
      <w:bookmarkStart w:id="754" w:name="bookmark754"/>
      <w:r>
        <w:rPr>
          <w:color w:val="000000"/>
          <w:spacing w:val="0"/>
          <w:w w:val="100"/>
          <w:position w:val="0"/>
        </w:rPr>
        <w:t>（</w:t>
      </w:r>
      <w:bookmarkEnd w:id="754"/>
      <w:r>
        <w:rPr>
          <w:color w:val="000000"/>
          <w:spacing w:val="0"/>
          <w:w w:val="100"/>
          <w:position w:val="0"/>
        </w:rPr>
        <w:t>3）</w:t>
        <w:tab/>
      </w:r>
      <w:r>
        <w:rPr>
          <w:color w:val="000000"/>
          <w:spacing w:val="0"/>
          <w:w w:val="100"/>
          <w:position w:val="0"/>
        </w:rPr>
        <w:t>存货可变现净值的确认和跌价准备的计提方法</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6"/>
        <w:keepNext w:val="0"/>
        <w:keepLines w:val="0"/>
        <w:widowControl w:val="0"/>
        <w:shd w:val="clear" w:color="auto" w:fill="auto"/>
        <w:tabs>
          <w:tab w:pos="805" w:val="left"/>
        </w:tabs>
        <w:bidi w:val="0"/>
        <w:spacing w:before="0" w:after="0" w:line="311" w:lineRule="exact"/>
        <w:ind w:left="0" w:right="0" w:firstLine="360"/>
        <w:jc w:val="both"/>
      </w:pPr>
      <w:bookmarkStart w:id="755" w:name="bookmark755"/>
      <w:r>
        <w:rPr>
          <w:color w:val="000000"/>
          <w:spacing w:val="0"/>
          <w:w w:val="100"/>
          <w:position w:val="0"/>
        </w:rPr>
        <w:t>（</w:t>
      </w:r>
      <w:bookmarkEnd w:id="755"/>
      <w:r>
        <w:rPr>
          <w:color w:val="000000"/>
          <w:spacing w:val="0"/>
          <w:w w:val="100"/>
          <w:position w:val="0"/>
        </w:rPr>
        <w:t>4）</w:t>
        <w:tab/>
      </w:r>
      <w:r>
        <w:rPr>
          <w:color w:val="000000"/>
          <w:spacing w:val="0"/>
          <w:w w:val="100"/>
          <w:position w:val="0"/>
        </w:rPr>
        <w:t>存货的盘存制度为永续盘存制。</w:t>
      </w:r>
    </w:p>
    <w:p>
      <w:pPr>
        <w:pStyle w:val="Style26"/>
        <w:keepNext w:val="0"/>
        <w:keepLines w:val="0"/>
        <w:widowControl w:val="0"/>
        <w:shd w:val="clear" w:color="auto" w:fill="auto"/>
        <w:tabs>
          <w:tab w:pos="805" w:val="left"/>
        </w:tabs>
        <w:bidi w:val="0"/>
        <w:spacing w:before="0" w:after="380" w:line="311" w:lineRule="exact"/>
        <w:ind w:left="0" w:right="0" w:firstLine="360"/>
        <w:jc w:val="both"/>
      </w:pPr>
      <w:bookmarkStart w:id="756" w:name="bookmark756"/>
      <w:r>
        <w:rPr>
          <w:color w:val="000000"/>
          <w:spacing w:val="0"/>
          <w:w w:val="100"/>
          <w:position w:val="0"/>
        </w:rPr>
        <w:t>（</w:t>
      </w:r>
      <w:bookmarkEnd w:id="756"/>
      <w:r>
        <w:rPr>
          <w:color w:val="000000"/>
          <w:spacing w:val="0"/>
          <w:w w:val="100"/>
          <w:position w:val="0"/>
        </w:rPr>
        <w:t>5）</w:t>
        <w:tab/>
      </w:r>
      <w:r>
        <w:rPr>
          <w:color w:val="000000"/>
          <w:spacing w:val="0"/>
          <w:w w:val="100"/>
          <w:position w:val="0"/>
        </w:rPr>
        <w:t>低值易耗品和包装物的摊销方法：低值易耗品和包装物在领用时根据实际情况采用一次摊销法进行摊销。</w:t>
      </w:r>
    </w:p>
    <w:p>
      <w:pPr>
        <w:pStyle w:val="Style30"/>
        <w:keepNext/>
        <w:keepLines/>
        <w:widowControl w:val="0"/>
        <w:shd w:val="clear" w:color="auto" w:fill="auto"/>
        <w:tabs>
          <w:tab w:pos="464"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1</w:t>
      </w:r>
      <w:bookmarkEnd w:id="759"/>
      <w:r>
        <w:rPr>
          <w:color w:val="000000"/>
          <w:spacing w:val="0"/>
          <w:w w:val="100"/>
          <w:position w:val="0"/>
        </w:rPr>
        <w:t>6</w:t>
      </w:r>
      <w:r>
        <w:rPr>
          <w:color w:val="000000"/>
          <w:spacing w:val="0"/>
          <w:w w:val="100"/>
          <w:position w:val="0"/>
        </w:rPr>
        <w:t>、</w:t>
        <w:tab/>
        <w:t>合同资产</w:t>
      </w:r>
      <w:bookmarkEnd w:id="757"/>
      <w:bookmarkEnd w:id="758"/>
      <w:bookmarkEnd w:id="760"/>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6"/>
        <w:keepNext w:val="0"/>
        <w:keepLines w:val="0"/>
        <w:widowControl w:val="0"/>
        <w:shd w:val="clear" w:color="auto" w:fill="auto"/>
        <w:bidi w:val="0"/>
        <w:spacing w:before="0" w:after="280" w:line="314" w:lineRule="exact"/>
        <w:ind w:left="0" w:right="0" w:firstLine="360"/>
        <w:jc w:val="left"/>
      </w:pPr>
      <w:r>
        <w:rPr>
          <w:color w:val="000000"/>
          <w:spacing w:val="0"/>
          <w:w w:val="100"/>
          <w:position w:val="0"/>
        </w:rPr>
        <w:t>合同资产预期信用损失的确定方法和会计处理方法参见附注五、</w:t>
      </w:r>
      <w:r>
        <w:rPr>
          <w:color w:val="000000"/>
          <w:spacing w:val="0"/>
          <w:w w:val="100"/>
          <w:position w:val="0"/>
        </w:rPr>
        <w:t xml:space="preserve">10 </w:t>
      </w:r>
      <w:r>
        <w:rPr>
          <w:color w:val="000000"/>
          <w:spacing w:val="0"/>
          <w:w w:val="100"/>
          <w:position w:val="0"/>
        </w:rPr>
        <w:t>“金融工具”。</w:t>
      </w:r>
    </w:p>
    <w:p>
      <w:pPr>
        <w:pStyle w:val="Style30"/>
        <w:keepNext/>
        <w:keepLines/>
        <w:widowControl w:val="0"/>
        <w:shd w:val="clear" w:color="auto" w:fill="auto"/>
        <w:tabs>
          <w:tab w:pos="408"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1</w:t>
      </w:r>
      <w:bookmarkEnd w:id="763"/>
      <w:r>
        <w:rPr>
          <w:color w:val="000000"/>
          <w:spacing w:val="0"/>
          <w:w w:val="100"/>
          <w:position w:val="0"/>
        </w:rPr>
        <w:t>7</w:t>
      </w:r>
      <w:r>
        <w:rPr>
          <w:color w:val="000000"/>
          <w:spacing w:val="0"/>
          <w:w w:val="100"/>
          <w:position w:val="0"/>
        </w:rPr>
        <w:t>、</w:t>
        <w:tab/>
        <w:t>合同成本</w:t>
      </w:r>
      <w:bookmarkEnd w:id="761"/>
      <w:bookmarkEnd w:id="762"/>
      <w:bookmarkEnd w:id="764"/>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本公司为取得合同发生的增量成本预期能够收回的，作为合同取得成本确认为一项资产。但是，如果该资产的摊销期 限不超过一年，则在发生时计入当期损益。</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为履行合同发生的成本不属于《企业会计准则第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直接材料、制造费用（或类似费用）、明确由客户承担的成本以及仅因该合同而发生的其他成本；②该成本增加了本公司未 来用于履行履约义务的资源；③该成本预期能够收回。</w:t>
      </w:r>
    </w:p>
    <w:p>
      <w:pPr>
        <w:pStyle w:val="Style26"/>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与合同成本有关的资产采用与该资产相关的商品收入确认相同的基础进行摊销，计入当期损益。</w:t>
      </w:r>
    </w:p>
    <w:p>
      <w:pPr>
        <w:pStyle w:val="Style30"/>
        <w:keepNext/>
        <w:keepLines/>
        <w:widowControl w:val="0"/>
        <w:shd w:val="clear" w:color="auto" w:fill="auto"/>
        <w:tabs>
          <w:tab w:pos="408"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1</w:t>
      </w:r>
      <w:bookmarkEnd w:id="767"/>
      <w:r>
        <w:rPr>
          <w:color w:val="000000"/>
          <w:spacing w:val="0"/>
          <w:w w:val="100"/>
          <w:position w:val="0"/>
        </w:rPr>
        <w:t>8</w:t>
      </w:r>
      <w:r>
        <w:rPr>
          <w:color w:val="000000"/>
          <w:spacing w:val="0"/>
          <w:w w:val="100"/>
          <w:position w:val="0"/>
        </w:rPr>
        <w:t>、</w:t>
        <w:tab/>
        <w:t>持有待售资产</w:t>
      </w:r>
      <w:bookmarkEnd w:id="765"/>
      <w:bookmarkEnd w:id="766"/>
      <w:bookmarkEnd w:id="768"/>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此类资产或处置组的惯例，在当前状况下即可立即出售；本公司已经就出售计划作出决议且获得确定的购买承诺；预计出售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color w:val="000000"/>
          <w:spacing w:val="0"/>
          <w:w w:val="100"/>
          <w:position w:val="0"/>
        </w:rPr>
        <w:t>8</w:t>
      </w:r>
      <w:r>
        <w:rPr>
          <w:color w:val="000000"/>
          <w:spacing w:val="0"/>
          <w:w w:val="100"/>
          <w:position w:val="0"/>
        </w:rPr>
        <w:t>号一一资产减值》分摊了企业合 并中取得的商誉的，该处置组应当包含分摊至处置组的商誉。</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rPr>
        <w:t>42</w:t>
      </w:r>
      <w:r>
        <w:rPr>
          <w:color w:val="000000"/>
          <w:spacing w:val="0"/>
          <w:w w:val="100"/>
          <w:position w:val="0"/>
        </w:rPr>
        <w:t>号一一持有待售的非流动资产、处置组和终止经营》（以下简称“持有待售准则”）的计量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r>
        <w:rPr>
          <w:color w:val="000000"/>
          <w:spacing w:val="0"/>
          <w:w w:val="100"/>
          <w:position w:val="0"/>
        </w:rPr>
        <w:t>（1）</w:t>
      </w:r>
      <w:r>
        <w:rPr>
          <w:color w:val="000000"/>
          <w:spacing w:val="0"/>
          <w:w w:val="100"/>
          <w:position w:val="0"/>
        </w:rPr>
        <w:t>划分为持有待售类别前的账面价值，按照假定不划分为持有 待售类别情况下本应确认的折旧、摊销或减值等进行调整后的金额；</w:t>
      </w:r>
      <w:r>
        <w:rPr>
          <w:color w:val="000000"/>
          <w:spacing w:val="0"/>
          <w:w w:val="100"/>
          <w:position w:val="0"/>
        </w:rPr>
        <w:t>（2）</w:t>
      </w:r>
      <w:r>
        <w:rPr>
          <w:color w:val="000000"/>
          <w:spacing w:val="0"/>
          <w:w w:val="100"/>
          <w:position w:val="0"/>
        </w:rPr>
        <w:t>可收回金额。</w:t>
      </w:r>
    </w:p>
    <w:p>
      <w:pPr>
        <w:pStyle w:val="Style30"/>
        <w:keepNext/>
        <w:keepLines/>
        <w:widowControl w:val="0"/>
        <w:shd w:val="clear" w:color="auto" w:fill="auto"/>
        <w:tabs>
          <w:tab w:pos="408" w:val="left"/>
        </w:tabs>
        <w:bidi w:val="0"/>
        <w:spacing w:before="0" w:after="2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1</w:t>
      </w:r>
      <w:bookmarkEnd w:id="771"/>
      <w:r>
        <w:rPr>
          <w:color w:val="000000"/>
          <w:spacing w:val="0"/>
          <w:w w:val="100"/>
          <w:position w:val="0"/>
        </w:rPr>
        <w:t>9</w:t>
      </w:r>
      <w:r>
        <w:rPr>
          <w:color w:val="000000"/>
          <w:spacing w:val="0"/>
          <w:w w:val="100"/>
          <w:position w:val="0"/>
        </w:rPr>
        <w:t>、</w:t>
        <w:tab/>
        <w:t>长期应收款</w:t>
      </w:r>
      <w:bookmarkEnd w:id="769"/>
      <w:bookmarkEnd w:id="770"/>
      <w:bookmarkEnd w:id="772"/>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详见本附注五、</w:t>
      </w:r>
      <w:r>
        <w:rPr>
          <w:color w:val="000000"/>
          <w:spacing w:val="0"/>
          <w:w w:val="100"/>
          <w:position w:val="0"/>
        </w:rPr>
        <w:t xml:space="preserve">10 </w:t>
      </w:r>
      <w:r>
        <w:rPr>
          <w:color w:val="000000"/>
          <w:spacing w:val="0"/>
          <w:w w:val="100"/>
          <w:position w:val="0"/>
        </w:rPr>
        <w:t>“金融工具”</w:t>
      </w:r>
    </w:p>
    <w:p>
      <w:pPr>
        <w:pStyle w:val="Style30"/>
        <w:keepNext/>
        <w:keepLines/>
        <w:widowControl w:val="0"/>
        <w:shd w:val="clear" w:color="auto" w:fill="auto"/>
        <w:tabs>
          <w:tab w:pos="418" w:val="left"/>
        </w:tabs>
        <w:bidi w:val="0"/>
        <w:spacing w:before="0" w:after="28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2</w:t>
      </w:r>
      <w:bookmarkEnd w:id="775"/>
      <w:r>
        <w:rPr>
          <w:color w:val="000000"/>
          <w:spacing w:val="0"/>
          <w:w w:val="100"/>
          <w:position w:val="0"/>
        </w:rPr>
        <w:t>0</w:t>
      </w:r>
      <w:r>
        <w:rPr>
          <w:color w:val="000000"/>
          <w:spacing w:val="0"/>
          <w:w w:val="100"/>
          <w:position w:val="0"/>
        </w:rPr>
        <w:t>、</w:t>
        <w:tab/>
        <w:t>长期股权投资</w:t>
      </w:r>
      <w:bookmarkEnd w:id="773"/>
      <w:bookmarkEnd w:id="774"/>
      <w:bookmarkEnd w:id="776"/>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资单位不具有控制、共同控制或重大影响的长期股权投资，作为以公允价值计量且其变动计入当期损益的金融资产核算，其 中如果属于非交易性的，本公司在初始确认时可选择将其指定为以公允价值计量且其变动计入其他综合收益的金融资产核算, 其会计政策详见附注五、</w:t>
      </w:r>
      <w:r>
        <w:rPr>
          <w:color w:val="000000"/>
          <w:spacing w:val="0"/>
          <w:w w:val="100"/>
          <w:position w:val="0"/>
        </w:rPr>
        <w:t xml:space="preserve">10 </w:t>
      </w:r>
      <w:r>
        <w:rPr>
          <w:color w:val="000000"/>
          <w:spacing w:val="0"/>
          <w:w w:val="100"/>
          <w:position w:val="0"/>
        </w:rPr>
        <w:t>“金融工具”。</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w:t>
      </w:r>
      <w:r>
        <w:rPr>
          <w:color w:val="000000"/>
          <w:spacing w:val="0"/>
          <w:w w:val="100"/>
          <w:position w:val="0"/>
        </w:rPr>
        <w:t>他方一起共同控制这些政策的制定。</w:t>
      </w:r>
    </w:p>
    <w:p>
      <w:pPr>
        <w:pStyle w:val="Style26"/>
        <w:keepNext w:val="0"/>
        <w:keepLines w:val="0"/>
        <w:widowControl w:val="0"/>
        <w:shd w:val="clear" w:color="auto" w:fill="auto"/>
        <w:tabs>
          <w:tab w:pos="825" w:val="left"/>
        </w:tabs>
        <w:bidi w:val="0"/>
        <w:spacing w:before="0" w:after="0" w:line="313" w:lineRule="exact"/>
        <w:ind w:left="0" w:right="0" w:firstLine="440"/>
        <w:jc w:val="left"/>
      </w:pPr>
      <w:bookmarkStart w:id="777" w:name="bookmark777"/>
      <w:r>
        <w:rPr>
          <w:color w:val="000000"/>
          <w:spacing w:val="0"/>
          <w:w w:val="100"/>
          <w:position w:val="0"/>
        </w:rPr>
        <w:t>（</w:t>
      </w:r>
      <w:bookmarkEnd w:id="777"/>
      <w:r>
        <w:rPr>
          <w:color w:val="000000"/>
          <w:spacing w:val="0"/>
          <w:w w:val="100"/>
          <w:position w:val="0"/>
        </w:rPr>
        <w:t>1）</w:t>
        <w:tab/>
      </w:r>
      <w:r>
        <w:rPr>
          <w:color w:val="000000"/>
          <w:spacing w:val="0"/>
          <w:w w:val="100"/>
          <w:position w:val="0"/>
        </w:rPr>
        <w:t>投资成本的确定</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“一揽子交易”进行处理：属于“一揽子交易”的，将各项交易作为一项取得控制权的交易进行会计处理。不属于“一揽子 交易”的，在合并日按照应享有被合并方股东权益在最终控制方合并财务报表中的账面价值的份额作为长期股权投资的初始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价值之和的差额，调整资本公积；资本公积不足冲减的，调整留存收益。合并日之前持有的股权投资因采用权益法核算或作 为以公允价值计量且其变动计入其他综合收益的金融资产而确认的其他综合收益，暂不进行会计处理。</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权，最终形成非同一控制下的企业合并的，应分别是否属于“一揽子交易”进行处理：属于“一揽子交易”的，将各项交易 作为一项取得控制权的交易进行会计处理。不属于“一揽子交易”的，按照原持有被购买方的股权投资账面价值加上新增投 资成本之和，作为改按成本法核算的长期股权投资的初始投资成本。原持有的股权采用权益法核算的，相关其他综合收益暂 不进行会计处理。</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rPr>
        <w:t>22</w:t>
      </w:r>
      <w:r>
        <w:rPr>
          <w:color w:val="000000"/>
          <w:spacing w:val="0"/>
          <w:w w:val="100"/>
          <w:position w:val="0"/>
        </w:rPr>
        <w:t>号一一金融工具确认和计量》确定的原持有股权投资的公允价值加 上新增投资成本之和。</w:t>
      </w:r>
    </w:p>
    <w:p>
      <w:pPr>
        <w:pStyle w:val="Style26"/>
        <w:keepNext w:val="0"/>
        <w:keepLines w:val="0"/>
        <w:widowControl w:val="0"/>
        <w:shd w:val="clear" w:color="auto" w:fill="auto"/>
        <w:tabs>
          <w:tab w:pos="825" w:val="left"/>
        </w:tabs>
        <w:bidi w:val="0"/>
        <w:spacing w:before="0" w:after="0" w:line="313" w:lineRule="exact"/>
        <w:ind w:left="0" w:right="0" w:firstLine="440"/>
        <w:jc w:val="left"/>
      </w:pPr>
      <w:bookmarkStart w:id="778" w:name="bookmark778"/>
      <w:r>
        <w:rPr>
          <w:color w:val="000000"/>
          <w:spacing w:val="0"/>
          <w:w w:val="100"/>
          <w:position w:val="0"/>
        </w:rPr>
        <w:t>（</w:t>
      </w:r>
      <w:bookmarkEnd w:id="778"/>
      <w:r>
        <w:rPr>
          <w:color w:val="000000"/>
          <w:spacing w:val="0"/>
          <w:w w:val="100"/>
          <w:position w:val="0"/>
        </w:rPr>
        <w:t>2）</w:t>
        <w:tab/>
      </w:r>
      <w:r>
        <w:rPr>
          <w:color w:val="000000"/>
          <w:spacing w:val="0"/>
          <w:w w:val="100"/>
          <w:position w:val="0"/>
        </w:rPr>
        <w:t>后续计量及损益确认方法</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26"/>
        <w:keepNext w:val="0"/>
        <w:keepLines w:val="0"/>
        <w:widowControl w:val="0"/>
        <w:numPr>
          <w:ilvl w:val="0"/>
          <w:numId w:val="25"/>
        </w:numPr>
        <w:shd w:val="clear" w:color="auto" w:fill="auto"/>
        <w:tabs>
          <w:tab w:pos="757" w:val="left"/>
        </w:tabs>
        <w:bidi w:val="0"/>
        <w:spacing w:before="0" w:after="0" w:line="313" w:lineRule="exact"/>
        <w:ind w:left="0" w:right="0" w:firstLine="440"/>
        <w:jc w:val="both"/>
      </w:pPr>
      <w:bookmarkStart w:id="779" w:name="bookmark779"/>
      <w:bookmarkEnd w:id="779"/>
      <w:r>
        <w:rPr>
          <w:color w:val="000000"/>
          <w:spacing w:val="0"/>
          <w:w w:val="100"/>
          <w:position w:val="0"/>
        </w:rPr>
        <w:t>成本法核算的长期股权投资</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26"/>
        <w:keepNext w:val="0"/>
        <w:keepLines w:val="0"/>
        <w:widowControl w:val="0"/>
        <w:numPr>
          <w:ilvl w:val="0"/>
          <w:numId w:val="25"/>
        </w:numPr>
        <w:shd w:val="clear" w:color="auto" w:fill="auto"/>
        <w:tabs>
          <w:tab w:pos="757" w:val="left"/>
        </w:tabs>
        <w:bidi w:val="0"/>
        <w:spacing w:before="0" w:after="0" w:line="313" w:lineRule="exact"/>
        <w:ind w:left="0" w:right="0" w:firstLine="440"/>
        <w:jc w:val="both"/>
      </w:pPr>
      <w:bookmarkStart w:id="780" w:name="bookmark780"/>
      <w:bookmarkEnd w:id="780"/>
      <w:r>
        <w:rPr>
          <w:color w:val="000000"/>
          <w:spacing w:val="0"/>
          <w:w w:val="100"/>
          <w:position w:val="0"/>
        </w:rPr>
        <w:t>权益法核算的长期股权投资</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w:t>
      </w:r>
      <w:r>
        <w:rPr>
          <w:color w:val="000000"/>
          <w:spacing w:val="0"/>
          <w:w w:val="100"/>
          <w:position w:val="0"/>
        </w:rPr>
        <w:t>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color w:val="000000"/>
          <w:spacing w:val="0"/>
          <w:w w:val="100"/>
          <w:position w:val="0"/>
        </w:rPr>
        <w:t>20</w:t>
      </w:r>
      <w:r>
        <w:rPr>
          <w:color w:val="000000"/>
          <w:spacing w:val="0"/>
          <w:w w:val="100"/>
          <w:position w:val="0"/>
        </w:rPr>
        <w:t>号一一企业合并》的规定进行会计处理，全额确认与 交易相关的利得或损失。</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26"/>
        <w:keepNext w:val="0"/>
        <w:keepLines w:val="0"/>
        <w:widowControl w:val="0"/>
        <w:shd w:val="clear" w:color="auto" w:fill="auto"/>
        <w:bidi w:val="0"/>
        <w:spacing w:before="0" w:after="0" w:line="346" w:lineRule="exact"/>
        <w:ind w:left="0" w:right="0" w:firstLine="440"/>
        <w:jc w:val="left"/>
      </w:pPr>
      <w:r>
        <w:rPr>
          <w:color w:val="000000"/>
          <w:spacing w:val="0"/>
          <w:w w:val="100"/>
          <w:position w:val="0"/>
        </w:rPr>
        <w:t>对于本公司首次执行新会计准则之前已经持有的对联营企业和合营企业的长期股权投资，如存在与该投资相关的股权 投资借方差额，按原剩余期限直线摊销的金额计入当期损益。</w:t>
      </w:r>
    </w:p>
    <w:p>
      <w:pPr>
        <w:pStyle w:val="Style26"/>
        <w:keepNext w:val="0"/>
        <w:keepLines w:val="0"/>
        <w:widowControl w:val="0"/>
        <w:numPr>
          <w:ilvl w:val="0"/>
          <w:numId w:val="25"/>
        </w:numPr>
        <w:shd w:val="clear" w:color="auto" w:fill="auto"/>
        <w:tabs>
          <w:tab w:pos="753" w:val="left"/>
        </w:tabs>
        <w:bidi w:val="0"/>
        <w:spacing w:before="0" w:after="0" w:line="312" w:lineRule="exact"/>
        <w:ind w:left="0" w:right="0" w:firstLine="440"/>
        <w:jc w:val="left"/>
      </w:pPr>
      <w:bookmarkStart w:id="781" w:name="bookmark781"/>
      <w:bookmarkEnd w:id="781"/>
      <w:r>
        <w:rPr>
          <w:color w:val="000000"/>
          <w:spacing w:val="0"/>
          <w:w w:val="100"/>
          <w:position w:val="0"/>
        </w:rPr>
        <w:t>收购少数股权</w:t>
      </w:r>
    </w:p>
    <w:p>
      <w:pPr>
        <w:pStyle w:val="Style2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26"/>
        <w:keepNext w:val="0"/>
        <w:keepLines w:val="0"/>
        <w:widowControl w:val="0"/>
        <w:numPr>
          <w:ilvl w:val="0"/>
          <w:numId w:val="25"/>
        </w:numPr>
        <w:shd w:val="clear" w:color="auto" w:fill="auto"/>
        <w:tabs>
          <w:tab w:pos="753" w:val="left"/>
        </w:tabs>
        <w:bidi w:val="0"/>
        <w:spacing w:before="0" w:after="0" w:line="312" w:lineRule="exact"/>
        <w:ind w:left="0" w:right="0" w:firstLine="440"/>
        <w:jc w:val="both"/>
      </w:pPr>
      <w:bookmarkStart w:id="782" w:name="bookmark782"/>
      <w:bookmarkEnd w:id="782"/>
      <w:r>
        <w:rPr>
          <w:color w:val="000000"/>
          <w:spacing w:val="0"/>
          <w:w w:val="100"/>
          <w:position w:val="0"/>
        </w:rPr>
        <w:t>处置长期股权投资</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color w:val="000000"/>
          <w:spacing w:val="0"/>
          <w:w w:val="100"/>
          <w:position w:val="0"/>
        </w:rPr>
        <w:t>6“</w:t>
      </w:r>
      <w:r>
        <w:rPr>
          <w:color w:val="000000"/>
          <w:spacing w:val="0"/>
          <w:w w:val="100"/>
          <w:position w:val="0"/>
        </w:rPr>
        <w:t>合并财务报表编制的方法”</w:t>
      </w:r>
      <w:r>
        <w:rPr>
          <w:color w:val="000000"/>
          <w:spacing w:val="0"/>
          <w:w w:val="100"/>
          <w:position w:val="0"/>
        </w:rPr>
        <w:t>（2）</w:t>
      </w:r>
      <w:r>
        <w:rPr>
          <w:color w:val="000000"/>
          <w:spacing w:val="0"/>
          <w:w w:val="100"/>
          <w:position w:val="0"/>
        </w:rPr>
        <w:t>中所述的相关会计政策处理。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0"/>
        <w:keepNext/>
        <w:keepLines/>
        <w:widowControl w:val="0"/>
        <w:shd w:val="clear" w:color="auto" w:fill="auto"/>
        <w:bidi w:val="0"/>
        <w:spacing w:before="0" w:after="36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2</w:t>
      </w:r>
      <w:bookmarkEnd w:id="785"/>
      <w:r>
        <w:rPr>
          <w:color w:val="000000"/>
          <w:spacing w:val="0"/>
          <w:w w:val="100"/>
          <w:position w:val="0"/>
        </w:rPr>
        <w:t>1</w:t>
      </w:r>
      <w:r>
        <w:rPr>
          <w:color w:val="000000"/>
          <w:spacing w:val="0"/>
          <w:w w:val="100"/>
          <w:position w:val="0"/>
        </w:rPr>
        <w:t>、固定资产</w:t>
      </w:r>
      <w:bookmarkEnd w:id="783"/>
      <w:bookmarkEnd w:id="784"/>
      <w:bookmarkEnd w:id="786"/>
    </w:p>
    <w:p>
      <w:pPr>
        <w:pStyle w:val="Style36"/>
        <w:keepNext/>
        <w:keepLines/>
        <w:widowControl w:val="0"/>
        <w:numPr>
          <w:ilvl w:val="0"/>
          <w:numId w:val="27"/>
        </w:numPr>
        <w:shd w:val="clear" w:color="auto" w:fill="auto"/>
        <w:bidi w:val="0"/>
        <w:spacing w:before="0" w:after="280" w:line="240" w:lineRule="auto"/>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确认条件</w:t>
      </w:r>
      <w:bookmarkEnd w:id="787"/>
      <w:bookmarkEnd w:id="788"/>
      <w:bookmarkEnd w:id="790"/>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6"/>
        <w:keepNext/>
        <w:keepLines/>
        <w:widowControl w:val="0"/>
        <w:numPr>
          <w:ilvl w:val="0"/>
          <w:numId w:val="27"/>
        </w:numPr>
        <w:shd w:val="clear" w:color="auto" w:fill="auto"/>
        <w:bidi w:val="0"/>
        <w:spacing w:before="0" w:after="360" w:line="240" w:lineRule="auto"/>
        <w:ind w:left="0" w:right="0" w:firstLine="140"/>
        <w:jc w:val="left"/>
      </w:pPr>
      <w:bookmarkStart w:id="791" w:name="bookmark791"/>
      <w:bookmarkStart w:id="792" w:name="bookmark792"/>
      <w:bookmarkStart w:id="793" w:name="bookmark793"/>
      <w:bookmarkStart w:id="794" w:name="bookmark794"/>
      <w:bookmarkEnd w:id="793"/>
      <w:r>
        <w:rPr>
          <w:color w:val="000000"/>
          <w:spacing w:val="0"/>
          <w:w w:val="100"/>
          <w:position w:val="0"/>
        </w:rPr>
        <w:t>折旧方法</w:t>
      </w:r>
      <w:bookmarkEnd w:id="791"/>
      <w:bookmarkEnd w:id="792"/>
      <w:bookmarkEnd w:id="794"/>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9.5-31.67</w:t>
            </w:r>
          </w:p>
        </w:tc>
      </w:tr>
    </w:tbl>
    <w:p>
      <w:pPr>
        <w:pStyle w:val="Style33"/>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对于用于项目服务的专用设备，将在预计使用寿命和合同约定的服务年限两者中较短年限内计提折旧。</w:t>
      </w:r>
    </w:p>
    <w:p>
      <w:pPr>
        <w:widowControl w:val="0"/>
        <w:spacing w:after="359" w:line="1" w:lineRule="exact"/>
      </w:pPr>
    </w:p>
    <w:p>
      <w:pPr>
        <w:pStyle w:val="Style36"/>
        <w:keepNext/>
        <w:keepLines/>
        <w:widowControl w:val="0"/>
        <w:numPr>
          <w:ilvl w:val="0"/>
          <w:numId w:val="27"/>
        </w:numPr>
        <w:shd w:val="clear" w:color="auto" w:fill="auto"/>
        <w:bidi w:val="0"/>
        <w:spacing w:before="0" w:after="28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融资租入固定资产的认定依据、计价和折旧方法</w:t>
      </w:r>
      <w:bookmarkEnd w:id="795"/>
      <w:bookmarkEnd w:id="796"/>
      <w:bookmarkEnd w:id="798"/>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2</w:t>
      </w:r>
      <w:bookmarkEnd w:id="801"/>
      <w:r>
        <w:rPr>
          <w:color w:val="000000"/>
          <w:spacing w:val="0"/>
          <w:w w:val="100"/>
          <w:position w:val="0"/>
        </w:rPr>
        <w:t>2</w:t>
      </w:r>
      <w:r>
        <w:rPr>
          <w:color w:val="000000"/>
          <w:spacing w:val="0"/>
          <w:w w:val="100"/>
          <w:position w:val="0"/>
        </w:rPr>
        <w:t>、</w:t>
        <w:tab/>
        <w:t>在建工程</w:t>
      </w:r>
      <w:bookmarkEnd w:id="799"/>
      <w:bookmarkEnd w:id="800"/>
      <w:bookmarkEnd w:id="802"/>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26"/>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在建工程的减值测试方法和减值准备计提方法详见附注五、</w:t>
      </w:r>
      <w:r>
        <w:rPr>
          <w:color w:val="000000"/>
          <w:spacing w:val="0"/>
          <w:w w:val="100"/>
          <w:position w:val="0"/>
        </w:rPr>
        <w:t>25“</w:t>
      </w:r>
      <w:r>
        <w:rPr>
          <w:color w:val="000000"/>
          <w:spacing w:val="0"/>
          <w:w w:val="100"/>
          <w:position w:val="0"/>
        </w:rPr>
        <w:t>长期资产减值”。</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2</w:t>
      </w:r>
      <w:bookmarkEnd w:id="805"/>
      <w:r>
        <w:rPr>
          <w:color w:val="000000"/>
          <w:spacing w:val="0"/>
          <w:w w:val="100"/>
          <w:position w:val="0"/>
        </w:rPr>
        <w:t>3</w:t>
      </w:r>
      <w:r>
        <w:rPr>
          <w:color w:val="000000"/>
          <w:spacing w:val="0"/>
          <w:w w:val="100"/>
          <w:position w:val="0"/>
        </w:rPr>
        <w:t>、</w:t>
        <w:tab/>
        <w:t>借款费用</w:t>
      </w:r>
      <w:bookmarkEnd w:id="803"/>
      <w:bookmarkEnd w:id="804"/>
      <w:bookmarkEnd w:id="806"/>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 xml:space="preserve">个月的，暂停借款费用的资 </w:t>
      </w:r>
      <w:r>
        <w:rPr>
          <w:color w:val="000000"/>
          <w:spacing w:val="0"/>
          <w:w w:val="100"/>
          <w:position w:val="0"/>
        </w:rPr>
        <w:t>本化，直至资产的购建或生产活动重新开始。</w:t>
      </w:r>
    </w:p>
    <w:p>
      <w:pPr>
        <w:pStyle w:val="Style30"/>
        <w:keepNext/>
        <w:keepLines/>
        <w:widowControl w:val="0"/>
        <w:shd w:val="clear" w:color="auto" w:fill="auto"/>
        <w:tabs>
          <w:tab w:pos="478" w:val="left"/>
        </w:tabs>
        <w:bidi w:val="0"/>
        <w:spacing w:before="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2</w:t>
      </w:r>
      <w:bookmarkEnd w:id="809"/>
      <w:r>
        <w:rPr>
          <w:color w:val="000000"/>
          <w:spacing w:val="0"/>
          <w:w w:val="100"/>
          <w:position w:val="0"/>
        </w:rPr>
        <w:t>4</w:t>
      </w:r>
      <w:r>
        <w:rPr>
          <w:color w:val="000000"/>
          <w:spacing w:val="0"/>
          <w:w w:val="100"/>
          <w:position w:val="0"/>
        </w:rPr>
        <w:t>、</w:t>
        <w:tab/>
        <w:t>无形资产</w:t>
      </w:r>
      <w:bookmarkEnd w:id="807"/>
      <w:bookmarkEnd w:id="808"/>
      <w:bookmarkEnd w:id="810"/>
    </w:p>
    <w:p>
      <w:pPr>
        <w:pStyle w:val="Style36"/>
        <w:keepNext/>
        <w:keepLines/>
        <w:widowControl w:val="0"/>
        <w:shd w:val="clear" w:color="auto" w:fill="auto"/>
        <w:tabs>
          <w:tab w:pos="493"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color w:val="000000"/>
          <w:spacing w:val="0"/>
          <w:w w:val="100"/>
          <w:position w:val="0"/>
        </w:rPr>
        <w:t>1）</w:t>
        <w:tab/>
      </w:r>
      <w:r>
        <w:rPr>
          <w:color w:val="000000"/>
          <w:spacing w:val="0"/>
          <w:w w:val="100"/>
          <w:position w:val="0"/>
        </w:rPr>
        <w:t>计价方法、使用寿命、减值测试</w:t>
      </w:r>
      <w:bookmarkEnd w:id="811"/>
      <w:bookmarkEnd w:id="812"/>
      <w:bookmarkEnd w:id="814"/>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无形资产是指本公司拥有或者控制的没有实物形态的可辨认非货币性资产。</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6"/>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rPr>
        <w:t>25“</w:t>
      </w:r>
      <w:r>
        <w:rPr>
          <w:color w:val="000000"/>
          <w:spacing w:val="0"/>
          <w:w w:val="100"/>
          <w:position w:val="0"/>
        </w:rPr>
        <w:t>长期资产减值”。</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color w:val="000000"/>
          <w:spacing w:val="0"/>
          <w:w w:val="100"/>
          <w:position w:val="0"/>
        </w:rPr>
        <w:t>2）</w:t>
        <w:tab/>
      </w:r>
      <w:r>
        <w:rPr>
          <w:color w:val="000000"/>
          <w:spacing w:val="0"/>
          <w:w w:val="100"/>
          <w:position w:val="0"/>
        </w:rPr>
        <w:t>内部研究开发支出会计政策</w:t>
      </w:r>
      <w:bookmarkEnd w:id="815"/>
      <w:bookmarkEnd w:id="816"/>
      <w:bookmarkEnd w:id="818"/>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26"/>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819" w:name="bookmark819"/>
      <w:bookmarkEnd w:id="819"/>
      <w:r>
        <w:rPr>
          <w:color w:val="000000"/>
          <w:spacing w:val="0"/>
          <w:w w:val="100"/>
          <w:position w:val="0"/>
        </w:rPr>
        <w:t>完成该无形资产以使其能够使用或出售在技术上具有可行性；</w:t>
      </w:r>
    </w:p>
    <w:p>
      <w:pPr>
        <w:pStyle w:val="Style26"/>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820" w:name="bookmark820"/>
      <w:bookmarkEnd w:id="820"/>
      <w:r>
        <w:rPr>
          <w:color w:val="000000"/>
          <w:spacing w:val="0"/>
          <w:w w:val="100"/>
          <w:position w:val="0"/>
        </w:rPr>
        <w:t>具有完成该无形资产并使用或出售的意图；</w:t>
      </w:r>
    </w:p>
    <w:p>
      <w:pPr>
        <w:pStyle w:val="Style26"/>
        <w:keepNext w:val="0"/>
        <w:keepLines w:val="0"/>
        <w:widowControl w:val="0"/>
        <w:numPr>
          <w:ilvl w:val="0"/>
          <w:numId w:val="29"/>
        </w:numPr>
        <w:shd w:val="clear" w:color="auto" w:fill="auto"/>
        <w:tabs>
          <w:tab w:pos="786" w:val="left"/>
        </w:tabs>
        <w:bidi w:val="0"/>
        <w:spacing w:before="0" w:after="0" w:line="312" w:lineRule="exact"/>
        <w:ind w:left="0" w:right="0" w:firstLine="440"/>
        <w:jc w:val="both"/>
      </w:pPr>
      <w:bookmarkStart w:id="821" w:name="bookmark821"/>
      <w:bookmarkEnd w:id="821"/>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6"/>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822" w:name="bookmark822"/>
      <w:bookmarkEnd w:id="822"/>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823" w:name="bookmark823"/>
      <w:bookmarkEnd w:id="823"/>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tabs>
          <w:tab w:pos="478" w:val="left"/>
        </w:tabs>
        <w:bidi w:val="0"/>
        <w:spacing w:before="0" w:after="28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2</w:t>
      </w:r>
      <w:bookmarkEnd w:id="826"/>
      <w:r>
        <w:rPr>
          <w:color w:val="000000"/>
          <w:spacing w:val="0"/>
          <w:w w:val="100"/>
          <w:position w:val="0"/>
        </w:rPr>
        <w:t>5</w:t>
      </w:r>
      <w:r>
        <w:rPr>
          <w:color w:val="000000"/>
          <w:spacing w:val="0"/>
          <w:w w:val="100"/>
          <w:position w:val="0"/>
        </w:rPr>
        <w:t>、</w:t>
        <w:tab/>
        <w:t>长期资产减值</w:t>
      </w:r>
      <w:bookmarkEnd w:id="824"/>
      <w:bookmarkEnd w:id="825"/>
      <w:bookmarkEnd w:id="827"/>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w:t>
      </w:r>
      <w:r>
        <w:rPr>
          <w:color w:val="000000"/>
          <w:spacing w:val="0"/>
          <w:w w:val="100"/>
          <w:position w:val="0"/>
        </w:rPr>
        <w:t>生现金流入的最小资产组合。</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71"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2</w:t>
      </w:r>
      <w:bookmarkEnd w:id="830"/>
      <w:r>
        <w:rPr>
          <w:color w:val="000000"/>
          <w:spacing w:val="0"/>
          <w:w w:val="100"/>
          <w:position w:val="0"/>
        </w:rPr>
        <w:t>6</w:t>
      </w:r>
      <w:r>
        <w:rPr>
          <w:color w:val="000000"/>
          <w:spacing w:val="0"/>
          <w:w w:val="100"/>
          <w:position w:val="0"/>
        </w:rPr>
        <w:t>、</w:t>
        <w:tab/>
        <w:t>长期待摊费用</w:t>
      </w:r>
      <w:bookmarkEnd w:id="828"/>
      <w:bookmarkEnd w:id="829"/>
      <w:bookmarkEnd w:id="831"/>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长期待摊费用为已经发生的但应由本年和以后各期负担的摊销期限在一年以上的经营租赁方式租入的固定资产改良支 出等各项费用确认为长期待摊费用，并按项目受益期采用直线法平均摊销。</w:t>
      </w:r>
    </w:p>
    <w:p>
      <w:pPr>
        <w:pStyle w:val="Style30"/>
        <w:keepNext/>
        <w:keepLines/>
        <w:widowControl w:val="0"/>
        <w:shd w:val="clear" w:color="auto" w:fill="auto"/>
        <w:tabs>
          <w:tab w:pos="471"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2</w:t>
      </w:r>
      <w:bookmarkEnd w:id="834"/>
      <w:r>
        <w:rPr>
          <w:color w:val="000000"/>
          <w:spacing w:val="0"/>
          <w:w w:val="100"/>
          <w:position w:val="0"/>
        </w:rPr>
        <w:t>7</w:t>
      </w:r>
      <w:r>
        <w:rPr>
          <w:color w:val="000000"/>
          <w:spacing w:val="0"/>
          <w:w w:val="100"/>
          <w:position w:val="0"/>
        </w:rPr>
        <w:t>、</w:t>
        <w:tab/>
        <w:t>合同负债</w:t>
      </w:r>
      <w:bookmarkEnd w:id="832"/>
      <w:bookmarkEnd w:id="833"/>
      <w:bookmarkEnd w:id="835"/>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30"/>
        <w:keepNext/>
        <w:keepLines/>
        <w:widowControl w:val="0"/>
        <w:shd w:val="clear" w:color="auto" w:fill="auto"/>
        <w:tabs>
          <w:tab w:pos="471" w:val="left"/>
        </w:tabs>
        <w:bidi w:val="0"/>
        <w:spacing w:before="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2</w:t>
      </w:r>
      <w:bookmarkEnd w:id="838"/>
      <w:r>
        <w:rPr>
          <w:color w:val="000000"/>
          <w:spacing w:val="0"/>
          <w:w w:val="100"/>
          <w:position w:val="0"/>
        </w:rPr>
        <w:t>8</w:t>
      </w:r>
      <w:r>
        <w:rPr>
          <w:color w:val="000000"/>
          <w:spacing w:val="0"/>
          <w:w w:val="100"/>
          <w:position w:val="0"/>
        </w:rPr>
        <w:t>、</w:t>
        <w:tab/>
        <w:t>职工薪酬</w:t>
      </w:r>
      <w:bookmarkEnd w:id="836"/>
      <w:bookmarkEnd w:id="837"/>
      <w:bookmarkEnd w:id="839"/>
    </w:p>
    <w:p>
      <w:pPr>
        <w:pStyle w:val="Style36"/>
        <w:keepNext/>
        <w:keepLines/>
        <w:widowControl w:val="0"/>
        <w:shd w:val="clear" w:color="auto" w:fill="auto"/>
        <w:tabs>
          <w:tab w:pos="485"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color w:val="000000"/>
          <w:spacing w:val="0"/>
          <w:w w:val="100"/>
          <w:position w:val="0"/>
        </w:rPr>
        <w:t>1）</w:t>
        <w:tab/>
      </w:r>
      <w:r>
        <w:rPr>
          <w:color w:val="000000"/>
          <w:spacing w:val="0"/>
          <w:w w:val="100"/>
          <w:position w:val="0"/>
        </w:rPr>
        <w:t>短期薪酬的会计处理方法</w:t>
      </w:r>
      <w:bookmarkEnd w:id="840"/>
      <w:bookmarkEnd w:id="841"/>
      <w:bookmarkEnd w:id="843"/>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6"/>
        <w:keepNext/>
        <w:keepLines/>
        <w:widowControl w:val="0"/>
        <w:shd w:val="clear" w:color="auto" w:fill="auto"/>
        <w:tabs>
          <w:tab w:pos="485"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color w:val="000000"/>
          <w:spacing w:val="0"/>
          <w:w w:val="100"/>
          <w:position w:val="0"/>
        </w:rPr>
        <w:t>2）</w:t>
        <w:tab/>
      </w:r>
      <w:r>
        <w:rPr>
          <w:color w:val="000000"/>
          <w:spacing w:val="0"/>
          <w:w w:val="100"/>
          <w:position w:val="0"/>
        </w:rPr>
        <w:t>离职后福利的会计处理方法</w:t>
      </w:r>
      <w:bookmarkEnd w:id="844"/>
      <w:bookmarkEnd w:id="845"/>
      <w:bookmarkEnd w:id="847"/>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离职后福利主要包括基本养老保险、失业保险等。离职后福利计划包括设定提存计划。采用设定提存计划的，相应的应 缴存金额于发生时计入相关资产成本或当期损益。</w:t>
      </w:r>
    </w:p>
    <w:p>
      <w:pPr>
        <w:pStyle w:val="Style36"/>
        <w:keepNext/>
        <w:keepLines/>
        <w:widowControl w:val="0"/>
        <w:shd w:val="clear" w:color="auto" w:fill="auto"/>
        <w:tabs>
          <w:tab w:pos="485"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color w:val="000000"/>
          <w:spacing w:val="0"/>
          <w:w w:val="100"/>
          <w:position w:val="0"/>
        </w:rPr>
        <w:t>3）</w:t>
        <w:tab/>
      </w:r>
      <w:r>
        <w:rPr>
          <w:color w:val="000000"/>
          <w:spacing w:val="0"/>
          <w:w w:val="100"/>
          <w:position w:val="0"/>
        </w:rPr>
        <w:t>辞退福利的会计处理方法</w:t>
      </w:r>
      <w:bookmarkEnd w:id="848"/>
      <w:bookmarkEnd w:id="849"/>
      <w:bookmarkEnd w:id="851"/>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2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36"/>
        <w:keepNext/>
        <w:keepLines/>
        <w:widowControl w:val="0"/>
        <w:shd w:val="clear" w:color="auto" w:fill="auto"/>
        <w:tabs>
          <w:tab w:pos="485"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color w:val="000000"/>
          <w:spacing w:val="0"/>
          <w:w w:val="100"/>
          <w:position w:val="0"/>
        </w:rPr>
        <w:t>4）</w:t>
        <w:tab/>
      </w:r>
      <w:r>
        <w:rPr>
          <w:color w:val="000000"/>
          <w:spacing w:val="0"/>
          <w:w w:val="100"/>
          <w:position w:val="0"/>
        </w:rPr>
        <w:t>其他长期职工福利的会计处理方法</w:t>
      </w:r>
      <w:bookmarkEnd w:id="852"/>
      <w:bookmarkEnd w:id="853"/>
      <w:bookmarkEnd w:id="855"/>
    </w:p>
    <w:p>
      <w:pPr>
        <w:pStyle w:val="Style2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30"/>
        <w:keepNext/>
        <w:keepLines/>
        <w:widowControl w:val="0"/>
        <w:shd w:val="clear" w:color="auto" w:fill="auto"/>
        <w:tabs>
          <w:tab w:pos="452"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2</w:t>
      </w:r>
      <w:bookmarkEnd w:id="858"/>
      <w:r>
        <w:rPr>
          <w:color w:val="000000"/>
          <w:spacing w:val="0"/>
          <w:w w:val="100"/>
          <w:position w:val="0"/>
        </w:rPr>
        <w:t>9</w:t>
      </w:r>
      <w:r>
        <w:rPr>
          <w:color w:val="000000"/>
          <w:spacing w:val="0"/>
          <w:w w:val="100"/>
          <w:position w:val="0"/>
        </w:rPr>
        <w:t>、</w:t>
        <w:tab/>
        <w:t>预计负债</w:t>
      </w:r>
      <w:bookmarkEnd w:id="856"/>
      <w:bookmarkEnd w:id="857"/>
      <w:bookmarkEnd w:id="859"/>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该义务是本公司承担的现时义务；</w:t>
      </w:r>
      <w:r>
        <w:rPr>
          <w:color w:val="000000"/>
          <w:spacing w:val="0"/>
          <w:w w:val="100"/>
          <w:position w:val="0"/>
        </w:rPr>
        <w:t>（2）</w:t>
      </w:r>
      <w:r>
        <w:rPr>
          <w:color w:val="000000"/>
          <w:spacing w:val="0"/>
          <w:w w:val="100"/>
          <w:position w:val="0"/>
        </w:rPr>
        <w:t>履行该 义务很可能导致经济利益流出；</w:t>
      </w:r>
      <w:r>
        <w:rPr>
          <w:color w:val="000000"/>
          <w:spacing w:val="0"/>
          <w:w w:val="100"/>
          <w:position w:val="0"/>
        </w:rPr>
        <w:t>（3）</w:t>
      </w:r>
      <w:r>
        <w:rPr>
          <w:color w:val="000000"/>
          <w:spacing w:val="0"/>
          <w:w w:val="100"/>
          <w:position w:val="0"/>
        </w:rPr>
        <w:t>该义务的金额能够可靠地计量。</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6"/>
        <w:keepNext w:val="0"/>
        <w:keepLines w:val="0"/>
        <w:widowControl w:val="0"/>
        <w:shd w:val="clear" w:color="auto" w:fill="auto"/>
        <w:tabs>
          <w:tab w:pos="859" w:val="left"/>
        </w:tabs>
        <w:bidi w:val="0"/>
        <w:spacing w:before="0" w:after="0" w:line="312" w:lineRule="exact"/>
        <w:ind w:left="0" w:right="0" w:firstLine="440"/>
        <w:jc w:val="both"/>
      </w:pPr>
      <w:bookmarkStart w:id="860" w:name="bookmark860"/>
      <w:r>
        <w:rPr>
          <w:color w:val="000000"/>
          <w:spacing w:val="0"/>
          <w:w w:val="100"/>
          <w:position w:val="0"/>
        </w:rPr>
        <w:t>（</w:t>
      </w:r>
      <w:bookmarkEnd w:id="860"/>
      <w:r>
        <w:rPr>
          <w:color w:val="000000"/>
          <w:spacing w:val="0"/>
          <w:w w:val="100"/>
          <w:position w:val="0"/>
        </w:rPr>
        <w:t>1）</w:t>
        <w:tab/>
      </w:r>
      <w:r>
        <w:rPr>
          <w:color w:val="000000"/>
          <w:spacing w:val="0"/>
          <w:w w:val="100"/>
          <w:position w:val="0"/>
        </w:rPr>
        <w:t>亏损合同</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亏损合同是履行合同义务不可避免会发生的成本超过预期经济利益的合同。待执行合同变成亏损合同，且该亏损合同 资产生的义务满足上述预计负债的确认条件的，将合同预计损失超过合同标的资产已确认的减值损失（如有）的部分，确认 为预计负债。</w:t>
      </w:r>
    </w:p>
    <w:p>
      <w:pPr>
        <w:pStyle w:val="Style26"/>
        <w:keepNext w:val="0"/>
        <w:keepLines w:val="0"/>
        <w:widowControl w:val="0"/>
        <w:shd w:val="clear" w:color="auto" w:fill="auto"/>
        <w:tabs>
          <w:tab w:pos="859" w:val="left"/>
        </w:tabs>
        <w:bidi w:val="0"/>
        <w:spacing w:before="0" w:after="0" w:line="312" w:lineRule="exact"/>
        <w:ind w:left="0" w:right="0" w:firstLine="440"/>
        <w:jc w:val="both"/>
      </w:pPr>
      <w:bookmarkStart w:id="861" w:name="bookmark861"/>
      <w:r>
        <w:rPr>
          <w:color w:val="000000"/>
          <w:spacing w:val="0"/>
          <w:w w:val="100"/>
          <w:position w:val="0"/>
        </w:rPr>
        <w:t>（</w:t>
      </w:r>
      <w:bookmarkEnd w:id="861"/>
      <w:r>
        <w:rPr>
          <w:color w:val="000000"/>
          <w:spacing w:val="0"/>
          <w:w w:val="100"/>
          <w:position w:val="0"/>
        </w:rPr>
        <w:t>2）</w:t>
        <w:tab/>
      </w:r>
      <w:r>
        <w:rPr>
          <w:color w:val="000000"/>
          <w:spacing w:val="0"/>
          <w:w w:val="100"/>
          <w:position w:val="0"/>
        </w:rPr>
        <w:t>重组义务</w:t>
      </w:r>
    </w:p>
    <w:p>
      <w:pPr>
        <w:pStyle w:val="Style2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30"/>
        <w:keepNext/>
        <w:keepLines/>
        <w:widowControl w:val="0"/>
        <w:shd w:val="clear" w:color="auto" w:fill="auto"/>
        <w:tabs>
          <w:tab w:pos="452"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3</w:t>
      </w:r>
      <w:bookmarkEnd w:id="864"/>
      <w:r>
        <w:rPr>
          <w:color w:val="000000"/>
          <w:spacing w:val="0"/>
          <w:w w:val="100"/>
          <w:position w:val="0"/>
        </w:rPr>
        <w:t>0</w:t>
      </w:r>
      <w:r>
        <w:rPr>
          <w:color w:val="000000"/>
          <w:spacing w:val="0"/>
          <w:w w:val="100"/>
          <w:position w:val="0"/>
        </w:rPr>
        <w:t>、</w:t>
        <w:tab/>
        <w:t>股份支付</w:t>
      </w:r>
      <w:bookmarkEnd w:id="862"/>
      <w:bookmarkEnd w:id="863"/>
      <w:bookmarkEnd w:id="865"/>
    </w:p>
    <w:p>
      <w:pPr>
        <w:pStyle w:val="Style26"/>
        <w:keepNext w:val="0"/>
        <w:keepLines w:val="0"/>
        <w:widowControl w:val="0"/>
        <w:shd w:val="clear" w:color="auto" w:fill="auto"/>
        <w:tabs>
          <w:tab w:pos="859" w:val="left"/>
        </w:tabs>
        <w:bidi w:val="0"/>
        <w:spacing w:before="0" w:after="0" w:line="312"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1）</w:t>
        <w:tab/>
      </w:r>
      <w:r>
        <w:rPr>
          <w:color w:val="000000"/>
          <w:spacing w:val="0"/>
          <w:w w:val="100"/>
          <w:position w:val="0"/>
        </w:rPr>
        <w:t>股份支付的会计处理方法</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6"/>
        <w:keepNext w:val="0"/>
        <w:keepLines w:val="0"/>
        <w:widowControl w:val="0"/>
        <w:numPr>
          <w:ilvl w:val="0"/>
          <w:numId w:val="31"/>
        </w:numPr>
        <w:shd w:val="clear" w:color="auto" w:fill="auto"/>
        <w:tabs>
          <w:tab w:pos="787" w:val="left"/>
        </w:tabs>
        <w:bidi w:val="0"/>
        <w:spacing w:before="0" w:after="0" w:line="312" w:lineRule="exact"/>
        <w:ind w:left="0" w:right="0" w:firstLine="440"/>
        <w:jc w:val="both"/>
      </w:pPr>
      <w:bookmarkStart w:id="867" w:name="bookmark867"/>
      <w:bookmarkEnd w:id="867"/>
      <w:r>
        <w:rPr>
          <w:color w:val="000000"/>
          <w:spacing w:val="0"/>
          <w:w w:val="100"/>
          <w:position w:val="0"/>
        </w:rPr>
        <w:t>以权益结算的股份支付</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用以换取职工提供的服务的权益结算的股份支付，以授予职工权益工具在授予日的公允价值计量。该公允价值的金额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直线法计算计入相关成本或费用/在授予后立即可行权时，在授予日计入相关成本或费用，相应增加资本公积。</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当授予权益工具的公允价值无法可靠计量时，在服务取得日、后续的每个资产负债表日以及结算日，按权益工具的内 在价值计量，内在价值变动计入当期损益。</w:t>
      </w:r>
    </w:p>
    <w:p>
      <w:pPr>
        <w:pStyle w:val="Style26"/>
        <w:keepNext w:val="0"/>
        <w:keepLines w:val="0"/>
        <w:widowControl w:val="0"/>
        <w:numPr>
          <w:ilvl w:val="0"/>
          <w:numId w:val="31"/>
        </w:numPr>
        <w:shd w:val="clear" w:color="auto" w:fill="auto"/>
        <w:tabs>
          <w:tab w:pos="787" w:val="left"/>
        </w:tabs>
        <w:bidi w:val="0"/>
        <w:spacing w:before="0" w:after="0" w:line="312" w:lineRule="exact"/>
        <w:ind w:left="0" w:right="0" w:firstLine="440"/>
        <w:jc w:val="both"/>
      </w:pPr>
      <w:bookmarkStart w:id="868" w:name="bookmark868"/>
      <w:bookmarkEnd w:id="868"/>
      <w:r>
        <w:rPr>
          <w:color w:val="000000"/>
          <w:spacing w:val="0"/>
          <w:w w:val="100"/>
          <w:position w:val="0"/>
        </w:rPr>
        <w:t>以现金结算的股份支付</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在相关负债结算前的每个资产负债表日以及结算日，对负债的公允价值重新计量，其变动计入当期损益。</w:t>
      </w:r>
    </w:p>
    <w:p>
      <w:pPr>
        <w:pStyle w:val="Style26"/>
        <w:keepNext w:val="0"/>
        <w:keepLines w:val="0"/>
        <w:widowControl w:val="0"/>
        <w:shd w:val="clear" w:color="auto" w:fill="auto"/>
        <w:tabs>
          <w:tab w:pos="859" w:val="left"/>
        </w:tabs>
        <w:bidi w:val="0"/>
        <w:spacing w:before="0" w:after="0" w:line="312" w:lineRule="exact"/>
        <w:ind w:left="0" w:right="0" w:firstLine="440"/>
        <w:jc w:val="both"/>
      </w:pPr>
      <w:bookmarkStart w:id="869" w:name="bookmark869"/>
      <w:r>
        <w:rPr>
          <w:color w:val="000000"/>
          <w:spacing w:val="0"/>
          <w:w w:val="100"/>
          <w:position w:val="0"/>
        </w:rPr>
        <w:t>（</w:t>
      </w:r>
      <w:bookmarkEnd w:id="869"/>
      <w:r>
        <w:rPr>
          <w:color w:val="000000"/>
          <w:spacing w:val="0"/>
          <w:w w:val="100"/>
          <w:position w:val="0"/>
        </w:rPr>
        <w:t>2）</w:t>
        <w:tab/>
      </w:r>
      <w:r>
        <w:rPr>
          <w:color w:val="000000"/>
          <w:spacing w:val="0"/>
          <w:w w:val="100"/>
          <w:position w:val="0"/>
        </w:rPr>
        <w:t>修改、终止股份支付计划的相关会计处理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确认的金额立即计入当期损益，同时确认资本公积。职工或其他方能够选择满足非可行权条件但在等待期内未满足的，本公 司将其作为授予权益工具的取消处理。</w:t>
      </w:r>
    </w:p>
    <w:p>
      <w:pPr>
        <w:pStyle w:val="Style26"/>
        <w:keepNext w:val="0"/>
        <w:keepLines w:val="0"/>
        <w:widowControl w:val="0"/>
        <w:shd w:val="clear" w:color="auto" w:fill="auto"/>
        <w:bidi w:val="0"/>
        <w:spacing w:before="0" w:after="0" w:line="314" w:lineRule="exact"/>
        <w:ind w:left="0" w:right="0" w:firstLine="440"/>
        <w:jc w:val="both"/>
      </w:pPr>
      <w:bookmarkStart w:id="870" w:name="bookmark870"/>
      <w:r>
        <w:rPr>
          <w:color w:val="000000"/>
          <w:spacing w:val="0"/>
          <w:w w:val="100"/>
          <w:position w:val="0"/>
        </w:rPr>
        <w:t>（</w:t>
      </w:r>
      <w:bookmarkEnd w:id="870"/>
      <w:r>
        <w:rPr>
          <w:color w:val="000000"/>
          <w:spacing w:val="0"/>
          <w:w w:val="100"/>
          <w:position w:val="0"/>
        </w:rPr>
        <w:t>3</w:t>
      </w:r>
      <w:r>
        <w:rPr>
          <w:color w:val="000000"/>
          <w:spacing w:val="0"/>
          <w:w w:val="100"/>
          <w:position w:val="0"/>
        </w:rPr>
        <w:t>）涉及本公司与本公司股东或实际控制人的股份支付交易的会计处理</w:t>
      </w:r>
    </w:p>
    <w:p>
      <w:pPr>
        <w:pStyle w:val="Style26"/>
        <w:keepNext w:val="0"/>
        <w:keepLines w:val="0"/>
        <w:widowControl w:val="0"/>
        <w:shd w:val="clear" w:color="auto" w:fill="auto"/>
        <w:bidi w:val="0"/>
        <w:spacing w:before="0" w:after="0" w:line="346" w:lineRule="exact"/>
        <w:ind w:left="0" w:right="0" w:firstLine="440"/>
        <w:jc w:val="both"/>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26"/>
        <w:keepNext w:val="0"/>
        <w:keepLines w:val="0"/>
        <w:widowControl w:val="0"/>
        <w:numPr>
          <w:ilvl w:val="0"/>
          <w:numId w:val="33"/>
        </w:numPr>
        <w:shd w:val="clear" w:color="auto" w:fill="auto"/>
        <w:tabs>
          <w:tab w:pos="730" w:val="left"/>
        </w:tabs>
        <w:bidi w:val="0"/>
        <w:spacing w:before="0" w:after="0" w:line="313" w:lineRule="exact"/>
        <w:ind w:left="0" w:right="0" w:firstLine="440"/>
        <w:jc w:val="both"/>
      </w:pPr>
      <w:bookmarkStart w:id="871" w:name="bookmark871"/>
      <w:bookmarkEnd w:id="871"/>
      <w:r>
        <w:rPr>
          <w:color w:val="000000"/>
          <w:spacing w:val="0"/>
          <w:w w:val="100"/>
          <w:position w:val="0"/>
        </w:rPr>
        <w:t>结算企业以其本身权益工具结算的，将该股份支付交易作为权益结算的股份支付处理；除此之外，作为现金结算的 股份支付处理。</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业的长期股权投资，同时确认资本公积（其他资本公积）或负债。</w:t>
      </w:r>
    </w:p>
    <w:p>
      <w:pPr>
        <w:pStyle w:val="Style26"/>
        <w:keepNext w:val="0"/>
        <w:keepLines w:val="0"/>
        <w:widowControl w:val="0"/>
        <w:numPr>
          <w:ilvl w:val="0"/>
          <w:numId w:val="33"/>
        </w:numPr>
        <w:shd w:val="clear" w:color="auto" w:fill="auto"/>
        <w:tabs>
          <w:tab w:pos="730" w:val="left"/>
        </w:tabs>
        <w:bidi w:val="0"/>
        <w:spacing w:before="0" w:after="0" w:line="313" w:lineRule="exact"/>
        <w:ind w:left="0" w:right="0" w:firstLine="440"/>
        <w:jc w:val="both"/>
      </w:pPr>
      <w:bookmarkStart w:id="872" w:name="bookmark872"/>
      <w:bookmarkEnd w:id="872"/>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6"/>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本公司内各企业之间发生的股份支付交易，接受服务企业和结算企业不是同一企业的，在接受服务企业和结算企业各 自的个别财务报表中对该股份支付交易的确认和计量，比照上述原则处理。</w:t>
      </w:r>
    </w:p>
    <w:p>
      <w:pPr>
        <w:pStyle w:val="Style30"/>
        <w:keepNext/>
        <w:keepLines/>
        <w:widowControl w:val="0"/>
        <w:shd w:val="clear" w:color="auto" w:fill="auto"/>
        <w:bidi w:val="0"/>
        <w:spacing w:before="0" w:after="280" w:line="240" w:lineRule="auto"/>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3</w:t>
      </w:r>
      <w:bookmarkEnd w:id="875"/>
      <w:r>
        <w:rPr>
          <w:color w:val="000000"/>
          <w:spacing w:val="0"/>
          <w:w w:val="100"/>
          <w:position w:val="0"/>
        </w:rPr>
        <w:t>1</w:t>
      </w:r>
      <w:r>
        <w:rPr>
          <w:color w:val="000000"/>
          <w:spacing w:val="0"/>
          <w:w w:val="100"/>
          <w:position w:val="0"/>
        </w:rPr>
        <w:t>、收入</w:t>
      </w:r>
      <w:bookmarkEnd w:id="873"/>
      <w:bookmarkEnd w:id="874"/>
      <w:bookmarkEnd w:id="876"/>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收入确认和计量所采用的会计政策</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收入，是本公司在日常活动中形成的、会导致股东权益增加的、与股东投入资本无关的经济利益的总流入。本公司与 客户之间的合同同时满足下列条件时，在客户取得相关商品（含劳务，下同）控制权时确认收入：合同各方已批准该合同并 承诺将履行各自义务；合同明确了合同各方与所转让商品或提供劳务相关的权利和义务；合同有明确的与所转让商品相关的 支付条款；合同具有商业实质，即履行该合同将改变本公司未来现金流量的风险、时间分布或金额；本公司因向客户转让商 品而有权取得的对价很可能收回。其中，取得相关商品控制权,是指能够主导该商品的使用并从中获得几乎全部的经济利益。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在合同开始日，本公司识别合同中存在的各单项履约义务，并将交易价格按照各单项履约义务所承诺商品的单独售价 的相对比例分摊至各单项履约义务。在确定交易价格时考虑了可变对价、合同中存在的重大融资成分、非现金对价、应付客 户对价等因素的影响。</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对于合同中的每个单项履约义务，如果满足下列条件之一的，本公司在相关履约时段内按照履约进度将分摊至该单项 履约义务的交易价格确认为收入：客户在本公司履约的同时即取得并消耗本公司履约所带来的经济利益；客户能够控制本公 司履约过程中在建的商品；本公司履约过程中所产出的商品具有不可替代用途，且本公司在整个合同期间内有权就累计至今 已完成的履约部分收取款项。履约进度根据所转让商品的性质采用投入法或产出法确定，当履约进度不能合理确定时，本公 司已经发生的成本预计能够得到补偿的，按照已经发生的成本金额确认收入，直到履约进度能够合理确定为止。</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如果不满足上述条件之一，则本公司在客户取得相关商品控制权的时点按照分摊至该单项履约义务的交易价格确认收 入。在判断客户是否已取得商品控制权时，本公司考虑下列迹象：企业就该商品享有现时收款权利，即客户就该商品负有现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与本公司取得收入的主要活动相关的具体会计政策描述如下：</w:t>
      </w:r>
    </w:p>
    <w:p>
      <w:pPr>
        <w:pStyle w:val="Style26"/>
        <w:keepNext w:val="0"/>
        <w:keepLines w:val="0"/>
        <w:widowControl w:val="0"/>
        <w:shd w:val="clear" w:color="auto" w:fill="auto"/>
        <w:bidi w:val="0"/>
        <w:spacing w:before="0" w:after="0" w:line="312" w:lineRule="exact"/>
        <w:ind w:left="0" w:right="0" w:firstLine="440"/>
        <w:jc w:val="both"/>
      </w:pPr>
      <w:bookmarkStart w:id="877" w:name="bookmark877"/>
      <w:r>
        <w:rPr>
          <w:color w:val="000000"/>
          <w:spacing w:val="0"/>
          <w:w w:val="100"/>
          <w:position w:val="0"/>
        </w:rPr>
        <w:t>A</w:t>
      </w:r>
      <w:bookmarkEnd w:id="877"/>
      <w:r>
        <w:rPr>
          <w:color w:val="000000"/>
          <w:spacing w:val="0"/>
          <w:w w:val="100"/>
          <w:position w:val="0"/>
        </w:rPr>
        <w:t>、</w:t>
      </w:r>
      <w:r>
        <w:rPr>
          <w:color w:val="000000"/>
          <w:spacing w:val="0"/>
          <w:w w:val="100"/>
          <w:position w:val="0"/>
        </w:rPr>
        <w:t>销售商品合同</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公司与客户之间的销售商品合同通常仅包含转让商品的履约义务。公司通常在综合考虑了下列因素的基础上，以客户取 得相关商品控制权时点，公司确认收入：取得商品的现时收款权利、商品所有权上的主要风险和报酬的转移、商品的法定所 有权的转移、商品实物资产的转移、客户接受该商品。</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公司国内商品销售收入确认的具体原则为：公司将货物发出，送达客户指定的交货地点，并获得客户的确认时，确认收 入，获取客户的确认方式包括但不限于获取客户的签收回执、对账单、客户提供的数据管理平台上的确认收货等。</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公司出口商品销售收入确认的具体原则为：公司将货物办理离境手续，取得出口报关单或客户签收单时，确认收入。</w:t>
      </w:r>
    </w:p>
    <w:p>
      <w:pPr>
        <w:pStyle w:val="Style26"/>
        <w:keepNext w:val="0"/>
        <w:keepLines w:val="0"/>
        <w:widowControl w:val="0"/>
        <w:shd w:val="clear" w:color="auto" w:fill="auto"/>
        <w:tabs>
          <w:tab w:pos="674" w:val="left"/>
        </w:tabs>
        <w:bidi w:val="0"/>
        <w:spacing w:before="0" w:after="0" w:line="312" w:lineRule="exact"/>
        <w:ind w:left="0" w:right="0" w:firstLine="380"/>
        <w:jc w:val="left"/>
      </w:pPr>
      <w:bookmarkStart w:id="878" w:name="bookmark878"/>
      <w:r>
        <w:rPr>
          <w:color w:val="000000"/>
          <w:spacing w:val="0"/>
          <w:w w:val="100"/>
          <w:position w:val="0"/>
        </w:rPr>
        <w:t>B</w:t>
      </w:r>
      <w:bookmarkEnd w:id="878"/>
      <w:r>
        <w:rPr>
          <w:color w:val="000000"/>
          <w:spacing w:val="0"/>
          <w:w w:val="100"/>
          <w:position w:val="0"/>
        </w:rPr>
        <w:t>、</w:t>
        <w:tab/>
      </w:r>
      <w:r>
        <w:rPr>
          <w:color w:val="000000"/>
          <w:spacing w:val="0"/>
          <w:w w:val="100"/>
          <w:position w:val="0"/>
        </w:rPr>
        <w:t>提供技术开发合同</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公司与客户之间的技术服务与开发合同，通常包含对用户的需求进行充分调查和理解，并根据用户的实际需求进行专门 的软件设计与开发服务、向客户提供与公司软件开发或者系统集成服务相关的系统维护、版本升级、技术支持、售后服务等 有偿服务、以及根据特定客户的需求，将各种软硬件协调组织成一个应用系统的服务等。</w:t>
      </w:r>
    </w:p>
    <w:p>
      <w:pPr>
        <w:pStyle w:val="Style26"/>
        <w:keepNext w:val="0"/>
        <w:keepLines w:val="0"/>
        <w:widowControl w:val="0"/>
        <w:shd w:val="clear" w:color="auto" w:fill="auto"/>
        <w:bidi w:val="0"/>
        <w:spacing w:before="0" w:after="0" w:line="315" w:lineRule="exact"/>
        <w:ind w:left="0" w:right="0" w:firstLine="280"/>
        <w:jc w:val="both"/>
      </w:pPr>
      <w:r>
        <w:rPr>
          <w:color w:val="000000"/>
          <w:spacing w:val="0"/>
          <w:w w:val="100"/>
          <w:position w:val="0"/>
        </w:rPr>
        <w:t>具体确认原则：如合同约定的履约义务，属于在某一时段内履行的履约义务（履约进度不能合理确定的除外），按照履 约进度，并获取客户的确认时，确认收入，获取客户的确认方式包括但不限于获取客户签署的结算单、验收单等；如合同约 定的履约义务，属于在某一时点履行的履约义务，则在获取客户的确认时一次确认收入，获取客户的确认方式包括但不限于 终验报告等。</w:t>
      </w:r>
    </w:p>
    <w:p>
      <w:pPr>
        <w:pStyle w:val="Style26"/>
        <w:keepNext w:val="0"/>
        <w:keepLines w:val="0"/>
        <w:widowControl w:val="0"/>
        <w:shd w:val="clear" w:color="auto" w:fill="auto"/>
        <w:bidi w:val="0"/>
        <w:spacing w:before="0" w:after="0" w:line="346" w:lineRule="exact"/>
        <w:ind w:left="0" w:right="0" w:firstLine="380"/>
        <w:jc w:val="left"/>
      </w:pPr>
      <w:r>
        <w:rPr>
          <w:color w:val="000000"/>
          <w:spacing w:val="0"/>
          <w:w w:val="100"/>
          <w:position w:val="0"/>
        </w:rPr>
        <w:t>①客户在本公司履约的同时即取得并消耗本公司履约所带来的经济利益;②客户能够控制本公司履约过程中在建的商品; ③公司履约过程中所提供的服务具有不可替代用途，且公司在整个合同期间内有权就累计至今已完成的履约部分收入款项。</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公司按照投入法确定提供服务的履约进度。对于履约进度不能合理确定时，公司已经发生的成本预计能够得到补偿的， 按照已经发生的成本金额确认收入，直到履约进度能够合理确定为止。</w:t>
      </w:r>
    </w:p>
    <w:p>
      <w:pPr>
        <w:pStyle w:val="Style26"/>
        <w:keepNext w:val="0"/>
        <w:keepLines w:val="0"/>
        <w:widowControl w:val="0"/>
        <w:shd w:val="clear" w:color="auto" w:fill="auto"/>
        <w:tabs>
          <w:tab w:pos="674" w:val="left"/>
        </w:tabs>
        <w:bidi w:val="0"/>
        <w:spacing w:before="0" w:after="0" w:line="312" w:lineRule="exact"/>
        <w:ind w:left="0" w:right="0" w:firstLine="380"/>
        <w:jc w:val="left"/>
      </w:pPr>
      <w:bookmarkStart w:id="879" w:name="bookmark879"/>
      <w:r>
        <w:rPr>
          <w:color w:val="000000"/>
          <w:spacing w:val="0"/>
          <w:w w:val="100"/>
          <w:position w:val="0"/>
        </w:rPr>
        <w:t>C</w:t>
      </w:r>
      <w:bookmarkEnd w:id="879"/>
      <w:r>
        <w:rPr>
          <w:color w:val="000000"/>
          <w:spacing w:val="0"/>
          <w:w w:val="100"/>
          <w:position w:val="0"/>
        </w:rPr>
        <w:t>、</w:t>
        <w:tab/>
      </w:r>
      <w:r>
        <w:rPr>
          <w:color w:val="000000"/>
          <w:spacing w:val="0"/>
          <w:w w:val="100"/>
          <w:position w:val="0"/>
        </w:rPr>
        <w:t>让渡使用权合同</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让渡资产使用权合同，通常包含软件使用费等。收入确认原则：在资产许可使用期间，按履约进度（期）确认收入。</w:t>
      </w:r>
    </w:p>
    <w:p>
      <w:pPr>
        <w:pStyle w:val="Style30"/>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3</w:t>
      </w:r>
      <w:bookmarkEnd w:id="882"/>
      <w:r>
        <w:rPr>
          <w:color w:val="000000"/>
          <w:spacing w:val="0"/>
          <w:w w:val="100"/>
          <w:position w:val="0"/>
        </w:rPr>
        <w:t>2</w:t>
      </w:r>
      <w:r>
        <w:rPr>
          <w:color w:val="000000"/>
          <w:spacing w:val="0"/>
          <w:w w:val="100"/>
          <w:position w:val="0"/>
        </w:rPr>
        <w:t>、政府补助</w:t>
      </w:r>
      <w:bookmarkEnd w:id="880"/>
      <w:bookmarkEnd w:id="881"/>
      <w:bookmarkEnd w:id="883"/>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政府补助是指本公司从政府无偿取得货币性资产和非货币性资产，不包括政府以投资者身份并享有相应所有者权益而 投入的资本。政府补助分为与资产相关的政府补助和与收益相关的政府补助。本公司将所取得的用于购建或以其他方式形成 长期资产的政府补助界定为与资产相关的政府补助；其余政府补助界定为与收益相关的政府补助。若政府文件未明确规定补 助对象，则采用以下方式将补助款划分为与收益相关的政府补助和与资产相关的政府补助：</w:t>
      </w:r>
      <w:r>
        <w:rPr>
          <w:color w:val="000000"/>
          <w:spacing w:val="0"/>
          <w:w w:val="100"/>
          <w:position w:val="0"/>
        </w:rPr>
        <w:t>（1）</w:t>
      </w:r>
      <w:r>
        <w:rPr>
          <w:color w:val="000000"/>
          <w:spacing w:val="0"/>
          <w:w w:val="100"/>
          <w:position w:val="0"/>
        </w:rPr>
        <w:t>政府文件明确了补助所针 对的特定项目的，根据该特定项目的预算中将形成资产的支出金额和计入费用的支出金额的相对比例进行划分，对该划分比 例需在每个资产负债表日进行复核，必要时进行变更；</w:t>
      </w:r>
      <w:r>
        <w:rPr>
          <w:color w:val="000000"/>
          <w:spacing w:val="0"/>
          <w:w w:val="100"/>
          <w:position w:val="0"/>
        </w:rPr>
        <w:t>（2）</w:t>
      </w:r>
      <w:r>
        <w:rPr>
          <w:color w:val="000000"/>
          <w:spacing w:val="0"/>
          <w:w w:val="100"/>
          <w:position w:val="0"/>
        </w:rPr>
        <w:t>政府文件中对用途仅作一般性表述，没有指明特定项目的，作 为与收益相关的政府补助。政府补助为货币性资产的，按照收到或应收的金额计量。政府补助为非货币性资产的，按照公允 价值计量；公允价值不能够可靠取得的，按照名义金额计量。按照名义金额计量的政府补助，直接计入当期损益。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color w:val="000000"/>
          <w:spacing w:val="0"/>
          <w:w w:val="100"/>
          <w:position w:val="0"/>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color w:val="000000"/>
          <w:spacing w:val="0"/>
          <w:w w:val="100"/>
          <w:position w:val="0"/>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color w:val="000000"/>
          <w:spacing w:val="0"/>
          <w:w w:val="100"/>
          <w:position w:val="0"/>
        </w:rPr>
        <w:t>（3）</w:t>
      </w:r>
      <w:r>
        <w:rPr>
          <w:color w:val="000000"/>
          <w:spacing w:val="0"/>
          <w:w w:val="100"/>
          <w:position w:val="0"/>
        </w:rPr>
        <w:t>相关的补助款批文中已明确承诺了拨付期限，且该款项的拨付是有相应财政预算作 为保障的，因而可以合理保证其可在规定期限内收到；</w:t>
      </w:r>
      <w:r>
        <w:rPr>
          <w:color w:val="000000"/>
          <w:spacing w:val="0"/>
          <w:w w:val="100"/>
          <w:position w:val="0"/>
        </w:rPr>
        <w:t>（4）</w:t>
      </w:r>
      <w:r>
        <w:rPr>
          <w:color w:val="000000"/>
          <w:spacing w:val="0"/>
          <w:w w:val="100"/>
          <w:position w:val="0"/>
        </w:rPr>
        <w:t>根据本公司和该补助事项的具体情况，应满足的其他相关条件 （如有）。</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与资产相关的政府补助，确认为递延收益，并在相关资产的使用寿命内按照合理、系统的方法分期计入当期损益。相 关资产在使用寿命结束前被出售、转让、报废或发生毁损的，将尚未分配的相关递延收益余额转入资产处置当期的损益。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与收益相关的政府补助，用于补偿以后期间的相关成本费用或损失的，确认为递延收益，并在确认相关成本费用或损 失的期间计入当期损益；用于补偿已经发生的相关成本费用或损失的，直接计入当期损益。</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与本公司日常活动相关的政府补助，按照经济业务的实质，计入其他收益或冲减相关成本费用；与日常活动无关的政 府补助，计入营业外收支。</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取得政策性优惠贷款贴息，区分以下两种取得方式进行会计处理：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A</w:t>
      </w:r>
      <w:r>
        <w:rPr>
          <w:color w:val="000000"/>
          <w:spacing w:val="0"/>
          <w:w w:val="100"/>
          <w:position w:val="0"/>
        </w:rPr>
        <w:t>、</w:t>
      </w:r>
      <w:r>
        <w:rPr>
          <w:color w:val="000000"/>
          <w:spacing w:val="0"/>
          <w:w w:val="100"/>
          <w:position w:val="0"/>
        </w:rPr>
        <w:t xml:space="preserve">财政将贴息资金拨付给贷款银行，由贷款银行以政策性优惠利率向本公司提供贷款的，以借款的公允价值作为借款 </w:t>
      </w:r>
      <w:r>
        <w:rPr>
          <w:color w:val="000000"/>
          <w:spacing w:val="0"/>
          <w:w w:val="100"/>
          <w:position w:val="0"/>
        </w:rPr>
        <w:t>的入账价值并按照实际利率法计算借款费用，实际收到的金额与借款公允价值之间的差额确认为递延收益。递延收益在借款 存续期内采用实际利率法摊销，冲减相关借款费用；</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B</w:t>
      </w:r>
      <w:r>
        <w:rPr>
          <w:color w:val="000000"/>
          <w:spacing w:val="0"/>
          <w:w w:val="100"/>
          <w:position w:val="0"/>
        </w:rPr>
        <w:t>、</w:t>
      </w:r>
      <w:r>
        <w:rPr>
          <w:color w:val="000000"/>
          <w:spacing w:val="0"/>
          <w:w w:val="100"/>
          <w:position w:val="0"/>
        </w:rPr>
        <w:t>财政将贴息资金直接拨付给本公司的，将对应的贴息冲减相关借款费用。</w:t>
      </w:r>
    </w:p>
    <w:p>
      <w:pPr>
        <w:pStyle w:val="Style2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已确认的政府补助需要退回时，存在相关递延收益余额的，冲减相关递延收益账面余额，超出部分计入当期损益；属 于其他情况的，直接计入当期损益。</w:t>
      </w:r>
    </w:p>
    <w:p>
      <w:pPr>
        <w:pStyle w:val="Style30"/>
        <w:keepNext/>
        <w:keepLines/>
        <w:widowControl w:val="0"/>
        <w:shd w:val="clear" w:color="auto" w:fill="auto"/>
        <w:bidi w:val="0"/>
        <w:spacing w:before="0" w:after="280" w:line="240" w:lineRule="auto"/>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3</w:t>
      </w:r>
      <w:bookmarkEnd w:id="886"/>
      <w:r>
        <w:rPr>
          <w:color w:val="000000"/>
          <w:spacing w:val="0"/>
          <w:w w:val="100"/>
          <w:position w:val="0"/>
        </w:rPr>
        <w:t>3</w:t>
      </w:r>
      <w:r>
        <w:rPr>
          <w:color w:val="000000"/>
          <w:spacing w:val="0"/>
          <w:w w:val="100"/>
          <w:position w:val="0"/>
        </w:rPr>
        <w:t>、递延所得税资产/递延所得税负债</w:t>
      </w:r>
      <w:bookmarkEnd w:id="884"/>
      <w:bookmarkEnd w:id="885"/>
      <w:bookmarkEnd w:id="887"/>
    </w:p>
    <w:p>
      <w:pPr>
        <w:pStyle w:val="Style26"/>
        <w:keepNext w:val="0"/>
        <w:keepLines w:val="0"/>
        <w:widowControl w:val="0"/>
        <w:shd w:val="clear" w:color="auto" w:fill="auto"/>
        <w:tabs>
          <w:tab w:pos="781" w:val="left"/>
        </w:tabs>
        <w:bidi w:val="0"/>
        <w:spacing w:before="0" w:after="0" w:line="312" w:lineRule="exact"/>
        <w:ind w:left="0" w:right="0" w:firstLine="380"/>
        <w:jc w:val="both"/>
      </w:pPr>
      <w:bookmarkStart w:id="888" w:name="bookmark888"/>
      <w:r>
        <w:rPr>
          <w:color w:val="000000"/>
          <w:spacing w:val="0"/>
          <w:w w:val="100"/>
          <w:position w:val="0"/>
        </w:rPr>
        <w:t>（</w:t>
      </w:r>
      <w:bookmarkEnd w:id="888"/>
      <w:r>
        <w:rPr>
          <w:color w:val="000000"/>
          <w:spacing w:val="0"/>
          <w:w w:val="100"/>
          <w:position w:val="0"/>
        </w:rPr>
        <w:t>1）</w:t>
        <w:tab/>
      </w:r>
      <w:r>
        <w:rPr>
          <w:color w:val="000000"/>
          <w:spacing w:val="0"/>
          <w:w w:val="100"/>
          <w:position w:val="0"/>
        </w:rPr>
        <w:t>当期所得税</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6"/>
        <w:keepNext w:val="0"/>
        <w:keepLines w:val="0"/>
        <w:widowControl w:val="0"/>
        <w:shd w:val="clear" w:color="auto" w:fill="auto"/>
        <w:tabs>
          <w:tab w:pos="781" w:val="left"/>
        </w:tabs>
        <w:bidi w:val="0"/>
        <w:spacing w:before="0" w:after="0" w:line="312" w:lineRule="exact"/>
        <w:ind w:left="0" w:right="0" w:firstLine="380"/>
        <w:jc w:val="both"/>
      </w:pPr>
      <w:bookmarkStart w:id="889" w:name="bookmark889"/>
      <w:r>
        <w:rPr>
          <w:color w:val="000000"/>
          <w:spacing w:val="0"/>
          <w:w w:val="100"/>
          <w:position w:val="0"/>
        </w:rPr>
        <w:t>（</w:t>
      </w:r>
      <w:bookmarkEnd w:id="889"/>
      <w:r>
        <w:rPr>
          <w:color w:val="000000"/>
          <w:spacing w:val="0"/>
          <w:w w:val="100"/>
          <w:position w:val="0"/>
        </w:rPr>
        <w:t>2）</w:t>
        <w:tab/>
      </w:r>
      <w:r>
        <w:rPr>
          <w:color w:val="000000"/>
          <w:spacing w:val="0"/>
          <w:w w:val="100"/>
          <w:position w:val="0"/>
        </w:rPr>
        <w:t>递延所得税资产及递延所得税负债</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26"/>
        <w:keepNext w:val="0"/>
        <w:keepLines w:val="0"/>
        <w:widowControl w:val="0"/>
        <w:shd w:val="clear" w:color="auto" w:fill="auto"/>
        <w:tabs>
          <w:tab w:pos="781" w:val="left"/>
        </w:tabs>
        <w:bidi w:val="0"/>
        <w:spacing w:before="0" w:after="0" w:line="312" w:lineRule="exact"/>
        <w:ind w:left="0" w:right="0" w:firstLine="380"/>
        <w:jc w:val="both"/>
      </w:pPr>
      <w:bookmarkStart w:id="890" w:name="bookmark890"/>
      <w:r>
        <w:rPr>
          <w:color w:val="000000"/>
          <w:spacing w:val="0"/>
          <w:w w:val="100"/>
          <w:position w:val="0"/>
        </w:rPr>
        <w:t>（</w:t>
      </w:r>
      <w:bookmarkEnd w:id="890"/>
      <w:r>
        <w:rPr>
          <w:color w:val="000000"/>
          <w:spacing w:val="0"/>
          <w:w w:val="100"/>
          <w:position w:val="0"/>
        </w:rPr>
        <w:t>3）</w:t>
        <w:tab/>
      </w:r>
      <w:r>
        <w:rPr>
          <w:color w:val="000000"/>
          <w:spacing w:val="0"/>
          <w:w w:val="100"/>
          <w:position w:val="0"/>
        </w:rPr>
        <w:t>所得税费用</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所得税费用包括当期所得税和递延所得税。</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6"/>
        <w:keepNext w:val="0"/>
        <w:keepLines w:val="0"/>
        <w:widowControl w:val="0"/>
        <w:shd w:val="clear" w:color="auto" w:fill="auto"/>
        <w:tabs>
          <w:tab w:pos="781" w:val="left"/>
        </w:tabs>
        <w:bidi w:val="0"/>
        <w:spacing w:before="0" w:after="0" w:line="312" w:lineRule="exact"/>
        <w:ind w:left="0" w:right="0" w:firstLine="380"/>
        <w:jc w:val="both"/>
      </w:pPr>
      <w:bookmarkStart w:id="891" w:name="bookmark891"/>
      <w:r>
        <w:rPr>
          <w:color w:val="000000"/>
          <w:spacing w:val="0"/>
          <w:w w:val="100"/>
          <w:position w:val="0"/>
        </w:rPr>
        <w:t>（</w:t>
      </w:r>
      <w:bookmarkEnd w:id="891"/>
      <w:r>
        <w:rPr>
          <w:color w:val="000000"/>
          <w:spacing w:val="0"/>
          <w:w w:val="100"/>
          <w:position w:val="0"/>
        </w:rPr>
        <w:t>4）</w:t>
        <w:tab/>
      </w:r>
      <w:r>
        <w:rPr>
          <w:color w:val="000000"/>
          <w:spacing w:val="0"/>
          <w:w w:val="100"/>
          <w:position w:val="0"/>
        </w:rPr>
        <w:t>所得税的抵销</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30"/>
        <w:keepNext/>
        <w:keepLines/>
        <w:widowControl w:val="0"/>
        <w:shd w:val="clear" w:color="auto" w:fill="auto"/>
        <w:tabs>
          <w:tab w:pos="448" w:val="left"/>
        </w:tabs>
        <w:bidi w:val="0"/>
        <w:spacing w:before="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3</w:t>
      </w:r>
      <w:bookmarkEnd w:id="894"/>
      <w:r>
        <w:rPr>
          <w:color w:val="000000"/>
          <w:spacing w:val="0"/>
          <w:w w:val="100"/>
          <w:position w:val="0"/>
        </w:rPr>
        <w:t>4</w:t>
      </w:r>
      <w:r>
        <w:rPr>
          <w:color w:val="000000"/>
          <w:spacing w:val="0"/>
          <w:w w:val="100"/>
          <w:position w:val="0"/>
        </w:rPr>
        <w:t>、</w:t>
        <w:tab/>
        <w:t>租赁</w:t>
      </w:r>
      <w:bookmarkEnd w:id="892"/>
      <w:bookmarkEnd w:id="893"/>
      <w:bookmarkEnd w:id="895"/>
    </w:p>
    <w:p>
      <w:pPr>
        <w:pStyle w:val="Style36"/>
        <w:keepNext/>
        <w:keepLines/>
        <w:widowControl w:val="0"/>
        <w:shd w:val="clear" w:color="auto" w:fill="auto"/>
        <w:tabs>
          <w:tab w:pos="467" w:val="left"/>
        </w:tabs>
        <w:bidi w:val="0"/>
        <w:spacing w:before="0" w:after="2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color w:val="000000"/>
          <w:spacing w:val="0"/>
          <w:w w:val="100"/>
          <w:position w:val="0"/>
        </w:rPr>
        <w:t>1）</w:t>
        <w:tab/>
      </w:r>
      <w:r>
        <w:rPr>
          <w:color w:val="000000"/>
          <w:spacing w:val="0"/>
          <w:w w:val="100"/>
          <w:position w:val="0"/>
        </w:rPr>
        <w:t>经营租赁的会计处理方法</w:t>
      </w:r>
      <w:bookmarkEnd w:id="896"/>
      <w:bookmarkEnd w:id="897"/>
      <w:bookmarkEnd w:id="899"/>
    </w:p>
    <w:p>
      <w:pPr>
        <w:pStyle w:val="Style26"/>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融资租赁为实质上转移了与资产所有权有关的全部风险和报酬的租赁，其所有权最终可能转移，也可能不转移。融资 租赁以外的其他租赁为经营租赁。</w:t>
      </w:r>
    </w:p>
    <w:p>
      <w:pPr>
        <w:pStyle w:val="Style26"/>
        <w:keepNext w:val="0"/>
        <w:keepLines w:val="0"/>
        <w:widowControl w:val="0"/>
        <w:numPr>
          <w:ilvl w:val="0"/>
          <w:numId w:val="35"/>
        </w:numPr>
        <w:shd w:val="clear" w:color="auto" w:fill="auto"/>
        <w:tabs>
          <w:tab w:pos="627" w:val="left"/>
        </w:tabs>
        <w:bidi w:val="0"/>
        <w:spacing w:before="0" w:after="0" w:line="240" w:lineRule="auto"/>
        <w:ind w:left="0" w:right="0" w:firstLine="280"/>
        <w:jc w:val="left"/>
      </w:pPr>
      <w:bookmarkStart w:id="900" w:name="bookmark900"/>
      <w:bookmarkEnd w:id="900"/>
      <w:r>
        <w:rPr>
          <w:color w:val="000000"/>
          <w:spacing w:val="0"/>
          <w:w w:val="100"/>
          <w:position w:val="0"/>
        </w:rPr>
        <w:t>本公司作为承租人记录经营租赁业务</w:t>
      </w:r>
    </w:p>
    <w:p>
      <w:pPr>
        <w:pStyle w:val="Style26"/>
        <w:keepNext w:val="0"/>
        <w:keepLines w:val="0"/>
        <w:widowControl w:val="0"/>
        <w:shd w:val="clear" w:color="auto" w:fill="auto"/>
        <w:bidi w:val="0"/>
        <w:spacing w:before="0" w:after="80" w:line="317" w:lineRule="exact"/>
        <w:ind w:left="0" w:right="0" w:firstLine="30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6"/>
        <w:keepNext w:val="0"/>
        <w:keepLines w:val="0"/>
        <w:widowControl w:val="0"/>
        <w:numPr>
          <w:ilvl w:val="0"/>
          <w:numId w:val="35"/>
        </w:numPr>
        <w:shd w:val="clear" w:color="auto" w:fill="auto"/>
        <w:tabs>
          <w:tab w:pos="647" w:val="left"/>
        </w:tabs>
        <w:bidi w:val="0"/>
        <w:spacing w:before="0" w:after="0" w:line="240" w:lineRule="auto"/>
        <w:ind w:left="0" w:right="0" w:firstLine="300"/>
        <w:jc w:val="left"/>
      </w:pPr>
      <w:bookmarkStart w:id="901" w:name="bookmark901"/>
      <w:bookmarkEnd w:id="901"/>
      <w:r>
        <w:rPr>
          <w:color w:val="000000"/>
          <w:spacing w:val="0"/>
          <w:w w:val="100"/>
          <w:position w:val="0"/>
        </w:rPr>
        <w:t>本公司作为出租人记录经营租赁业务</w:t>
      </w:r>
    </w:p>
    <w:p>
      <w:pPr>
        <w:pStyle w:val="Style26"/>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 或有租金于实际发生时计入当期损益。</w:t>
      </w:r>
    </w:p>
    <w:p>
      <w:pPr>
        <w:pStyle w:val="Style36"/>
        <w:keepNext/>
        <w:keepLines/>
        <w:widowControl w:val="0"/>
        <w:shd w:val="clear" w:color="auto" w:fill="auto"/>
        <w:tabs>
          <w:tab w:pos="467"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color w:val="000000"/>
          <w:spacing w:val="0"/>
          <w:w w:val="100"/>
          <w:position w:val="0"/>
        </w:rPr>
        <w:t>2）</w:t>
        <w:tab/>
      </w:r>
      <w:r>
        <w:rPr>
          <w:color w:val="000000"/>
          <w:spacing w:val="0"/>
          <w:w w:val="100"/>
          <w:position w:val="0"/>
        </w:rPr>
        <w:t>融资租赁的会计处理方法</w:t>
      </w:r>
      <w:bookmarkEnd w:id="902"/>
      <w:bookmarkEnd w:id="903"/>
      <w:bookmarkEnd w:id="905"/>
    </w:p>
    <w:p>
      <w:pPr>
        <w:pStyle w:val="Style26"/>
        <w:keepNext w:val="0"/>
        <w:keepLines w:val="0"/>
        <w:widowControl w:val="0"/>
        <w:numPr>
          <w:ilvl w:val="0"/>
          <w:numId w:val="37"/>
        </w:numPr>
        <w:shd w:val="clear" w:color="auto" w:fill="auto"/>
        <w:tabs>
          <w:tab w:pos="627" w:val="left"/>
        </w:tabs>
        <w:bidi w:val="0"/>
        <w:spacing w:before="0" w:after="0" w:line="314" w:lineRule="exact"/>
        <w:ind w:left="0" w:right="0" w:firstLine="280"/>
        <w:jc w:val="left"/>
      </w:pPr>
      <w:bookmarkStart w:id="906" w:name="bookmark906"/>
      <w:bookmarkEnd w:id="906"/>
      <w:r>
        <w:rPr>
          <w:color w:val="000000"/>
          <w:spacing w:val="0"/>
          <w:w w:val="100"/>
          <w:position w:val="0"/>
        </w:rPr>
        <w:t>本公司作为承租人记录融资租赁业务</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6"/>
        <w:keepNext w:val="0"/>
        <w:keepLines w:val="0"/>
        <w:widowControl w:val="0"/>
        <w:shd w:val="clear" w:color="auto" w:fill="auto"/>
        <w:bidi w:val="0"/>
        <w:spacing w:before="0" w:after="80" w:line="314" w:lineRule="exact"/>
        <w:ind w:left="0" w:right="0" w:firstLine="300"/>
        <w:jc w:val="both"/>
      </w:pPr>
      <w:r>
        <w:rPr>
          <w:color w:val="000000"/>
          <w:spacing w:val="0"/>
          <w:w w:val="100"/>
          <w:position w:val="0"/>
        </w:rPr>
        <w:t>未确认融资费用在租赁期内采用实际利率法计算确认当期的融资费用。或有租金于实际发生时计入当期损益。</w:t>
      </w:r>
    </w:p>
    <w:p>
      <w:pPr>
        <w:pStyle w:val="Style26"/>
        <w:keepNext w:val="0"/>
        <w:keepLines w:val="0"/>
        <w:widowControl w:val="0"/>
        <w:numPr>
          <w:ilvl w:val="0"/>
          <w:numId w:val="37"/>
        </w:numPr>
        <w:shd w:val="clear" w:color="auto" w:fill="auto"/>
        <w:tabs>
          <w:tab w:pos="647" w:val="left"/>
        </w:tabs>
        <w:bidi w:val="0"/>
        <w:spacing w:before="0" w:after="0" w:line="240" w:lineRule="auto"/>
        <w:ind w:left="0" w:right="0" w:firstLine="300"/>
        <w:jc w:val="both"/>
      </w:pPr>
      <w:bookmarkStart w:id="907" w:name="bookmark907"/>
      <w:bookmarkEnd w:id="907"/>
      <w:r>
        <w:rPr>
          <w:color w:val="000000"/>
          <w:spacing w:val="0"/>
          <w:w w:val="100"/>
          <w:position w:val="0"/>
        </w:rPr>
        <w:t>本公司作为出租人记录融资租赁业务</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未实现融资收益在租赁期内采用实际利率法计算确认当期的融资收入。或有租金于实际发生时计入当期损益。</w:t>
      </w:r>
    </w:p>
    <w:p>
      <w:pPr>
        <w:pStyle w:val="Style26"/>
        <w:keepNext w:val="0"/>
        <w:keepLines w:val="0"/>
        <w:widowControl w:val="0"/>
        <w:shd w:val="clear" w:color="auto" w:fill="auto"/>
        <w:bidi w:val="0"/>
        <w:spacing w:before="0" w:after="0" w:line="314" w:lineRule="exact"/>
        <w:ind w:left="0" w:right="0" w:firstLine="300"/>
        <w:jc w:val="both"/>
      </w:pPr>
      <w:bookmarkStart w:id="908" w:name="bookmark908"/>
      <w:r>
        <w:rPr>
          <w:color w:val="000000"/>
          <w:spacing w:val="0"/>
          <w:w w:val="100"/>
          <w:position w:val="0"/>
        </w:rPr>
        <w:t>（</w:t>
      </w:r>
      <w:bookmarkEnd w:id="908"/>
      <w:r>
        <w:rPr>
          <w:color w:val="000000"/>
          <w:spacing w:val="0"/>
          <w:w w:val="100"/>
          <w:position w:val="0"/>
        </w:rPr>
        <w:t>3）</w:t>
      </w:r>
      <w:r>
        <w:rPr>
          <w:color w:val="000000"/>
          <w:spacing w:val="0"/>
          <w:w w:val="100"/>
          <w:position w:val="0"/>
        </w:rPr>
        <w:t>新冠肺炎疫情相关租金减让会计处理</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本公司的全部租赁合同，只要符合《新冠肺炎疫情相关租金减让会计处理规定》（财会</w:t>
      </w:r>
      <w:r>
        <w:rPr>
          <w:color w:val="000000"/>
          <w:spacing w:val="0"/>
          <w:w w:val="100"/>
          <w:position w:val="0"/>
        </w:rPr>
        <w:t>[2020]10</w:t>
      </w:r>
      <w:r>
        <w:rPr>
          <w:color w:val="000000"/>
          <w:spacing w:val="0"/>
          <w:w w:val="100"/>
          <w:position w:val="0"/>
        </w:rPr>
        <w:t>号）适用范围和条件的 （即，减让后的租赁对价较减让前减少或基本不变；减让仅针对</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日前的应付租赁付款额；综合考虑定性和定量 因素后认定租赁的其他条款和条件无重大变化）</w:t>
      </w:r>
      <w:r>
        <w:rPr>
          <w:color w:val="000000"/>
          <w:spacing w:val="0"/>
          <w:w w:val="100"/>
          <w:position w:val="0"/>
        </w:rPr>
        <w:t>，</w:t>
      </w:r>
      <w:r>
        <w:rPr>
          <w:color w:val="000000"/>
          <w:spacing w:val="0"/>
          <w:w w:val="100"/>
          <w:position w:val="0"/>
        </w:rPr>
        <w:t>其租金减免、延期支付等租金减让，自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日起均采用如下简化方 法处理：</w:t>
      </w:r>
    </w:p>
    <w:p>
      <w:pPr>
        <w:pStyle w:val="Style26"/>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本公司作为经营租赁承租人，继续按照与减让前一致的方法将原合同租金计入相关资产成本或费用。本公司将减免的租 金作为或有租金，在减免期间冲减“制造费用”、“管理费用”、“销售费用”等科目；延期支付租金的，在原支付期间将 应支付的租金确认为应付款项，在实际支付时冲减前期确认的应付款项。</w:t>
      </w:r>
    </w:p>
    <w:p>
      <w:pPr>
        <w:pStyle w:val="Style30"/>
        <w:keepNext/>
        <w:keepLines/>
        <w:widowControl w:val="0"/>
        <w:shd w:val="clear" w:color="auto" w:fill="auto"/>
        <w:tabs>
          <w:tab w:pos="448"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3</w:t>
      </w:r>
      <w:bookmarkEnd w:id="911"/>
      <w:r>
        <w:rPr>
          <w:color w:val="000000"/>
          <w:spacing w:val="0"/>
          <w:w w:val="100"/>
          <w:position w:val="0"/>
        </w:rPr>
        <w:t>5</w:t>
      </w:r>
      <w:r>
        <w:rPr>
          <w:color w:val="000000"/>
          <w:spacing w:val="0"/>
          <w:w w:val="100"/>
          <w:position w:val="0"/>
        </w:rPr>
        <w:t>、</w:t>
        <w:tab/>
        <w:t>其他重要的会计政策和会计估计</w:t>
      </w:r>
      <w:bookmarkEnd w:id="909"/>
      <w:bookmarkEnd w:id="910"/>
      <w:bookmarkEnd w:id="912"/>
    </w:p>
    <w:p>
      <w:pPr>
        <w:pStyle w:val="Style26"/>
        <w:keepNext w:val="0"/>
        <w:keepLines w:val="0"/>
        <w:widowControl w:val="0"/>
        <w:shd w:val="clear" w:color="auto" w:fill="auto"/>
        <w:bidi w:val="0"/>
        <w:spacing w:before="0" w:after="0" w:line="314" w:lineRule="exact"/>
        <w:ind w:left="0" w:right="0" w:firstLine="380"/>
        <w:jc w:val="left"/>
      </w:pPr>
      <w:bookmarkStart w:id="913" w:name="bookmark913"/>
      <w:r>
        <w:rPr>
          <w:color w:val="000000"/>
          <w:spacing w:val="0"/>
          <w:w w:val="100"/>
          <w:position w:val="0"/>
        </w:rPr>
        <w:t>（</w:t>
      </w:r>
      <w:bookmarkEnd w:id="913"/>
      <w:r>
        <w:rPr>
          <w:color w:val="000000"/>
          <w:spacing w:val="0"/>
          <w:w w:val="100"/>
          <w:position w:val="0"/>
        </w:rPr>
        <w:t>1）</w:t>
      </w:r>
      <w:r>
        <w:rPr>
          <w:color w:val="000000"/>
          <w:spacing w:val="0"/>
          <w:w w:val="100"/>
          <w:position w:val="0"/>
        </w:rPr>
        <w:t>公允价值计量</w:t>
      </w:r>
    </w:p>
    <w:p>
      <w:pPr>
        <w:pStyle w:val="Style26"/>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公允价值，是指市场参与者在计量日发生的有序交易中，出售一项资产所能收到或者转移一项负债所需支付的价格。本 公司以公允价值计量相关资产或负债，考虑该资产或负债的特征；假定市场参与者在计量日出售资产或者转移负债的交易， 是在当前市场条件下的有序交易；假定出售资产或者转移负债的有序交易在相关资产或负债的主要市场进行；不存在主要市 场的，假定该交易在相关资产或负债的最有利市场进行。本公司采用市场参与者在对该资产或负债定价时为实现其经济利益 最大化所使用的假设。</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本公司根据交易性质和相关资产或负债的特征等，判断初始确认时的公允价值是否与其交易价格相等；交易价格与公允 价值不相等的，将相关利得或损失计入当期损益，但相关会计准则另有规定的除外。</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本公司采用在当前情况下适用并且有足够可利用数据和其他信息支持的估值技术，使用的估值技术主要包括市场法、收 益法和成本法。在估值技术的应用中，优先使用相关可观察输入值，只有在相关可观察输入值无法取得或取得不切实可行的 情况下，才可以使用不可观察输入值。</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本公司公允价值计量所使用的输入值划分为三个层次，并首先使用第一层次输入值，其次使用第二层次输入值，最后使 用第三层次输入值。第一层次输入值是在计量日能够取得的相同资产或负债在活跃市场上未经调整的报价；第二层次输入值 是除第一层次输入值外相关资产或负债直接或间接可观察的输入值；第三层次输入值是相关资产或负债的不可观察输入值。</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本公司以公允价值计量非金融资产，考虑市场参与者将该资产用于最佳用途产生经济利益的能力，或者将该资产出售给 能够用于最佳用途的其他市场参与者产生经济利益的能力。以公允价值计量负债，假定在计量日将该负债转移给其他市场参 与者，而且该负债在转移后继续存在，并由作为受让方的市场参与者履行义务。以公允价值计量自身权益工具，假定在计量 日将该自身权益工具转移给其他市场参与者，而且该自身权益工具在转移后继续存在，并由作为受让方的市场参与者取得与 该工具相关的权利、承担相应的义务。</w:t>
      </w:r>
    </w:p>
    <w:p>
      <w:pPr>
        <w:pStyle w:val="Style26"/>
        <w:keepNext w:val="0"/>
        <w:keepLines w:val="0"/>
        <w:widowControl w:val="0"/>
        <w:shd w:val="clear" w:color="auto" w:fill="auto"/>
        <w:tabs>
          <w:tab w:pos="762" w:val="left"/>
        </w:tabs>
        <w:bidi w:val="0"/>
        <w:spacing w:before="0" w:after="0" w:line="314" w:lineRule="exact"/>
        <w:ind w:left="0" w:right="0" w:firstLine="360"/>
        <w:jc w:val="both"/>
      </w:pPr>
      <w:bookmarkStart w:id="914" w:name="bookmark914"/>
      <w:r>
        <w:rPr>
          <w:color w:val="000000"/>
          <w:spacing w:val="0"/>
          <w:w w:val="100"/>
          <w:position w:val="0"/>
        </w:rPr>
        <w:t>（</w:t>
      </w:r>
      <w:bookmarkEnd w:id="914"/>
      <w:r>
        <w:rPr>
          <w:color w:val="000000"/>
          <w:spacing w:val="0"/>
          <w:w w:val="100"/>
          <w:position w:val="0"/>
        </w:rPr>
        <w:t>2）</w:t>
        <w:tab/>
      </w:r>
      <w:r>
        <w:rPr>
          <w:color w:val="000000"/>
          <w:spacing w:val="0"/>
          <w:w w:val="100"/>
          <w:position w:val="0"/>
        </w:rPr>
        <w:t>终止经营</w:t>
      </w:r>
    </w:p>
    <w:p>
      <w:pPr>
        <w:pStyle w:val="Style2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终止经营，是指满足下列条件之一的、能够单独区分的组成部分，且该组成部分已经处置或划分为持有待售类别：</w:t>
      </w:r>
    </w:p>
    <w:p>
      <w:pPr>
        <w:pStyle w:val="Style26"/>
        <w:keepNext w:val="0"/>
        <w:keepLines w:val="0"/>
        <w:widowControl w:val="0"/>
        <w:numPr>
          <w:ilvl w:val="0"/>
          <w:numId w:val="39"/>
        </w:numPr>
        <w:shd w:val="clear" w:color="auto" w:fill="auto"/>
        <w:tabs>
          <w:tab w:pos="690" w:val="left"/>
        </w:tabs>
        <w:bidi w:val="0"/>
        <w:spacing w:before="0" w:after="0" w:line="314" w:lineRule="exact"/>
        <w:ind w:left="0" w:right="0" w:firstLine="360"/>
        <w:jc w:val="left"/>
      </w:pPr>
      <w:bookmarkStart w:id="915" w:name="bookmark915"/>
      <w:bookmarkEnd w:id="915"/>
      <w:r>
        <w:rPr>
          <w:color w:val="000000"/>
          <w:spacing w:val="0"/>
          <w:w w:val="100"/>
          <w:position w:val="0"/>
        </w:rPr>
        <w:t>该组成部分代表一项独立的主要业务或一个单独的主要经营地区；</w:t>
      </w:r>
    </w:p>
    <w:p>
      <w:pPr>
        <w:pStyle w:val="Style26"/>
        <w:keepNext w:val="0"/>
        <w:keepLines w:val="0"/>
        <w:widowControl w:val="0"/>
        <w:numPr>
          <w:ilvl w:val="0"/>
          <w:numId w:val="39"/>
        </w:numPr>
        <w:shd w:val="clear" w:color="auto" w:fill="auto"/>
        <w:tabs>
          <w:tab w:pos="690" w:val="left"/>
        </w:tabs>
        <w:bidi w:val="0"/>
        <w:spacing w:before="0" w:after="0" w:line="314" w:lineRule="exact"/>
        <w:ind w:left="0" w:right="0" w:firstLine="360"/>
        <w:jc w:val="left"/>
      </w:pPr>
      <w:bookmarkStart w:id="916" w:name="bookmark916"/>
      <w:bookmarkEnd w:id="916"/>
      <w:r>
        <w:rPr>
          <w:color w:val="000000"/>
          <w:spacing w:val="0"/>
          <w:w w:val="100"/>
          <w:position w:val="0"/>
        </w:rPr>
        <w:t>该组成部分是拟对一项独立的主要业务或一个单独的主要经营地区进行处置的一项相关联计划的一部分；</w:t>
      </w:r>
    </w:p>
    <w:p>
      <w:pPr>
        <w:pStyle w:val="Style26"/>
        <w:keepNext w:val="0"/>
        <w:keepLines w:val="0"/>
        <w:widowControl w:val="0"/>
        <w:numPr>
          <w:ilvl w:val="0"/>
          <w:numId w:val="39"/>
        </w:numPr>
        <w:shd w:val="clear" w:color="auto" w:fill="auto"/>
        <w:tabs>
          <w:tab w:pos="690" w:val="left"/>
        </w:tabs>
        <w:bidi w:val="0"/>
        <w:spacing w:before="0" w:after="0" w:line="314" w:lineRule="exact"/>
        <w:ind w:left="0" w:right="0" w:firstLine="360"/>
        <w:jc w:val="left"/>
      </w:pPr>
      <w:bookmarkStart w:id="917" w:name="bookmark917"/>
      <w:bookmarkEnd w:id="917"/>
      <w:r>
        <w:rPr>
          <w:color w:val="000000"/>
          <w:spacing w:val="0"/>
          <w:w w:val="100"/>
          <w:position w:val="0"/>
        </w:rPr>
        <w:t>该组成部分是专为转售而取得的子公司。</w:t>
      </w:r>
    </w:p>
    <w:p>
      <w:pPr>
        <w:pStyle w:val="Style2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2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对于当期列报的终止经营，在当期财务报表中，将原来作为持续经营损益列报的信息重新作为可比会计期间的终止经营 损益列报。拟结束使用而非出售的处置组满足终止经营定义中有关组成部分的条件的，自停止使用日起作为终止经营列报。 因出售对子公司的投资等原因导致其丧失对子公司控制权，且该子公司符合终止经营定义的，在合并利润表中列报相关终止 经营损益。</w:t>
      </w:r>
    </w:p>
    <w:p>
      <w:pPr>
        <w:pStyle w:val="Style26"/>
        <w:keepNext w:val="0"/>
        <w:keepLines w:val="0"/>
        <w:widowControl w:val="0"/>
        <w:shd w:val="clear" w:color="auto" w:fill="auto"/>
        <w:tabs>
          <w:tab w:pos="762" w:val="left"/>
        </w:tabs>
        <w:bidi w:val="0"/>
        <w:spacing w:before="0" w:after="0" w:line="314" w:lineRule="exact"/>
        <w:ind w:left="0" w:right="0" w:firstLine="360"/>
        <w:jc w:val="both"/>
      </w:pPr>
      <w:bookmarkStart w:id="918" w:name="bookmark918"/>
      <w:r>
        <w:rPr>
          <w:color w:val="000000"/>
          <w:spacing w:val="0"/>
          <w:w w:val="100"/>
          <w:position w:val="0"/>
        </w:rPr>
        <w:t>（</w:t>
      </w:r>
      <w:bookmarkEnd w:id="918"/>
      <w:r>
        <w:rPr>
          <w:color w:val="000000"/>
          <w:spacing w:val="0"/>
          <w:w w:val="100"/>
          <w:position w:val="0"/>
        </w:rPr>
        <w:t>3）</w:t>
        <w:tab/>
      </w:r>
      <w:r>
        <w:rPr>
          <w:color w:val="000000"/>
          <w:spacing w:val="0"/>
          <w:w w:val="100"/>
          <w:position w:val="0"/>
        </w:rPr>
        <w:t>分部报告</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本公司以内部组织结构、管理要求、内部报告制度为依据确定经营分部，以经营分部为基础确定报告分部并披露分部信 息。</w:t>
      </w:r>
    </w:p>
    <w:p>
      <w:pPr>
        <w:pStyle w:val="Style26"/>
        <w:keepNext w:val="0"/>
        <w:keepLines w:val="0"/>
        <w:widowControl w:val="0"/>
        <w:shd w:val="clear" w:color="auto" w:fill="auto"/>
        <w:bidi w:val="0"/>
        <w:spacing w:before="0" w:after="380" w:line="318" w:lineRule="exact"/>
        <w:ind w:left="0" w:right="0" w:firstLine="360"/>
        <w:jc w:val="both"/>
      </w:pPr>
      <w:r>
        <w:rPr>
          <w:color w:val="000000"/>
          <w:spacing w:val="0"/>
          <w:w w:val="100"/>
          <w:position w:val="0"/>
        </w:rPr>
        <w:t>经营分部是指本公司内同时满足下列条件的组成部分：</w:t>
      </w:r>
      <w:r>
        <w:rPr>
          <w:color w:val="000000"/>
          <w:spacing w:val="0"/>
          <w:w w:val="100"/>
          <w:position w:val="0"/>
        </w:rPr>
        <w:t>A</w:t>
      </w:r>
      <w:r>
        <w:rPr>
          <w:color w:val="000000"/>
          <w:spacing w:val="0"/>
          <w:w w:val="100"/>
          <w:position w:val="0"/>
        </w:rPr>
        <w:t>、</w:t>
      </w:r>
      <w:r>
        <w:rPr>
          <w:color w:val="000000"/>
          <w:spacing w:val="0"/>
          <w:w w:val="100"/>
          <w:position w:val="0"/>
        </w:rPr>
        <w:t>该组成部分能够在日常活动中产生收入、发生费用；</w:t>
      </w:r>
      <w:r>
        <w:rPr>
          <w:color w:val="000000"/>
          <w:spacing w:val="0"/>
          <w:w w:val="100"/>
          <w:position w:val="0"/>
        </w:rPr>
        <w:t>B</w:t>
      </w:r>
      <w:r>
        <w:rPr>
          <w:color w:val="000000"/>
          <w:spacing w:val="0"/>
          <w:w w:val="100"/>
          <w:position w:val="0"/>
        </w:rPr>
        <w:t>、</w:t>
      </w:r>
      <w:r>
        <w:rPr>
          <w:color w:val="000000"/>
          <w:spacing w:val="0"/>
          <w:w w:val="100"/>
          <w:position w:val="0"/>
        </w:rPr>
        <w:t>本公 司管理层能够定期评价该组成部分的经营成果，以决定向其配置资源、评价其业绩；</w:t>
      </w:r>
      <w:r>
        <w:rPr>
          <w:color w:val="000000"/>
          <w:spacing w:val="0"/>
          <w:w w:val="100"/>
          <w:position w:val="0"/>
        </w:rPr>
        <w:t>C</w:t>
      </w:r>
      <w:r>
        <w:rPr>
          <w:color w:val="000000"/>
          <w:spacing w:val="0"/>
          <w:w w:val="100"/>
          <w:position w:val="0"/>
        </w:rPr>
        <w:t>、</w:t>
      </w:r>
      <w:r>
        <w:rPr>
          <w:color w:val="000000"/>
          <w:spacing w:val="0"/>
          <w:w w:val="100"/>
          <w:position w:val="0"/>
        </w:rPr>
        <w:t>本公司能够取得该组成部分的财务 状况、经营成果和现金流量等有关会计信息。两个或多个经营分部具有相似的经济特征，并且满足一定条件的，则可合并为 一个经营分部。</w:t>
      </w:r>
    </w:p>
    <w:p>
      <w:pPr>
        <w:pStyle w:val="Style30"/>
        <w:keepNext/>
        <w:keepLines/>
        <w:widowControl w:val="0"/>
        <w:shd w:val="clear" w:color="auto" w:fill="auto"/>
        <w:bidi w:val="0"/>
        <w:spacing w:before="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3</w:t>
      </w:r>
      <w:bookmarkEnd w:id="921"/>
      <w:r>
        <w:rPr>
          <w:color w:val="000000"/>
          <w:spacing w:val="0"/>
          <w:w w:val="100"/>
          <w:position w:val="0"/>
        </w:rPr>
        <w:t>6</w:t>
      </w:r>
      <w:r>
        <w:rPr>
          <w:color w:val="000000"/>
          <w:spacing w:val="0"/>
          <w:w w:val="100"/>
          <w:position w:val="0"/>
        </w:rPr>
        <w:t>、重要会计政策和会计估计变更</w:t>
      </w:r>
      <w:bookmarkEnd w:id="919"/>
      <w:bookmarkEnd w:id="920"/>
      <w:bookmarkEnd w:id="922"/>
    </w:p>
    <w:p>
      <w:pPr>
        <w:pStyle w:val="Style36"/>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color w:val="000000"/>
          <w:spacing w:val="0"/>
          <w:w w:val="100"/>
          <w:position w:val="0"/>
        </w:rPr>
        <w:t>1）</w:t>
      </w:r>
      <w:r>
        <w:rPr>
          <w:color w:val="000000"/>
          <w:spacing w:val="0"/>
          <w:w w:val="100"/>
          <w:position w:val="0"/>
        </w:rPr>
        <w:t>重要会计政策变更</w:t>
      </w:r>
      <w:bookmarkEnd w:id="923"/>
      <w:bookmarkEnd w:id="924"/>
      <w:bookmarkEnd w:id="926"/>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5640"/>
        <w:gridCol w:w="3120"/>
        <w:gridCol w:w="93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月修订印发了《企业会计准则第</w:t>
            </w:r>
            <w:r>
              <w:rPr>
                <w:color w:val="000000"/>
                <w:spacing w:val="0"/>
                <w:w w:val="100"/>
                <w:position w:val="0"/>
              </w:rPr>
              <w:t>14</w:t>
            </w:r>
            <w:r>
              <w:rPr>
                <w:color w:val="000000"/>
                <w:spacing w:val="0"/>
                <w:w w:val="100"/>
                <w:position w:val="0"/>
              </w:rPr>
              <w:t>号一收入》，要求 境内上市公司自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日起施行，公司据此对相关会计政策进行 了变更。将预收款项中已收客户对价而应向客户转让商品的义务列入合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已经</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日召开的公司第七 届董事会第二十四次会议审议通过。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40"/>
        <w:gridCol w:w="3120"/>
        <w:gridCol w:w="931"/>
      </w:tblGrid>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同负债，将其所含的增值税款项计入应交税费待转销项税，列报于其他 流动负债；将原销售费用中，销售商品控制权转移时点之前，公司承担 的将商品运至客户指定地点的运费，列报于营业成本。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40" w:line="322" w:lineRule="exact"/>
        <w:ind w:left="0" w:right="0" w:firstLine="280"/>
        <w:jc w:val="both"/>
      </w:pPr>
      <w:r>
        <w:rPr>
          <w:color w:val="000000"/>
          <w:spacing w:val="0"/>
          <w:w w:val="100"/>
          <w:position w:val="0"/>
        </w:rPr>
        <w:t>根据新发布的《企业会计准则第</w:t>
      </w:r>
      <w:r>
        <w:rPr>
          <w:color w:val="000000"/>
          <w:spacing w:val="0"/>
          <w:w w:val="100"/>
          <w:position w:val="0"/>
        </w:rPr>
        <w:t>14</w:t>
      </w:r>
      <w:r>
        <w:rPr>
          <w:color w:val="000000"/>
          <w:spacing w:val="0"/>
          <w:w w:val="100"/>
          <w:position w:val="0"/>
        </w:rPr>
        <w:t>号一一收入》的衔接规定，公司无需调整前期比较财务报表数据，选择仅对在</w:t>
      </w:r>
      <w:r>
        <w:rPr>
          <w:color w:val="000000"/>
          <w:spacing w:val="0"/>
          <w:w w:val="100"/>
          <w:position w:val="0"/>
        </w:rPr>
        <w:t>2020</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日尚未完成的合同的累计影响数进行调整，调整</w:t>
      </w:r>
      <w:r>
        <w:rPr>
          <w:color w:val="000000"/>
          <w:spacing w:val="0"/>
          <w:w w:val="100"/>
          <w:position w:val="0"/>
        </w:rPr>
        <w:t>2020</w:t>
      </w:r>
      <w:r>
        <w:rPr>
          <w:color w:val="000000"/>
          <w:spacing w:val="0"/>
          <w:w w:val="100"/>
          <w:position w:val="0"/>
        </w:rPr>
        <w:t>年年初留存收益及财务报表其他相关项目金额，详见本附注五、</w:t>
      </w:r>
      <w:r>
        <w:rPr>
          <w:color w:val="000000"/>
          <w:spacing w:val="0"/>
          <w:w w:val="100"/>
          <w:position w:val="0"/>
        </w:rPr>
        <w:t>36</w:t>
      </w:r>
      <w:r>
        <w:rPr>
          <w:color w:val="000000"/>
          <w:spacing w:val="0"/>
          <w:w w:val="100"/>
          <w:position w:val="0"/>
        </w:rPr>
        <w:t>、</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（3）</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color w:val="000000"/>
          <w:spacing w:val="0"/>
          <w:w w:val="100"/>
          <w:position w:val="0"/>
        </w:rPr>
        <w:t>2）</w:t>
      </w:r>
      <w:r>
        <w:rPr>
          <w:color w:val="000000"/>
          <w:spacing w:val="0"/>
          <w:w w:val="100"/>
          <w:position w:val="0"/>
        </w:rPr>
        <w:t>重要会计估计变更</w:t>
      </w:r>
      <w:bookmarkEnd w:id="927"/>
      <w:bookmarkEnd w:id="928"/>
      <w:bookmarkEnd w:id="930"/>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5218"/>
        <w:gridCol w:w="2126"/>
        <w:gridCol w:w="1560"/>
        <w:gridCol w:w="71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公司未来可能开展"服务+设备”的新业务模式，针对该模式下用于 项目服务的专用设备，将按预计使用寿命和合同约定的服务年限两 者中的较短年限计提折旧，可能存在低于现有专用设备类固定资产 折旧年限的情形，因此为适应公司未来业务发展和固定资产管理的 需要，公允地反映公司财务状况和经营成果，根据《企业会计准则 第</w:t>
            </w:r>
            <w:r>
              <w:rPr>
                <w:color w:val="000000"/>
                <w:spacing w:val="0"/>
                <w:w w:val="100"/>
                <w:position w:val="0"/>
              </w:rPr>
              <w:t>4</w:t>
            </w:r>
            <w:r>
              <w:rPr>
                <w:color w:val="000000"/>
                <w:spacing w:val="0"/>
                <w:w w:val="100"/>
                <w:position w:val="0"/>
              </w:rPr>
              <w:t>号一固定资产》相关规定，公司对专用设备类固定资产折旧年 限补充：对于用于项目服务的专用设备，将在预计使用寿命和合同 约定的服务年限两者中的较短年限内计提折旧。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已经</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 的公司第七届董事会第二 十四次会议审议通过。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报告期内，尚无相应的业务发生，对财务报表无影响。</w:t>
      </w:r>
    </w:p>
    <w:p>
      <w:pPr>
        <w:widowControl w:val="0"/>
        <w:spacing w:after="379" w:line="1" w:lineRule="exact"/>
      </w:pPr>
    </w:p>
    <w:p>
      <w:pPr>
        <w:pStyle w:val="Style36"/>
        <w:keepNext/>
        <w:keepLines/>
        <w:widowControl w:val="0"/>
        <w:shd w:val="clear" w:color="auto" w:fill="auto"/>
        <w:tabs>
          <w:tab w:pos="493" w:val="left"/>
        </w:tabs>
        <w:bidi w:val="0"/>
        <w:spacing w:before="0" w:after="38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shd w:val="clear" w:color="auto" w:fill="FFFFFF"/>
        </w:rPr>
        <w:t>（</w:t>
      </w:r>
      <w:bookmarkEnd w:id="933"/>
      <w:r>
        <w:rPr>
          <w:color w:val="000000"/>
          <w:spacing w:val="0"/>
          <w:w w:val="100"/>
          <w:position w:val="0"/>
          <w:shd w:val="clear" w:color="auto" w:fill="FFFFFF"/>
        </w:rPr>
        <w:t>3）</w:t>
      </w:r>
      <w:r>
        <w:rPr>
          <w:color w:val="000000"/>
          <w:spacing w:val="0"/>
          <w:w w:val="100"/>
          <w:position w:val="0"/>
        </w:rPr>
        <w:tab/>
        <w:t>2020</w:t>
      </w:r>
      <w:r>
        <w:rPr>
          <w:color w:val="000000"/>
          <w:spacing w:val="0"/>
          <w:w w:val="100"/>
          <w:position w:val="0"/>
        </w:rPr>
        <w:t>年起首次执行新收入准则、新租赁准则调整执行当年年初财务报表相关项目情况</w:t>
      </w:r>
      <w:bookmarkEnd w:id="931"/>
      <w:bookmarkEnd w:id="932"/>
      <w:bookmarkEnd w:id="93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752,606,688.67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752,606,688.67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202,675,996.16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202,675,996.16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908,210,314.83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908,210,314.83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3,445,200.00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3,445,200.00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4,990,654.28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4,990,654.28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28,091,942.39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28,091,942.39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350,276,195.89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350,276,195.89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7,201,174.28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7,201,174.28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2,258,713,166.50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2,258,713,166.50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71,467,400.64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71,467,400.64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5,377,033.21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5,377,033.21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176,271,253.99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176,271,253.99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4,228,318.58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4,228,318.58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62,962,426.12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62,962,426.12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11,502,474.25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11,502,474.25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14,890,687.37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14,890,687.37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7,768,734.10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7,768,734.10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67,386,154.55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67,386,154.55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422,483,102.81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422,483,102.81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2,681,196,269.31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2,681,196,269.31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381,873,863.17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381,873,863.17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532,297,560.79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532,297,560.79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85,124,592.01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-85,124,592.01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76,557,570.42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76,557,570.42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82,975,925.68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82,975,925.68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34,722,323.71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34,722,323.71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106,980,921.15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106,980,921.15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24,261,120.00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24,261,120.00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8,567,021.59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8,567,021.59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1,248,236,306.51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1,248,236,306.51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1,466,098.23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1,466,098.23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1,774,098.23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1,774,098.23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1,250,010,404.74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1,250,010,404.74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430,056,000.00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430,056,000.00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407,922,759.13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407,922,759.13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3,384,382.58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3,384,382.58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494,049,039.13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494,049,039.13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1,429,432,553.06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1,429,432,553.06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1,753,311.51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1,753,311.51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1,431,185,864.57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1,431,185,864.57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2,681,196,269.31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2,681,196,269.31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新收入准则为规范与客户之间的合同产生的收入建立了新的收入确认模型。为执行新收入准则，公司重新评估主要合 同收入的确认和计量、核算和列报等方面。根据新收入准则的规定，选择仅对在</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日尚未完成的合同的累积影响数 进行调整，以及对于最早可比期间期初（即</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日）之前或</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日之前发生的合同变更予以简化处理，即根据 合同变更的最终安排，识别已履行的和尚未履行的履约义务、确定交易价格以及在已履行的和尚未履行的履约义务之间分摊 交易价格。首次执行的累积影响金额调整首次执行当期期初（即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日）的留存收益及财务报表其他相关项目金额, 对可比期间信息不予调整。</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公司将因转让商品而预先收取客户的合同对价从“预收账款”项目变更为“合同负债”项目列报。</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公司在销售商品中，商品控制权转移时点之前，公司承担的将商品运至客户指定地点的运费，原计入销售费用，在新 收入准则下作为单项履约义务的成本，计入营业成本。</w:t>
      </w:r>
    </w:p>
    <w:p>
      <w:pPr>
        <w:pStyle w:val="Style2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对</w:t>
      </w:r>
      <w:r>
        <w:rPr>
          <w:color w:val="000000"/>
          <w:spacing w:val="0"/>
          <w:w w:val="100"/>
          <w:position w:val="0"/>
        </w:rPr>
        <w:t>2020</w:t>
      </w:r>
      <w:r>
        <w:rPr>
          <w:color w:val="000000"/>
          <w:spacing w:val="0"/>
          <w:w w:val="100"/>
          <w:position w:val="0"/>
        </w:rPr>
        <w:t>年度合并利润表的影响：</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09"/>
        <w:gridCol w:w="3149"/>
        <w:gridCol w:w="301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年度新收入准则下金额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w:t>
            </w:r>
            <w:r>
              <w:rPr>
                <w:color w:val="000000"/>
                <w:spacing w:val="0"/>
                <w:w w:val="100"/>
                <w:position w:val="0"/>
              </w:rPr>
              <w:t>年度旧收入准则下金额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7,685,142.23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7,685,142.23</w:t>
            </w:r>
          </w:p>
        </w:tc>
      </w:tr>
    </w:tbl>
    <w:p>
      <w:pPr>
        <w:widowControl w:val="0"/>
        <w:spacing w:after="15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668,909,546.41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668,909,546.41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202,675,996.16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202,675,996.16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859,019,735.40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859,019,735.40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3,445,200.00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3,445,200.00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2,256,049.48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2,256,049.48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326,865,201.44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326,865,201.44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253,957,226.07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253,957,226.07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2,250,298.70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2,250,298.70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2,320,594,253.66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2,320,594,253.66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155,453,649.30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155,453,649.30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167,885,731.95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167,885,731.95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4,228,318.58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4,228,318.58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38,809,589.14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38,809,589.14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2,932,586.47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2,932,586.47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67,540,827.03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67,540,827.03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437,479,322.47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437,479,322.47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2,758,073,576.13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2,758,073,576.13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381,873,863.17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381,873,863.17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510,199,840.57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510,199,840.57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66,717,607.62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-66,717,607.62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59,948,422.06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59,948,422.06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64,726,435.72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64,726,435.72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29,916,213.26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29,916,213.26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88,169,495.12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88,169,495.12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24,261,120.00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24,261,120.00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6,769,185.56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6,769,185.56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1,165,864,575.46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1,165,864,575.46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719,543.24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719,543.24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719,543.24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719,543.24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1,166,584,118.70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1,166,584,118.70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430,056,000.00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430,056,000.00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403,997,757.24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403,997,757.24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94,020,372.22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663,415,327.97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663,415,327.97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1,591,489,457.43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1,591,489,457.43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2,758,073,576.13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2,758,073,576.13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新收入准则为规范与客户之间的合同产生的收入建立了新的收入确认模型。为执行新收入准则，公司重新评估主要合 同收入的确认和计量、核算和列报等方面。根据新收入准则的规定，选择仅对在</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日尚未完成的合同的累积影响数 进行调整，以及对于最早可比期间期初（即</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日）之前或</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日之前发生的合同变更予以简化处理，即根据 合同变更的最终安排，识别已履行的和尚未履行的履约义务、确定交易价格以及在已履行的和尚未履行的履约义务之间分摊 交易价格。首次执行的累积影响金额调整首次执行当期期初（即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日）的留存收益及财务报表其他相关项目金额, 对可比期间信息不予调整。</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公司将因转让商品而预先收取客户的合同对价从“预收账款”项目变更为“合同负债”项目列报。</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公司在销售商品中，商品控制权转移时点之前，公司承担的将商品运至客户指定地点的运费，原计入销售费用，在新 收入准则下作为单项履约义务的成本，计入营业成本。</w:t>
      </w:r>
    </w:p>
    <w:p>
      <w:pPr>
        <w:pStyle w:val="Style26"/>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对</w:t>
      </w:r>
      <w:r>
        <w:rPr>
          <w:color w:val="000000"/>
          <w:spacing w:val="0"/>
          <w:w w:val="100"/>
          <w:position w:val="0"/>
        </w:rPr>
        <w:t>2020</w:t>
      </w:r>
      <w:r>
        <w:rPr>
          <w:color w:val="000000"/>
          <w:spacing w:val="0"/>
          <w:w w:val="100"/>
          <w:position w:val="0"/>
        </w:rPr>
        <w:t>年度母公司利润表的影响：</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09"/>
        <w:gridCol w:w="3149"/>
        <w:gridCol w:w="301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年度新收入准则下金额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w:t>
            </w:r>
            <w:r>
              <w:rPr>
                <w:color w:val="000000"/>
                <w:spacing w:val="0"/>
                <w:w w:val="100"/>
                <w:position w:val="0"/>
              </w:rPr>
              <w:t>年度旧收入准则下金额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7,685,142.23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7,685,142.23</w:t>
            </w:r>
          </w:p>
        </w:tc>
      </w:tr>
    </w:tbl>
    <w:p>
      <w:pPr>
        <w:pStyle w:val="Style36"/>
        <w:keepNext/>
        <w:keepLines/>
        <w:widowControl w:val="0"/>
        <w:numPr>
          <w:ilvl w:val="0"/>
          <w:numId w:val="41"/>
        </w:numPr>
        <w:shd w:val="clear" w:color="auto" w:fill="auto"/>
        <w:tabs>
          <w:tab w:pos="458"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2020</w:t>
      </w:r>
      <w:r>
        <w:rPr>
          <w:color w:val="000000"/>
          <w:spacing w:val="0"/>
          <w:w w:val="100"/>
          <w:position w:val="0"/>
        </w:rPr>
        <w:t>年起首次执行新收入准则、新租赁准则追溯调整前期比较数据说明</w:t>
      </w:r>
      <w:bookmarkEnd w:id="935"/>
      <w:bookmarkEnd w:id="936"/>
      <w:bookmarkEnd w:id="938"/>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3</w:t>
      </w:r>
      <w:bookmarkEnd w:id="941"/>
      <w:r>
        <w:rPr>
          <w:color w:val="000000"/>
          <w:spacing w:val="0"/>
          <w:w w:val="100"/>
          <w:position w:val="0"/>
        </w:rPr>
        <w:t>7</w:t>
      </w:r>
      <w:r>
        <w:rPr>
          <w:color w:val="000000"/>
          <w:spacing w:val="0"/>
          <w:w w:val="100"/>
          <w:position w:val="0"/>
        </w:rPr>
        <w:t>、重大会计判断和估计</w:t>
      </w:r>
      <w:bookmarkEnd w:id="939"/>
      <w:bookmarkEnd w:id="940"/>
      <w:bookmarkEnd w:id="942"/>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本公司在运用会计政策过程中，由于经营活动内在的不确定性，需要对无法准确计量的报表项目的账面价值进行判断、 估计和假设。这些判断、估计和假设是基于本公司管理层过去的历史经验，并在考虑其他相关因素的基础上做出的。这些判 断、估计和假设会影响收入、费用、资产和负债的报告金额以及资产负债表日或有负债的披露。然而，这些估计的不确定性 所导致的实际结果可能与本公司管理层当前的估计存在差异，进而造成对未来受影响的资产或负债的账面金额进行重大调整。</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26"/>
        <w:keepNext w:val="0"/>
        <w:keepLines w:val="0"/>
        <w:widowControl w:val="0"/>
        <w:numPr>
          <w:ilvl w:val="0"/>
          <w:numId w:val="43"/>
        </w:numPr>
        <w:shd w:val="clear" w:color="auto" w:fill="auto"/>
        <w:tabs>
          <w:tab w:pos="790" w:val="left"/>
        </w:tabs>
        <w:bidi w:val="0"/>
        <w:spacing w:before="0" w:after="0" w:line="313" w:lineRule="exact"/>
        <w:ind w:left="0" w:right="0" w:firstLine="380"/>
        <w:jc w:val="left"/>
      </w:pPr>
      <w:bookmarkStart w:id="943" w:name="bookmark943"/>
      <w:bookmarkEnd w:id="943"/>
      <w:r>
        <w:rPr>
          <w:color w:val="000000"/>
          <w:spacing w:val="0"/>
          <w:w w:val="100"/>
          <w:position w:val="0"/>
        </w:rPr>
        <w:t>收入确认</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如本附注五、</w:t>
      </w:r>
      <w:r>
        <w:rPr>
          <w:color w:val="000000"/>
          <w:spacing w:val="0"/>
          <w:w w:val="100"/>
          <w:position w:val="0"/>
        </w:rPr>
        <w:t>31</w:t>
      </w:r>
      <w:r>
        <w:rPr>
          <w:color w:val="000000"/>
          <w:spacing w:val="0"/>
          <w:w w:val="100"/>
          <w:position w:val="0"/>
        </w:rPr>
        <w:t>、“收入”所述，本公司在收入确认方面涉及到如下重大的会计判断和估计：识别客户合同；估计因 向客户转让商品而有权取得的对价的可收回性；识别合同中的履约义务；估计合同中存在的可变对价以及在相关不确定性消 除时累计已确认收入极可能不会发生重大转回的金额;合同中是否存在重大融资成分;估计合同中单项履约义务的单独售价； 确定履约义务是在某一时段内履行还是在某一时点履行；履约进度的确定，等等</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本公司主要依靠过去的经验和工作作出判断，这些重大判断和估计变更都可能对变更当期或以后期间的营业收入、营 业成本，以及期间损益产生影响，且可能构成重大影响。</w:t>
      </w:r>
    </w:p>
    <w:p>
      <w:pPr>
        <w:pStyle w:val="Style26"/>
        <w:keepNext w:val="0"/>
        <w:keepLines w:val="0"/>
        <w:widowControl w:val="0"/>
        <w:numPr>
          <w:ilvl w:val="0"/>
          <w:numId w:val="43"/>
        </w:numPr>
        <w:shd w:val="clear" w:color="auto" w:fill="auto"/>
        <w:tabs>
          <w:tab w:pos="790" w:val="left"/>
        </w:tabs>
        <w:bidi w:val="0"/>
        <w:spacing w:before="0" w:after="0" w:line="313" w:lineRule="exact"/>
        <w:ind w:left="0" w:right="0" w:firstLine="380"/>
        <w:jc w:val="left"/>
      </w:pPr>
      <w:bookmarkStart w:id="944" w:name="bookmark944"/>
      <w:bookmarkEnd w:id="944"/>
      <w:r>
        <w:rPr>
          <w:color w:val="000000"/>
          <w:spacing w:val="0"/>
          <w:w w:val="100"/>
          <w:position w:val="0"/>
        </w:rPr>
        <w:t>金融资产减值</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本公司采用预期信用损失模型对金融工具的减值进行评估，应用预期信用损失模型需要做出重大判断和估计，需考虑 所有合理且有依据的信息，包括前瞻性信息。在做出该等判断和估计时，本公司根据历史数据结合经济政策、宏观经济指标、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26"/>
        <w:keepNext w:val="0"/>
        <w:keepLines w:val="0"/>
        <w:widowControl w:val="0"/>
        <w:numPr>
          <w:ilvl w:val="0"/>
          <w:numId w:val="43"/>
        </w:numPr>
        <w:shd w:val="clear" w:color="auto" w:fill="auto"/>
        <w:tabs>
          <w:tab w:pos="790" w:val="left"/>
        </w:tabs>
        <w:bidi w:val="0"/>
        <w:spacing w:before="0" w:after="0" w:line="313" w:lineRule="exact"/>
        <w:ind w:left="0" w:right="0" w:firstLine="380"/>
        <w:jc w:val="left"/>
      </w:pPr>
      <w:bookmarkStart w:id="945" w:name="bookmark945"/>
      <w:bookmarkEnd w:id="945"/>
      <w:r>
        <w:rPr>
          <w:color w:val="000000"/>
          <w:spacing w:val="0"/>
          <w:w w:val="100"/>
          <w:position w:val="0"/>
        </w:rPr>
        <w:t>存货跌价准备</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6"/>
        <w:keepNext w:val="0"/>
        <w:keepLines w:val="0"/>
        <w:widowControl w:val="0"/>
        <w:numPr>
          <w:ilvl w:val="0"/>
          <w:numId w:val="43"/>
        </w:numPr>
        <w:shd w:val="clear" w:color="auto" w:fill="auto"/>
        <w:tabs>
          <w:tab w:pos="790" w:val="left"/>
        </w:tabs>
        <w:bidi w:val="0"/>
        <w:spacing w:before="0" w:after="0" w:line="313" w:lineRule="exact"/>
        <w:ind w:left="0" w:right="0" w:firstLine="380"/>
        <w:jc w:val="left"/>
      </w:pPr>
      <w:bookmarkStart w:id="946" w:name="bookmark946"/>
      <w:bookmarkEnd w:id="946"/>
      <w:r>
        <w:rPr>
          <w:color w:val="000000"/>
          <w:spacing w:val="0"/>
          <w:w w:val="100"/>
          <w:position w:val="0"/>
        </w:rPr>
        <w:t>金融工具公允价值</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对不存在活跃交易市场的金融工具，本公司通过各种估值方法确定其公允价值。这些估值方法包括贴现现金流模型分 析等。估值时本公司需对未来现金流量、信用风险、市场波动率和相关性等方面进行估计，并选择适当的折现率。这些相关 假设具有不确定性，其变化会对金融工具的公允价值产生影响。权益工具投资或合同有公开报价的，本公司不将成本作为其 公允价值的最佳估计。</w:t>
      </w:r>
    </w:p>
    <w:p>
      <w:pPr>
        <w:pStyle w:val="Style26"/>
        <w:keepNext w:val="0"/>
        <w:keepLines w:val="0"/>
        <w:widowControl w:val="0"/>
        <w:numPr>
          <w:ilvl w:val="0"/>
          <w:numId w:val="43"/>
        </w:numPr>
        <w:shd w:val="clear" w:color="auto" w:fill="auto"/>
        <w:tabs>
          <w:tab w:pos="790" w:val="left"/>
        </w:tabs>
        <w:bidi w:val="0"/>
        <w:spacing w:before="0" w:after="0" w:line="313" w:lineRule="exact"/>
        <w:ind w:left="0" w:right="0" w:firstLine="380"/>
        <w:jc w:val="left"/>
      </w:pPr>
      <w:bookmarkStart w:id="947" w:name="bookmark947"/>
      <w:bookmarkEnd w:id="947"/>
      <w:r>
        <w:rPr>
          <w:color w:val="000000"/>
          <w:spacing w:val="0"/>
          <w:w w:val="100"/>
          <w:position w:val="0"/>
        </w:rPr>
        <w:t>长期资产减值准备</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2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w:t>
      </w:r>
      <w:r>
        <w:rPr>
          <w:color w:val="000000"/>
          <w:spacing w:val="0"/>
          <w:w w:val="100"/>
          <w:position w:val="0"/>
        </w:rPr>
        <w:t>量、售价和相关经营成本的预测。</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6"/>
        <w:keepNext w:val="0"/>
        <w:keepLines w:val="0"/>
        <w:widowControl w:val="0"/>
        <w:shd w:val="clear" w:color="auto" w:fill="auto"/>
        <w:tabs>
          <w:tab w:pos="817" w:val="left"/>
        </w:tabs>
        <w:bidi w:val="0"/>
        <w:spacing w:before="0" w:after="0" w:line="313" w:lineRule="exact"/>
        <w:ind w:left="0" w:right="0" w:firstLine="380"/>
        <w:jc w:val="left"/>
      </w:pPr>
      <w:bookmarkStart w:id="948" w:name="bookmark948"/>
      <w:r>
        <w:rPr>
          <w:color w:val="000000"/>
          <w:spacing w:val="0"/>
          <w:w w:val="100"/>
          <w:position w:val="0"/>
        </w:rPr>
        <w:t>（</w:t>
      </w:r>
      <w:bookmarkEnd w:id="948"/>
      <w:r>
        <w:rPr>
          <w:color w:val="000000"/>
          <w:spacing w:val="0"/>
          <w:w w:val="100"/>
          <w:position w:val="0"/>
        </w:rPr>
        <w:t>6）</w:t>
        <w:tab/>
      </w:r>
      <w:r>
        <w:rPr>
          <w:color w:val="000000"/>
          <w:spacing w:val="0"/>
          <w:w w:val="100"/>
          <w:position w:val="0"/>
        </w:rPr>
        <w:t>折旧和摊销</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6"/>
        <w:keepNext w:val="0"/>
        <w:keepLines w:val="0"/>
        <w:widowControl w:val="0"/>
        <w:shd w:val="clear" w:color="auto" w:fill="auto"/>
        <w:tabs>
          <w:tab w:pos="817" w:val="left"/>
        </w:tabs>
        <w:bidi w:val="0"/>
        <w:spacing w:before="0" w:after="0" w:line="313" w:lineRule="exact"/>
        <w:ind w:left="0" w:right="0" w:firstLine="380"/>
        <w:jc w:val="left"/>
      </w:pPr>
      <w:bookmarkStart w:id="949" w:name="bookmark949"/>
      <w:r>
        <w:rPr>
          <w:color w:val="000000"/>
          <w:spacing w:val="0"/>
          <w:w w:val="100"/>
          <w:position w:val="0"/>
        </w:rPr>
        <w:t>（</w:t>
      </w:r>
      <w:bookmarkEnd w:id="949"/>
      <w:r>
        <w:rPr>
          <w:color w:val="000000"/>
          <w:spacing w:val="0"/>
          <w:w w:val="100"/>
          <w:position w:val="0"/>
        </w:rPr>
        <w:t>7）</w:t>
        <w:tab/>
      </w:r>
      <w:r>
        <w:rPr>
          <w:color w:val="000000"/>
          <w:spacing w:val="0"/>
          <w:w w:val="100"/>
          <w:position w:val="0"/>
        </w:rPr>
        <w:t>递延所得税资产</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26"/>
        <w:keepNext w:val="0"/>
        <w:keepLines w:val="0"/>
        <w:widowControl w:val="0"/>
        <w:shd w:val="clear" w:color="auto" w:fill="auto"/>
        <w:tabs>
          <w:tab w:pos="817" w:val="left"/>
        </w:tabs>
        <w:bidi w:val="0"/>
        <w:spacing w:before="0" w:after="0" w:line="313" w:lineRule="exact"/>
        <w:ind w:left="0" w:right="0" w:firstLine="380"/>
        <w:jc w:val="left"/>
      </w:pPr>
      <w:bookmarkStart w:id="950" w:name="bookmark950"/>
      <w:r>
        <w:rPr>
          <w:color w:val="000000"/>
          <w:spacing w:val="0"/>
          <w:w w:val="100"/>
          <w:position w:val="0"/>
        </w:rPr>
        <w:t>（</w:t>
      </w:r>
      <w:bookmarkEnd w:id="950"/>
      <w:r>
        <w:rPr>
          <w:color w:val="000000"/>
          <w:spacing w:val="0"/>
          <w:w w:val="100"/>
          <w:position w:val="0"/>
        </w:rPr>
        <w:t>8）</w:t>
        <w:tab/>
      </w:r>
      <w:r>
        <w:rPr>
          <w:color w:val="000000"/>
          <w:spacing w:val="0"/>
          <w:w w:val="100"/>
          <w:position w:val="0"/>
        </w:rPr>
        <w:t>所得税</w:t>
      </w:r>
    </w:p>
    <w:p>
      <w:pPr>
        <w:pStyle w:val="Style26"/>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3"/>
        <w:keepNext/>
        <w:keepLines/>
        <w:widowControl w:val="0"/>
        <w:shd w:val="clear" w:color="auto" w:fill="auto"/>
        <w:bidi w:val="0"/>
        <w:spacing w:before="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六</w:t>
      </w:r>
      <w:bookmarkEnd w:id="953"/>
      <w:r>
        <w:rPr>
          <w:color w:val="000000"/>
          <w:spacing w:val="0"/>
          <w:w w:val="100"/>
          <w:position w:val="0"/>
        </w:rPr>
        <w:t>、税项</w:t>
      </w:r>
      <w:bookmarkEnd w:id="951"/>
      <w:bookmarkEnd w:id="952"/>
      <w:bookmarkEnd w:id="954"/>
    </w:p>
    <w:p>
      <w:pPr>
        <w:pStyle w:val="Style30"/>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r>
        <w:rPr>
          <w:color w:val="000000"/>
          <w:spacing w:val="0"/>
          <w:w w:val="100"/>
          <w:position w:val="0"/>
        </w:rPr>
        <w:t>1</w:t>
      </w:r>
      <w:r>
        <w:rPr>
          <w:color w:val="000000"/>
          <w:spacing w:val="0"/>
          <w:w w:val="100"/>
          <w:position w:val="0"/>
        </w:rPr>
        <w:t>、主要税种及税率</w:t>
      </w:r>
      <w:bookmarkEnd w:id="955"/>
      <w:bookmarkEnd w:id="956"/>
      <w:bookmarkEnd w:id="957"/>
    </w:p>
    <w:tbl>
      <w:tblPr>
        <w:tblOverlap w:val="never"/>
        <w:jc w:val="center"/>
        <w:tblLayout w:type="fixed"/>
      </w:tblPr>
      <w:tblGrid>
        <w:gridCol w:w="1992"/>
        <w:gridCol w:w="43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 的销项税额扣除允许抵扣的进项税后的余额缴纳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r>
              <w:rPr>
                <w:color w:val="000000"/>
                <w:spacing w:val="0"/>
                <w:w w:val="100"/>
                <w:position w:val="0"/>
              </w:rPr>
              <w:t xml:space="preserve">、 </w:t>
            </w:r>
            <w:r>
              <w:rPr>
                <w:color w:val="000000"/>
                <w:spacing w:val="0"/>
                <w:w w:val="100"/>
                <w:position w:val="0"/>
              </w:rPr>
              <w:t>3%</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9%</w:t>
            </w:r>
            <w:r>
              <w:rPr>
                <w:color w:val="000000"/>
                <w:spacing w:val="0"/>
                <w:w w:val="100"/>
                <w:position w:val="0"/>
              </w:rPr>
              <w:t xml:space="preserve">、 </w:t>
            </w:r>
            <w:r>
              <w:rPr>
                <w:color w:val="000000"/>
                <w:spacing w:val="0"/>
                <w:w w:val="100"/>
                <w:position w:val="0"/>
              </w:rPr>
              <w:t>13%</w:t>
            </w:r>
            <w:r>
              <w:rPr>
                <w:color w:val="000000"/>
                <w:spacing w:val="0"/>
                <w:w w:val="100"/>
                <w:position w:val="0"/>
              </w:rPr>
              <w:t xml:space="preserve">、 </w:t>
            </w:r>
            <w:r>
              <w:rPr>
                <w:color w:val="000000"/>
                <w:spacing w:val="0"/>
                <w:w w:val="100"/>
                <w:position w:val="0"/>
              </w:rPr>
              <w:t>16%</w:t>
            </w:r>
            <w:r>
              <w:rPr>
                <w:color w:val="000000"/>
                <w:spacing w:val="0"/>
                <w:w w:val="100"/>
                <w:position w:val="0"/>
              </w:rPr>
              <w:t xml:space="preserve">、 </w:t>
            </w:r>
            <w:r>
              <w:rPr>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武汉鱼渔课堂教育科技有限公司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河南喻周教育科技有限公司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958" w:name="bookmark958"/>
      <w:bookmarkStart w:id="959" w:name="bookmark959"/>
      <w:bookmarkStart w:id="960" w:name="bookmark960"/>
      <w:r>
        <w:rPr>
          <w:color w:val="000000"/>
          <w:spacing w:val="0"/>
          <w:w w:val="100"/>
          <w:position w:val="0"/>
        </w:rPr>
        <w:t>2</w:t>
      </w:r>
      <w:r>
        <w:rPr>
          <w:color w:val="000000"/>
          <w:spacing w:val="0"/>
          <w:w w:val="100"/>
          <w:position w:val="0"/>
        </w:rPr>
        <w:t>、税收优惠</w:t>
      </w:r>
      <w:bookmarkEnd w:id="958"/>
      <w:bookmarkEnd w:id="959"/>
      <w:bookmarkEnd w:id="960"/>
    </w:p>
    <w:p>
      <w:pPr>
        <w:pStyle w:val="Style26"/>
        <w:keepNext w:val="0"/>
        <w:keepLines w:val="0"/>
        <w:widowControl w:val="0"/>
        <w:shd w:val="clear" w:color="auto" w:fill="auto"/>
        <w:tabs>
          <w:tab w:pos="851" w:val="left"/>
        </w:tabs>
        <w:bidi w:val="0"/>
        <w:spacing w:before="0" w:after="0" w:line="315" w:lineRule="exact"/>
        <w:ind w:left="0" w:right="0" w:firstLine="440"/>
        <w:jc w:val="both"/>
      </w:pPr>
      <w:bookmarkStart w:id="961" w:name="bookmark961"/>
      <w:r>
        <w:rPr>
          <w:color w:val="000000"/>
          <w:spacing w:val="0"/>
          <w:w w:val="100"/>
          <w:position w:val="0"/>
        </w:rPr>
        <w:t>（</w:t>
      </w:r>
      <w:bookmarkEnd w:id="961"/>
      <w:r>
        <w:rPr>
          <w:color w:val="000000"/>
          <w:spacing w:val="0"/>
          <w:w w:val="100"/>
          <w:position w:val="0"/>
        </w:rPr>
        <w:t>1）</w:t>
        <w:tab/>
      </w:r>
      <w:r>
        <w:rPr>
          <w:color w:val="000000"/>
          <w:spacing w:val="0"/>
          <w:w w:val="100"/>
          <w:position w:val="0"/>
        </w:rPr>
        <w:t>公司</w:t>
      </w:r>
      <w:r>
        <w:rPr>
          <w:color w:val="000000"/>
          <w:spacing w:val="0"/>
          <w:w w:val="100"/>
          <w:position w:val="0"/>
        </w:rPr>
        <w:t>2017</w:t>
      </w:r>
      <w:r>
        <w:rPr>
          <w:color w:val="000000"/>
          <w:spacing w:val="0"/>
          <w:w w:val="100"/>
          <w:position w:val="0"/>
        </w:rPr>
        <w:t>年被认定为高新技术企业，证书号</w:t>
      </w:r>
      <w:r>
        <w:rPr>
          <w:color w:val="000000"/>
          <w:spacing w:val="0"/>
          <w:w w:val="100"/>
          <w:position w:val="0"/>
        </w:rPr>
        <w:t>GR201742000738，</w:t>
      </w:r>
      <w:r>
        <w:rPr>
          <w:color w:val="000000"/>
          <w:spacing w:val="0"/>
          <w:w w:val="100"/>
          <w:position w:val="0"/>
        </w:rPr>
        <w:t>有效期</w:t>
      </w:r>
      <w:r>
        <w:rPr>
          <w:color w:val="000000"/>
          <w:spacing w:val="0"/>
          <w:w w:val="100"/>
          <w:position w:val="0"/>
        </w:rPr>
        <w:t>3</w:t>
      </w:r>
      <w:r>
        <w:rPr>
          <w:color w:val="000000"/>
          <w:spacing w:val="0"/>
          <w:w w:val="100"/>
          <w:position w:val="0"/>
        </w:rPr>
        <w:t>年，企业所得税率按</w:t>
      </w:r>
      <w:r>
        <w:rPr>
          <w:color w:val="000000"/>
          <w:spacing w:val="0"/>
          <w:w w:val="100"/>
          <w:position w:val="0"/>
        </w:rPr>
        <w:t>15%</w:t>
      </w:r>
      <w:r>
        <w:rPr>
          <w:color w:val="000000"/>
          <w:spacing w:val="0"/>
          <w:w w:val="100"/>
          <w:position w:val="0"/>
        </w:rPr>
        <w:t>的优惠税率征收。</w:t>
      </w:r>
    </w:p>
    <w:p>
      <w:pPr>
        <w:pStyle w:val="Style26"/>
        <w:keepNext w:val="0"/>
        <w:keepLines w:val="0"/>
        <w:widowControl w:val="0"/>
        <w:shd w:val="clear" w:color="auto" w:fill="auto"/>
        <w:tabs>
          <w:tab w:pos="908" w:val="left"/>
        </w:tabs>
        <w:bidi w:val="0"/>
        <w:spacing w:before="0" w:after="0" w:line="315" w:lineRule="exact"/>
        <w:ind w:left="0" w:right="0" w:firstLine="440"/>
        <w:jc w:val="both"/>
      </w:pPr>
      <w:bookmarkStart w:id="962" w:name="bookmark962"/>
      <w:r>
        <w:rPr>
          <w:color w:val="000000"/>
          <w:spacing w:val="0"/>
          <w:w w:val="100"/>
          <w:position w:val="0"/>
        </w:rPr>
        <w:t>（</w:t>
      </w:r>
      <w:bookmarkEnd w:id="962"/>
      <w:r>
        <w:rPr>
          <w:color w:val="000000"/>
          <w:spacing w:val="0"/>
          <w:w w:val="100"/>
          <w:position w:val="0"/>
        </w:rPr>
        <w:t>2）</w:t>
        <w:tab/>
      </w:r>
      <w:r>
        <w:rPr>
          <w:color w:val="000000"/>
          <w:spacing w:val="0"/>
          <w:w w:val="100"/>
          <w:position w:val="0"/>
        </w:rPr>
        <w:t>子公司湖北百旺</w:t>
      </w:r>
      <w:r>
        <w:rPr>
          <w:color w:val="000000"/>
          <w:spacing w:val="0"/>
          <w:w w:val="100"/>
          <w:position w:val="0"/>
        </w:rPr>
        <w:t>2017</w:t>
      </w:r>
      <w:r>
        <w:rPr>
          <w:color w:val="000000"/>
          <w:spacing w:val="0"/>
          <w:w w:val="100"/>
          <w:position w:val="0"/>
        </w:rPr>
        <w:t>年被认定为高新技术企业，证书号</w:t>
      </w:r>
      <w:r>
        <w:rPr>
          <w:color w:val="000000"/>
          <w:spacing w:val="0"/>
          <w:w w:val="100"/>
          <w:position w:val="0"/>
        </w:rPr>
        <w:t>GR201742000506,</w:t>
      </w:r>
      <w:r>
        <w:rPr>
          <w:color w:val="000000"/>
          <w:spacing w:val="0"/>
          <w:w w:val="100"/>
          <w:position w:val="0"/>
        </w:rPr>
        <w:t>有效期</w:t>
      </w:r>
      <w:r>
        <w:rPr>
          <w:color w:val="000000"/>
          <w:spacing w:val="0"/>
          <w:w w:val="100"/>
          <w:position w:val="0"/>
        </w:rPr>
        <w:t>3</w:t>
      </w:r>
      <w:r>
        <w:rPr>
          <w:color w:val="000000"/>
          <w:spacing w:val="0"/>
          <w:w w:val="100"/>
          <w:position w:val="0"/>
        </w:rPr>
        <w:t>年，企业所得税率按</w:t>
      </w:r>
      <w:r>
        <w:rPr>
          <w:color w:val="000000"/>
          <w:spacing w:val="0"/>
          <w:w w:val="100"/>
          <w:position w:val="0"/>
        </w:rPr>
        <w:t>15%</w:t>
      </w:r>
      <w:r>
        <w:rPr>
          <w:color w:val="000000"/>
          <w:spacing w:val="0"/>
          <w:w w:val="100"/>
          <w:position w:val="0"/>
        </w:rPr>
        <w:t>的优惠 税率征收。</w:t>
      </w:r>
    </w:p>
    <w:p>
      <w:pPr>
        <w:pStyle w:val="Style26"/>
        <w:keepNext w:val="0"/>
        <w:keepLines w:val="0"/>
        <w:widowControl w:val="0"/>
        <w:shd w:val="clear" w:color="auto" w:fill="auto"/>
        <w:tabs>
          <w:tab w:pos="908" w:val="left"/>
        </w:tabs>
        <w:bidi w:val="0"/>
        <w:spacing w:before="0" w:after="0" w:line="315"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3）</w:t>
        <w:tab/>
      </w:r>
      <w:r>
        <w:rPr>
          <w:color w:val="000000"/>
          <w:spacing w:val="0"/>
          <w:w w:val="100"/>
          <w:position w:val="0"/>
        </w:rPr>
        <w:t>子公司天喻教育</w:t>
      </w:r>
      <w:r>
        <w:rPr>
          <w:color w:val="000000"/>
          <w:spacing w:val="0"/>
          <w:w w:val="100"/>
          <w:position w:val="0"/>
        </w:rPr>
        <w:t>2019</w:t>
      </w:r>
      <w:r>
        <w:rPr>
          <w:color w:val="000000"/>
          <w:spacing w:val="0"/>
          <w:w w:val="100"/>
          <w:position w:val="0"/>
        </w:rPr>
        <w:t>年被认定为高新技术企业，证书号</w:t>
      </w:r>
      <w:r>
        <w:rPr>
          <w:color w:val="000000"/>
          <w:spacing w:val="0"/>
          <w:w w:val="100"/>
          <w:position w:val="0"/>
        </w:rPr>
        <w:t>GR201942001332,</w:t>
      </w:r>
      <w:r>
        <w:rPr>
          <w:color w:val="000000"/>
          <w:spacing w:val="0"/>
          <w:w w:val="100"/>
          <w:position w:val="0"/>
        </w:rPr>
        <w:t>有效期</w:t>
      </w:r>
      <w:r>
        <w:rPr>
          <w:color w:val="000000"/>
          <w:spacing w:val="0"/>
          <w:w w:val="100"/>
          <w:position w:val="0"/>
        </w:rPr>
        <w:t>3</w:t>
      </w:r>
      <w:r>
        <w:rPr>
          <w:color w:val="000000"/>
          <w:spacing w:val="0"/>
          <w:w w:val="100"/>
          <w:position w:val="0"/>
        </w:rPr>
        <w:t>年，企业所得税率按</w:t>
      </w:r>
      <w:r>
        <w:rPr>
          <w:color w:val="000000"/>
          <w:spacing w:val="0"/>
          <w:w w:val="100"/>
          <w:position w:val="0"/>
        </w:rPr>
        <w:t>15%</w:t>
      </w:r>
      <w:r>
        <w:rPr>
          <w:color w:val="000000"/>
          <w:spacing w:val="0"/>
          <w:w w:val="100"/>
          <w:position w:val="0"/>
        </w:rPr>
        <w:t>的优惠 税率征收。</w:t>
      </w:r>
    </w:p>
    <w:p>
      <w:pPr>
        <w:pStyle w:val="Style26"/>
        <w:keepNext w:val="0"/>
        <w:keepLines w:val="0"/>
        <w:widowControl w:val="0"/>
        <w:shd w:val="clear" w:color="auto" w:fill="auto"/>
        <w:tabs>
          <w:tab w:pos="904" w:val="left"/>
        </w:tabs>
        <w:bidi w:val="0"/>
        <w:spacing w:before="0" w:after="0" w:line="315" w:lineRule="exact"/>
        <w:ind w:left="0" w:right="0" w:firstLine="440"/>
        <w:jc w:val="both"/>
      </w:pPr>
      <w:bookmarkStart w:id="964" w:name="bookmark964"/>
      <w:r>
        <w:rPr>
          <w:color w:val="000000"/>
          <w:spacing w:val="0"/>
          <w:w w:val="100"/>
          <w:position w:val="0"/>
        </w:rPr>
        <w:t>（</w:t>
      </w:r>
      <w:bookmarkEnd w:id="964"/>
      <w:r>
        <w:rPr>
          <w:color w:val="000000"/>
          <w:spacing w:val="0"/>
          <w:w w:val="100"/>
          <w:position w:val="0"/>
        </w:rPr>
        <w:t>4）</w:t>
        <w:tab/>
      </w:r>
      <w:r>
        <w:rPr>
          <w:color w:val="000000"/>
          <w:spacing w:val="0"/>
          <w:w w:val="100"/>
          <w:position w:val="0"/>
        </w:rPr>
        <w:t>根据《财政部国家税务总局关于进一步鼓励软件产业和集成电路产业发展企业所得税政策的通知》（财税</w:t>
      </w:r>
      <w:r>
        <w:rPr>
          <w:color w:val="000000"/>
          <w:spacing w:val="0"/>
          <w:w w:val="100"/>
          <w:position w:val="0"/>
        </w:rPr>
        <w:t xml:space="preserve">[2012]27 </w:t>
      </w:r>
      <w:r>
        <w:rPr>
          <w:color w:val="000000"/>
          <w:spacing w:val="0"/>
          <w:w w:val="100"/>
          <w:position w:val="0"/>
        </w:rPr>
        <w:t>号）及《关于集成电路设计和软件产业企业所得税政策的公告》（财政部税务总局公告</w:t>
      </w:r>
      <w:r>
        <w:rPr>
          <w:color w:val="000000"/>
          <w:spacing w:val="0"/>
          <w:w w:val="100"/>
          <w:position w:val="0"/>
        </w:rPr>
        <w:t>2019</w:t>
      </w:r>
      <w:r>
        <w:rPr>
          <w:color w:val="000000"/>
          <w:spacing w:val="0"/>
          <w:w w:val="100"/>
          <w:position w:val="0"/>
        </w:rPr>
        <w:t>年第</w:t>
      </w:r>
      <w:r>
        <w:rPr>
          <w:color w:val="000000"/>
          <w:spacing w:val="0"/>
          <w:w w:val="100"/>
          <w:position w:val="0"/>
        </w:rPr>
        <w:t>68</w:t>
      </w:r>
      <w:r>
        <w:rPr>
          <w:color w:val="000000"/>
          <w:spacing w:val="0"/>
          <w:w w:val="100"/>
          <w:position w:val="0"/>
        </w:rPr>
        <w:t>号）相关规定，我国境 内新办的集成电路设计企业和符合条件的软件企业，符合规定条件的，在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日前自获利年度起计算优惠期，第一 年至第二年免征企业所得税，第三年至第五年按照</w:t>
      </w:r>
      <w:r>
        <w:rPr>
          <w:color w:val="000000"/>
          <w:spacing w:val="0"/>
          <w:w w:val="100"/>
          <w:position w:val="0"/>
        </w:rPr>
        <w:t>25%</w:t>
      </w:r>
      <w:r>
        <w:rPr>
          <w:color w:val="000000"/>
          <w:spacing w:val="0"/>
          <w:w w:val="100"/>
          <w:position w:val="0"/>
        </w:rPr>
        <w:t>的法定税率减半征收企业所得税，并享受至期满为止。报告期内，子 公司现代教育企业所得税率按</w:t>
      </w:r>
      <w:r>
        <w:rPr>
          <w:color w:val="000000"/>
          <w:spacing w:val="0"/>
          <w:w w:val="100"/>
          <w:position w:val="0"/>
        </w:rPr>
        <w:t>25%</w:t>
      </w:r>
      <w:r>
        <w:rPr>
          <w:color w:val="000000"/>
          <w:spacing w:val="0"/>
          <w:w w:val="100"/>
          <w:position w:val="0"/>
        </w:rPr>
        <w:t>的法定税率减半征收。</w:t>
      </w:r>
    </w:p>
    <w:p>
      <w:pPr>
        <w:pStyle w:val="Style26"/>
        <w:keepNext w:val="0"/>
        <w:keepLines w:val="0"/>
        <w:widowControl w:val="0"/>
        <w:shd w:val="clear" w:color="auto" w:fill="auto"/>
        <w:tabs>
          <w:tab w:pos="904" w:val="left"/>
        </w:tabs>
        <w:bidi w:val="0"/>
        <w:spacing w:before="0" w:after="0" w:line="315" w:lineRule="exact"/>
        <w:ind w:left="0" w:right="0" w:firstLine="440"/>
        <w:jc w:val="both"/>
      </w:pPr>
      <w:bookmarkStart w:id="965" w:name="bookmark965"/>
      <w:r>
        <w:rPr>
          <w:color w:val="000000"/>
          <w:spacing w:val="0"/>
          <w:w w:val="100"/>
          <w:position w:val="0"/>
        </w:rPr>
        <w:t>（</w:t>
      </w:r>
      <w:bookmarkEnd w:id="965"/>
      <w:r>
        <w:rPr>
          <w:color w:val="000000"/>
          <w:spacing w:val="0"/>
          <w:w w:val="100"/>
          <w:position w:val="0"/>
        </w:rPr>
        <w:t>5）</w:t>
        <w:tab/>
      </w:r>
      <w:r>
        <w:rPr>
          <w:color w:val="000000"/>
          <w:spacing w:val="0"/>
          <w:w w:val="100"/>
          <w:position w:val="0"/>
        </w:rPr>
        <w:t>根据《财政部税务总局关于实施小微企业普惠性税收减免政策的通知》（财税</w:t>
      </w:r>
      <w:r>
        <w:rPr>
          <w:color w:val="000000"/>
          <w:spacing w:val="0"/>
          <w:w w:val="100"/>
          <w:position w:val="0"/>
        </w:rPr>
        <w:t>[2019]13</w:t>
      </w:r>
      <w:r>
        <w:rPr>
          <w:color w:val="000000"/>
          <w:spacing w:val="0"/>
          <w:w w:val="100"/>
          <w:position w:val="0"/>
        </w:rPr>
        <w:t>号）相关规定，对小型 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 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的税率缴纳企业所得税。报告期内，子公司聚 联科技、擎动网络、黑龙江百望、武汉百望、易考乐学、无锡尚蠡、鱼渔课堂、果核科技、河南喻周</w:t>
      </w:r>
      <w:r>
        <w:rPr>
          <w:color w:val="000000"/>
          <w:spacing w:val="0"/>
          <w:w w:val="100"/>
          <w:position w:val="0"/>
        </w:rPr>
        <w:t>2020</w:t>
      </w:r>
      <w:r>
        <w:rPr>
          <w:color w:val="000000"/>
          <w:spacing w:val="0"/>
          <w:w w:val="100"/>
          <w:position w:val="0"/>
        </w:rPr>
        <w:t>年被认定为小型微 利企业，减按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26"/>
        <w:keepNext w:val="0"/>
        <w:keepLines w:val="0"/>
        <w:widowControl w:val="0"/>
        <w:shd w:val="clear" w:color="auto" w:fill="auto"/>
        <w:tabs>
          <w:tab w:pos="904" w:val="left"/>
        </w:tabs>
        <w:bidi w:val="0"/>
        <w:spacing w:before="0" w:after="0" w:line="315"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6）</w:t>
        <w:tab/>
      </w:r>
      <w:r>
        <w:rPr>
          <w:color w:val="000000"/>
          <w:spacing w:val="0"/>
          <w:w w:val="100"/>
          <w:position w:val="0"/>
        </w:rPr>
        <w:t>根据《财政部国家税务总局关于软件产品增值税政策的通知》（财税</w:t>
      </w:r>
      <w:r>
        <w:rPr>
          <w:color w:val="000000"/>
          <w:spacing w:val="0"/>
          <w:w w:val="100"/>
          <w:position w:val="0"/>
        </w:rPr>
        <w:t>[2011]100</w:t>
      </w:r>
      <w:r>
        <w:rPr>
          <w:color w:val="000000"/>
          <w:spacing w:val="0"/>
          <w:w w:val="100"/>
          <w:position w:val="0"/>
        </w:rPr>
        <w:t>号）相关规定，增值税一般纳税 人销售其自行开发生产的软件产品，按适用税率征收增值税后，对其增值税实际税负超过</w:t>
      </w:r>
      <w:r>
        <w:rPr>
          <w:color w:val="000000"/>
          <w:spacing w:val="0"/>
          <w:w w:val="100"/>
          <w:position w:val="0"/>
        </w:rPr>
        <w:t>3%</w:t>
      </w:r>
      <w:r>
        <w:rPr>
          <w:color w:val="000000"/>
          <w:spacing w:val="0"/>
          <w:w w:val="100"/>
          <w:position w:val="0"/>
        </w:rPr>
        <w:t>的部分实行即征即退政策。</w:t>
      </w:r>
    </w:p>
    <w:p>
      <w:pPr>
        <w:pStyle w:val="Style26"/>
        <w:keepNext w:val="0"/>
        <w:keepLines w:val="0"/>
        <w:widowControl w:val="0"/>
        <w:shd w:val="clear" w:color="auto" w:fill="auto"/>
        <w:tabs>
          <w:tab w:pos="908" w:val="left"/>
        </w:tabs>
        <w:bidi w:val="0"/>
        <w:spacing w:before="0" w:after="380" w:line="315" w:lineRule="exact"/>
        <w:ind w:left="0" w:right="0" w:firstLine="440"/>
        <w:jc w:val="both"/>
      </w:pPr>
      <w:bookmarkStart w:id="967" w:name="bookmark967"/>
      <w:r>
        <w:rPr>
          <w:color w:val="000000"/>
          <w:spacing w:val="0"/>
          <w:w w:val="100"/>
          <w:position w:val="0"/>
        </w:rPr>
        <w:t>（</w:t>
      </w:r>
      <w:bookmarkEnd w:id="967"/>
      <w:r>
        <w:rPr>
          <w:color w:val="000000"/>
          <w:spacing w:val="0"/>
          <w:w w:val="100"/>
          <w:position w:val="0"/>
        </w:rPr>
        <w:t>7）</w:t>
        <w:tab/>
      </w:r>
      <w:r>
        <w:rPr>
          <w:color w:val="000000"/>
          <w:spacing w:val="0"/>
          <w:w w:val="100"/>
          <w:position w:val="0"/>
        </w:rPr>
        <w:t>根据《财政部税务总局关于实施小微企业普惠性税收减免政策的通知》（财税</w:t>
      </w:r>
      <w:r>
        <w:rPr>
          <w:color w:val="000000"/>
          <w:spacing w:val="0"/>
          <w:w w:val="100"/>
          <w:position w:val="0"/>
        </w:rPr>
        <w:t>[2019]13</w:t>
      </w:r>
      <w:r>
        <w:rPr>
          <w:color w:val="000000"/>
          <w:spacing w:val="0"/>
          <w:w w:val="100"/>
          <w:position w:val="0"/>
        </w:rPr>
        <w:t>号）相关规定，对月销 售额</w:t>
      </w:r>
      <w:r>
        <w:rPr>
          <w:color w:val="000000"/>
          <w:spacing w:val="0"/>
          <w:w w:val="100"/>
          <w:position w:val="0"/>
        </w:rPr>
        <w:t>10</w:t>
      </w:r>
      <w:r>
        <w:rPr>
          <w:color w:val="000000"/>
          <w:spacing w:val="0"/>
          <w:w w:val="100"/>
          <w:position w:val="0"/>
        </w:rPr>
        <w:t>万元以下（含本数）的增值税小规模纳税人，免征增值税；由省、自治区、直辖市人民政府根据本地区实际情况，以 及宏观调控需要确定，对增值税小规模纳税人可以在</w:t>
      </w:r>
      <w:r>
        <w:rPr>
          <w:color w:val="000000"/>
          <w:spacing w:val="0"/>
          <w:w w:val="100"/>
          <w:position w:val="0"/>
        </w:rPr>
        <w:t>50%</w:t>
      </w:r>
      <w:r>
        <w:rPr>
          <w:color w:val="000000"/>
          <w:spacing w:val="0"/>
          <w:w w:val="100"/>
          <w:position w:val="0"/>
        </w:rPr>
        <w:t>的税额幅度内减征资源税、城市维护建设税、房产税、城镇土地使 用税、印花税（不含证券交易印花税）、耕地占用税和教育费附加、地方教育附加；增值税小规模纳税人已依法享受资源税、 城市维护建设税、房产税、城镇土地使用税、印花税、耕地占用税、教育费附加、地方教育附加其他优惠政策的，可叠加享 受该通知第三条规定的优惠政策。</w:t>
      </w:r>
    </w:p>
    <w:p>
      <w:pPr>
        <w:pStyle w:val="Style23"/>
        <w:keepNext/>
        <w:keepLines/>
        <w:widowControl w:val="0"/>
        <w:shd w:val="clear" w:color="auto" w:fill="auto"/>
        <w:bidi w:val="0"/>
        <w:spacing w:before="0" w:after="3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七</w:t>
      </w:r>
      <w:bookmarkEnd w:id="970"/>
      <w:r>
        <w:rPr>
          <w:color w:val="000000"/>
          <w:spacing w:val="0"/>
          <w:w w:val="100"/>
          <w:position w:val="0"/>
        </w:rPr>
        <w:t>、合并财务报表项目注释</w:t>
      </w:r>
      <w:bookmarkEnd w:id="968"/>
      <w:bookmarkEnd w:id="969"/>
      <w:bookmarkEnd w:id="971"/>
    </w:p>
    <w:p>
      <w:pPr>
        <w:pStyle w:val="Style30"/>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r>
        <w:rPr>
          <w:color w:val="000000"/>
          <w:spacing w:val="0"/>
          <w:w w:val="100"/>
          <w:position w:val="0"/>
        </w:rPr>
        <w:t>1</w:t>
      </w:r>
      <w:r>
        <w:rPr>
          <w:color w:val="000000"/>
          <w:spacing w:val="0"/>
          <w:w w:val="100"/>
          <w:position w:val="0"/>
        </w:rPr>
        <w:t>、货币资金</w:t>
      </w:r>
      <w:bookmarkEnd w:id="972"/>
      <w:bookmarkEnd w:id="973"/>
      <w:bookmarkEnd w:id="97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584,745,894.08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686,348,103.68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14,543,003.20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66,253,094.66</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78" w:right="972" w:bottom="1460" w:left="1058"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599,296,851.12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752,606,688.67</w:t>
            </w:r>
          </w:p>
        </w:tc>
      </w:tr>
    </w:tbl>
    <w:p>
      <w:pPr>
        <w:widowControl w:val="0"/>
        <w:spacing w:after="279" w:line="1" w:lineRule="exact"/>
      </w:pPr>
    </w:p>
    <w:p>
      <w:pPr>
        <w:pStyle w:val="Style26"/>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本公司的所有权受到限制的其他货币资金主要是银行承兑汇票保证金及保函保证金，详见七、</w:t>
      </w:r>
      <w:r>
        <w:rPr>
          <w:color w:val="000000"/>
          <w:spacing w:val="0"/>
          <w:w w:val="100"/>
          <w:position w:val="0"/>
        </w:rPr>
        <w:t>57</w:t>
      </w:r>
      <w:r>
        <w:rPr>
          <w:color w:val="000000"/>
          <w:spacing w:val="0"/>
          <w:w w:val="100"/>
          <w:position w:val="0"/>
        </w:rPr>
        <w:t>。</w:t>
      </w:r>
    </w:p>
    <w:p>
      <w:pPr>
        <w:pStyle w:val="Style30"/>
        <w:keepNext/>
        <w:keepLines/>
        <w:widowControl w:val="0"/>
        <w:shd w:val="clear" w:color="auto" w:fill="auto"/>
        <w:bidi w:val="0"/>
        <w:spacing w:before="0" w:after="400" w:line="240" w:lineRule="auto"/>
        <w:ind w:left="0" w:right="0" w:firstLine="760"/>
        <w:jc w:val="left"/>
      </w:pPr>
      <w:bookmarkStart w:id="975" w:name="bookmark975"/>
      <w:bookmarkStart w:id="976" w:name="bookmark976"/>
      <w:bookmarkStart w:id="977" w:name="bookmark977"/>
      <w:r>
        <w:rPr>
          <w:color w:val="000000"/>
          <w:spacing w:val="0"/>
          <w:w w:val="100"/>
          <w:position w:val="0"/>
        </w:rPr>
        <w:t>2</w:t>
      </w:r>
      <w:r>
        <w:rPr>
          <w:color w:val="000000"/>
          <w:spacing w:val="0"/>
          <w:w w:val="100"/>
          <w:position w:val="0"/>
        </w:rPr>
        <w:t>、交易性金融资产</w:t>
      </w:r>
      <w:bookmarkEnd w:id="975"/>
      <w:bookmarkEnd w:id="976"/>
      <w:bookmarkEnd w:id="977"/>
    </w:p>
    <w:p>
      <w:pPr>
        <w:pStyle w:val="Style26"/>
        <w:keepNext w:val="0"/>
        <w:keepLines w:val="0"/>
        <w:widowControl w:val="0"/>
        <w:shd w:val="clear" w:color="auto" w:fill="auto"/>
        <w:bidi w:val="0"/>
        <w:spacing w:before="0" w:after="100" w:line="240" w:lineRule="auto"/>
        <w:ind w:left="97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588,955,432.83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202,675,996.16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5,283,360.00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583,672,072.83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200,507,356.16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588,955,432.83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202,675,996.16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400" w:line="240" w:lineRule="auto"/>
        <w:ind w:left="1140" w:right="0" w:firstLine="0"/>
        <w:jc w:val="left"/>
      </w:pPr>
      <w:r>
        <w:rPr>
          <w:color w:val="000000"/>
          <w:spacing w:val="0"/>
          <w:w w:val="100"/>
          <w:position w:val="0"/>
        </w:rPr>
        <w:t>报告期末交易性金融资产较期初增加</w:t>
      </w:r>
      <w:r>
        <w:rPr>
          <w:color w:val="000000"/>
          <w:spacing w:val="0"/>
          <w:w w:val="100"/>
          <w:position w:val="0"/>
        </w:rPr>
        <w:t>190.59%,</w:t>
      </w:r>
      <w:r>
        <w:rPr>
          <w:color w:val="000000"/>
          <w:spacing w:val="0"/>
          <w:w w:val="100"/>
          <w:position w:val="0"/>
        </w:rPr>
        <w:t>主要由于结构性存款和可转让大额存单增加。</w:t>
      </w:r>
    </w:p>
    <w:p>
      <w:pPr>
        <w:pStyle w:val="Style30"/>
        <w:keepNext/>
        <w:keepLines/>
        <w:widowControl w:val="0"/>
        <w:shd w:val="clear" w:color="auto" w:fill="auto"/>
        <w:bidi w:val="0"/>
        <w:spacing w:before="0" w:after="400" w:line="240" w:lineRule="auto"/>
        <w:ind w:left="0" w:right="0" w:firstLine="760"/>
        <w:jc w:val="left"/>
      </w:pPr>
      <w:bookmarkStart w:id="978" w:name="bookmark978"/>
      <w:bookmarkStart w:id="979" w:name="bookmark979"/>
      <w:bookmarkStart w:id="980" w:name="bookmark980"/>
      <w:bookmarkStart w:id="981" w:name="bookmark981"/>
      <w:r>
        <w:rPr>
          <w:color w:val="000000"/>
          <w:spacing w:val="0"/>
          <w:w w:val="100"/>
          <w:position w:val="0"/>
        </w:rPr>
        <w:t>3</w:t>
      </w:r>
      <w:bookmarkEnd w:id="980"/>
      <w:r>
        <w:rPr>
          <w:color w:val="000000"/>
          <w:spacing w:val="0"/>
          <w:w w:val="100"/>
          <w:position w:val="0"/>
        </w:rPr>
        <w:t>、应收票据</w:t>
      </w:r>
      <w:bookmarkEnd w:id="978"/>
      <w:bookmarkEnd w:id="979"/>
      <w:bookmarkEnd w:id="981"/>
    </w:p>
    <w:p>
      <w:pPr>
        <w:pStyle w:val="Style36"/>
        <w:keepNext/>
        <w:keepLines/>
        <w:widowControl w:val="0"/>
        <w:shd w:val="clear" w:color="auto" w:fill="auto"/>
        <w:bidi w:val="0"/>
        <w:spacing w:before="0" w:after="400" w:line="240" w:lineRule="auto"/>
        <w:ind w:left="0" w:right="0" w:firstLine="76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color w:val="000000"/>
          <w:spacing w:val="0"/>
          <w:w w:val="100"/>
          <w:position w:val="0"/>
        </w:rPr>
        <w:t>1）</w:t>
      </w:r>
      <w:r>
        <w:rPr>
          <w:color w:val="000000"/>
          <w:spacing w:val="0"/>
          <w:w w:val="100"/>
          <w:position w:val="0"/>
        </w:rPr>
        <w:t>应收票据分类列示</w:t>
      </w:r>
      <w:bookmarkEnd w:id="982"/>
      <w:bookmarkEnd w:id="983"/>
      <w:bookmarkEnd w:id="985"/>
    </w:p>
    <w:p>
      <w:pPr>
        <w:pStyle w:val="Style26"/>
        <w:keepNext w:val="0"/>
        <w:keepLines w:val="0"/>
        <w:widowControl w:val="0"/>
        <w:shd w:val="clear" w:color="auto" w:fill="auto"/>
        <w:bidi w:val="0"/>
        <w:spacing w:before="0" w:after="100" w:line="240" w:lineRule="auto"/>
        <w:ind w:left="97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1,215,000.00</w:t>
            </w:r>
          </w:p>
        </w:tc>
      </w:tr>
    </w:tbl>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166"/>
        <w:gridCol w:w="763"/>
        <w:gridCol w:w="480"/>
        <w:gridCol w:w="566"/>
        <w:gridCol w:w="1258"/>
        <w:gridCol w:w="1277"/>
        <w:gridCol w:w="797"/>
        <w:gridCol w:w="442"/>
        <w:gridCol w:w="571"/>
        <w:gridCol w:w="119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1,215,000.00</w:t>
            </w:r>
          </w:p>
        </w:tc>
      </w:tr>
    </w:tbl>
    <w:p>
      <w:pPr>
        <w:pStyle w:val="Style33"/>
        <w:keepNext w:val="0"/>
        <w:keepLines w:val="0"/>
        <w:widowControl w:val="0"/>
        <w:shd w:val="clear" w:color="auto" w:fill="auto"/>
        <w:bidi w:val="0"/>
        <w:spacing w:before="0" w:after="0" w:line="240" w:lineRule="auto"/>
        <w:ind w:left="125" w:right="0" w:firstLine="0"/>
        <w:jc w:val="left"/>
      </w:pPr>
      <w:r>
        <w:rPr>
          <w:color w:val="000000"/>
          <w:spacing w:val="0"/>
          <w:w w:val="100"/>
          <w:position w:val="0"/>
        </w:rPr>
        <w:t>按组合计提坏账准备:</w:t>
      </w:r>
    </w:p>
    <w:p>
      <w:pPr>
        <w:widowControl w:val="0"/>
        <w:spacing w:after="99" w:line="1" w:lineRule="exact"/>
      </w:pPr>
    </w:p>
    <w:p>
      <w:pPr>
        <w:pStyle w:val="Style26"/>
        <w:keepNext w:val="0"/>
        <w:keepLines w:val="0"/>
        <w:widowControl w:val="0"/>
        <w:shd w:val="clear" w:color="auto" w:fill="auto"/>
        <w:bidi w:val="0"/>
        <w:spacing w:before="0" w:after="100" w:line="240" w:lineRule="auto"/>
        <w:ind w:left="97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400" w:line="240" w:lineRule="auto"/>
        <w:ind w:left="0" w:right="0" w:firstLine="7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76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color w:val="000000"/>
          <w:spacing w:val="0"/>
          <w:w w:val="100"/>
          <w:position w:val="0"/>
        </w:rPr>
        <w:t>2）</w:t>
      </w:r>
      <w:r>
        <w:rPr>
          <w:color w:val="000000"/>
          <w:spacing w:val="0"/>
          <w:w w:val="100"/>
          <w:position w:val="0"/>
        </w:rPr>
        <w:t>期末公司已背书或贴现且在资产负债表日尚未到期的应收票据</w:t>
      </w:r>
      <w:bookmarkEnd w:id="986"/>
      <w:bookmarkEnd w:id="987"/>
      <w:bookmarkEnd w:id="989"/>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190,793,219.99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190,793,219.99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760"/>
        <w:jc w:val="both"/>
      </w:pPr>
      <w:bookmarkStart w:id="990" w:name="bookmark990"/>
      <w:bookmarkStart w:id="991" w:name="bookmark991"/>
      <w:bookmarkStart w:id="992" w:name="bookmark992"/>
      <w:bookmarkStart w:id="993" w:name="bookmark993"/>
      <w:r>
        <w:rPr>
          <w:color w:val="000000"/>
          <w:spacing w:val="0"/>
          <w:w w:val="100"/>
          <w:position w:val="0"/>
        </w:rPr>
        <w:t>4</w:t>
      </w:r>
      <w:bookmarkEnd w:id="992"/>
      <w:r>
        <w:rPr>
          <w:color w:val="000000"/>
          <w:spacing w:val="0"/>
          <w:w w:val="100"/>
          <w:position w:val="0"/>
        </w:rPr>
        <w:t>、应收账款</w:t>
      </w:r>
      <w:bookmarkEnd w:id="990"/>
      <w:bookmarkEnd w:id="991"/>
      <w:bookmarkEnd w:id="993"/>
    </w:p>
    <w:p>
      <w:pPr>
        <w:pStyle w:val="Style36"/>
        <w:keepNext/>
        <w:keepLines/>
        <w:widowControl w:val="0"/>
        <w:shd w:val="clear" w:color="auto" w:fill="auto"/>
        <w:bidi w:val="0"/>
        <w:spacing w:before="0" w:after="400" w:line="240" w:lineRule="auto"/>
        <w:ind w:left="0" w:right="0" w:firstLine="76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color w:val="000000"/>
          <w:spacing w:val="0"/>
          <w:w w:val="100"/>
          <w:position w:val="0"/>
        </w:rPr>
        <w:t>1）</w:t>
      </w:r>
      <w:r>
        <w:rPr>
          <w:color w:val="000000"/>
          <w:spacing w:val="0"/>
          <w:w w:val="100"/>
          <w:position w:val="0"/>
        </w:rPr>
        <w:t>应收账款分类披露</w:t>
      </w:r>
      <w:bookmarkEnd w:id="994"/>
      <w:bookmarkEnd w:id="995"/>
      <w:bookmarkEnd w:id="9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3"/>
        <w:gridCol w:w="1133"/>
        <w:gridCol w:w="710"/>
        <w:gridCol w:w="1363"/>
        <w:gridCol w:w="619"/>
        <w:gridCol w:w="1277"/>
        <w:gridCol w:w="1277"/>
        <w:gridCol w:w="710"/>
        <w:gridCol w:w="1330"/>
        <w:gridCol w:w="514"/>
        <w:gridCol w:w="114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计提比</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计提比</w:t>
            </w:r>
          </w:p>
          <w:p>
            <w:pPr>
              <w:pStyle w:val="Style2"/>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例</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按组合计提坏账</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889,871,094.99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154,646, </w:t>
            </w:r>
            <w:r>
              <w:rPr>
                <w:rFonts w:ascii="Times New Roman" w:eastAsia="Times New Roman" w:hAnsi="Times New Roman" w:cs="Times New Roman"/>
                <w:color w:val="000000"/>
                <w:spacing w:val="0"/>
                <w:w w:val="100"/>
                <w:position w:val="0"/>
                <w:sz w:val="14"/>
                <w:szCs w:val="14"/>
              </w:rPr>
              <w:t>194.82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735,224,900.17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1,060,274,998.32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152,064,683.49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908,210,314.83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4"/>
                <w:szCs w:val="14"/>
              </w:rPr>
              <w:t>（账龄组</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889,871,094.99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154,646, </w:t>
            </w:r>
            <w:r>
              <w:rPr>
                <w:rFonts w:ascii="Times New Roman" w:eastAsia="Times New Roman" w:hAnsi="Times New Roman" w:cs="Times New Roman"/>
                <w:color w:val="000000"/>
                <w:spacing w:val="0"/>
                <w:w w:val="100"/>
                <w:position w:val="0"/>
                <w:sz w:val="14"/>
                <w:szCs w:val="14"/>
              </w:rPr>
              <w:t>194.82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735,224,900.17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1,060,274,998.32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152,064,683.49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908,210,314.83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889,871,094.99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154,646, </w:t>
            </w:r>
            <w:r>
              <w:rPr>
                <w:rFonts w:ascii="Times New Roman" w:eastAsia="Times New Roman" w:hAnsi="Times New Roman" w:cs="Times New Roman"/>
                <w:color w:val="000000"/>
                <w:spacing w:val="0"/>
                <w:w w:val="100"/>
                <w:position w:val="0"/>
                <w:sz w:val="14"/>
                <w:szCs w:val="14"/>
              </w:rPr>
              <w:t>194.82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735, 224, </w:t>
            </w:r>
            <w:r>
              <w:rPr>
                <w:rFonts w:ascii="Times New Roman" w:eastAsia="Times New Roman" w:hAnsi="Times New Roman" w:cs="Times New Roman"/>
                <w:color w:val="000000"/>
                <w:spacing w:val="0"/>
                <w:w w:val="100"/>
                <w:position w:val="0"/>
                <w:sz w:val="14"/>
                <w:szCs w:val="14"/>
              </w:rPr>
              <w:t xml:space="preserve">900.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1,060,274, </w:t>
            </w:r>
            <w:r>
              <w:rPr>
                <w:rFonts w:ascii="Times New Roman" w:eastAsia="Times New Roman" w:hAnsi="Times New Roman" w:cs="Times New Roman"/>
                <w:color w:val="000000"/>
                <w:spacing w:val="0"/>
                <w:w w:val="100"/>
                <w:position w:val="0"/>
                <w:sz w:val="14"/>
                <w:szCs w:val="14"/>
              </w:rPr>
              <w:t>998.32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152,064, </w:t>
            </w:r>
            <w:r>
              <w:rPr>
                <w:rFonts w:ascii="Times New Roman" w:eastAsia="Times New Roman" w:hAnsi="Times New Roman" w:cs="Times New Roman"/>
                <w:color w:val="000000"/>
                <w:spacing w:val="0"/>
                <w:w w:val="100"/>
                <w:position w:val="0"/>
                <w:sz w:val="14"/>
                <w:szCs w:val="14"/>
              </w:rPr>
              <w:t xml:space="preserve">683.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14.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908,210,314.83</w:t>
            </w:r>
          </w:p>
        </w:tc>
      </w:tr>
    </w:tbl>
    <w:p>
      <w:pPr>
        <w:pStyle w:val="Style33"/>
        <w:keepNext w:val="0"/>
        <w:keepLines w:val="0"/>
        <w:widowControl w:val="0"/>
        <w:shd w:val="clear" w:color="auto" w:fill="auto"/>
        <w:bidi w:val="0"/>
        <w:spacing w:before="0" w:after="0" w:line="240" w:lineRule="auto"/>
        <w:ind w:left="763" w:right="0" w:firstLine="0"/>
        <w:jc w:val="left"/>
      </w:pPr>
      <w:r>
        <w:rPr>
          <w:color w:val="000000"/>
          <w:spacing w:val="0"/>
          <w:w w:val="100"/>
          <w:position w:val="0"/>
        </w:rPr>
        <w:t>按组合计提坏账准备：账龄组合</w:t>
      </w:r>
    </w:p>
    <w:p>
      <w:pPr>
        <w:widowControl w:val="0"/>
        <w:spacing w:after="139" w:line="1" w:lineRule="exact"/>
      </w:pPr>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630,618,382.70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31,530,919.15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136,047,330.84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13,604,733.08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19,564,055.51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5,869,216.65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5,965,926.60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5,965,926.60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8,535,650.11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8,535,650.11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89,139,749.23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89,139,749.23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889,871,094.99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154,646,194.82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color w:val="000000"/>
                <w:spacing w:val="0"/>
                <w:w w:val="100"/>
                <w:position w:val="0"/>
              </w:rPr>
              <w:t>630,618,382.70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136,047,330.84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19,564,055.51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5,965,926.60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8,535,650.11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89,139,749.23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color w:val="000000"/>
                <w:spacing w:val="0"/>
                <w:w w:val="100"/>
                <w:position w:val="0"/>
              </w:rPr>
              <w:t>889,871,094.99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76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color w:val="000000"/>
          <w:spacing w:val="0"/>
          <w:w w:val="100"/>
          <w:position w:val="0"/>
        </w:rPr>
        <w:t>2）</w:t>
      </w:r>
      <w:r>
        <w:rPr>
          <w:color w:val="000000"/>
          <w:spacing w:val="0"/>
          <w:w w:val="100"/>
          <w:position w:val="0"/>
        </w:rPr>
        <w:t>本期计提、收回或转回的坏账准备情况</w:t>
      </w:r>
      <w:bookmarkEnd w:id="1001"/>
      <w:bookmarkEnd w:id="998"/>
      <w:bookmarkEnd w:id="999"/>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152,064,683.49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2,746,711.33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154,646,194.82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152,064,683.49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2,746,711.33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154,646,194.82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90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color w:val="000000"/>
          <w:spacing w:val="0"/>
          <w:w w:val="100"/>
          <w:position w:val="0"/>
        </w:rPr>
        <w:t>3）</w:t>
      </w:r>
      <w:r>
        <w:rPr>
          <w:color w:val="000000"/>
          <w:spacing w:val="0"/>
          <w:w w:val="100"/>
          <w:position w:val="0"/>
        </w:rPr>
        <w:t>本期实际核销的应收账款情况</w:t>
      </w:r>
      <w:bookmarkEnd w:id="1002"/>
      <w:bookmarkEnd w:id="1003"/>
      <w:bookmarkEnd w:id="1005"/>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165,200.00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应收账款核销说明：</w:t>
      </w:r>
    </w:p>
    <w:p>
      <w:pPr>
        <w:pStyle w:val="Style26"/>
        <w:keepNext w:val="0"/>
        <w:keepLines w:val="0"/>
        <w:widowControl w:val="0"/>
        <w:shd w:val="clear" w:color="auto" w:fill="auto"/>
        <w:bidi w:val="0"/>
        <w:spacing w:before="0" w:after="400" w:line="240" w:lineRule="auto"/>
        <w:ind w:left="1140" w:right="0" w:firstLine="0"/>
        <w:jc w:val="left"/>
      </w:pPr>
      <w:r>
        <w:rPr>
          <w:color w:val="000000"/>
          <w:spacing w:val="0"/>
          <w:w w:val="100"/>
          <w:position w:val="0"/>
        </w:rPr>
        <w:t>报告期内核销的应收账款主要是子公司无锡尚蠡注销时核销的无法收回的应收账款。</w:t>
      </w:r>
    </w:p>
    <w:p>
      <w:pPr>
        <w:pStyle w:val="Style36"/>
        <w:keepNext/>
        <w:keepLines/>
        <w:widowControl w:val="0"/>
        <w:shd w:val="clear" w:color="auto" w:fill="auto"/>
        <w:bidi w:val="0"/>
        <w:spacing w:before="0" w:after="400" w:line="240" w:lineRule="auto"/>
        <w:ind w:left="0" w:right="0" w:firstLine="76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color w:val="000000"/>
          <w:spacing w:val="0"/>
          <w:w w:val="100"/>
          <w:position w:val="0"/>
        </w:rPr>
        <w:t>4）</w:t>
      </w:r>
      <w:r>
        <w:rPr>
          <w:color w:val="000000"/>
          <w:spacing w:val="0"/>
          <w:w w:val="100"/>
          <w:position w:val="0"/>
        </w:rPr>
        <w:t>按欠款方归集的期末余额前五名的应收账款情况</w:t>
      </w:r>
      <w:bookmarkEnd w:id="1006"/>
      <w:bookmarkEnd w:id="1007"/>
      <w:bookmarkEnd w:id="1009"/>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181,611,007.00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9,080,550.35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49,105,032.00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4,680,747.80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45,849,496.80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2,292,474.84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35,958,100.00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3,595,810.00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32,981,325.00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1,649,066.25</w:t>
            </w:r>
          </w:p>
        </w:tc>
      </w:tr>
    </w:tbl>
    <w:tbl>
      <w:tblPr>
        <w:tblOverlap w:val="never"/>
        <w:jc w:val="center"/>
        <w:tblLayout w:type="fixed"/>
      </w:tblPr>
      <w:tblGrid>
        <w:gridCol w:w="1987"/>
        <w:gridCol w:w="2530"/>
        <w:gridCol w:w="2525"/>
        <w:gridCol w:w="2539"/>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345,504,960.80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760"/>
        <w:jc w:val="both"/>
      </w:pPr>
      <w:bookmarkStart w:id="1010" w:name="bookmark1010"/>
      <w:bookmarkStart w:id="1011" w:name="bookmark1011"/>
      <w:bookmarkStart w:id="1012" w:name="bookmark1012"/>
      <w:bookmarkStart w:id="1013" w:name="bookmark1013"/>
      <w:r>
        <w:rPr>
          <w:color w:val="000000"/>
          <w:spacing w:val="0"/>
          <w:w w:val="100"/>
          <w:position w:val="0"/>
        </w:rPr>
        <w:t>5</w:t>
      </w:r>
      <w:bookmarkEnd w:id="1012"/>
      <w:r>
        <w:rPr>
          <w:color w:val="000000"/>
          <w:spacing w:val="0"/>
          <w:w w:val="100"/>
          <w:position w:val="0"/>
        </w:rPr>
        <w:t>、应收款项融资</w:t>
      </w:r>
      <w:bookmarkEnd w:id="1010"/>
      <w:bookmarkEnd w:id="1011"/>
      <w:bookmarkEnd w:id="1013"/>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16,599,920.00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3,445,200.00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16,599,920.00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3,445,200.00</w:t>
            </w:r>
          </w:p>
        </w:tc>
      </w:tr>
    </w:tbl>
    <w:p>
      <w:pPr>
        <w:pStyle w:val="Style26"/>
        <w:keepNext w:val="0"/>
        <w:keepLines w:val="0"/>
        <w:widowControl w:val="0"/>
        <w:shd w:val="clear" w:color="auto" w:fill="auto"/>
        <w:bidi w:val="0"/>
        <w:spacing w:before="0" w:after="0" w:line="336" w:lineRule="exact"/>
        <w:ind w:left="0" w:right="0" w:firstLine="760"/>
        <w:jc w:val="both"/>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after="0" w:line="336" w:lineRule="exact"/>
        <w:ind w:left="0" w:right="0" w:firstLine="760"/>
        <w:jc w:val="both"/>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0" w:line="336" w:lineRule="exact"/>
        <w:ind w:left="760" w:right="0" w:firstLine="2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36" w:lineRule="exact"/>
        <w:ind w:left="0" w:right="0" w:firstLine="760"/>
        <w:jc w:val="left"/>
      </w:pPr>
      <w:r>
        <w:rPr>
          <w:color w:val="000000"/>
          <w:spacing w:val="0"/>
          <w:w w:val="100"/>
          <w:position w:val="0"/>
        </w:rPr>
        <w:t>其他说明：</w:t>
      </w:r>
    </w:p>
    <w:p>
      <w:pPr>
        <w:pStyle w:val="Style26"/>
        <w:keepNext w:val="0"/>
        <w:keepLines w:val="0"/>
        <w:widowControl w:val="0"/>
        <w:shd w:val="clear" w:color="auto" w:fill="auto"/>
        <w:bidi w:val="0"/>
        <w:spacing w:before="0" w:after="400" w:line="336" w:lineRule="exact"/>
        <w:ind w:left="1140" w:right="0" w:firstLine="0"/>
        <w:jc w:val="both"/>
      </w:pPr>
      <w:r>
        <w:rPr>
          <w:color w:val="000000"/>
          <w:spacing w:val="0"/>
          <w:w w:val="100"/>
          <w:position w:val="0"/>
        </w:rPr>
        <w:t>报告期末应收款项融资较期初增加</w:t>
      </w:r>
      <w:r>
        <w:rPr>
          <w:color w:val="000000"/>
          <w:spacing w:val="0"/>
          <w:w w:val="100"/>
          <w:position w:val="0"/>
        </w:rPr>
        <w:t>381.83%,</w:t>
      </w:r>
      <w:r>
        <w:rPr>
          <w:color w:val="000000"/>
          <w:spacing w:val="0"/>
          <w:w w:val="100"/>
          <w:position w:val="0"/>
        </w:rPr>
        <w:t>主要由于尚未背书或未贴现的银行承兑汇票增加。</w:t>
      </w:r>
    </w:p>
    <w:p>
      <w:pPr>
        <w:pStyle w:val="Style30"/>
        <w:keepNext/>
        <w:keepLines/>
        <w:widowControl w:val="0"/>
        <w:shd w:val="clear" w:color="auto" w:fill="auto"/>
        <w:bidi w:val="0"/>
        <w:spacing w:before="0" w:after="400" w:line="240" w:lineRule="auto"/>
        <w:ind w:left="0" w:right="0" w:firstLine="760"/>
        <w:jc w:val="left"/>
      </w:pPr>
      <w:bookmarkStart w:id="1014" w:name="bookmark1014"/>
      <w:bookmarkStart w:id="1015" w:name="bookmark1015"/>
      <w:bookmarkStart w:id="1016" w:name="bookmark1016"/>
      <w:bookmarkStart w:id="1017" w:name="bookmark1017"/>
      <w:r>
        <w:rPr>
          <w:color w:val="000000"/>
          <w:spacing w:val="0"/>
          <w:w w:val="100"/>
          <w:position w:val="0"/>
        </w:rPr>
        <w:t>6</w:t>
      </w:r>
      <w:bookmarkEnd w:id="1016"/>
      <w:r>
        <w:rPr>
          <w:color w:val="000000"/>
          <w:spacing w:val="0"/>
          <w:w w:val="100"/>
          <w:position w:val="0"/>
        </w:rPr>
        <w:t>、预付款项</w:t>
      </w:r>
      <w:bookmarkEnd w:id="1014"/>
      <w:bookmarkEnd w:id="1015"/>
      <w:bookmarkEnd w:id="1017"/>
    </w:p>
    <w:p>
      <w:pPr>
        <w:pStyle w:val="Style36"/>
        <w:keepNext/>
        <w:keepLines/>
        <w:widowControl w:val="0"/>
        <w:shd w:val="clear" w:color="auto" w:fill="auto"/>
        <w:bidi w:val="0"/>
        <w:spacing w:before="0" w:after="400" w:line="240" w:lineRule="auto"/>
        <w:ind w:left="0" w:right="0" w:firstLine="76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color w:val="000000"/>
          <w:spacing w:val="0"/>
          <w:w w:val="100"/>
          <w:position w:val="0"/>
        </w:rPr>
        <w:t>1）</w:t>
      </w:r>
      <w:r>
        <w:rPr>
          <w:color w:val="000000"/>
          <w:spacing w:val="0"/>
          <w:w w:val="100"/>
          <w:position w:val="0"/>
        </w:rPr>
        <w:t>预付款项按账龄列示</w:t>
      </w:r>
      <w:bookmarkEnd w:id="1018"/>
      <w:bookmarkEnd w:id="1019"/>
      <w:bookmarkEnd w:id="1021"/>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14,294,215.05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3,680,578.01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401,007.82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505,425.24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1,190,044.07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15,297,751.97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4,990,654.28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76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400" w:line="240" w:lineRule="auto"/>
        <w:ind w:left="0" w:right="0" w:firstLine="76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color w:val="000000"/>
          <w:spacing w:val="0"/>
          <w:w w:val="100"/>
          <w:position w:val="0"/>
        </w:rPr>
        <w:t>2）</w:t>
      </w:r>
      <w:r>
        <w:rPr>
          <w:color w:val="000000"/>
          <w:spacing w:val="0"/>
          <w:w w:val="100"/>
          <w:position w:val="0"/>
        </w:rPr>
        <w:t>按预付对象归集的期末余额前五名的预付款情况</w:t>
      </w:r>
      <w:bookmarkEnd w:id="1022"/>
      <w:bookmarkEnd w:id="1023"/>
      <w:bookmarkEnd w:id="1025"/>
    </w:p>
    <w:p>
      <w:pPr>
        <w:pStyle w:val="Style26"/>
        <w:keepNext w:val="0"/>
        <w:keepLines w:val="0"/>
        <w:widowControl w:val="0"/>
        <w:shd w:val="clear" w:color="auto" w:fill="auto"/>
        <w:bidi w:val="0"/>
        <w:spacing w:before="0" w:after="80" w:line="240" w:lineRule="auto"/>
        <w:ind w:left="1040" w:right="0" w:firstLine="0"/>
        <w:jc w:val="both"/>
      </w:pPr>
      <w:r>
        <w:rPr>
          <w:color w:val="000000"/>
          <w:spacing w:val="0"/>
          <w:w w:val="100"/>
          <w:position w:val="0"/>
        </w:rPr>
        <w:t>本公司按预付对象归集的年末余额前五名预付账款汇总金额为</w:t>
      </w:r>
      <w:r>
        <w:rPr>
          <w:color w:val="000000"/>
          <w:spacing w:val="0"/>
          <w:w w:val="100"/>
          <w:position w:val="0"/>
        </w:rPr>
        <w:t>11,069,380.91</w:t>
      </w:r>
      <w:r>
        <w:rPr>
          <w:color w:val="000000"/>
          <w:spacing w:val="0"/>
          <w:w w:val="100"/>
          <w:position w:val="0"/>
        </w:rPr>
        <w:t>元，占预付账款年末余额合计数的比例为</w:t>
      </w:r>
    </w:p>
    <w:p>
      <w:pPr>
        <w:pStyle w:val="Style26"/>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72.36%</w:t>
      </w:r>
      <w:r>
        <w:rPr>
          <w:color w:val="000000"/>
          <w:spacing w:val="0"/>
          <w:w w:val="100"/>
          <w:position w:val="0"/>
        </w:rPr>
        <w:t>。</w:t>
      </w:r>
    </w:p>
    <w:p>
      <w:pPr>
        <w:pStyle w:val="Style26"/>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其他说明：</w:t>
      </w:r>
    </w:p>
    <w:p>
      <w:pPr>
        <w:pStyle w:val="Style26"/>
        <w:keepNext w:val="0"/>
        <w:keepLines w:val="0"/>
        <w:widowControl w:val="0"/>
        <w:shd w:val="clear" w:color="auto" w:fill="auto"/>
        <w:bidi w:val="0"/>
        <w:spacing w:before="0" w:after="400" w:line="240" w:lineRule="auto"/>
        <w:ind w:left="1040" w:right="0" w:firstLine="0"/>
        <w:jc w:val="both"/>
      </w:pPr>
      <w:r>
        <w:rPr>
          <w:color w:val="000000"/>
          <w:spacing w:val="0"/>
          <w:w w:val="100"/>
          <w:position w:val="0"/>
        </w:rPr>
        <w:t>报告期末预付款项较期初增加</w:t>
      </w:r>
      <w:r>
        <w:rPr>
          <w:color w:val="000000"/>
          <w:spacing w:val="0"/>
          <w:w w:val="100"/>
          <w:position w:val="0"/>
        </w:rPr>
        <w:t xml:space="preserve">206. </w:t>
      </w:r>
      <w:r>
        <w:rPr>
          <w:color w:val="000000"/>
          <w:spacing w:val="0"/>
          <w:w w:val="100"/>
          <w:position w:val="0"/>
        </w:rPr>
        <w:t>53%,</w:t>
      </w:r>
      <w:r>
        <w:rPr>
          <w:color w:val="000000"/>
          <w:spacing w:val="0"/>
          <w:w w:val="100"/>
          <w:position w:val="0"/>
        </w:rPr>
        <w:t>主要由于采取预付款结算方式的采购业务增加。</w:t>
      </w:r>
    </w:p>
    <w:p>
      <w:pPr>
        <w:pStyle w:val="Style30"/>
        <w:keepNext/>
        <w:keepLines/>
        <w:widowControl w:val="0"/>
        <w:shd w:val="clear" w:color="auto" w:fill="auto"/>
        <w:bidi w:val="0"/>
        <w:spacing w:before="0" w:after="400" w:line="240" w:lineRule="auto"/>
        <w:ind w:left="0" w:right="0" w:firstLine="760"/>
        <w:jc w:val="both"/>
      </w:pPr>
      <w:bookmarkStart w:id="1026" w:name="bookmark1026"/>
      <w:bookmarkStart w:id="1027" w:name="bookmark1027"/>
      <w:bookmarkStart w:id="1028" w:name="bookmark1028"/>
      <w:bookmarkStart w:id="1029" w:name="bookmark1029"/>
      <w:r>
        <w:rPr>
          <w:color w:val="000000"/>
          <w:spacing w:val="0"/>
          <w:w w:val="100"/>
          <w:position w:val="0"/>
        </w:rPr>
        <w:t>7</w:t>
      </w:r>
      <w:bookmarkEnd w:id="1028"/>
      <w:r>
        <w:rPr>
          <w:color w:val="000000"/>
          <w:spacing w:val="0"/>
          <w:w w:val="100"/>
          <w:position w:val="0"/>
        </w:rPr>
        <w:t>、其他应收款</w:t>
      </w:r>
      <w:bookmarkEnd w:id="1026"/>
      <w:bookmarkEnd w:id="1027"/>
      <w:bookmarkEnd w:id="1029"/>
    </w:p>
    <w:p>
      <w:pPr>
        <w:pStyle w:val="Style26"/>
        <w:keepNext w:val="0"/>
        <w:keepLines w:val="0"/>
        <w:widowControl w:val="0"/>
        <w:shd w:val="clear" w:color="auto" w:fill="auto"/>
        <w:bidi w:val="0"/>
        <w:spacing w:before="0" w:after="360" w:line="240" w:lineRule="auto"/>
        <w:ind w:left="970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26,510,721.11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28,091,942.39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26,510,721.11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28,091,942.39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76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color w:val="000000"/>
          <w:spacing w:val="0"/>
          <w:w w:val="100"/>
          <w:position w:val="0"/>
        </w:rPr>
        <w:t>1）</w:t>
      </w:r>
      <w:r>
        <w:rPr>
          <w:color w:val="000000"/>
          <w:spacing w:val="0"/>
          <w:w w:val="100"/>
          <w:position w:val="0"/>
        </w:rPr>
        <w:t>其他应收款</w:t>
      </w:r>
      <w:bookmarkEnd w:id="1030"/>
      <w:bookmarkEnd w:id="1031"/>
      <w:bookmarkEnd w:id="1033"/>
    </w:p>
    <w:p>
      <w:pPr>
        <w:pStyle w:val="Style59"/>
        <w:keepNext/>
        <w:keepLines/>
        <w:widowControl w:val="0"/>
        <w:shd w:val="clear" w:color="auto" w:fill="auto"/>
        <w:bidi w:val="0"/>
        <w:spacing w:before="0" w:line="240" w:lineRule="auto"/>
        <w:ind w:left="0" w:right="0"/>
        <w:jc w:val="left"/>
      </w:pPr>
      <w:bookmarkStart w:id="1034" w:name="bookmark1034"/>
      <w:bookmarkStart w:id="1035" w:name="bookmark1035"/>
      <w:bookmarkStart w:id="1036" w:name="bookmark1036"/>
      <w:bookmarkStart w:id="1037" w:name="bookmark1037"/>
      <w:r>
        <w:rPr>
          <w:color w:val="000000"/>
          <w:spacing w:val="0"/>
          <w:w w:val="100"/>
          <w:position w:val="0"/>
        </w:rPr>
        <w:t>1</w:t>
      </w:r>
      <w:bookmarkEnd w:id="1036"/>
      <w:r>
        <w:rPr>
          <w:color w:val="000000"/>
          <w:spacing w:val="0"/>
          <w:w w:val="100"/>
          <w:position w:val="0"/>
        </w:rPr>
        <w:t>）</w:t>
      </w:r>
      <w:r>
        <w:rPr>
          <w:color w:val="000000"/>
          <w:spacing w:val="0"/>
          <w:w w:val="100"/>
          <w:position w:val="0"/>
        </w:rPr>
        <w:t>其他应收款按款项性质分类情况</w:t>
      </w:r>
      <w:bookmarkEnd w:id="1034"/>
      <w:bookmarkEnd w:id="1035"/>
      <w:bookmarkEnd w:id="1037"/>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20,532,552.89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22,533,712.95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4,105,837.71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3,362,542.29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11,264,155.54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9,964,531.95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48,375.72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36,166,056.33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36,137,962.91</w:t>
            </w:r>
          </w:p>
        </w:tc>
      </w:tr>
    </w:tbl>
    <w:p>
      <w:pPr>
        <w:widowControl w:val="0"/>
        <w:spacing w:after="319" w:line="1" w:lineRule="exact"/>
      </w:pPr>
    </w:p>
    <w:p>
      <w:pPr>
        <w:pStyle w:val="Style59"/>
        <w:keepNext/>
        <w:keepLines/>
        <w:widowControl w:val="0"/>
        <w:shd w:val="clear" w:color="auto" w:fill="auto"/>
        <w:bidi w:val="0"/>
        <w:spacing w:before="0" w:line="240" w:lineRule="auto"/>
        <w:ind w:left="0" w:right="0"/>
        <w:jc w:val="left"/>
      </w:pPr>
      <w:bookmarkStart w:id="1038" w:name="bookmark1038"/>
      <w:bookmarkStart w:id="1039" w:name="bookmark1039"/>
      <w:bookmarkStart w:id="1040" w:name="bookmark1040"/>
      <w:bookmarkStart w:id="1041" w:name="bookmark1041"/>
      <w:r>
        <w:rPr>
          <w:color w:val="000000"/>
          <w:spacing w:val="0"/>
          <w:w w:val="100"/>
          <w:position w:val="0"/>
        </w:rPr>
        <w:t>2</w:t>
      </w:r>
      <w:bookmarkEnd w:id="1040"/>
      <w:r>
        <w:rPr>
          <w:color w:val="000000"/>
          <w:spacing w:val="0"/>
          <w:w w:val="100"/>
          <w:position w:val="0"/>
        </w:rPr>
        <w:t>）</w:t>
      </w:r>
      <w:r>
        <w:rPr>
          <w:color w:val="000000"/>
          <w:spacing w:val="0"/>
          <w:w w:val="100"/>
          <w:position w:val="0"/>
        </w:rPr>
        <w:t>坏账准备计提情况</w:t>
      </w:r>
      <w:bookmarkEnd w:id="1038"/>
      <w:bookmarkEnd w:id="1039"/>
      <w:bookmarkEnd w:id="1041"/>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（已发生信用减值）</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6,811,576.06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1,234,444.46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8,046,020.52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1,609,314.70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1,609,314.70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8,420,890.76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1,234,444.46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9,655,335.22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13,773,262.01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12,669,196.05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2,891,208.24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1,411,275.70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2,119,070.12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3,302,044.21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36,166,056.33</w:t>
            </w:r>
          </w:p>
        </w:tc>
      </w:tr>
    </w:tbl>
    <w:p>
      <w:pPr>
        <w:widowControl w:val="0"/>
        <w:spacing w:after="319" w:line="1" w:lineRule="exact"/>
      </w:pPr>
    </w:p>
    <w:p>
      <w:pPr>
        <w:pStyle w:val="Style59"/>
        <w:keepNext/>
        <w:keepLines/>
        <w:widowControl w:val="0"/>
        <w:shd w:val="clear" w:color="auto" w:fill="auto"/>
        <w:bidi w:val="0"/>
        <w:spacing w:before="0" w:line="240" w:lineRule="auto"/>
        <w:ind w:left="0" w:right="0"/>
        <w:jc w:val="left"/>
      </w:pPr>
      <w:bookmarkStart w:id="1042" w:name="bookmark1042"/>
      <w:bookmarkStart w:id="1043" w:name="bookmark1043"/>
      <w:bookmarkStart w:id="1044" w:name="bookmark1044"/>
      <w:bookmarkStart w:id="1045" w:name="bookmark1045"/>
      <w:r>
        <w:rPr>
          <w:color w:val="000000"/>
          <w:spacing w:val="0"/>
          <w:w w:val="100"/>
          <w:position w:val="0"/>
        </w:rPr>
        <w:t>3</w:t>
      </w:r>
      <w:bookmarkEnd w:id="1044"/>
      <w:r>
        <w:rPr>
          <w:color w:val="000000"/>
          <w:spacing w:val="0"/>
          <w:w w:val="100"/>
          <w:position w:val="0"/>
        </w:rPr>
        <w:t>）</w:t>
      </w:r>
      <w:r>
        <w:rPr>
          <w:color w:val="000000"/>
          <w:spacing w:val="0"/>
          <w:w w:val="100"/>
          <w:position w:val="0"/>
        </w:rPr>
        <w:t>本期计提、收回或转回的坏账准备情况</w:t>
      </w:r>
      <w:bookmarkEnd w:id="1042"/>
      <w:bookmarkEnd w:id="1043"/>
      <w:bookmarkEnd w:id="1045"/>
    </w:p>
    <w:p>
      <w:pPr>
        <w:pStyle w:val="Style2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43"/>
        <w:gridCol w:w="1344"/>
        <w:gridCol w:w="1330"/>
        <w:gridCol w:w="1330"/>
        <w:gridCol w:w="1243"/>
        <w:gridCol w:w="173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按组合计提的坏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8,046,020.52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1,609,314.70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9,655,335.22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8,046,020.52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1,609,314.70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9,655,335.22</w:t>
            </w:r>
          </w:p>
        </w:tc>
      </w:tr>
    </w:tbl>
    <w:p>
      <w:pPr>
        <w:widowControl w:val="0"/>
        <w:spacing w:after="319" w:line="1" w:lineRule="exact"/>
      </w:pPr>
    </w:p>
    <w:p>
      <w:pPr>
        <w:pStyle w:val="Style59"/>
        <w:keepNext/>
        <w:keepLines/>
        <w:widowControl w:val="0"/>
        <w:shd w:val="clear" w:color="auto" w:fill="auto"/>
        <w:bidi w:val="0"/>
        <w:spacing w:before="0" w:line="240" w:lineRule="auto"/>
        <w:ind w:left="0" w:right="0"/>
        <w:jc w:val="left"/>
      </w:pPr>
      <w:bookmarkStart w:id="1046" w:name="bookmark1046"/>
      <w:bookmarkStart w:id="1047" w:name="bookmark1047"/>
      <w:bookmarkStart w:id="1048" w:name="bookmark1048"/>
      <w:bookmarkStart w:id="1049" w:name="bookmark1049"/>
      <w:r>
        <w:rPr>
          <w:color w:val="000000"/>
          <w:spacing w:val="0"/>
          <w:w w:val="100"/>
          <w:position w:val="0"/>
        </w:rPr>
        <w:t>4</w:t>
      </w:r>
      <w:bookmarkEnd w:id="1048"/>
      <w:r>
        <w:rPr>
          <w:color w:val="000000"/>
          <w:spacing w:val="0"/>
          <w:w w:val="100"/>
          <w:position w:val="0"/>
        </w:rPr>
        <w:t>）</w:t>
      </w:r>
      <w:r>
        <w:rPr>
          <w:color w:val="000000"/>
          <w:spacing w:val="0"/>
          <w:w w:val="100"/>
          <w:position w:val="0"/>
        </w:rPr>
        <w:t>按欠款方归集的期末余额前五名的其他应收款情况</w:t>
      </w:r>
      <w:bookmarkEnd w:id="1046"/>
      <w:bookmarkEnd w:id="1047"/>
      <w:bookmarkEnd w:id="1049"/>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598"/>
        <w:gridCol w:w="1594"/>
        <w:gridCol w:w="1493"/>
        <w:gridCol w:w="1694"/>
        <w:gridCol w:w="1598"/>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张家口智云教育云 科技平台运营有限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7,502,997.60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750,299.76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拉卡拉支付股份有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2,000,000.00 </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500,000.00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中信银行宁波分行 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对非关联公司的应 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1,573,201.00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1,573,201.00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深圳市国乾科技有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对非关联公司的应 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964,444.46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964,444.46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北京市政交通一"卡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对非关联公司的应 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762,983.80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4,808.80；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758,175.00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227,692.94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13,303,626.86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3,665,638.16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760"/>
        <w:jc w:val="both"/>
      </w:pPr>
      <w:bookmarkStart w:id="1050" w:name="bookmark1050"/>
      <w:bookmarkStart w:id="1051" w:name="bookmark1051"/>
      <w:bookmarkStart w:id="1052" w:name="bookmark1052"/>
      <w:bookmarkStart w:id="1053" w:name="bookmark1053"/>
      <w:r>
        <w:rPr>
          <w:color w:val="000000"/>
          <w:spacing w:val="0"/>
          <w:w w:val="100"/>
          <w:position w:val="0"/>
        </w:rPr>
        <w:t>8</w:t>
      </w:r>
      <w:bookmarkEnd w:id="1052"/>
      <w:r>
        <w:rPr>
          <w:color w:val="000000"/>
          <w:spacing w:val="0"/>
          <w:w w:val="100"/>
          <w:position w:val="0"/>
        </w:rPr>
        <w:t>、存货</w:t>
      </w:r>
      <w:bookmarkEnd w:id="1050"/>
      <w:bookmarkEnd w:id="1051"/>
      <w:bookmarkEnd w:id="1053"/>
    </w:p>
    <w:p>
      <w:pPr>
        <w:pStyle w:val="Style36"/>
        <w:keepNext/>
        <w:keepLines/>
        <w:widowControl w:val="0"/>
        <w:shd w:val="clear" w:color="auto" w:fill="auto"/>
        <w:bidi w:val="0"/>
        <w:spacing w:before="0" w:after="400" w:line="240" w:lineRule="auto"/>
        <w:ind w:left="0" w:right="0" w:firstLine="760"/>
        <w:jc w:val="both"/>
      </w:pPr>
      <w:bookmarkStart w:id="1054" w:name="bookmark1054"/>
      <w:bookmarkStart w:id="1055" w:name="bookmark1055"/>
      <w:bookmarkStart w:id="1056" w:name="bookmark1056"/>
      <w:r>
        <w:rPr>
          <w:color w:val="000000"/>
          <w:spacing w:val="0"/>
          <w:w w:val="100"/>
          <w:position w:val="0"/>
        </w:rPr>
        <w:t>（1）</w:t>
      </w:r>
      <w:r>
        <w:rPr>
          <w:color w:val="000000"/>
          <w:spacing w:val="0"/>
          <w:w w:val="100"/>
          <w:position w:val="0"/>
        </w:rPr>
        <w:t>存货分类</w:t>
      </w:r>
      <w:bookmarkEnd w:id="1054"/>
      <w:bookmarkEnd w:id="1055"/>
      <w:bookmarkEnd w:id="1056"/>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373"/>
        <w:gridCol w:w="4104"/>
        <w:gridCol w:w="4109"/>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133,925,116.39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44,139,522.11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89,785,594.28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102,606,635.54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34,922,200.17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67,684,435.37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4,264,791.38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4,264,791.38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63,593,096.46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19,228,005.36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44,365,091.10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61,775,473.13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16,917,188.45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44,858,284.68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10,446,765.50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10,446,765.50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61,131,551.20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61,131,551.20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56,258,386.97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56,258,386.97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60,484,135.98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60,484,135.98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1,905,065.73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1,905,065.73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2,080,143.17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2,080,143.17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144,640,429.39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84,275,540.95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60,364,888.44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201,720,823.65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87,683,178.16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114,037,645.49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415,033,651.82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147,643,068.42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267,390,583.40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489,798,762.67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139,522,566.78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350,276,195.89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90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color w:val="000000"/>
          <w:spacing w:val="0"/>
          <w:w w:val="100"/>
          <w:position w:val="0"/>
        </w:rPr>
        <w:t>2）</w:t>
      </w:r>
      <w:r>
        <w:rPr>
          <w:color w:val="000000"/>
          <w:spacing w:val="0"/>
          <w:w w:val="100"/>
          <w:position w:val="0"/>
        </w:rPr>
        <w:t>存货跌价准备和合同履约成本减值准备</w:t>
      </w:r>
      <w:bookmarkEnd w:id="1057"/>
      <w:bookmarkEnd w:id="1058"/>
      <w:bookmarkEnd w:id="1060"/>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34,922,200.17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11,175,805.90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1,958,483.96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44,139,522.11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16,917,188.45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6,183,123.34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3,872,306.43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19,228,005.36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87,683,178.16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2,485,556.99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5,893,194.20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84,275,540.95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139,522,566.78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19,844,486.23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11,723,984.59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147,643,068.42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760"/>
        <w:jc w:val="left"/>
      </w:pPr>
      <w:bookmarkStart w:id="1061" w:name="bookmark1061"/>
      <w:bookmarkStart w:id="1062" w:name="bookmark1062"/>
      <w:bookmarkStart w:id="1063" w:name="bookmark1063"/>
      <w:bookmarkStart w:id="1064" w:name="bookmark1064"/>
      <w:r>
        <w:rPr>
          <w:color w:val="000000"/>
          <w:spacing w:val="0"/>
          <w:w w:val="100"/>
          <w:position w:val="0"/>
        </w:rPr>
        <w:t>9</w:t>
      </w:r>
      <w:bookmarkEnd w:id="1063"/>
      <w:r>
        <w:rPr>
          <w:color w:val="000000"/>
          <w:spacing w:val="0"/>
          <w:w w:val="100"/>
          <w:position w:val="0"/>
        </w:rPr>
        <w:t>、其他流动资产</w:t>
      </w:r>
      <w:bookmarkEnd w:id="1061"/>
      <w:bookmarkEnd w:id="1062"/>
      <w:bookmarkEnd w:id="1064"/>
    </w:p>
    <w:p>
      <w:pPr>
        <w:pStyle w:val="Style26"/>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397,866.89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655,195.03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657,328.43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276,355.39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公共设施维修费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188,977.26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647,630.53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1,057,369.62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物业费、网络使用费等其他费用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856,603.94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1,020,215.43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18,032,425.72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4,003,061.55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1,561,896.08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22,187,538.00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7,201,174.28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20" w:line="240" w:lineRule="auto"/>
        <w:ind w:left="1040" w:right="0" w:firstLine="0"/>
        <w:jc w:val="left"/>
      </w:pPr>
      <w:r>
        <w:rPr>
          <w:color w:val="000000"/>
          <w:spacing w:val="0"/>
          <w:w w:val="100"/>
          <w:position w:val="0"/>
        </w:rPr>
        <w:t>报告期末其他流动资产较期初增加</w:t>
      </w:r>
      <w:r>
        <w:rPr>
          <w:color w:val="000000"/>
          <w:spacing w:val="0"/>
          <w:w w:val="100"/>
          <w:position w:val="0"/>
        </w:rPr>
        <w:t xml:space="preserve">208. </w:t>
      </w:r>
      <w:r>
        <w:rPr>
          <w:color w:val="000000"/>
          <w:spacing w:val="0"/>
          <w:w w:val="100"/>
          <w:position w:val="0"/>
        </w:rPr>
        <w:t>11%</w:t>
      </w:r>
      <w:r>
        <w:rPr>
          <w:color w:val="000000"/>
          <w:spacing w:val="0"/>
          <w:w w:val="100"/>
          <w:position w:val="0"/>
        </w:rPr>
        <w:t>，主要由于增值税留抵税额增加。</w:t>
      </w:r>
      <w:r>
        <w:br w:type="page"/>
      </w:r>
    </w:p>
    <w:p>
      <w:pPr>
        <w:pStyle w:val="Style30"/>
        <w:keepNext/>
        <w:keepLines/>
        <w:widowControl w:val="0"/>
        <w:shd w:val="clear" w:color="auto" w:fill="auto"/>
        <w:bidi w:val="0"/>
        <w:spacing w:before="0" w:line="240" w:lineRule="auto"/>
        <w:ind w:left="0" w:right="0" w:firstLine="620"/>
        <w:jc w:val="both"/>
      </w:pPr>
      <w:bookmarkStart w:id="1065" w:name="bookmark1065"/>
      <w:bookmarkStart w:id="1066" w:name="bookmark1066"/>
      <w:bookmarkStart w:id="1067" w:name="bookmark1067"/>
      <w:bookmarkStart w:id="1068" w:name="bookmark1068"/>
      <w:r>
        <w:rPr>
          <w:color w:val="000000"/>
          <w:spacing w:val="0"/>
          <w:w w:val="100"/>
          <w:position w:val="0"/>
        </w:rPr>
        <w:t>1</w:t>
      </w:r>
      <w:bookmarkEnd w:id="1067"/>
      <w:r>
        <w:rPr>
          <w:color w:val="000000"/>
          <w:spacing w:val="0"/>
          <w:w w:val="100"/>
          <w:position w:val="0"/>
        </w:rPr>
        <w:t>0</w:t>
      </w:r>
      <w:r>
        <w:rPr>
          <w:color w:val="000000"/>
          <w:spacing w:val="0"/>
          <w:w w:val="100"/>
          <w:position w:val="0"/>
        </w:rPr>
        <w:t>、长期应收款</w:t>
      </w:r>
      <w:bookmarkEnd w:id="1065"/>
      <w:bookmarkEnd w:id="1066"/>
      <w:bookmarkEnd w:id="1068"/>
    </w:p>
    <w:p>
      <w:pPr>
        <w:pStyle w:val="Style36"/>
        <w:keepNext/>
        <w:keepLines/>
        <w:widowControl w:val="0"/>
        <w:shd w:val="clear" w:color="auto" w:fill="auto"/>
        <w:bidi w:val="0"/>
        <w:spacing w:before="0" w:after="380" w:line="240" w:lineRule="auto"/>
        <w:ind w:left="0" w:right="0" w:firstLine="620"/>
        <w:jc w:val="both"/>
      </w:pPr>
      <w:bookmarkStart w:id="1069" w:name="bookmark1069"/>
      <w:bookmarkStart w:id="1070" w:name="bookmark1070"/>
      <w:bookmarkStart w:id="1071" w:name="bookmark1071"/>
      <w:r>
        <w:rPr>
          <w:color w:val="000000"/>
          <w:spacing w:val="0"/>
          <w:w w:val="100"/>
          <w:position w:val="0"/>
        </w:rPr>
        <w:t>（1）</w:t>
      </w:r>
      <w:r>
        <w:rPr>
          <w:color w:val="000000"/>
          <w:spacing w:val="0"/>
          <w:w w:val="100"/>
          <w:position w:val="0"/>
        </w:rPr>
        <w:t>长期应收款情况</w:t>
      </w:r>
      <w:bookmarkEnd w:id="1069"/>
      <w:bookmarkEnd w:id="1070"/>
      <w:bookmarkEnd w:id="10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258"/>
        <w:gridCol w:w="1166"/>
        <w:gridCol w:w="1243"/>
        <w:gridCol w:w="1013"/>
        <w:gridCol w:w="1099"/>
        <w:gridCol w:w="1166"/>
        <w:gridCol w:w="117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74,739,897.68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4,241,716.35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70,498,181.33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74,739,897.68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4,241,716.35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70,498,181.33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一</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4,241,716.35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4,241,716.35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4,241,716.35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4,241,716.35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报告期末新增长期应收款，主要是公司新增了回款周期较长的应收款项，将其列报于长期应收款。</w:t>
      </w:r>
    </w:p>
    <w:p>
      <w:pPr>
        <w:pStyle w:val="Style30"/>
        <w:keepNext/>
        <w:keepLines/>
        <w:widowControl w:val="0"/>
        <w:shd w:val="clear" w:color="auto" w:fill="auto"/>
        <w:bidi w:val="0"/>
        <w:spacing w:before="0" w:line="240" w:lineRule="auto"/>
        <w:ind w:left="0" w:right="0" w:firstLine="620"/>
        <w:jc w:val="both"/>
      </w:pPr>
      <w:bookmarkStart w:id="1072" w:name="bookmark1072"/>
      <w:bookmarkStart w:id="1073" w:name="bookmark1073"/>
      <w:bookmarkStart w:id="1074" w:name="bookmark1074"/>
      <w:bookmarkStart w:id="1075" w:name="bookmark1075"/>
      <w:r>
        <w:rPr>
          <w:color w:val="000000"/>
          <w:spacing w:val="0"/>
          <w:w w:val="100"/>
          <w:position w:val="0"/>
        </w:rPr>
        <w:t>1</w:t>
      </w:r>
      <w:bookmarkEnd w:id="1074"/>
      <w:r>
        <w:rPr>
          <w:color w:val="000000"/>
          <w:spacing w:val="0"/>
          <w:w w:val="100"/>
          <w:position w:val="0"/>
        </w:rPr>
        <w:t>1</w:t>
      </w:r>
      <w:r>
        <w:rPr>
          <w:color w:val="000000"/>
          <w:spacing w:val="0"/>
          <w:w w:val="100"/>
          <w:position w:val="0"/>
        </w:rPr>
        <w:t>、长期股权投资</w:t>
      </w:r>
      <w:bookmarkEnd w:id="1072"/>
      <w:bookmarkEnd w:id="1073"/>
      <w:bookmarkEnd w:id="10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96"/>
        <w:gridCol w:w="595"/>
        <w:gridCol w:w="1046"/>
        <w:gridCol w:w="1138"/>
        <w:gridCol w:w="797"/>
        <w:gridCol w:w="1080"/>
        <w:gridCol w:w="802"/>
        <w:gridCol w:w="475"/>
        <w:gridCol w:w="379"/>
        <w:gridCol w:w="1253"/>
        <w:gridCol w:w="811"/>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期初余额（账面 价值）</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权益法下确 认的投资损</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武汉中天慧购 电商服务有限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104,873.98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104,873.98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福建中教网络 教育服务有限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938,510.93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-516, 924.73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421,586.20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296"/>
        <w:gridCol w:w="595"/>
        <w:gridCol w:w="1046"/>
        <w:gridCol w:w="1138"/>
        <w:gridCol w:w="797"/>
        <w:gridCol w:w="1080"/>
        <w:gridCol w:w="802"/>
        <w:gridCol w:w="475"/>
        <w:gridCol w:w="379"/>
        <w:gridCol w:w="1253"/>
        <w:gridCol w:w="81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武汉星合数媒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4,694,678.93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4,692,505.61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武汉国广天喻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张家口聚思教 育科技有限公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133,751.34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112,444.60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246,195.94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武汉武信天喻 科技投资有限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50,067,005.61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50,065,221.20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湖北兴华教投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3,620,539.76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487,631.88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4,108,171.64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河南聚联智慧 大数据科技有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11,999,960.00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12,908,318.21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71,454,446.57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79,194.02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72,441,998.80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71,467,400.64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117,828.05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184,068.00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908,358.21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72,441,998.80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20" w:line="240" w:lineRule="auto"/>
        <w:ind w:left="0" w:right="0" w:firstLine="620"/>
        <w:jc w:val="left"/>
      </w:pPr>
      <w:bookmarkStart w:id="1076" w:name="bookmark1076"/>
      <w:bookmarkStart w:id="1077" w:name="bookmark1077"/>
      <w:bookmarkStart w:id="1078" w:name="bookmark1078"/>
      <w:bookmarkStart w:id="1079" w:name="bookmark1079"/>
      <w:r>
        <w:rPr>
          <w:color w:val="000000"/>
          <w:spacing w:val="0"/>
          <w:w w:val="100"/>
          <w:position w:val="0"/>
        </w:rPr>
        <w:t>1</w:t>
      </w:r>
      <w:bookmarkEnd w:id="1078"/>
      <w:r>
        <w:rPr>
          <w:color w:val="000000"/>
          <w:spacing w:val="0"/>
          <w:w w:val="100"/>
          <w:position w:val="0"/>
        </w:rPr>
        <w:t>2</w:t>
      </w:r>
      <w:r>
        <w:rPr>
          <w:color w:val="000000"/>
          <w:spacing w:val="0"/>
          <w:w w:val="100"/>
          <w:position w:val="0"/>
        </w:rPr>
        <w:t>、其他权益工具投资</w:t>
      </w:r>
      <w:bookmarkEnd w:id="1076"/>
      <w:bookmarkEnd w:id="1077"/>
      <w:bookmarkEnd w:id="1079"/>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27,096,078.63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5,377,033.21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27,096,078.63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5,377,033.21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3,971,054.04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贵州百旺金赋科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1,008,860.35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黑龙江百旺金赋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1,716,164.35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出于战略目的而 计划长期持有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6,696,078.74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322" w:lineRule="exact"/>
        <w:ind w:left="0" w:right="0" w:firstLine="640"/>
        <w:jc w:val="left"/>
      </w:pPr>
      <w:r>
        <w:rPr>
          <w:color w:val="000000"/>
          <w:spacing w:val="0"/>
          <w:w w:val="100"/>
          <w:position w:val="0"/>
        </w:rPr>
        <w:t>其他说明：</w:t>
      </w:r>
    </w:p>
    <w:p>
      <w:pPr>
        <w:pStyle w:val="Style26"/>
        <w:keepNext w:val="0"/>
        <w:keepLines w:val="0"/>
        <w:widowControl w:val="0"/>
        <w:shd w:val="clear" w:color="auto" w:fill="auto"/>
        <w:bidi w:val="0"/>
        <w:spacing w:before="0" w:after="400" w:line="322" w:lineRule="exact"/>
        <w:ind w:left="640" w:right="0" w:firstLine="360"/>
        <w:jc w:val="left"/>
      </w:pPr>
      <w:r>
        <w:rPr>
          <w:color w:val="000000"/>
          <w:spacing w:val="0"/>
          <w:w w:val="100"/>
          <w:position w:val="0"/>
        </w:rPr>
        <w:t>报告期末其他权益工具投资较期初增加</w:t>
      </w:r>
      <w:r>
        <w:rPr>
          <w:color w:val="000000"/>
          <w:spacing w:val="0"/>
          <w:w w:val="100"/>
          <w:position w:val="0"/>
        </w:rPr>
        <w:t>403.92%</w:t>
      </w:r>
      <w:r>
        <w:rPr>
          <w:color w:val="000000"/>
          <w:spacing w:val="0"/>
          <w:w w:val="100"/>
          <w:position w:val="0"/>
        </w:rPr>
        <w:t>，主要由于公司向东风畅行增资</w:t>
      </w:r>
      <w:r>
        <w:rPr>
          <w:color w:val="000000"/>
          <w:spacing w:val="0"/>
          <w:w w:val="100"/>
          <w:position w:val="0"/>
        </w:rPr>
        <w:t>2,000</w:t>
      </w:r>
      <w:r>
        <w:rPr>
          <w:color w:val="000000"/>
          <w:spacing w:val="0"/>
          <w:w w:val="100"/>
          <w:position w:val="0"/>
        </w:rPr>
        <w:t>万元，持股比例</w:t>
      </w:r>
      <w:r>
        <w:rPr>
          <w:color w:val="000000"/>
          <w:spacing w:val="0"/>
          <w:w w:val="100"/>
          <w:position w:val="0"/>
        </w:rPr>
        <w:t>2.89%</w:t>
      </w:r>
      <w:r>
        <w:rPr>
          <w:color w:val="000000"/>
          <w:spacing w:val="0"/>
          <w:w w:val="100"/>
          <w:position w:val="0"/>
        </w:rPr>
        <w:t>，根据金融 工具准则及公司的主要投资目的，公司将该项投资列报于其他权益工具投资。</w:t>
      </w:r>
    </w:p>
    <w:p>
      <w:pPr>
        <w:pStyle w:val="Style30"/>
        <w:keepNext/>
        <w:keepLines/>
        <w:widowControl w:val="0"/>
        <w:shd w:val="clear" w:color="auto" w:fill="auto"/>
        <w:bidi w:val="0"/>
        <w:spacing w:before="0" w:after="400" w:line="240" w:lineRule="auto"/>
        <w:ind w:left="0" w:right="0" w:firstLine="640"/>
        <w:jc w:val="left"/>
      </w:pPr>
      <w:bookmarkStart w:id="1080" w:name="bookmark1080"/>
      <w:bookmarkStart w:id="1081" w:name="bookmark1081"/>
      <w:bookmarkStart w:id="1082" w:name="bookmark1082"/>
      <w:bookmarkStart w:id="1083" w:name="bookmark1083"/>
      <w:r>
        <w:rPr>
          <w:color w:val="000000"/>
          <w:spacing w:val="0"/>
          <w:w w:val="100"/>
          <w:position w:val="0"/>
        </w:rPr>
        <w:t>1</w:t>
      </w:r>
      <w:bookmarkEnd w:id="1082"/>
      <w:r>
        <w:rPr>
          <w:color w:val="000000"/>
          <w:spacing w:val="0"/>
          <w:w w:val="100"/>
          <w:position w:val="0"/>
        </w:rPr>
        <w:t>3</w:t>
      </w:r>
      <w:r>
        <w:rPr>
          <w:color w:val="000000"/>
          <w:spacing w:val="0"/>
          <w:w w:val="100"/>
          <w:position w:val="0"/>
        </w:rPr>
        <w:t>、固定资产</w:t>
      </w:r>
      <w:bookmarkEnd w:id="1080"/>
      <w:bookmarkEnd w:id="1081"/>
      <w:bookmarkEnd w:id="1083"/>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200,785,372.21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176,271,253.99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200,785,372.21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176,271,253.99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760"/>
        <w:jc w:val="left"/>
      </w:pPr>
      <w:bookmarkStart w:id="1084" w:name="bookmark1084"/>
      <w:bookmarkStart w:id="1085" w:name="bookmark1085"/>
      <w:bookmarkStart w:id="1086" w:name="bookmark1086"/>
      <w:r>
        <w:rPr>
          <w:color w:val="000000"/>
          <w:spacing w:val="0"/>
          <w:w w:val="100"/>
          <w:position w:val="0"/>
        </w:rPr>
        <w:t>（1）</w:t>
      </w:r>
      <w:r>
        <w:rPr>
          <w:color w:val="000000"/>
          <w:spacing w:val="0"/>
          <w:w w:val="100"/>
          <w:position w:val="0"/>
        </w:rPr>
        <w:t>固定资产情况</w:t>
      </w:r>
      <w:bookmarkEnd w:id="1084"/>
      <w:bookmarkEnd w:id="1085"/>
      <w:bookmarkEnd w:id="1086"/>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119,450,056.61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135,878,071.25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112,253,807.12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8,725,591.09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376,307,526.07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35,624,944.08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2,314,420.82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7,952,571.10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189,283.18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46,081,219.18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35,624,944.08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1,878,668.76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1,554,916.22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186,805.31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39,245,334.37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6,397,654.88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6,835,884.81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8,798,073.72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430,593.17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695,773.32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9,924,440.21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8,798,073.72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430,593.17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695,773.32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9,924,440.21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155,075,000.69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129,394,418.35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119,775,785.05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8,219,100.95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412,464,305.04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19,345,118.53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103,255,647.96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70,846,921.76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6,588,583.83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200,036,272.08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3,245,918.08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6,602,912.46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10,117,609.36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749,838.01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20,716,277.91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3,245,918.08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6,602,912.46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10,117,609.36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749,838.01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20,716,277.91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8,204,710.77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391,476.34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477,430.05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9,073,617.16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8,204,710.77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391,476.34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477,430.05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9,073,617.16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22,591,036.61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101,653,849.65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80,573,054.78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6,860,991.79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211,678,932.83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132,483,964.08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27,740,568.70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39,202,730.27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1,358,109.16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200,785,372.21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100,104,938.08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32,622,423.29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41,406,885.36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2,137,007.26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176,271,253.99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40"/>
        <w:jc w:val="left"/>
      </w:pPr>
      <w:bookmarkStart w:id="1087" w:name="bookmark1087"/>
      <w:bookmarkStart w:id="1088" w:name="bookmark1088"/>
      <w:bookmarkStart w:id="1089" w:name="bookmark1089"/>
      <w:bookmarkStart w:id="1090" w:name="bookmark1090"/>
      <w:r>
        <w:rPr>
          <w:color w:val="000000"/>
          <w:spacing w:val="0"/>
          <w:w w:val="100"/>
          <w:position w:val="0"/>
        </w:rPr>
        <w:t>1</w:t>
      </w:r>
      <w:bookmarkEnd w:id="1089"/>
      <w:r>
        <w:rPr>
          <w:color w:val="000000"/>
          <w:spacing w:val="0"/>
          <w:w w:val="100"/>
          <w:position w:val="0"/>
        </w:rPr>
        <w:t>4</w:t>
      </w:r>
      <w:r>
        <w:rPr>
          <w:color w:val="000000"/>
          <w:spacing w:val="0"/>
          <w:w w:val="100"/>
          <w:position w:val="0"/>
        </w:rPr>
        <w:t>、在建工程</w:t>
      </w:r>
      <w:bookmarkEnd w:id="1087"/>
      <w:bookmarkEnd w:id="1088"/>
      <w:bookmarkEnd w:id="1090"/>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991,150.44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991,150.44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760"/>
        <w:jc w:val="left"/>
      </w:pPr>
      <w:bookmarkStart w:id="1091" w:name="bookmark1091"/>
      <w:bookmarkStart w:id="1092" w:name="bookmark1092"/>
      <w:bookmarkStart w:id="1093" w:name="bookmark1093"/>
      <w:r>
        <w:rPr>
          <w:color w:val="000000"/>
          <w:spacing w:val="0"/>
          <w:w w:val="100"/>
          <w:position w:val="0"/>
        </w:rPr>
        <w:t>（1）</w:t>
      </w:r>
      <w:r>
        <w:rPr>
          <w:color w:val="000000"/>
          <w:spacing w:val="0"/>
          <w:w w:val="100"/>
          <w:position w:val="0"/>
        </w:rPr>
        <w:t>在建工程情况</w:t>
      </w:r>
      <w:bookmarkEnd w:id="1091"/>
      <w:bookmarkEnd w:id="1092"/>
      <w:bookmarkEnd w:id="1093"/>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991,150.44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991,150.44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4,228,318.58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4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5</w:t>
      </w:r>
      <w:r>
        <w:rPr>
          <w:color w:val="000000"/>
          <w:spacing w:val="0"/>
          <w:w w:val="100"/>
          <w:position w:val="0"/>
        </w:rPr>
        <w:t>、无形资产</w:t>
      </w:r>
      <w:bookmarkEnd w:id="1094"/>
      <w:bookmarkEnd w:id="1095"/>
      <w:bookmarkEnd w:id="1097"/>
    </w:p>
    <w:p>
      <w:pPr>
        <w:pStyle w:val="Style36"/>
        <w:keepNext/>
        <w:keepLines/>
        <w:widowControl w:val="0"/>
        <w:shd w:val="clear" w:color="auto" w:fill="auto"/>
        <w:bidi w:val="0"/>
        <w:spacing w:before="0" w:after="400" w:line="240" w:lineRule="auto"/>
        <w:ind w:left="0" w:right="0" w:firstLine="640"/>
        <w:jc w:val="left"/>
      </w:pPr>
      <w:bookmarkStart w:id="1098" w:name="bookmark1098"/>
      <w:bookmarkStart w:id="1099" w:name="bookmark1099"/>
      <w:bookmarkStart w:id="1100" w:name="bookmark1100"/>
      <w:r>
        <w:rPr>
          <w:color w:val="000000"/>
          <w:spacing w:val="0"/>
          <w:w w:val="100"/>
          <w:position w:val="0"/>
        </w:rPr>
        <w:t>（1）</w:t>
      </w:r>
      <w:r>
        <w:rPr>
          <w:color w:val="000000"/>
          <w:spacing w:val="0"/>
          <w:w w:val="100"/>
          <w:position w:val="0"/>
        </w:rPr>
        <w:t>无形资产情况</w:t>
      </w:r>
      <w:bookmarkEnd w:id="1098"/>
      <w:bookmarkEnd w:id="1099"/>
      <w:bookmarkEnd w:id="11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325"/>
        <w:gridCol w:w="850"/>
        <w:gridCol w:w="994"/>
        <w:gridCol w:w="1291"/>
        <w:gridCol w:w="1195"/>
        <w:gridCol w:w="1195"/>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38,642,727.53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54,115,923.09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7,872,302.13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100,718,952.75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10,762,272.19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17,363,771.42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235,849.05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28,361,892.66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10,762,272.19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970,933.14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235,849.05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11,969,054.38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16,392,838.28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16,392,838.28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r>
              <w:rPr>
                <w:color w:val="000000"/>
                <w:spacing w:val="0"/>
                <w:w w:val="100"/>
                <w:position w:val="0"/>
              </w:rPr>
              <w:t>企业合并减少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bl>
    <w:p>
      <w:pPr>
        <w:spacing w:lineRule="exact" w:line="1"/>
        <w:rPr>
          <w:sz w:val="2"/>
          <w:szCs w:val="2"/>
        </w:rPr>
      </w:pPr>
      <w:r>
        <w:br w:type="page"/>
      </w:r>
    </w:p>
    <w:tbl>
      <w:tblPr>
        <w:tblOverlap w:val="never"/>
        <w:jc w:val="center"/>
        <w:tblLayout w:type="fixed"/>
      </w:tblPr>
      <w:tblGrid>
        <w:gridCol w:w="2266"/>
        <w:gridCol w:w="1325"/>
        <w:gridCol w:w="850"/>
        <w:gridCol w:w="994"/>
        <w:gridCol w:w="1291"/>
        <w:gridCol w:w="1195"/>
        <w:gridCol w:w="1195"/>
        <w:gridCol w:w="13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49,404,999.72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71,439,694.51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7,872,302.13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323,849.05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129,040,845.41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7,134,924.12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25,920,557.15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4,657,778.89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43,266.47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37,756,526.63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802,749.80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6,972,763.51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787,230.24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8,578,094.99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802,749.80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6,972,763.51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787,230.24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8,578,094.99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7,937,673.92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32,853,320.66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5,445,009.13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58,617.91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46,294,621.62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41,467,325.80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38,586,373.85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2,427,293.00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265,231.14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82,746,223.79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31,507,803.41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28,195,365.94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3,214,523.24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44,733.53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62,962,426.12</w:t>
            </w:r>
          </w:p>
        </w:tc>
      </w:tr>
    </w:tbl>
    <w:p>
      <w:pPr>
        <w:pStyle w:val="Style26"/>
        <w:keepNext w:val="0"/>
        <w:keepLines w:val="0"/>
        <w:widowControl w:val="0"/>
        <w:shd w:val="clear" w:color="auto" w:fill="auto"/>
        <w:bidi w:val="0"/>
        <w:spacing w:before="0" w:after="140" w:line="326" w:lineRule="exact"/>
        <w:ind w:left="640" w:right="0" w:firstLine="360"/>
        <w:jc w:val="left"/>
      </w:pPr>
      <w:r>
        <w:rPr>
          <w:color w:val="000000"/>
          <w:spacing w:val="0"/>
          <w:w w:val="100"/>
          <w:position w:val="0"/>
        </w:rPr>
        <w:t>注：报告期末无形资产较期初增加</w:t>
      </w:r>
      <w:r>
        <w:rPr>
          <w:color w:val="000000"/>
          <w:spacing w:val="0"/>
          <w:w w:val="100"/>
          <w:position w:val="0"/>
        </w:rPr>
        <w:t>31.42%,</w:t>
      </w:r>
      <w:r>
        <w:rPr>
          <w:color w:val="000000"/>
          <w:spacing w:val="0"/>
          <w:w w:val="100"/>
          <w:position w:val="0"/>
        </w:rPr>
        <w:t>主要由于子公司天喻教育将已完成开发并取得开发成果的项目开发支出结 转为无形资产，以及报告期内公司通过司法拍卖竞拍取得其他公司的土地使用权。</w:t>
      </w:r>
    </w:p>
    <w:p>
      <w:pPr>
        <w:pStyle w:val="Style26"/>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本期末通过公司内部研发形成的无形资产占无形资产余额的比例为</w:t>
      </w:r>
      <w:r>
        <w:rPr>
          <w:color w:val="000000"/>
          <w:spacing w:val="0"/>
          <w:w w:val="100"/>
          <w:position w:val="0"/>
        </w:rPr>
        <w:t xml:space="preserve">35. </w:t>
      </w:r>
      <w:r>
        <w:rPr>
          <w:color w:val="000000"/>
          <w:spacing w:val="0"/>
          <w:w w:val="100"/>
          <w:position w:val="0"/>
        </w:rPr>
        <w:t>94%</w:t>
      </w:r>
      <w:r>
        <w:rPr>
          <w:color w:val="000000"/>
          <w:spacing w:val="0"/>
          <w:w w:val="100"/>
          <w:position w:val="0"/>
        </w:rPr>
        <w:t>。</w:t>
      </w:r>
    </w:p>
    <w:p>
      <w:pPr>
        <w:pStyle w:val="Style30"/>
        <w:keepNext/>
        <w:keepLines/>
        <w:widowControl w:val="0"/>
        <w:shd w:val="clear" w:color="auto" w:fill="auto"/>
        <w:bidi w:val="0"/>
        <w:spacing w:before="0" w:line="240" w:lineRule="auto"/>
        <w:ind w:left="0" w:right="0" w:firstLine="640"/>
        <w:jc w:val="left"/>
      </w:pPr>
      <w:bookmarkStart w:id="1101" w:name="bookmark1101"/>
      <w:bookmarkStart w:id="1102" w:name="bookmark1102"/>
      <w:bookmarkStart w:id="1103" w:name="bookmark1103"/>
      <w:bookmarkStart w:id="1104" w:name="bookmark1104"/>
      <w:r>
        <w:rPr>
          <w:color w:val="000000"/>
          <w:spacing w:val="0"/>
          <w:w w:val="100"/>
          <w:position w:val="0"/>
        </w:rPr>
        <w:t>1</w:t>
      </w:r>
      <w:bookmarkEnd w:id="1103"/>
      <w:r>
        <w:rPr>
          <w:color w:val="000000"/>
          <w:spacing w:val="0"/>
          <w:w w:val="100"/>
          <w:position w:val="0"/>
        </w:rPr>
        <w:t>6</w:t>
      </w:r>
      <w:r>
        <w:rPr>
          <w:color w:val="000000"/>
          <w:spacing w:val="0"/>
          <w:w w:val="100"/>
          <w:position w:val="0"/>
        </w:rPr>
        <w:t>、开发支出</w:t>
      </w:r>
      <w:bookmarkEnd w:id="1101"/>
      <w:bookmarkEnd w:id="1102"/>
      <w:bookmarkEnd w:id="11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310"/>
        <w:gridCol w:w="1277"/>
        <w:gridCol w:w="672"/>
        <w:gridCol w:w="494"/>
        <w:gridCol w:w="1632"/>
        <w:gridCol w:w="1277"/>
        <w:gridCol w:w="350"/>
        <w:gridCol w:w="124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确认为无形资产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基于人工智能的走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班排课软件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6,155,198.16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1,782,827.69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7,938,025.85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color w:val="000000"/>
                <w:spacing w:val="0"/>
                <w:w w:val="100"/>
                <w:position w:val="0"/>
              </w:rPr>
              <w:t>IoT</w:t>
            </w:r>
            <w:r>
              <w:rPr>
                <w:color w:val="000000"/>
                <w:spacing w:val="0"/>
                <w:w w:val="100"/>
                <w:position w:val="0"/>
              </w:rPr>
              <w:t>的教育装备 智能管理平台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2,313,675.33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1,367,788.88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3,681,464.21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基于云端一体化的 人人通空间平台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3,033,600.76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1,739,747.46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4,773,348.22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基于大数据的个性 化错题本项目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755,029.69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755,029.69</w:t>
            </w:r>
          </w:p>
        </w:tc>
      </w:tr>
    </w:tbl>
    <w:tbl>
      <w:tblPr>
        <w:tblOverlap w:val="never"/>
        <w:jc w:val="center"/>
        <w:tblLayout w:type="fixed"/>
      </w:tblPr>
      <w:tblGrid>
        <w:gridCol w:w="1675"/>
        <w:gridCol w:w="1310"/>
        <w:gridCol w:w="1277"/>
        <w:gridCol w:w="672"/>
        <w:gridCol w:w="494"/>
        <w:gridCol w:w="1632"/>
        <w:gridCol w:w="1277"/>
        <w:gridCol w:w="350"/>
        <w:gridCol w:w="124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基于人工智能的智 能扫描与批阅项目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730,528.97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730,528.97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11,502,474.25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6,375,922.69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16,392,838.28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1,485,558.66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7" w:lineRule="exact"/>
        <w:ind w:left="620" w:right="0" w:firstLine="380"/>
        <w:jc w:val="both"/>
      </w:pPr>
      <w:r>
        <w:rPr>
          <w:color w:val="000000"/>
          <w:spacing w:val="0"/>
          <w:w w:val="100"/>
          <w:position w:val="0"/>
        </w:rPr>
        <w:t>截至报告期末，基于人工智能的走班排课软件、基于</w:t>
      </w:r>
      <w:r>
        <w:rPr>
          <w:color w:val="000000"/>
          <w:spacing w:val="0"/>
          <w:w w:val="100"/>
          <w:position w:val="0"/>
        </w:rPr>
        <w:t>I</w:t>
      </w:r>
      <w:r>
        <w:rPr>
          <w:color w:val="000000"/>
          <w:spacing w:val="0"/>
          <w:w w:val="100"/>
          <w:position w:val="0"/>
        </w:rPr>
        <w:t>。</w:t>
      </w:r>
      <w:r>
        <w:rPr>
          <w:color w:val="000000"/>
          <w:spacing w:val="0"/>
          <w:w w:val="100"/>
          <w:position w:val="0"/>
        </w:rPr>
        <w:t>T</w:t>
      </w:r>
      <w:r>
        <w:rPr>
          <w:color w:val="000000"/>
          <w:spacing w:val="0"/>
          <w:w w:val="100"/>
          <w:position w:val="0"/>
        </w:rPr>
        <w:t>的教育装备智能管理平台和基于云端一体化的人人通空间平台 项目已开发完成并取得计算机软件著作权登记证书，将其予以资本化。基于大数据的个性化错题本项目和基于人工智能的智 能扫描与批阅项目完成项目进度的</w:t>
      </w:r>
      <w:r>
        <w:rPr>
          <w:color w:val="000000"/>
          <w:spacing w:val="0"/>
          <w:w w:val="100"/>
          <w:position w:val="0"/>
        </w:rPr>
        <w:t>40%</w:t>
      </w:r>
      <w:r>
        <w:rPr>
          <w:color w:val="000000"/>
          <w:spacing w:val="0"/>
          <w:w w:val="100"/>
          <w:position w:val="0"/>
        </w:rPr>
        <w:t>。</w:t>
      </w:r>
    </w:p>
    <w:p>
      <w:pPr>
        <w:pStyle w:val="Style26"/>
        <w:keepNext w:val="0"/>
        <w:keepLines w:val="0"/>
        <w:widowControl w:val="0"/>
        <w:shd w:val="clear" w:color="auto" w:fill="auto"/>
        <w:bidi w:val="0"/>
        <w:spacing w:before="0" w:after="380" w:line="317" w:lineRule="exact"/>
        <w:ind w:left="0" w:right="0" w:firstLine="1000"/>
        <w:jc w:val="both"/>
      </w:pPr>
      <w:r>
        <w:rPr>
          <w:color w:val="000000"/>
          <w:spacing w:val="0"/>
          <w:w w:val="100"/>
          <w:position w:val="0"/>
        </w:rPr>
        <w:t>报告期末开发支出较期初减少</w:t>
      </w:r>
      <w:r>
        <w:rPr>
          <w:color w:val="000000"/>
          <w:spacing w:val="0"/>
          <w:w w:val="100"/>
          <w:position w:val="0"/>
        </w:rPr>
        <w:t xml:space="preserve">87. </w:t>
      </w:r>
      <w:r>
        <w:rPr>
          <w:color w:val="000000"/>
          <w:spacing w:val="0"/>
          <w:w w:val="100"/>
          <w:position w:val="0"/>
        </w:rPr>
        <w:t>08%</w:t>
      </w:r>
      <w:r>
        <w:rPr>
          <w:color w:val="000000"/>
          <w:spacing w:val="0"/>
          <w:w w:val="100"/>
          <w:position w:val="0"/>
        </w:rPr>
        <w:t>，主要由于将已完成开发的项目支出结转无形资产。</w:t>
      </w:r>
    </w:p>
    <w:p>
      <w:pPr>
        <w:pStyle w:val="Style30"/>
        <w:keepNext/>
        <w:keepLines/>
        <w:widowControl w:val="0"/>
        <w:shd w:val="clear" w:color="auto" w:fill="auto"/>
        <w:bidi w:val="0"/>
        <w:spacing w:before="0" w:line="240" w:lineRule="auto"/>
        <w:ind w:left="0" w:right="0" w:firstLine="620"/>
        <w:jc w:val="both"/>
      </w:pPr>
      <w:bookmarkStart w:id="1105" w:name="bookmark1105"/>
      <w:bookmarkStart w:id="1106" w:name="bookmark1106"/>
      <w:bookmarkStart w:id="1107" w:name="bookmark1107"/>
      <w:bookmarkStart w:id="1108" w:name="bookmark1108"/>
      <w:r>
        <w:rPr>
          <w:color w:val="000000"/>
          <w:spacing w:val="0"/>
          <w:w w:val="100"/>
          <w:position w:val="0"/>
        </w:rPr>
        <w:t>1</w:t>
      </w:r>
      <w:bookmarkEnd w:id="1107"/>
      <w:r>
        <w:rPr>
          <w:color w:val="000000"/>
          <w:spacing w:val="0"/>
          <w:w w:val="100"/>
          <w:position w:val="0"/>
        </w:rPr>
        <w:t>7</w:t>
      </w:r>
      <w:r>
        <w:rPr>
          <w:color w:val="000000"/>
          <w:spacing w:val="0"/>
          <w:w w:val="100"/>
          <w:position w:val="0"/>
        </w:rPr>
        <w:t>、商誉</w:t>
      </w:r>
      <w:bookmarkEnd w:id="1105"/>
      <w:bookmarkEnd w:id="1106"/>
      <w:bookmarkEnd w:id="1108"/>
    </w:p>
    <w:p>
      <w:pPr>
        <w:pStyle w:val="Style36"/>
        <w:keepNext/>
        <w:keepLines/>
        <w:widowControl w:val="0"/>
        <w:shd w:val="clear" w:color="auto" w:fill="auto"/>
        <w:bidi w:val="0"/>
        <w:spacing w:before="0" w:after="380" w:line="240" w:lineRule="auto"/>
        <w:ind w:left="0" w:right="0" w:firstLine="620"/>
        <w:jc w:val="both"/>
      </w:pPr>
      <w:bookmarkStart w:id="1109" w:name="bookmark1109"/>
      <w:bookmarkStart w:id="1110" w:name="bookmark1110"/>
      <w:bookmarkStart w:id="1111" w:name="bookmark1111"/>
      <w:r>
        <w:rPr>
          <w:color w:val="000000"/>
          <w:spacing w:val="0"/>
          <w:w w:val="100"/>
          <w:position w:val="0"/>
        </w:rPr>
        <w:t>（1）</w:t>
      </w:r>
      <w:r>
        <w:rPr>
          <w:color w:val="000000"/>
          <w:spacing w:val="0"/>
          <w:w w:val="100"/>
          <w:position w:val="0"/>
        </w:rPr>
        <w:t>商誉账面原值</w:t>
      </w:r>
      <w:bookmarkEnd w:id="1109"/>
      <w:bookmarkEnd w:id="1110"/>
      <w:bookmarkEnd w:id="1111"/>
    </w:p>
    <w:p>
      <w:pPr>
        <w:pStyle w:val="Style26"/>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单位：元</w:t>
      </w:r>
    </w:p>
    <w:tbl>
      <w:tblPr>
        <w:tblOverlap w:val="never"/>
        <w:jc w:val="center"/>
        <w:tblLayout w:type="fixed"/>
      </w:tblPr>
      <w:tblGrid>
        <w:gridCol w:w="3120"/>
        <w:gridCol w:w="1421"/>
        <w:gridCol w:w="1982"/>
        <w:gridCol w:w="1858"/>
        <w:gridCol w:w="1378"/>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2,648,493.25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3,575,642.19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3,575,642.19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山东天喻爱书人现代教育科技有限公司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14,890,687.37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14,890,687.37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21,114,822.81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3,575,642.19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17,539,180.62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760"/>
        <w:jc w:val="both"/>
      </w:pPr>
      <w:bookmarkStart w:id="1112" w:name="bookmark1112"/>
      <w:bookmarkStart w:id="1113" w:name="bookmark1113"/>
      <w:bookmarkStart w:id="1114" w:name="bookmark1114"/>
      <w:r>
        <w:rPr>
          <w:color w:val="000000"/>
          <w:spacing w:val="0"/>
          <w:w w:val="100"/>
          <w:position w:val="0"/>
        </w:rPr>
        <w:t>（2）</w:t>
      </w:r>
      <w:r>
        <w:rPr>
          <w:color w:val="000000"/>
          <w:spacing w:val="0"/>
          <w:w w:val="100"/>
          <w:position w:val="0"/>
        </w:rPr>
        <w:t>商誉减值准备</w:t>
      </w:r>
      <w:bookmarkEnd w:id="1112"/>
      <w:bookmarkEnd w:id="1113"/>
      <w:bookmarkEnd w:id="11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1982"/>
        <w:gridCol w:w="1704"/>
        <w:gridCol w:w="1589"/>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2,648,493.25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2,648,493.25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无锡尚蠡信息科技有限公司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3,575,642.19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3,575,642.19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6,224,135.44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3,575,642.19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2,648,493.25</w:t>
            </w:r>
          </w:p>
        </w:tc>
      </w:tr>
    </w:tbl>
    <w:p>
      <w:pPr>
        <w:pStyle w:val="Style26"/>
        <w:keepNext w:val="0"/>
        <w:keepLines w:val="0"/>
        <w:widowControl w:val="0"/>
        <w:shd w:val="clear" w:color="auto" w:fill="auto"/>
        <w:bidi w:val="0"/>
        <w:spacing w:before="0" w:after="0" w:line="317" w:lineRule="exact"/>
        <w:ind w:left="0" w:right="0" w:firstLine="620"/>
        <w:jc w:val="both"/>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0" w:line="317" w:lineRule="exact"/>
        <w:ind w:left="620" w:right="0" w:firstLine="2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0" w:line="317" w:lineRule="exact"/>
        <w:ind w:left="620" w:right="0" w:firstLine="440"/>
        <w:jc w:val="both"/>
      </w:pPr>
      <w:r>
        <w:rPr>
          <w:color w:val="000000"/>
          <w:spacing w:val="0"/>
          <w:w w:val="100"/>
          <w:position w:val="0"/>
        </w:rPr>
        <w:t>公司商誉系子公司天喻教育于以前年度非同一控制下的企业合并形成。资产负债表日，公司对现代教育的商誉进行减 值测试，在预计投入成本可回收金额时，采用了与商誉有关的资产组合来预计未来现金流量现值。即依据管理层制定的未来 五年财务预算预计未来现金流量现值。超过五年财务预算之后年份的现金流量均保持稳定。</w:t>
      </w:r>
    </w:p>
    <w:p>
      <w:pPr>
        <w:pStyle w:val="Style26"/>
        <w:keepNext w:val="0"/>
        <w:keepLines w:val="0"/>
        <w:widowControl w:val="0"/>
        <w:shd w:val="clear" w:color="auto" w:fill="auto"/>
        <w:bidi w:val="0"/>
        <w:spacing w:before="0" w:after="0" w:line="317" w:lineRule="exact"/>
        <w:ind w:left="620" w:right="0" w:firstLine="440"/>
        <w:jc w:val="both"/>
      </w:pPr>
      <w:r>
        <w:rPr>
          <w:color w:val="000000"/>
          <w:spacing w:val="0"/>
          <w:w w:val="100"/>
          <w:position w:val="0"/>
        </w:rPr>
        <w:t xml:space="preserve">对现代教育预计未来现金流量现值的计算采用了 </w:t>
      </w:r>
      <w:r>
        <w:rPr>
          <w:color w:val="000000"/>
          <w:spacing w:val="0"/>
          <w:w w:val="100"/>
          <w:position w:val="0"/>
        </w:rPr>
        <w:t>14.07%</w:t>
      </w:r>
      <w:r>
        <w:rPr>
          <w:color w:val="000000"/>
          <w:spacing w:val="0"/>
          <w:w w:val="100"/>
          <w:position w:val="0"/>
        </w:rPr>
        <w:t>的预测期利润率和</w:t>
      </w:r>
      <w:r>
        <w:rPr>
          <w:color w:val="000000"/>
          <w:spacing w:val="0"/>
          <w:w w:val="100"/>
          <w:position w:val="0"/>
        </w:rPr>
        <w:t>10%</w:t>
      </w:r>
      <w:r>
        <w:rPr>
          <w:color w:val="000000"/>
          <w:spacing w:val="0"/>
          <w:w w:val="100"/>
          <w:position w:val="0"/>
        </w:rPr>
        <w:t>的营业收入增长率及</w:t>
      </w:r>
      <w:r>
        <w:rPr>
          <w:color w:val="000000"/>
          <w:spacing w:val="0"/>
          <w:w w:val="100"/>
          <w:position w:val="0"/>
        </w:rPr>
        <w:t>11.29%</w:t>
      </w:r>
      <w:r>
        <w:rPr>
          <w:color w:val="000000"/>
          <w:spacing w:val="0"/>
          <w:w w:val="100"/>
          <w:position w:val="0"/>
        </w:rPr>
        <w:t>折现率作为 关键假设。管理层根据预算期间之前的历史情况及对市场发展的预测确定这些假设。</w:t>
      </w:r>
    </w:p>
    <w:p>
      <w:pPr>
        <w:pStyle w:val="Style26"/>
        <w:keepNext w:val="0"/>
        <w:keepLines w:val="0"/>
        <w:widowControl w:val="0"/>
        <w:shd w:val="clear" w:color="auto" w:fill="auto"/>
        <w:bidi w:val="0"/>
        <w:spacing w:before="0" w:after="0" w:line="317" w:lineRule="exact"/>
        <w:ind w:left="1060" w:right="0" w:firstLine="0"/>
        <w:jc w:val="both"/>
      </w:pPr>
      <w:r>
        <w:rPr>
          <w:color w:val="000000"/>
          <w:spacing w:val="0"/>
          <w:w w:val="100"/>
          <w:position w:val="0"/>
        </w:rPr>
        <w:t>报告期内，公司评估了商誉的可收回金额，并确定与本公司智慧教育业务相关的现代教育商誉未发生减值。</w:t>
      </w:r>
    </w:p>
    <w:p>
      <w:pPr>
        <w:pStyle w:val="Style26"/>
        <w:keepNext w:val="0"/>
        <w:keepLines w:val="0"/>
        <w:widowControl w:val="0"/>
        <w:shd w:val="clear" w:color="auto" w:fill="auto"/>
        <w:bidi w:val="0"/>
        <w:spacing w:before="0" w:after="360" w:line="317" w:lineRule="exact"/>
        <w:ind w:left="1060" w:right="0" w:firstLine="0"/>
        <w:jc w:val="both"/>
      </w:pPr>
      <w:r>
        <w:rPr>
          <w:color w:val="000000"/>
          <w:spacing w:val="0"/>
          <w:w w:val="100"/>
          <w:position w:val="0"/>
        </w:rPr>
        <w:t>报告期内，无锡尚蠡已完成注销，将已计提的商誉减值予以转销。</w:t>
      </w:r>
      <w:r>
        <w:br w:type="page"/>
      </w:r>
    </w:p>
    <w:p>
      <w:pPr>
        <w:pStyle w:val="Style30"/>
        <w:keepNext/>
        <w:keepLines/>
        <w:widowControl w:val="0"/>
        <w:shd w:val="clear" w:color="auto" w:fill="auto"/>
        <w:bidi w:val="0"/>
        <w:spacing w:before="0" w:after="400" w:line="240" w:lineRule="auto"/>
        <w:ind w:left="0" w:right="0" w:firstLine="620"/>
        <w:jc w:val="left"/>
      </w:pPr>
      <w:bookmarkStart w:id="1115" w:name="bookmark1115"/>
      <w:bookmarkStart w:id="1116" w:name="bookmark1116"/>
      <w:bookmarkStart w:id="1117" w:name="bookmark1117"/>
      <w:bookmarkStart w:id="1118" w:name="bookmark1118"/>
      <w:r>
        <w:rPr>
          <w:color w:val="000000"/>
          <w:spacing w:val="0"/>
          <w:w w:val="100"/>
          <w:position w:val="0"/>
        </w:rPr>
        <w:t>1</w:t>
      </w:r>
      <w:bookmarkEnd w:id="1117"/>
      <w:r>
        <w:rPr>
          <w:color w:val="000000"/>
          <w:spacing w:val="0"/>
          <w:w w:val="100"/>
          <w:position w:val="0"/>
        </w:rPr>
        <w:t>8</w:t>
      </w:r>
      <w:r>
        <w:rPr>
          <w:color w:val="000000"/>
          <w:spacing w:val="0"/>
          <w:w w:val="100"/>
          <w:position w:val="0"/>
        </w:rPr>
        <w:t>、长期待摊费用</w:t>
      </w:r>
      <w:bookmarkEnd w:id="1115"/>
      <w:bookmarkEnd w:id="1116"/>
      <w:bookmarkEnd w:id="1118"/>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58"/>
        <w:gridCol w:w="1555"/>
        <w:gridCol w:w="1421"/>
        <w:gridCol w:w="1699"/>
        <w:gridCol w:w="134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本期摊销金额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4,529,524.60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583,809.52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2,135,422.90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2,736,329.73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技术许可及服务费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360,555.78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553,352.22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314,578.11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599,329.89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教育云平台技术服务费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544,970.54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583,727.39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451,989.72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676,708.21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r>
              <w:rPr>
                <w:color w:val="000000"/>
                <w:spacing w:val="0"/>
                <w:w w:val="100"/>
                <w:position w:val="0"/>
              </w:rPr>
              <w:t>e</w:t>
            </w:r>
            <w:r>
              <w:rPr>
                <w:color w:val="000000"/>
                <w:spacing w:val="0"/>
                <w:w w:val="100"/>
                <w:position w:val="0"/>
              </w:rPr>
              <w:t>付终端服务费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1,738,915.20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1,084,028.44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753,896.78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586,434.48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184,761.08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206,855.35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564,340.21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7,768,734.10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2,004,660.23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4,201,208.02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241,581.49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5,330,604.82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1000"/>
        <w:jc w:val="left"/>
      </w:pPr>
      <w:r>
        <w:rPr>
          <w:color w:val="000000"/>
          <w:spacing w:val="0"/>
          <w:w w:val="100"/>
          <w:position w:val="0"/>
        </w:rPr>
        <w:t>报告期末长期待摊费用较期初减少</w:t>
      </w:r>
      <w:r>
        <w:rPr>
          <w:color w:val="000000"/>
          <w:spacing w:val="0"/>
          <w:w w:val="100"/>
          <w:position w:val="0"/>
        </w:rPr>
        <w:t>31.38%</w:t>
      </w:r>
      <w:r>
        <w:rPr>
          <w:color w:val="000000"/>
          <w:spacing w:val="0"/>
          <w:w w:val="100"/>
          <w:position w:val="0"/>
        </w:rPr>
        <w:t>，主要由于根据会计政策，长期待摊费用在受益期内摊销。</w:t>
      </w:r>
    </w:p>
    <w:p>
      <w:pPr>
        <w:pStyle w:val="Style30"/>
        <w:keepNext/>
        <w:keepLines/>
        <w:widowControl w:val="0"/>
        <w:shd w:val="clear" w:color="auto" w:fill="auto"/>
        <w:bidi w:val="0"/>
        <w:spacing w:before="0" w:after="400" w:line="240" w:lineRule="auto"/>
        <w:ind w:left="0" w:right="0" w:firstLine="620"/>
        <w:jc w:val="left"/>
      </w:pPr>
      <w:bookmarkStart w:id="1119" w:name="bookmark1119"/>
      <w:bookmarkStart w:id="1120" w:name="bookmark1120"/>
      <w:bookmarkStart w:id="1121" w:name="bookmark1121"/>
      <w:bookmarkStart w:id="1122" w:name="bookmark1122"/>
      <w:r>
        <w:rPr>
          <w:color w:val="000000"/>
          <w:spacing w:val="0"/>
          <w:w w:val="100"/>
          <w:position w:val="0"/>
        </w:rPr>
        <w:t>1</w:t>
      </w:r>
      <w:bookmarkEnd w:id="1121"/>
      <w:r>
        <w:rPr>
          <w:color w:val="000000"/>
          <w:spacing w:val="0"/>
          <w:w w:val="100"/>
          <w:position w:val="0"/>
        </w:rPr>
        <w:t>9</w:t>
      </w:r>
      <w:r>
        <w:rPr>
          <w:color w:val="000000"/>
          <w:spacing w:val="0"/>
          <w:w w:val="100"/>
          <w:position w:val="0"/>
        </w:rPr>
        <w:t>、递延所得税资产/递延所得税负债</w:t>
      </w:r>
      <w:bookmarkEnd w:id="1119"/>
      <w:bookmarkEnd w:id="1120"/>
      <w:bookmarkEnd w:id="1122"/>
    </w:p>
    <w:p>
      <w:pPr>
        <w:pStyle w:val="Style36"/>
        <w:keepNext/>
        <w:keepLines/>
        <w:widowControl w:val="0"/>
        <w:shd w:val="clear" w:color="auto" w:fill="auto"/>
        <w:bidi w:val="0"/>
        <w:spacing w:before="0" w:after="400" w:line="240" w:lineRule="auto"/>
        <w:ind w:left="0" w:right="0" w:firstLine="620"/>
        <w:jc w:val="left"/>
      </w:pPr>
      <w:bookmarkStart w:id="1123" w:name="bookmark1123"/>
      <w:bookmarkStart w:id="1124" w:name="bookmark1124"/>
      <w:bookmarkStart w:id="1125" w:name="bookmark1125"/>
      <w:r>
        <w:rPr>
          <w:color w:val="000000"/>
          <w:spacing w:val="0"/>
          <w:w w:val="100"/>
          <w:position w:val="0"/>
        </w:rPr>
        <w:t>(1)</w:t>
      </w:r>
      <w:r>
        <w:rPr>
          <w:color w:val="000000"/>
          <w:spacing w:val="0"/>
          <w:w w:val="100"/>
          <w:position w:val="0"/>
        </w:rPr>
        <w:t>未经抵销的递延所得税资产</w:t>
      </w:r>
      <w:bookmarkEnd w:id="1123"/>
      <w:bookmarkEnd w:id="1124"/>
      <w:bookmarkEnd w:id="1125"/>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392,949,405.88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59,242,855.47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378,381,421.12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56,703,387.30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1,021,367.17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6,080,655.72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912,098.36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42,356,972.58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6,353,545.89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64,726,435.72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9,708,965.36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436,501,712.50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65,775,701.47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449,599,869.45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67,386,154.55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760"/>
        <w:jc w:val="left"/>
      </w:pPr>
      <w:bookmarkStart w:id="1126" w:name="bookmark1126"/>
      <w:bookmarkStart w:id="1127" w:name="bookmark1127"/>
      <w:bookmarkStart w:id="1128" w:name="bookmark1128"/>
      <w:r>
        <w:rPr>
          <w:color w:val="000000"/>
          <w:spacing w:val="0"/>
          <w:w w:val="100"/>
          <w:position w:val="0"/>
        </w:rPr>
        <w:t>(2)</w:t>
      </w:r>
      <w:r>
        <w:rPr>
          <w:color w:val="000000"/>
          <w:spacing w:val="0"/>
          <w:w w:val="100"/>
          <w:position w:val="0"/>
        </w:rPr>
        <w:t>未经抵销的递延所得税负债</w:t>
      </w:r>
      <w:bookmarkEnd w:id="1126"/>
      <w:bookmarkEnd w:id="1127"/>
      <w:bookmarkEnd w:id="1128"/>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6,696,078.74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1,004,411.82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4,977,033.21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746,554.99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5,083,360.00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1,968,640.00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295,296.00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14,326,107.91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2,148,916.19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2,828,314.93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424,247.24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26,105,546.65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3,915,832.01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9,773,988.14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1,466,098.23</w:t>
            </w:r>
          </w:p>
        </w:tc>
      </w:tr>
    </w:tbl>
    <w:p>
      <w:pPr>
        <w:spacing w:lineRule="exact" w:line="1"/>
        <w:rPr>
          <w:sz w:val="2"/>
          <w:szCs w:val="2"/>
        </w:rPr>
      </w:pPr>
      <w:r>
        <w:br w:type="page"/>
      </w:r>
    </w:p>
    <w:p>
      <w:pPr>
        <w:pStyle w:val="Style36"/>
        <w:keepNext/>
        <w:keepLines/>
        <w:widowControl w:val="0"/>
        <w:numPr>
          <w:ilvl w:val="0"/>
          <w:numId w:val="45"/>
        </w:numPr>
        <w:shd w:val="clear" w:color="auto" w:fill="auto"/>
        <w:bidi w:val="0"/>
        <w:spacing w:before="0" w:after="400" w:line="240" w:lineRule="auto"/>
        <w:ind w:left="0" w:right="0" w:firstLine="76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以抵销后净额列示的递延所得税资产或负债</w:t>
      </w:r>
      <w:bookmarkEnd w:id="1129"/>
      <w:bookmarkEnd w:id="1130"/>
      <w:bookmarkEnd w:id="1132"/>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65,775,701.47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67,386,154.55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3,915,832.01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1,466,098.23</w:t>
            </w:r>
          </w:p>
        </w:tc>
      </w:tr>
    </w:tbl>
    <w:p>
      <w:pPr>
        <w:widowControl w:val="0"/>
        <w:spacing w:after="319" w:line="1" w:lineRule="exact"/>
      </w:pPr>
    </w:p>
    <w:p>
      <w:pPr>
        <w:pStyle w:val="Style36"/>
        <w:keepNext/>
        <w:keepLines/>
        <w:widowControl w:val="0"/>
        <w:numPr>
          <w:ilvl w:val="0"/>
          <w:numId w:val="45"/>
        </w:numPr>
        <w:shd w:val="clear" w:color="auto" w:fill="auto"/>
        <w:bidi w:val="0"/>
        <w:spacing w:before="0" w:after="400" w:line="240" w:lineRule="auto"/>
        <w:ind w:left="0" w:right="0" w:firstLine="76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未确认递延所得税资产明细</w:t>
      </w:r>
      <w:bookmarkEnd w:id="1133"/>
      <w:bookmarkEnd w:id="1134"/>
      <w:bookmarkEnd w:id="1136"/>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46,503,380.67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45,169,011.65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277,610,010.88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212,012,725.46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324,113,391.55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257,181,737.11</w:t>
            </w:r>
          </w:p>
        </w:tc>
      </w:tr>
    </w:tbl>
    <w:p>
      <w:pPr>
        <w:widowControl w:val="0"/>
        <w:spacing w:after="319" w:line="1" w:lineRule="exact"/>
      </w:pPr>
    </w:p>
    <w:p>
      <w:pPr>
        <w:pStyle w:val="Style36"/>
        <w:keepNext/>
        <w:keepLines/>
        <w:widowControl w:val="0"/>
        <w:numPr>
          <w:ilvl w:val="0"/>
          <w:numId w:val="45"/>
        </w:numPr>
        <w:shd w:val="clear" w:color="auto" w:fill="auto"/>
        <w:bidi w:val="0"/>
        <w:spacing w:before="0" w:after="400" w:line="240" w:lineRule="auto"/>
        <w:ind w:left="0" w:right="0" w:firstLine="76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未确认递延所得税资产的可抵扣亏损将于以下年度到期</w:t>
      </w:r>
      <w:bookmarkEnd w:id="1137"/>
      <w:bookmarkEnd w:id="1138"/>
      <w:bookmarkEnd w:id="1140"/>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19,512,549.73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47,957,305.50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47,957,305.50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54,046,757.80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54,046,757.80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17,215,106.74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17,215,106.74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73,281,005.69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73,281,005.69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85,109,835.15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277,610,010.88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212,012,725.46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17" w:lineRule="exact"/>
        <w:ind w:left="620" w:right="0" w:firstLine="380"/>
        <w:jc w:val="left"/>
      </w:pPr>
      <w:r>
        <w:rPr>
          <w:color w:val="000000"/>
          <w:spacing w:val="0"/>
          <w:w w:val="100"/>
          <w:position w:val="0"/>
        </w:rPr>
        <w:t>报告期末递延所得税负债较期初增加</w:t>
      </w:r>
      <w:r>
        <w:rPr>
          <w:color w:val="000000"/>
          <w:spacing w:val="0"/>
          <w:w w:val="100"/>
          <w:position w:val="0"/>
        </w:rPr>
        <w:t>167.09%,</w:t>
      </w:r>
      <w:r>
        <w:rPr>
          <w:color w:val="000000"/>
          <w:spacing w:val="0"/>
          <w:w w:val="100"/>
          <w:position w:val="0"/>
        </w:rPr>
        <w:t>主要由于公司固定资产折旧及持有的其他上市公司股票公允价值变动产 生的应纳税暂时性差异增加。</w:t>
      </w:r>
    </w:p>
    <w:p>
      <w:pPr>
        <w:pStyle w:val="Style30"/>
        <w:keepNext/>
        <w:keepLines/>
        <w:widowControl w:val="0"/>
        <w:shd w:val="clear" w:color="auto" w:fill="auto"/>
        <w:bidi w:val="0"/>
        <w:spacing w:before="0" w:after="400" w:line="240" w:lineRule="auto"/>
        <w:ind w:left="0" w:right="0" w:firstLine="620"/>
        <w:jc w:val="left"/>
      </w:pPr>
      <w:bookmarkStart w:id="1141" w:name="bookmark1141"/>
      <w:bookmarkStart w:id="1142" w:name="bookmark1142"/>
      <w:bookmarkStart w:id="1143" w:name="bookmark1143"/>
      <w:bookmarkStart w:id="1144" w:name="bookmark1144"/>
      <w:r>
        <w:rPr>
          <w:color w:val="000000"/>
          <w:spacing w:val="0"/>
          <w:w w:val="100"/>
          <w:position w:val="0"/>
        </w:rPr>
        <w:t>2</w:t>
      </w:r>
      <w:bookmarkEnd w:id="1143"/>
      <w:r>
        <w:rPr>
          <w:color w:val="000000"/>
          <w:spacing w:val="0"/>
          <w:w w:val="100"/>
          <w:position w:val="0"/>
        </w:rPr>
        <w:t>0</w:t>
      </w:r>
      <w:r>
        <w:rPr>
          <w:color w:val="000000"/>
          <w:spacing w:val="0"/>
          <w:w w:val="100"/>
          <w:position w:val="0"/>
        </w:rPr>
        <w:t>、其他非流动资产</w:t>
      </w:r>
      <w:bookmarkEnd w:id="1141"/>
      <w:bookmarkEnd w:id="1142"/>
      <w:bookmarkEnd w:id="11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7"/>
        <w:gridCol w:w="1315"/>
        <w:gridCol w:w="1066"/>
        <w:gridCol w:w="1171"/>
        <w:gridCol w:w="1061"/>
        <w:gridCol w:w="1066"/>
        <w:gridCol w:w="107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5,127,920.00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5,127,920.00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5,127,920.00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5,127,920.00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628,620.00</w:t>
            </w:r>
          </w:p>
        </w:tc>
      </w:tr>
    </w:tbl>
    <w:p>
      <w:pPr>
        <w:sectPr>
          <w:footnotePr>
            <w:pos w:val="pageBottom"/>
            <w:numFmt w:val="decimal"/>
            <w:numRestart w:val="continuous"/>
          </w:footnotePr>
          <w:pgSz w:w="11900" w:h="16840"/>
          <w:pgMar w:top="1365" w:right="343" w:bottom="1464" w:left="348" w:header="0" w:footer="3" w:gutter="0"/>
          <w:cols w:space="720"/>
          <w:noEndnote/>
          <w:rtlGutter w:val="0"/>
          <w:docGrid w:linePitch="360"/>
        </w:sectPr>
      </w:pPr>
    </w:p>
    <w:p>
      <w:pPr>
        <w:pStyle w:val="Style26"/>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报告期末其他非流动资产较期初增加</w:t>
      </w:r>
      <w:r>
        <w:rPr>
          <w:color w:val="000000"/>
          <w:spacing w:val="0"/>
          <w:w w:val="100"/>
          <w:position w:val="0"/>
        </w:rPr>
        <w:t>715.74%,</w:t>
      </w:r>
      <w:r>
        <w:rPr>
          <w:color w:val="000000"/>
          <w:spacing w:val="0"/>
          <w:w w:val="100"/>
          <w:position w:val="0"/>
        </w:rPr>
        <w:t>主要由于预付设备及软件款增加。</w:t>
      </w:r>
    </w:p>
    <w:p>
      <w:pPr>
        <w:pStyle w:val="Style30"/>
        <w:keepNext/>
        <w:keepLines/>
        <w:widowControl w:val="0"/>
        <w:shd w:val="clear" w:color="auto" w:fill="auto"/>
        <w:bidi w:val="0"/>
        <w:spacing w:before="0" w:line="240" w:lineRule="auto"/>
        <w:ind w:left="0" w:right="0" w:firstLine="620"/>
        <w:jc w:val="left"/>
      </w:pPr>
      <w:bookmarkStart w:id="1145" w:name="bookmark1145"/>
      <w:bookmarkStart w:id="1146" w:name="bookmark1146"/>
      <w:bookmarkStart w:id="1147" w:name="bookmark1147"/>
      <w:bookmarkStart w:id="1148" w:name="bookmark1148"/>
      <w:r>
        <w:rPr>
          <w:color w:val="000000"/>
          <w:spacing w:val="0"/>
          <w:w w:val="100"/>
          <w:position w:val="0"/>
        </w:rPr>
        <w:t>2</w:t>
      </w:r>
      <w:bookmarkEnd w:id="1147"/>
      <w:r>
        <w:rPr>
          <w:color w:val="000000"/>
          <w:spacing w:val="0"/>
          <w:w w:val="100"/>
          <w:position w:val="0"/>
        </w:rPr>
        <w:t>1</w:t>
      </w:r>
      <w:r>
        <w:rPr>
          <w:color w:val="000000"/>
          <w:spacing w:val="0"/>
          <w:w w:val="100"/>
          <w:position w:val="0"/>
        </w:rPr>
        <w:t>、短期借款</w:t>
      </w:r>
      <w:bookmarkEnd w:id="1145"/>
      <w:bookmarkEnd w:id="1146"/>
      <w:bookmarkEnd w:id="1148"/>
    </w:p>
    <w:p>
      <w:pPr>
        <w:pStyle w:val="Style36"/>
        <w:keepNext/>
        <w:keepLines/>
        <w:widowControl w:val="0"/>
        <w:shd w:val="clear" w:color="auto" w:fill="auto"/>
        <w:bidi w:val="0"/>
        <w:spacing w:before="0" w:after="380" w:line="240" w:lineRule="auto"/>
        <w:ind w:left="0" w:right="0" w:firstLine="620"/>
        <w:jc w:val="left"/>
      </w:pPr>
      <w:bookmarkStart w:id="1149" w:name="bookmark1149"/>
      <w:bookmarkStart w:id="1150" w:name="bookmark1150"/>
      <w:bookmarkStart w:id="1151" w:name="bookmark1151"/>
      <w:r>
        <w:rPr>
          <w:color w:val="000000"/>
          <w:spacing w:val="0"/>
          <w:w w:val="100"/>
          <w:position w:val="0"/>
        </w:rPr>
        <w:t>短期借款分类</w:t>
      </w:r>
      <w:bookmarkEnd w:id="1149"/>
      <w:bookmarkEnd w:id="1150"/>
      <w:bookmarkEnd w:id="1151"/>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22,330,000.00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162,330,000.00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报告期末短期借款较期初增加</w:t>
      </w:r>
      <w:r>
        <w:rPr>
          <w:color w:val="000000"/>
          <w:spacing w:val="0"/>
          <w:w w:val="100"/>
          <w:position w:val="0"/>
        </w:rPr>
        <w:t>1</w:t>
      </w:r>
      <w:r>
        <w:rPr>
          <w:color w:val="000000"/>
          <w:spacing w:val="0"/>
          <w:w w:val="100"/>
          <w:position w:val="0"/>
        </w:rPr>
        <w:t>.62</w:t>
      </w:r>
      <w:r>
        <w:rPr>
          <w:color w:val="000000"/>
          <w:spacing w:val="0"/>
          <w:w w:val="100"/>
          <w:position w:val="0"/>
        </w:rPr>
        <w:t>亿元，主要是疫情期间新增银行借款。其中，质押借款为子公司使用其交易性金融资 产和内部票据质押获取的银行借款，保证借款为天喻教育由子公司提供担保获取的银行借款。</w:t>
      </w:r>
    </w:p>
    <w:p>
      <w:pPr>
        <w:widowControl w:val="0"/>
        <w:spacing w:after="379" w:line="1" w:lineRule="exact"/>
      </w:pPr>
    </w:p>
    <w:p>
      <w:pPr>
        <w:pStyle w:val="Style30"/>
        <w:keepNext/>
        <w:keepLines/>
        <w:widowControl w:val="0"/>
        <w:shd w:val="clear" w:color="auto" w:fill="auto"/>
        <w:bidi w:val="0"/>
        <w:spacing w:before="0" w:line="240" w:lineRule="auto"/>
        <w:ind w:left="0" w:right="0" w:firstLine="620"/>
        <w:jc w:val="left"/>
      </w:pPr>
      <w:bookmarkStart w:id="1152" w:name="bookmark1152"/>
      <w:bookmarkStart w:id="1153" w:name="bookmark1153"/>
      <w:bookmarkStart w:id="1154" w:name="bookmark1154"/>
      <w:bookmarkStart w:id="1155" w:name="bookmark1155"/>
      <w:r>
        <w:rPr>
          <w:color w:val="000000"/>
          <w:spacing w:val="0"/>
          <w:w w:val="100"/>
          <w:position w:val="0"/>
        </w:rPr>
        <w:t>2</w:t>
      </w:r>
      <w:bookmarkEnd w:id="1154"/>
      <w:r>
        <w:rPr>
          <w:color w:val="000000"/>
          <w:spacing w:val="0"/>
          <w:w w:val="100"/>
          <w:position w:val="0"/>
        </w:rPr>
        <w:t>2</w:t>
      </w:r>
      <w:r>
        <w:rPr>
          <w:color w:val="000000"/>
          <w:spacing w:val="0"/>
          <w:w w:val="100"/>
          <w:position w:val="0"/>
        </w:rPr>
        <w:t>、应付票据</w:t>
      </w:r>
      <w:bookmarkEnd w:id="1152"/>
      <w:bookmarkEnd w:id="1153"/>
      <w:bookmarkEnd w:id="1155"/>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698,595,588.88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381,873,863.17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698,595,588.88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381,873,863.17</w:t>
            </w:r>
          </w:p>
        </w:tc>
      </w:tr>
    </w:tbl>
    <w:p>
      <w:pPr>
        <w:pStyle w:val="Style26"/>
        <w:keepNext w:val="0"/>
        <w:keepLines w:val="0"/>
        <w:widowControl w:val="0"/>
        <w:shd w:val="clear" w:color="auto" w:fill="auto"/>
        <w:bidi w:val="0"/>
        <w:spacing w:before="0" w:after="380" w:line="365" w:lineRule="exact"/>
        <w:ind w:left="1000" w:right="0" w:firstLine="0"/>
        <w:jc w:val="left"/>
      </w:pPr>
      <w:r>
        <w:rPr>
          <w:color w:val="000000"/>
          <w:spacing w:val="0"/>
          <w:w w:val="100"/>
          <w:position w:val="0"/>
        </w:rPr>
        <w:t>报告期末应付票据较期初增加</w:t>
      </w:r>
      <w:r>
        <w:rPr>
          <w:color w:val="000000"/>
          <w:spacing w:val="0"/>
          <w:w w:val="100"/>
          <w:position w:val="0"/>
        </w:rPr>
        <w:t>82.94%，</w:t>
      </w:r>
      <w:r>
        <w:rPr>
          <w:color w:val="000000"/>
          <w:spacing w:val="0"/>
          <w:w w:val="100"/>
          <w:position w:val="0"/>
        </w:rPr>
        <w:t>主要由于采取票据结算方式的业务量增加，截至报告期末，尚未到期兑付。 本期末已到期未支付的应付票据总额为</w:t>
      </w:r>
      <w:r>
        <w:rPr>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620"/>
        <w:jc w:val="left"/>
      </w:pPr>
      <w:bookmarkStart w:id="1156" w:name="bookmark1156"/>
      <w:bookmarkStart w:id="1157" w:name="bookmark1157"/>
      <w:bookmarkStart w:id="1158" w:name="bookmark1158"/>
      <w:bookmarkStart w:id="1159" w:name="bookmark1159"/>
      <w:r>
        <w:rPr>
          <w:color w:val="000000"/>
          <w:spacing w:val="0"/>
          <w:w w:val="100"/>
          <w:position w:val="0"/>
        </w:rPr>
        <w:t>2</w:t>
      </w:r>
      <w:bookmarkEnd w:id="1158"/>
      <w:r>
        <w:rPr>
          <w:color w:val="000000"/>
          <w:spacing w:val="0"/>
          <w:w w:val="100"/>
          <w:position w:val="0"/>
        </w:rPr>
        <w:t>3</w:t>
      </w:r>
      <w:r>
        <w:rPr>
          <w:color w:val="000000"/>
          <w:spacing w:val="0"/>
          <w:w w:val="100"/>
          <w:position w:val="0"/>
        </w:rPr>
        <w:t>、应付账款</w:t>
      </w:r>
      <w:bookmarkEnd w:id="1156"/>
      <w:bookmarkEnd w:id="1157"/>
      <w:bookmarkEnd w:id="1159"/>
    </w:p>
    <w:p>
      <w:pPr>
        <w:pStyle w:val="Style36"/>
        <w:keepNext/>
        <w:keepLines/>
        <w:widowControl w:val="0"/>
        <w:shd w:val="clear" w:color="auto" w:fill="auto"/>
        <w:bidi w:val="0"/>
        <w:spacing w:before="0" w:after="380" w:line="240" w:lineRule="auto"/>
        <w:ind w:left="0" w:right="0" w:firstLine="620"/>
        <w:jc w:val="left"/>
      </w:pPr>
      <w:bookmarkStart w:id="1160" w:name="bookmark1160"/>
      <w:bookmarkStart w:id="1161" w:name="bookmark1161"/>
      <w:bookmarkStart w:id="1162" w:name="bookmark1162"/>
      <w:r>
        <w:rPr>
          <w:color w:val="000000"/>
          <w:spacing w:val="0"/>
          <w:w w:val="100"/>
          <w:position w:val="0"/>
        </w:rPr>
        <w:t>(1)</w:t>
      </w:r>
      <w:r>
        <w:rPr>
          <w:color w:val="000000"/>
          <w:spacing w:val="0"/>
          <w:w w:val="100"/>
          <w:position w:val="0"/>
        </w:rPr>
        <w:t>应付账款列示</w:t>
      </w:r>
      <w:bookmarkEnd w:id="1160"/>
      <w:bookmarkEnd w:id="1161"/>
      <w:bookmarkEnd w:id="1162"/>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284,420,877.65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502,400,876.99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15,558,529.71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20,528,288.31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13,614,204.69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2,728,329.34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8,823,033.88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6,640,066.15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322,416,645.93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532,297,560.79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760"/>
        <w:jc w:val="left"/>
      </w:pPr>
      <w:bookmarkStart w:id="1163" w:name="bookmark1163"/>
      <w:bookmarkStart w:id="1164" w:name="bookmark1164"/>
      <w:bookmarkStart w:id="1165" w:name="bookmark1165"/>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163"/>
      <w:bookmarkEnd w:id="1164"/>
      <w:bookmarkEnd w:id="1165"/>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8,099,383.03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尚未达结算条件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8,099,383.03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1000"/>
        <w:jc w:val="left"/>
      </w:pPr>
      <w:r>
        <w:rPr>
          <w:color w:val="000000"/>
          <w:spacing w:val="0"/>
          <w:w w:val="100"/>
          <w:position w:val="0"/>
        </w:rPr>
        <w:t>报告期末应付账款较期初减少</w:t>
      </w:r>
      <w:r>
        <w:rPr>
          <w:color w:val="000000"/>
          <w:spacing w:val="0"/>
          <w:w w:val="100"/>
          <w:position w:val="0"/>
        </w:rPr>
        <w:t>39.43%，</w:t>
      </w:r>
      <w:r>
        <w:rPr>
          <w:color w:val="000000"/>
          <w:spacing w:val="0"/>
          <w:w w:val="100"/>
          <w:position w:val="0"/>
        </w:rPr>
        <w:t>主要由于销售收入减少，采购规模相应下降，产生的应付账款减少。</w:t>
      </w:r>
    </w:p>
    <w:p>
      <w:pPr>
        <w:pStyle w:val="Style30"/>
        <w:keepNext/>
        <w:keepLines/>
        <w:widowControl w:val="0"/>
        <w:shd w:val="clear" w:color="auto" w:fill="auto"/>
        <w:bidi w:val="0"/>
        <w:spacing w:before="0" w:after="400" w:line="240" w:lineRule="auto"/>
        <w:ind w:left="0" w:right="0" w:firstLine="620"/>
        <w:jc w:val="both"/>
      </w:pPr>
      <w:bookmarkStart w:id="1166" w:name="bookmark1166"/>
      <w:bookmarkStart w:id="1167" w:name="bookmark1167"/>
      <w:bookmarkStart w:id="1168" w:name="bookmark1168"/>
      <w:bookmarkStart w:id="1169" w:name="bookmark1169"/>
      <w:r>
        <w:rPr>
          <w:color w:val="000000"/>
          <w:spacing w:val="0"/>
          <w:w w:val="100"/>
          <w:position w:val="0"/>
        </w:rPr>
        <w:t>2</w:t>
      </w:r>
      <w:bookmarkEnd w:id="1168"/>
      <w:r>
        <w:rPr>
          <w:color w:val="000000"/>
          <w:spacing w:val="0"/>
          <w:w w:val="100"/>
          <w:position w:val="0"/>
        </w:rPr>
        <w:t>4</w:t>
      </w:r>
      <w:r>
        <w:rPr>
          <w:color w:val="000000"/>
          <w:spacing w:val="0"/>
          <w:w w:val="100"/>
          <w:position w:val="0"/>
        </w:rPr>
        <w:t>、预收款项</w:t>
      </w:r>
      <w:bookmarkEnd w:id="1166"/>
      <w:bookmarkEnd w:id="1167"/>
      <w:bookmarkEnd w:id="1169"/>
    </w:p>
    <w:p>
      <w:pPr>
        <w:pStyle w:val="Style36"/>
        <w:keepNext/>
        <w:keepLines/>
        <w:widowControl w:val="0"/>
        <w:shd w:val="clear" w:color="auto" w:fill="auto"/>
        <w:bidi w:val="0"/>
        <w:spacing w:before="0" w:after="400" w:line="240" w:lineRule="auto"/>
        <w:ind w:left="0" w:right="0" w:firstLine="620"/>
        <w:jc w:val="both"/>
      </w:pPr>
      <w:bookmarkStart w:id="1170" w:name="bookmark1170"/>
      <w:bookmarkStart w:id="1171" w:name="bookmark1171"/>
      <w:bookmarkStart w:id="1172" w:name="bookmark1172"/>
      <w:r>
        <w:rPr>
          <w:color w:val="000000"/>
          <w:spacing w:val="0"/>
          <w:w w:val="100"/>
          <w:position w:val="0"/>
        </w:rPr>
        <w:t>预收款项列示</w:t>
      </w:r>
      <w:bookmarkEnd w:id="1170"/>
      <w:bookmarkEnd w:id="1171"/>
      <w:bookmarkEnd w:id="1172"/>
    </w:p>
    <w:p>
      <w:pPr>
        <w:pStyle w:val="Style26"/>
        <w:keepNext w:val="0"/>
        <w:keepLines w:val="0"/>
        <w:widowControl w:val="0"/>
        <w:shd w:val="clear" w:color="auto" w:fill="auto"/>
        <w:bidi w:val="0"/>
        <w:spacing w:before="0" w:after="400" w:line="240" w:lineRule="auto"/>
        <w:ind w:left="0" w:right="0" w:firstLine="1000"/>
        <w:jc w:val="left"/>
      </w:pP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620"/>
        <w:jc w:val="left"/>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5</w:t>
      </w:r>
      <w:r>
        <w:rPr>
          <w:color w:val="000000"/>
          <w:spacing w:val="0"/>
          <w:w w:val="100"/>
          <w:position w:val="0"/>
        </w:rPr>
        <w:t>、合同负债</w:t>
      </w:r>
      <w:bookmarkEnd w:id="1173"/>
      <w:bookmarkEnd w:id="1174"/>
      <w:bookmarkEnd w:id="1176"/>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销货合同相关的合同负债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85,324,130.84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76,557,570.42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85,324,130.84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76,557,570.42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20"/>
        <w:jc w:val="both"/>
      </w:pPr>
      <w:bookmarkStart w:id="1177" w:name="bookmark1177"/>
      <w:bookmarkStart w:id="1178" w:name="bookmark1178"/>
      <w:bookmarkStart w:id="1179" w:name="bookmark1179"/>
      <w:bookmarkStart w:id="1180" w:name="bookmark1180"/>
      <w:r>
        <w:rPr>
          <w:color w:val="000000"/>
          <w:spacing w:val="0"/>
          <w:w w:val="100"/>
          <w:position w:val="0"/>
        </w:rPr>
        <w:t>2</w:t>
      </w:r>
      <w:bookmarkEnd w:id="1179"/>
      <w:r>
        <w:rPr>
          <w:color w:val="000000"/>
          <w:spacing w:val="0"/>
          <w:w w:val="100"/>
          <w:position w:val="0"/>
        </w:rPr>
        <w:t>6</w:t>
      </w:r>
      <w:r>
        <w:rPr>
          <w:color w:val="000000"/>
          <w:spacing w:val="0"/>
          <w:w w:val="100"/>
          <w:position w:val="0"/>
        </w:rPr>
        <w:t>、应付职工薪酬</w:t>
      </w:r>
      <w:bookmarkEnd w:id="1177"/>
      <w:bookmarkEnd w:id="1178"/>
      <w:bookmarkEnd w:id="1180"/>
    </w:p>
    <w:p>
      <w:pPr>
        <w:pStyle w:val="Style36"/>
        <w:keepNext/>
        <w:keepLines/>
        <w:widowControl w:val="0"/>
        <w:shd w:val="clear" w:color="auto" w:fill="auto"/>
        <w:bidi w:val="0"/>
        <w:spacing w:before="0" w:after="400" w:line="240" w:lineRule="auto"/>
        <w:ind w:left="0" w:right="0" w:firstLine="620"/>
        <w:jc w:val="both"/>
      </w:pPr>
      <w:bookmarkStart w:id="1181" w:name="bookmark1181"/>
      <w:bookmarkStart w:id="1182" w:name="bookmark1182"/>
      <w:bookmarkStart w:id="1183" w:name="bookmark1183"/>
      <w:r>
        <w:rPr>
          <w:color w:val="000000"/>
          <w:spacing w:val="0"/>
          <w:w w:val="100"/>
          <w:position w:val="0"/>
        </w:rPr>
        <w:t>(1)</w:t>
      </w:r>
      <w:r>
        <w:rPr>
          <w:color w:val="000000"/>
          <w:spacing w:val="0"/>
          <w:w w:val="100"/>
          <w:position w:val="0"/>
        </w:rPr>
        <w:t>应付职工薪酬列示</w:t>
      </w:r>
      <w:bookmarkEnd w:id="1181"/>
      <w:bookmarkEnd w:id="1182"/>
      <w:bookmarkEnd w:id="1183"/>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81,436,725.68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288,749,821.53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309,963,102.89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60,223,444.32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7,809,443.43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7,809,443.43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1,539,200.00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8,486,524.47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10,025,724.47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82,975,925.68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305,045,789.43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327,798,270.79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60,223,444.32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760"/>
        <w:jc w:val="left"/>
      </w:pPr>
      <w:bookmarkStart w:id="1184" w:name="bookmark1184"/>
      <w:bookmarkStart w:id="1185" w:name="bookmark1185"/>
      <w:bookmarkStart w:id="1186" w:name="bookmark1186"/>
      <w:r>
        <w:rPr>
          <w:color w:val="000000"/>
          <w:spacing w:val="0"/>
          <w:w w:val="100"/>
          <w:position w:val="0"/>
        </w:rPr>
        <w:t>(2)</w:t>
      </w:r>
      <w:r>
        <w:rPr>
          <w:color w:val="000000"/>
          <w:spacing w:val="0"/>
          <w:w w:val="100"/>
          <w:position w:val="0"/>
        </w:rPr>
        <w:t>短期薪酬列示</w:t>
      </w:r>
      <w:bookmarkEnd w:id="1184"/>
      <w:bookmarkEnd w:id="1185"/>
      <w:bookmarkEnd w:id="1186"/>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78,117,006.12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257,600,627.89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278,535,255.03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57,182,378.98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9,748,820.15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9,883,008.85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169,377.49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、社会保险费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9,126,976.13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9,126,976.13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365" w:right="343" w:bottom="1464" w:left="348" w:header="0" w:footer="3" w:gutter="0"/>
          <w:cols w:space="720"/>
          <w:noEndnote/>
          <w:titlePg/>
          <w:rtlGutter w:val="0"/>
          <w:docGrid w:linePitch="360"/>
        </w:sectPr>
      </w:pP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8,460,077.96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8,460,077.96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139,704.76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139,704.76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527,193.41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527,193.41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1,194,020.66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8,532,324.45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8,565,177.91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1,161,167.20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1,822,132.71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3,741,072.91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3,852,684.97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1,710,520.65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81,436,725.68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288,749,821.53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309,963,102.89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60,223,444.32</w:t>
            </w:r>
          </w:p>
        </w:tc>
      </w:tr>
    </w:tbl>
    <w:p>
      <w:pPr>
        <w:widowControl w:val="0"/>
        <w:spacing w:after="319" w:line="1" w:lineRule="exact"/>
      </w:pPr>
    </w:p>
    <w:p>
      <w:pPr>
        <w:pStyle w:val="Style36"/>
        <w:keepNext/>
        <w:keepLines/>
        <w:widowControl w:val="0"/>
        <w:numPr>
          <w:ilvl w:val="0"/>
          <w:numId w:val="47"/>
        </w:numPr>
        <w:shd w:val="clear" w:color="auto" w:fill="auto"/>
        <w:bidi w:val="0"/>
        <w:spacing w:before="0" w:after="400" w:line="240" w:lineRule="auto"/>
        <w:ind w:left="0" w:right="0" w:firstLine="76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设定提存计划列示</w:t>
      </w:r>
      <w:bookmarkEnd w:id="1187"/>
      <w:bookmarkEnd w:id="1188"/>
      <w:bookmarkEnd w:id="1190"/>
    </w:p>
    <w:p>
      <w:pPr>
        <w:pStyle w:val="Style26"/>
        <w:keepNext w:val="0"/>
        <w:keepLines w:val="0"/>
        <w:widowControl w:val="0"/>
        <w:shd w:val="clear" w:color="auto" w:fill="auto"/>
        <w:bidi w:val="0"/>
        <w:spacing w:before="0" w:after="6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7,484,351.20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7,484,351.20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325,092.23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325,092.23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7,809,443.43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7,809,443.43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20"/>
        <w:jc w:val="left"/>
      </w:pPr>
      <w:bookmarkStart w:id="1191" w:name="bookmark1191"/>
      <w:bookmarkStart w:id="1192" w:name="bookmark1192"/>
      <w:bookmarkStart w:id="1193" w:name="bookmark1193"/>
      <w:bookmarkStart w:id="1194" w:name="bookmark1194"/>
      <w:r>
        <w:rPr>
          <w:color w:val="000000"/>
          <w:spacing w:val="0"/>
          <w:w w:val="100"/>
          <w:position w:val="0"/>
        </w:rPr>
        <w:t>2</w:t>
      </w:r>
      <w:bookmarkEnd w:id="1193"/>
      <w:r>
        <w:rPr>
          <w:color w:val="000000"/>
          <w:spacing w:val="0"/>
          <w:w w:val="100"/>
          <w:position w:val="0"/>
        </w:rPr>
        <w:t>7</w:t>
      </w:r>
      <w:r>
        <w:rPr>
          <w:color w:val="000000"/>
          <w:spacing w:val="0"/>
          <w:w w:val="100"/>
          <w:position w:val="0"/>
        </w:rPr>
        <w:t>、应交税费</w:t>
      </w:r>
      <w:bookmarkEnd w:id="1191"/>
      <w:bookmarkEnd w:id="1192"/>
      <w:bookmarkEnd w:id="1194"/>
    </w:p>
    <w:p>
      <w:pPr>
        <w:pStyle w:val="Style26"/>
        <w:keepNext w:val="0"/>
        <w:keepLines w:val="0"/>
        <w:widowControl w:val="0"/>
        <w:shd w:val="clear" w:color="auto" w:fill="auto"/>
        <w:bidi w:val="0"/>
        <w:spacing w:before="0" w:after="6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4,836,203.96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3,682,495.78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900,604.15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28,917,444.57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770,653.90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876,143.74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408,624.59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435,727.78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175,124.80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186,006.93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102,202.65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44,779.26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117,137.20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191,056.82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264,321.21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278,515.52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7,950.66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7,613,992.53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34,722,323.71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400" w:line="240" w:lineRule="auto"/>
        <w:ind w:left="0" w:right="0" w:firstLine="1000"/>
        <w:jc w:val="left"/>
      </w:pPr>
      <w:r>
        <w:rPr>
          <w:color w:val="000000"/>
          <w:spacing w:val="0"/>
          <w:w w:val="100"/>
          <w:position w:val="0"/>
        </w:rPr>
        <w:t>报告期末应交税费较期初减少</w:t>
      </w:r>
      <w:r>
        <w:rPr>
          <w:color w:val="000000"/>
          <w:spacing w:val="0"/>
          <w:w w:val="100"/>
          <w:position w:val="0"/>
        </w:rPr>
        <w:t>78.07%</w:t>
      </w:r>
      <w:r>
        <w:rPr>
          <w:color w:val="000000"/>
          <w:spacing w:val="0"/>
          <w:w w:val="100"/>
          <w:position w:val="0"/>
        </w:rPr>
        <w:t>，主要由于应纳税所得额减少，应交所得税额相应减少。</w:t>
      </w:r>
    </w:p>
    <w:p>
      <w:pPr>
        <w:pStyle w:val="Style30"/>
        <w:keepNext/>
        <w:keepLines/>
        <w:widowControl w:val="0"/>
        <w:shd w:val="clear" w:color="auto" w:fill="auto"/>
        <w:bidi w:val="0"/>
        <w:spacing w:before="0" w:after="320" w:line="240" w:lineRule="auto"/>
        <w:ind w:left="0" w:right="0" w:firstLine="620"/>
        <w:jc w:val="left"/>
        <w:sectPr>
          <w:footnotePr>
            <w:pos w:val="pageBottom"/>
            <w:numFmt w:val="decimal"/>
            <w:numRestart w:val="continuous"/>
          </w:footnotePr>
          <w:pgSz w:w="11900" w:h="16840"/>
          <w:pgMar w:top="1441" w:right="473" w:bottom="1983" w:left="478" w:header="0" w:footer="3" w:gutter="0"/>
          <w:cols w:space="720"/>
          <w:noEndnote/>
          <w:rtlGutter w:val="0"/>
          <w:docGrid w:linePitch="360"/>
        </w:sectPr>
      </w:pPr>
      <w:bookmarkStart w:id="1195" w:name="bookmark1195"/>
      <w:bookmarkStart w:id="1196" w:name="bookmark1196"/>
      <w:bookmarkStart w:id="1197" w:name="bookmark1197"/>
      <w:bookmarkStart w:id="1198" w:name="bookmark1198"/>
      <w:r>
        <w:rPr>
          <w:color w:val="000000"/>
          <w:spacing w:val="0"/>
          <w:w w:val="100"/>
          <w:position w:val="0"/>
        </w:rPr>
        <w:t>2</w:t>
      </w:r>
      <w:bookmarkEnd w:id="1197"/>
      <w:r>
        <w:rPr>
          <w:color w:val="000000"/>
          <w:spacing w:val="0"/>
          <w:w w:val="100"/>
          <w:position w:val="0"/>
        </w:rPr>
        <w:t>8</w:t>
      </w:r>
      <w:r>
        <w:rPr>
          <w:color w:val="000000"/>
          <w:spacing w:val="0"/>
          <w:w w:val="100"/>
          <w:position w:val="0"/>
        </w:rPr>
        <w:t>、其他应付款</w:t>
      </w:r>
      <w:bookmarkEnd w:id="1195"/>
      <w:bookmarkEnd w:id="1196"/>
      <w:bookmarkEnd w:id="119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113,857,950.39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106,980,921.15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113,857,950.39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106,980,921.15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640"/>
        <w:jc w:val="left"/>
      </w:pPr>
      <w:bookmarkStart w:id="1199" w:name="bookmark1199"/>
      <w:bookmarkStart w:id="1200" w:name="bookmark1200"/>
      <w:bookmarkStart w:id="1201" w:name="bookmark1201"/>
      <w:r>
        <w:rPr>
          <w:color w:val="000000"/>
          <w:spacing w:val="0"/>
          <w:w w:val="100"/>
          <w:position w:val="0"/>
        </w:rPr>
        <w:t>(1)</w:t>
      </w:r>
      <w:r>
        <w:rPr>
          <w:color w:val="000000"/>
          <w:spacing w:val="0"/>
          <w:w w:val="100"/>
          <w:position w:val="0"/>
        </w:rPr>
        <w:t>其他应付款</w:t>
      </w:r>
      <w:bookmarkEnd w:id="1199"/>
      <w:bookmarkEnd w:id="1200"/>
      <w:bookmarkEnd w:id="1201"/>
    </w:p>
    <w:p>
      <w:pPr>
        <w:pStyle w:val="Style59"/>
        <w:keepNext/>
        <w:keepLines/>
        <w:widowControl w:val="0"/>
        <w:shd w:val="clear" w:color="auto" w:fill="auto"/>
        <w:bidi w:val="0"/>
        <w:spacing w:before="0" w:after="380" w:line="240" w:lineRule="auto"/>
        <w:ind w:left="0" w:right="0" w:firstLine="640"/>
        <w:jc w:val="left"/>
      </w:pPr>
      <w:bookmarkStart w:id="1202" w:name="bookmark1202"/>
      <w:bookmarkStart w:id="1203" w:name="bookmark1203"/>
      <w:bookmarkStart w:id="1204" w:name="bookmark1204"/>
      <w:r>
        <w:rPr>
          <w:color w:val="000000"/>
          <w:spacing w:val="0"/>
          <w:w w:val="100"/>
          <w:position w:val="0"/>
        </w:rPr>
        <w:t>按款项性质列示其他应付款</w:t>
      </w:r>
      <w:bookmarkEnd w:id="1202"/>
      <w:bookmarkEnd w:id="1203"/>
      <w:bookmarkEnd w:id="1204"/>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5,424,248.31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9,072,036.49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50,434,996.32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50,428,187.50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20,965,796.73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19,087,039.57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36,379,260.45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27,060,189.02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204,118.57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113,857,950.39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106,980,921.15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640"/>
        <w:jc w:val="left"/>
      </w:pPr>
      <w:bookmarkStart w:id="1205" w:name="bookmark1205"/>
      <w:bookmarkStart w:id="1206" w:name="bookmark1206"/>
      <w:bookmarkStart w:id="1207" w:name="bookmark1207"/>
      <w:bookmarkStart w:id="1208" w:name="bookmark1208"/>
      <w:r>
        <w:rPr>
          <w:color w:val="000000"/>
          <w:spacing w:val="0"/>
          <w:w w:val="100"/>
          <w:position w:val="0"/>
        </w:rPr>
        <w:t>2</w:t>
      </w:r>
      <w:bookmarkEnd w:id="1207"/>
      <w:r>
        <w:rPr>
          <w:color w:val="000000"/>
          <w:spacing w:val="0"/>
          <w:w w:val="100"/>
          <w:position w:val="0"/>
        </w:rPr>
        <w:t>9</w:t>
      </w:r>
      <w:r>
        <w:rPr>
          <w:color w:val="000000"/>
          <w:spacing w:val="0"/>
          <w:w w:val="100"/>
          <w:position w:val="0"/>
        </w:rPr>
        <w:t>、一年内到期的非流动负债</w:t>
      </w:r>
      <w:bookmarkEnd w:id="1205"/>
      <w:bookmarkEnd w:id="1206"/>
      <w:bookmarkEnd w:id="1208"/>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26,202,009.60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24,261,120.00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26,202,009.60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24,261,120.00</w:t>
            </w:r>
          </w:p>
        </w:tc>
      </w:tr>
    </w:tbl>
    <w:p>
      <w:pPr>
        <w:widowControl w:val="0"/>
        <w:spacing w:after="219" w:line="1" w:lineRule="exact"/>
      </w:pPr>
    </w:p>
    <w:p>
      <w:pPr>
        <w:pStyle w:val="Style30"/>
        <w:keepNext/>
        <w:keepLines/>
        <w:widowControl w:val="0"/>
        <w:shd w:val="clear" w:color="auto" w:fill="auto"/>
        <w:bidi w:val="0"/>
        <w:spacing w:before="0" w:line="322" w:lineRule="exact"/>
        <w:ind w:left="640" w:right="0" w:firstLine="360"/>
        <w:jc w:val="left"/>
        <w:rPr>
          <w:sz w:val="17"/>
          <w:szCs w:val="17"/>
        </w:rPr>
      </w:pPr>
      <w:bookmarkStart w:id="1209" w:name="bookmark1209"/>
      <w:bookmarkStart w:id="1210" w:name="bookmark1210"/>
      <w:bookmarkStart w:id="1211" w:name="bookmark1211"/>
      <w:r>
        <w:rPr>
          <w:b w:val="0"/>
          <w:bCs w:val="0"/>
          <w:color w:val="000000"/>
          <w:spacing w:val="0"/>
          <w:w w:val="100"/>
          <w:position w:val="0"/>
          <w:sz w:val="17"/>
          <w:szCs w:val="17"/>
        </w:rPr>
        <w:t>该项负债是公司对天喻教育</w:t>
      </w:r>
      <w:r>
        <w:rPr>
          <w:b w:val="0"/>
          <w:bCs w:val="0"/>
          <w:color w:val="000000"/>
          <w:spacing w:val="0"/>
          <w:w w:val="100"/>
          <w:position w:val="0"/>
          <w:sz w:val="17"/>
          <w:szCs w:val="17"/>
        </w:rPr>
        <w:t>2018</w:t>
      </w:r>
      <w:r>
        <w:rPr>
          <w:b w:val="0"/>
          <w:bCs w:val="0"/>
          <w:color w:val="000000"/>
          <w:spacing w:val="0"/>
          <w:w w:val="100"/>
          <w:position w:val="0"/>
          <w:sz w:val="17"/>
          <w:szCs w:val="17"/>
        </w:rPr>
        <w:t>年度引进的外部投资者的股权收购承诺，协议约定于</w:t>
      </w:r>
      <w:r>
        <w:rPr>
          <w:b w:val="0"/>
          <w:bCs w:val="0"/>
          <w:color w:val="000000"/>
          <w:spacing w:val="0"/>
          <w:w w:val="100"/>
          <w:position w:val="0"/>
          <w:sz w:val="17"/>
          <w:szCs w:val="17"/>
        </w:rPr>
        <w:t>2020</w:t>
      </w:r>
      <w:r>
        <w:rPr>
          <w:b w:val="0"/>
          <w:bCs w:val="0"/>
          <w:color w:val="000000"/>
          <w:spacing w:val="0"/>
          <w:w w:val="100"/>
          <w:position w:val="0"/>
          <w:sz w:val="17"/>
          <w:szCs w:val="17"/>
        </w:rPr>
        <w:t>年</w:t>
      </w:r>
      <w:r>
        <w:rPr>
          <w:b w:val="0"/>
          <w:bCs w:val="0"/>
          <w:color w:val="000000"/>
          <w:spacing w:val="0"/>
          <w:w w:val="100"/>
          <w:position w:val="0"/>
          <w:sz w:val="17"/>
          <w:szCs w:val="17"/>
        </w:rPr>
        <w:t>6</w:t>
      </w:r>
      <w:r>
        <w:rPr>
          <w:b w:val="0"/>
          <w:bCs w:val="0"/>
          <w:color w:val="000000"/>
          <w:spacing w:val="0"/>
          <w:w w:val="100"/>
          <w:position w:val="0"/>
          <w:sz w:val="17"/>
          <w:szCs w:val="17"/>
        </w:rPr>
        <w:t>月到期，截至报告期末, 双方就该事项的后续处理尚在协商中。</w:t>
      </w:r>
      <w:bookmarkEnd w:id="1209"/>
      <w:bookmarkEnd w:id="1210"/>
      <w:bookmarkEnd w:id="1211"/>
    </w:p>
    <w:p>
      <w:pPr>
        <w:pStyle w:val="Style30"/>
        <w:keepNext/>
        <w:keepLines/>
        <w:widowControl w:val="0"/>
        <w:shd w:val="clear" w:color="auto" w:fill="auto"/>
        <w:bidi w:val="0"/>
        <w:spacing w:before="0" w:line="240" w:lineRule="auto"/>
        <w:ind w:left="0" w:right="0" w:firstLine="640"/>
        <w:jc w:val="both"/>
      </w:pPr>
      <w:bookmarkStart w:id="1212" w:name="bookmark1212"/>
      <w:bookmarkStart w:id="1213" w:name="bookmark1213"/>
      <w:bookmarkStart w:id="1214" w:name="bookmark1214"/>
      <w:bookmarkStart w:id="1215" w:name="bookmark1215"/>
      <w:r>
        <w:rPr>
          <w:color w:val="000000"/>
          <w:spacing w:val="0"/>
          <w:w w:val="100"/>
          <w:position w:val="0"/>
        </w:rPr>
        <w:t>3</w:t>
      </w:r>
      <w:bookmarkEnd w:id="1214"/>
      <w:r>
        <w:rPr>
          <w:color w:val="000000"/>
          <w:spacing w:val="0"/>
          <w:w w:val="100"/>
          <w:position w:val="0"/>
        </w:rPr>
        <w:t>0</w:t>
      </w:r>
      <w:r>
        <w:rPr>
          <w:color w:val="000000"/>
          <w:spacing w:val="0"/>
          <w:w w:val="100"/>
          <w:position w:val="0"/>
        </w:rPr>
        <w:t>、其他流动负债</w:t>
      </w:r>
      <w:bookmarkEnd w:id="1212"/>
      <w:bookmarkEnd w:id="1213"/>
      <w:bookmarkEnd w:id="1215"/>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9,365,921.67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8,567,021.59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9,365,921.67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8,567,021.59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640"/>
        <w:jc w:val="both"/>
      </w:pPr>
      <w:bookmarkStart w:id="1216" w:name="bookmark1216"/>
      <w:bookmarkStart w:id="1217" w:name="bookmark1217"/>
      <w:bookmarkStart w:id="1218" w:name="bookmark1218"/>
      <w:bookmarkStart w:id="1219" w:name="bookmark1219"/>
      <w:r>
        <w:rPr>
          <w:color w:val="000000"/>
          <w:spacing w:val="0"/>
          <w:w w:val="100"/>
          <w:position w:val="0"/>
        </w:rPr>
        <w:t>3</w:t>
      </w:r>
      <w:bookmarkEnd w:id="1218"/>
      <w:r>
        <w:rPr>
          <w:color w:val="000000"/>
          <w:spacing w:val="0"/>
          <w:w w:val="100"/>
          <w:position w:val="0"/>
        </w:rPr>
        <w:t>1</w:t>
      </w:r>
      <w:r>
        <w:rPr>
          <w:color w:val="000000"/>
          <w:spacing w:val="0"/>
          <w:w w:val="100"/>
          <w:position w:val="0"/>
        </w:rPr>
        <w:t>、预计负债</w:t>
      </w:r>
      <w:bookmarkEnd w:id="1216"/>
      <w:bookmarkEnd w:id="1217"/>
      <w:bookmarkEnd w:id="1219"/>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ectPr>
          <w:footnotePr>
            <w:pos w:val="pageBottom"/>
            <w:numFmt w:val="decimal"/>
            <w:numRestart w:val="continuous"/>
          </w:footnotePr>
          <w:pgSz w:w="11900" w:h="16840"/>
          <w:pgMar w:top="1441" w:right="473" w:bottom="1441" w:left="478"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699,029.12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920"/>
        <w:jc w:val="left"/>
      </w:pPr>
      <w:r>
        <w:rPr>
          <w:color w:val="000000"/>
          <w:spacing w:val="0"/>
          <w:w w:val="100"/>
          <w:position w:val="0"/>
        </w:rPr>
        <w:t>子公司天喻教育对蕲春教育信息化项目的售后服务计提了维保服务费，确认为预计负债。</w:t>
      </w:r>
    </w:p>
    <w:p>
      <w:pPr>
        <w:pStyle w:val="Style30"/>
        <w:keepNext/>
        <w:keepLines/>
        <w:widowControl w:val="0"/>
        <w:shd w:val="clear" w:color="auto" w:fill="auto"/>
        <w:bidi w:val="0"/>
        <w:spacing w:before="0" w:after="420" w:line="240" w:lineRule="auto"/>
        <w:ind w:left="0" w:right="0" w:firstLine="620"/>
        <w:jc w:val="left"/>
      </w:pPr>
      <w:bookmarkStart w:id="1220" w:name="bookmark1220"/>
      <w:bookmarkStart w:id="1221" w:name="bookmark1221"/>
      <w:bookmarkStart w:id="1222" w:name="bookmark1222"/>
      <w:bookmarkStart w:id="1223" w:name="bookmark1223"/>
      <w:r>
        <w:rPr>
          <w:color w:val="000000"/>
          <w:spacing w:val="0"/>
          <w:w w:val="100"/>
          <w:position w:val="0"/>
        </w:rPr>
        <w:t>3</w:t>
      </w:r>
      <w:bookmarkEnd w:id="1222"/>
      <w:r>
        <w:rPr>
          <w:color w:val="000000"/>
          <w:spacing w:val="0"/>
          <w:w w:val="100"/>
          <w:position w:val="0"/>
        </w:rPr>
        <w:t>2</w:t>
      </w:r>
      <w:r>
        <w:rPr>
          <w:color w:val="000000"/>
          <w:spacing w:val="0"/>
          <w:w w:val="100"/>
          <w:position w:val="0"/>
        </w:rPr>
        <w:t>、递延收益</w:t>
      </w:r>
      <w:bookmarkEnd w:id="1220"/>
      <w:bookmarkEnd w:id="1221"/>
      <w:bookmarkEnd w:id="1223"/>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本期冲减成 本费用金额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 /与收益相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长江中游城 市群综合科 技服务平台 研发与应用 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安全部件的 可信存储与 安全通信技 术高价值专 利组合培育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基于云计算 的智慧教育 平台关键技 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基于区块链 的防伪溯源 及存证服务 应用示范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1000"/>
        <w:jc w:val="left"/>
      </w:pPr>
      <w:r>
        <w:rPr>
          <w:color w:val="000000"/>
          <w:spacing w:val="0"/>
          <w:w w:val="100"/>
          <w:position w:val="0"/>
        </w:rPr>
        <w:t>报告期末递延收益较期初增加</w:t>
      </w:r>
      <w:r>
        <w:rPr>
          <w:color w:val="000000"/>
          <w:spacing w:val="0"/>
          <w:w w:val="100"/>
          <w:position w:val="0"/>
        </w:rPr>
        <w:t>587.66%，</w:t>
      </w:r>
      <w:r>
        <w:rPr>
          <w:color w:val="000000"/>
          <w:spacing w:val="0"/>
          <w:w w:val="100"/>
          <w:position w:val="0"/>
        </w:rPr>
        <w:t>主要由于收到与收益相关的项目补助增加。</w:t>
      </w:r>
    </w:p>
    <w:p>
      <w:pPr>
        <w:pStyle w:val="Style30"/>
        <w:keepNext/>
        <w:keepLines/>
        <w:widowControl w:val="0"/>
        <w:shd w:val="clear" w:color="auto" w:fill="auto"/>
        <w:bidi w:val="0"/>
        <w:spacing w:before="0" w:after="120" w:line="240" w:lineRule="auto"/>
        <w:ind w:left="0" w:right="0" w:firstLine="620"/>
        <w:jc w:val="left"/>
      </w:pPr>
      <w:bookmarkStart w:id="1224" w:name="bookmark1224"/>
      <w:bookmarkStart w:id="1225" w:name="bookmark1225"/>
      <w:bookmarkStart w:id="1226" w:name="bookmark1226"/>
      <w:bookmarkStart w:id="1227" w:name="bookmark1227"/>
      <w:r>
        <w:rPr>
          <w:color w:val="000000"/>
          <w:spacing w:val="0"/>
          <w:w w:val="100"/>
          <w:position w:val="0"/>
        </w:rPr>
        <w:t>3</w:t>
      </w:r>
      <w:bookmarkEnd w:id="1226"/>
      <w:r>
        <w:rPr>
          <w:color w:val="000000"/>
          <w:spacing w:val="0"/>
          <w:w w:val="100"/>
          <w:position w:val="0"/>
        </w:rPr>
        <w:t>3</w:t>
      </w:r>
      <w:r>
        <w:rPr>
          <w:color w:val="000000"/>
          <w:spacing w:val="0"/>
          <w:w w:val="100"/>
          <w:position w:val="0"/>
        </w:rPr>
        <w:t>、股本</w:t>
      </w:r>
      <w:bookmarkEnd w:id="1224"/>
      <w:bookmarkEnd w:id="1225"/>
      <w:bookmarkEnd w:id="1227"/>
      <w:r>
        <w:br w:type="page"/>
      </w:r>
    </w:p>
    <w:tbl>
      <w:tblPr>
        <w:tblOverlap w:val="never"/>
        <w:jc w:val="center"/>
        <w:tblLayout w:type="fixed"/>
      </w:tblPr>
      <w:tblGrid>
        <w:gridCol w:w="1200"/>
        <w:gridCol w:w="1464"/>
        <w:gridCol w:w="1200"/>
        <w:gridCol w:w="1195"/>
        <w:gridCol w:w="1195"/>
        <w:gridCol w:w="1075"/>
        <w:gridCol w:w="1008"/>
        <w:gridCol w:w="138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430,056,000.00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430,056,000.00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600"/>
        <w:jc w:val="left"/>
      </w:pPr>
      <w:bookmarkStart w:id="1228" w:name="bookmark1228"/>
      <w:bookmarkStart w:id="1229" w:name="bookmark1229"/>
      <w:bookmarkStart w:id="1230" w:name="bookmark1230"/>
      <w:bookmarkStart w:id="1231" w:name="bookmark1231"/>
      <w:r>
        <w:rPr>
          <w:color w:val="000000"/>
          <w:spacing w:val="0"/>
          <w:w w:val="100"/>
          <w:position w:val="0"/>
        </w:rPr>
        <w:t>3</w:t>
      </w:r>
      <w:bookmarkEnd w:id="1230"/>
      <w:r>
        <w:rPr>
          <w:color w:val="000000"/>
          <w:spacing w:val="0"/>
          <w:w w:val="100"/>
          <w:position w:val="0"/>
        </w:rPr>
        <w:t>4</w:t>
      </w:r>
      <w:r>
        <w:rPr>
          <w:color w:val="000000"/>
          <w:spacing w:val="0"/>
          <w:w w:val="100"/>
          <w:position w:val="0"/>
        </w:rPr>
        <w:t>、资本公积</w:t>
      </w:r>
      <w:bookmarkEnd w:id="1228"/>
      <w:bookmarkEnd w:id="1229"/>
      <w:bookmarkEnd w:id="1231"/>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392,617,647.11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392,617,647.11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15,305,112.02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16,213,470.23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407,922,759.13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908,358.21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408,831,117.34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26"/>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本期资本公积增加主要是公司投资的河南聚联智慧大数据科技有限公司资本公积变化所致。</w:t>
      </w:r>
    </w:p>
    <w:p>
      <w:pPr>
        <w:pStyle w:val="Style30"/>
        <w:keepNext/>
        <w:keepLines/>
        <w:widowControl w:val="0"/>
        <w:shd w:val="clear" w:color="auto" w:fill="auto"/>
        <w:bidi w:val="0"/>
        <w:spacing w:before="0" w:line="240" w:lineRule="auto"/>
        <w:ind w:left="0" w:right="0" w:firstLine="600"/>
        <w:jc w:val="left"/>
      </w:pPr>
      <w:bookmarkStart w:id="1232" w:name="bookmark1232"/>
      <w:bookmarkStart w:id="1233" w:name="bookmark1233"/>
      <w:bookmarkStart w:id="1234" w:name="bookmark1234"/>
      <w:bookmarkStart w:id="1235" w:name="bookmark1235"/>
      <w:r>
        <w:rPr>
          <w:color w:val="000000"/>
          <w:spacing w:val="0"/>
          <w:w w:val="100"/>
          <w:position w:val="0"/>
        </w:rPr>
        <w:t>3</w:t>
      </w:r>
      <w:bookmarkEnd w:id="1234"/>
      <w:r>
        <w:rPr>
          <w:color w:val="000000"/>
          <w:spacing w:val="0"/>
          <w:w w:val="100"/>
          <w:position w:val="0"/>
        </w:rPr>
        <w:t>5</w:t>
      </w:r>
      <w:r>
        <w:rPr>
          <w:color w:val="000000"/>
          <w:spacing w:val="0"/>
          <w:w w:val="100"/>
          <w:position w:val="0"/>
        </w:rPr>
        <w:t>、其他综合收益</w:t>
      </w:r>
      <w:bookmarkEnd w:id="1232"/>
      <w:bookmarkEnd w:id="1233"/>
      <w:bookmarkEnd w:id="12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3"/>
        <w:gridCol w:w="1238"/>
        <w:gridCol w:w="1277"/>
        <w:gridCol w:w="1051"/>
        <w:gridCol w:w="850"/>
        <w:gridCol w:w="1075"/>
        <w:gridCol w:w="1277"/>
        <w:gridCol w:w="1022"/>
        <w:gridCol w:w="128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3,384,382.58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1,719,045.53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257,856.83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1,168,950.96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292,237.74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4,553,333.54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3,384,382.58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1,719,045.53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257,856.83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1,168,950.96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292,237.74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4,553,333.54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3,384,382.58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1,719,045.53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257,856.83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1,168,950.96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292,237.74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4,553,333.54</w:t>
            </w:r>
          </w:p>
        </w:tc>
      </w:tr>
    </w:tbl>
    <w:p>
      <w:pPr>
        <w:pStyle w:val="Style33"/>
        <w:keepNext w:val="0"/>
        <w:keepLines w:val="0"/>
        <w:widowControl w:val="0"/>
        <w:shd w:val="clear" w:color="auto" w:fill="auto"/>
        <w:bidi w:val="0"/>
        <w:spacing w:before="0" w:after="0" w:line="240" w:lineRule="auto"/>
        <w:ind w:left="979" w:right="0" w:firstLine="0"/>
        <w:jc w:val="left"/>
      </w:pPr>
      <w:r>
        <w:rPr>
          <w:color w:val="000000"/>
          <w:spacing w:val="0"/>
          <w:w w:val="100"/>
          <w:position w:val="0"/>
        </w:rPr>
        <w:t>报告期末其他综合收益较期初增加</w:t>
      </w:r>
      <w:r>
        <w:rPr>
          <w:color w:val="000000"/>
          <w:spacing w:val="0"/>
          <w:w w:val="100"/>
          <w:position w:val="0"/>
        </w:rPr>
        <w:t xml:space="preserve">34. </w:t>
      </w:r>
      <w:r>
        <w:rPr>
          <w:color w:val="000000"/>
          <w:spacing w:val="0"/>
          <w:w w:val="100"/>
          <w:position w:val="0"/>
        </w:rPr>
        <w:t>54%</w:t>
      </w:r>
      <w:r>
        <w:rPr>
          <w:color w:val="000000"/>
          <w:spacing w:val="0"/>
          <w:w w:val="100"/>
          <w:position w:val="0"/>
        </w:rPr>
        <w:t>，主要是公司持有的非交易性权益工具投资公允价值变动影响。</w:t>
      </w:r>
    </w:p>
    <w:p>
      <w:pPr>
        <w:widowControl w:val="0"/>
        <w:spacing w:after="379" w:line="1" w:lineRule="exact"/>
      </w:pPr>
    </w:p>
    <w:p>
      <w:pPr>
        <w:pStyle w:val="Style30"/>
        <w:keepNext/>
        <w:keepLines/>
        <w:widowControl w:val="0"/>
        <w:shd w:val="clear" w:color="auto" w:fill="auto"/>
        <w:bidi w:val="0"/>
        <w:spacing w:before="0" w:line="240" w:lineRule="auto"/>
        <w:ind w:left="0" w:right="0" w:firstLine="600"/>
        <w:jc w:val="left"/>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6</w:t>
      </w:r>
      <w:r>
        <w:rPr>
          <w:color w:val="000000"/>
          <w:spacing w:val="0"/>
          <w:w w:val="100"/>
          <w:position w:val="0"/>
        </w:rPr>
        <w:t>、盈余公积</w:t>
      </w:r>
      <w:bookmarkEnd w:id="1236"/>
      <w:bookmarkEnd w:id="1237"/>
      <w:bookmarkEnd w:id="1239"/>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94,020,372.22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94,020,372.22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94,020,372.22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94,020,372.22</w:t>
            </w:r>
          </w:p>
        </w:tc>
      </w:tr>
    </w:tbl>
    <w:p>
      <w:pPr>
        <w:sectPr>
          <w:footnotePr>
            <w:pos w:val="pageBottom"/>
            <w:numFmt w:val="decimal"/>
            <w:numRestart w:val="continuous"/>
          </w:footnotePr>
          <w:pgSz w:w="11900" w:h="16840"/>
          <w:pgMar w:top="1387" w:right="476" w:bottom="1634" w:left="476" w:header="0" w:footer="3" w:gutter="0"/>
          <w:cols w:space="720"/>
          <w:noEndnote/>
          <w:rtlGutter w:val="0"/>
          <w:docGrid w:linePitch="360"/>
        </w:sectPr>
      </w:pPr>
    </w:p>
    <w:p>
      <w:pPr>
        <w:pStyle w:val="Style30"/>
        <w:keepNext/>
        <w:keepLines/>
        <w:widowControl w:val="0"/>
        <w:shd w:val="clear" w:color="auto" w:fill="auto"/>
        <w:bidi w:val="0"/>
        <w:spacing w:before="0" w:after="400" w:line="240" w:lineRule="auto"/>
        <w:ind w:left="0" w:right="0" w:firstLine="620"/>
        <w:jc w:val="left"/>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7</w:t>
      </w:r>
      <w:r>
        <w:rPr>
          <w:color w:val="000000"/>
          <w:spacing w:val="0"/>
          <w:w w:val="100"/>
          <w:position w:val="0"/>
        </w:rPr>
        <w:t>、未分配利润</w:t>
      </w:r>
      <w:bookmarkEnd w:id="1240"/>
      <w:bookmarkEnd w:id="1241"/>
      <w:bookmarkEnd w:id="1243"/>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494,049,039.13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286,918,901.26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73,631,299.57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494,049,039.13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360,550,200.83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-60,737,085.52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192,396,750.47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15,892,312.17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43,005,600.00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390,306,353.61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494,049,039.13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调整期初未分配利润明细：</w:t>
      </w:r>
    </w:p>
    <w:p>
      <w:pPr>
        <w:pStyle w:val="Style26"/>
        <w:keepNext w:val="0"/>
        <w:keepLines w:val="0"/>
        <w:widowControl w:val="0"/>
        <w:shd w:val="clear" w:color="auto" w:fill="auto"/>
        <w:tabs>
          <w:tab w:pos="945" w:val="left"/>
        </w:tabs>
        <w:bidi w:val="0"/>
        <w:spacing w:before="0" w:after="140" w:line="240" w:lineRule="auto"/>
        <w:ind w:left="0" w:right="0" w:firstLine="620"/>
        <w:jc w:val="left"/>
      </w:pPr>
      <w:bookmarkStart w:id="1244" w:name="bookmark1244"/>
      <w:r>
        <w:rPr>
          <w:color w:val="000000"/>
          <w:spacing w:val="0"/>
          <w:w w:val="100"/>
          <w:position w:val="0"/>
        </w:rPr>
        <w:t>1</w:t>
      </w:r>
      <w:bookmarkEnd w:id="1244"/>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954" w:val="left"/>
        </w:tabs>
        <w:bidi w:val="0"/>
        <w:spacing w:before="0" w:after="140" w:line="240" w:lineRule="auto"/>
        <w:ind w:left="0" w:right="0" w:firstLine="620"/>
        <w:jc w:val="left"/>
      </w:pPr>
      <w:bookmarkStart w:id="1245" w:name="bookmark1245"/>
      <w:r>
        <w:rPr>
          <w:color w:val="000000"/>
          <w:spacing w:val="0"/>
          <w:w w:val="100"/>
          <w:position w:val="0"/>
        </w:rPr>
        <w:t>2</w:t>
      </w:r>
      <w:bookmarkEnd w:id="1245"/>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954" w:val="left"/>
        </w:tabs>
        <w:bidi w:val="0"/>
        <w:spacing w:before="0" w:after="140" w:line="240" w:lineRule="auto"/>
        <w:ind w:left="0" w:right="0" w:firstLine="620"/>
        <w:jc w:val="left"/>
      </w:pPr>
      <w:bookmarkStart w:id="1246" w:name="bookmark1246"/>
      <w:r>
        <w:rPr>
          <w:color w:val="000000"/>
          <w:spacing w:val="0"/>
          <w:w w:val="100"/>
          <w:position w:val="0"/>
        </w:rPr>
        <w:t>3</w:t>
      </w:r>
      <w:bookmarkEnd w:id="1246"/>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959" w:val="left"/>
        </w:tabs>
        <w:bidi w:val="0"/>
        <w:spacing w:before="0" w:after="140" w:line="240" w:lineRule="auto"/>
        <w:ind w:left="0" w:right="0" w:firstLine="620"/>
        <w:jc w:val="left"/>
      </w:pPr>
      <w:bookmarkStart w:id="1247" w:name="bookmark1247"/>
      <w:r>
        <w:rPr>
          <w:color w:val="000000"/>
          <w:spacing w:val="0"/>
          <w:w w:val="100"/>
          <w:position w:val="0"/>
        </w:rPr>
        <w:t>4</w:t>
      </w:r>
      <w:bookmarkEnd w:id="1247"/>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959" w:val="left"/>
        </w:tabs>
        <w:bidi w:val="0"/>
        <w:spacing w:before="0" w:after="400" w:line="240" w:lineRule="auto"/>
        <w:ind w:left="0" w:right="0" w:firstLine="620"/>
        <w:jc w:val="left"/>
      </w:pPr>
      <w:bookmarkStart w:id="1248" w:name="bookmark1248"/>
      <w:r>
        <w:rPr>
          <w:color w:val="000000"/>
          <w:spacing w:val="0"/>
          <w:w w:val="100"/>
          <w:position w:val="0"/>
        </w:rPr>
        <w:t>5</w:t>
      </w:r>
      <w:bookmarkEnd w:id="1248"/>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400" w:line="240" w:lineRule="auto"/>
        <w:ind w:left="0" w:right="0" w:firstLine="620"/>
        <w:jc w:val="left"/>
      </w:pPr>
      <w:bookmarkStart w:id="1249" w:name="bookmark1249"/>
      <w:bookmarkStart w:id="1250" w:name="bookmark1250"/>
      <w:bookmarkStart w:id="1251" w:name="bookmark1251"/>
      <w:bookmarkStart w:id="1252" w:name="bookmark1252"/>
      <w:r>
        <w:rPr>
          <w:color w:val="000000"/>
          <w:spacing w:val="0"/>
          <w:w w:val="100"/>
          <w:position w:val="0"/>
        </w:rPr>
        <w:t>3</w:t>
      </w:r>
      <w:bookmarkEnd w:id="1251"/>
      <w:r>
        <w:rPr>
          <w:color w:val="000000"/>
          <w:spacing w:val="0"/>
          <w:w w:val="100"/>
          <w:position w:val="0"/>
        </w:rPr>
        <w:t>8</w:t>
      </w:r>
      <w:r>
        <w:rPr>
          <w:color w:val="000000"/>
          <w:spacing w:val="0"/>
          <w:w w:val="100"/>
          <w:position w:val="0"/>
        </w:rPr>
        <w:t>、营业收入和营业成本</w:t>
      </w:r>
      <w:bookmarkEnd w:id="1249"/>
      <w:bookmarkEnd w:id="1250"/>
      <w:bookmarkEnd w:id="1252"/>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1,691,519,455.21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1,316,484,836.98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2,208,508,919.65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1,671,839,504.26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2,010,223.97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214,465.04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3,598,076.20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609,234.20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1,693,529,679.18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1,316,699,302.02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2,212,106,995.85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1,672,448,738.46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40" w:line="240" w:lineRule="auto"/>
        <w:ind w:left="0" w:right="0" w:firstLine="62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1,693,529,679.18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2,212,106,995.85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2,010,223.97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3,598,076.20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2,010,223.97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3,598,076.20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主要为生产过程产生的废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料处置收入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4"/>
        <w:gridCol w:w="2640"/>
        <w:gridCol w:w="2578"/>
        <w:gridCol w:w="218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1,691,519,455.21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2,208,508,919.65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公司主营业务收入</w:t>
            </w:r>
          </w:p>
        </w:tc>
      </w:tr>
    </w:tbl>
    <w:p>
      <w:pPr>
        <w:widowControl w:val="0"/>
        <w:spacing w:after="399" w:line="1" w:lineRule="exact"/>
      </w:pPr>
    </w:p>
    <w:tbl>
      <w:tblPr>
        <w:tblOverlap w:val="never"/>
        <w:jc w:val="center"/>
        <w:tblLayout w:type="fixed"/>
      </w:tblPr>
      <w:tblGrid>
        <w:gridCol w:w="6658"/>
        <w:gridCol w:w="305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年营业收入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其中：智能卡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473,714,815.15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878,552,475.93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技术服务与开发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209,859,816.02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131,402,572.08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1,693,529,679.18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1,652,665,114.28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国外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40,864,564.90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1,693,529,679.18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00"/>
        <w:jc w:val="left"/>
      </w:pPr>
      <w:bookmarkStart w:id="1253" w:name="bookmark1253"/>
      <w:bookmarkStart w:id="1254" w:name="bookmark1254"/>
      <w:bookmarkStart w:id="1255" w:name="bookmark1255"/>
      <w:bookmarkStart w:id="1256" w:name="bookmark1256"/>
      <w:r>
        <w:rPr>
          <w:color w:val="000000"/>
          <w:spacing w:val="0"/>
          <w:w w:val="100"/>
          <w:position w:val="0"/>
        </w:rPr>
        <w:t>3</w:t>
      </w:r>
      <w:bookmarkEnd w:id="1255"/>
      <w:r>
        <w:rPr>
          <w:color w:val="000000"/>
          <w:spacing w:val="0"/>
          <w:w w:val="100"/>
          <w:position w:val="0"/>
        </w:rPr>
        <w:t>9</w:t>
      </w:r>
      <w:r>
        <w:rPr>
          <w:color w:val="000000"/>
          <w:spacing w:val="0"/>
          <w:w w:val="100"/>
          <w:position w:val="0"/>
        </w:rPr>
        <w:t>、税金及附加</w:t>
      </w:r>
      <w:bookmarkEnd w:id="1253"/>
      <w:bookmarkEnd w:id="1254"/>
      <w:bookmarkEnd w:id="1256"/>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4,254,277.78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4,545,952.05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1,821,760.02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1,947,278.92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1,095,175.86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179,098.87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824,029.29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1,062,674.36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992,541.09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15,681.47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8,769,696.07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9,854,069.80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00"/>
        <w:jc w:val="left"/>
      </w:pPr>
      <w:bookmarkStart w:id="1257" w:name="bookmark1257"/>
      <w:bookmarkStart w:id="1258" w:name="bookmark1258"/>
      <w:bookmarkStart w:id="1259" w:name="bookmark1259"/>
      <w:bookmarkStart w:id="1260" w:name="bookmark1260"/>
      <w:r>
        <w:rPr>
          <w:color w:val="000000"/>
          <w:spacing w:val="0"/>
          <w:w w:val="100"/>
          <w:position w:val="0"/>
        </w:rPr>
        <w:t>4</w:t>
      </w:r>
      <w:bookmarkEnd w:id="1259"/>
      <w:r>
        <w:rPr>
          <w:color w:val="000000"/>
          <w:spacing w:val="0"/>
          <w:w w:val="100"/>
          <w:position w:val="0"/>
        </w:rPr>
        <w:t>0</w:t>
      </w:r>
      <w:r>
        <w:rPr>
          <w:color w:val="000000"/>
          <w:spacing w:val="0"/>
          <w:w w:val="100"/>
          <w:position w:val="0"/>
        </w:rPr>
        <w:t>、销售费用</w:t>
      </w:r>
      <w:bookmarkEnd w:id="1257"/>
      <w:bookmarkEnd w:id="1258"/>
      <w:bookmarkEnd w:id="1260"/>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77,834,089.41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98,145,606.88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28,035,147.29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35,518,808.34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6,263,078.45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14,465,421.13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搬运、货运及运保费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2,265,588.02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11,791,502.93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20,100,518.25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19,760,076.61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1,217,485.80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1,753,373.98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26,385,193.32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28,309,932.66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2,282,981.64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6,630,121.53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4,269,838.45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5,162,442.03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13,069,107.44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14,435,700.82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181,723,028.07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235,972,986.91</w:t>
            </w:r>
          </w:p>
        </w:tc>
      </w:tr>
    </w:tbl>
    <w:p>
      <w:pPr>
        <w:widowControl w:val="0"/>
        <w:spacing w:after="319" w:line="1" w:lineRule="exact"/>
      </w:pPr>
    </w:p>
    <w:p>
      <w:pPr>
        <w:pStyle w:val="Style30"/>
        <w:keepNext/>
        <w:keepLines/>
        <w:widowControl w:val="0"/>
        <w:shd w:val="clear" w:color="auto" w:fill="auto"/>
        <w:bidi w:val="0"/>
        <w:spacing w:before="0" w:after="420" w:line="240" w:lineRule="auto"/>
        <w:ind w:left="0" w:right="0" w:firstLine="620"/>
        <w:jc w:val="left"/>
      </w:pPr>
      <w:bookmarkStart w:id="1261" w:name="bookmark1261"/>
      <w:bookmarkStart w:id="1262" w:name="bookmark1262"/>
      <w:bookmarkStart w:id="1263" w:name="bookmark1263"/>
      <w:bookmarkStart w:id="1264" w:name="bookmark1264"/>
      <w:r>
        <w:rPr>
          <w:color w:val="000000"/>
          <w:spacing w:val="0"/>
          <w:w w:val="100"/>
          <w:position w:val="0"/>
        </w:rPr>
        <w:t>4</w:t>
      </w:r>
      <w:bookmarkEnd w:id="1263"/>
      <w:r>
        <w:rPr>
          <w:color w:val="000000"/>
          <w:spacing w:val="0"/>
          <w:w w:val="100"/>
          <w:position w:val="0"/>
        </w:rPr>
        <w:t>1</w:t>
      </w:r>
      <w:r>
        <w:rPr>
          <w:color w:val="000000"/>
          <w:spacing w:val="0"/>
          <w:w w:val="100"/>
          <w:position w:val="0"/>
        </w:rPr>
        <w:t>、管理费用</w:t>
      </w:r>
      <w:bookmarkEnd w:id="1261"/>
      <w:bookmarkEnd w:id="1262"/>
      <w:bookmarkEnd w:id="1264"/>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43,185,115.71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57,671,628.34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1,708,505.62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5,251,710.28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7,436,165.20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8,793,039.35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3,945,152.17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3,045,831.71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285,003.37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800,839.48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1,575,976.12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2,345,335.45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2,225,779.23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2,625,798.21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停产损失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7,177,906.86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4,299,144.76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5,027,248.07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71,838,749.04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85,561,430.89</w:t>
            </w:r>
          </w:p>
        </w:tc>
      </w:tr>
    </w:tbl>
    <w:p>
      <w:pPr>
        <w:widowControl w:val="0"/>
        <w:spacing w:after="319" w:line="1" w:lineRule="exact"/>
      </w:pPr>
    </w:p>
    <w:p>
      <w:pPr>
        <w:pStyle w:val="Style30"/>
        <w:keepNext/>
        <w:keepLines/>
        <w:widowControl w:val="0"/>
        <w:shd w:val="clear" w:color="auto" w:fill="auto"/>
        <w:bidi w:val="0"/>
        <w:spacing w:before="0" w:after="420" w:line="240" w:lineRule="auto"/>
        <w:ind w:left="0" w:right="0" w:firstLine="620"/>
        <w:jc w:val="left"/>
      </w:pPr>
      <w:bookmarkStart w:id="1265" w:name="bookmark1265"/>
      <w:bookmarkStart w:id="1266" w:name="bookmark1266"/>
      <w:bookmarkStart w:id="1267" w:name="bookmark1267"/>
      <w:bookmarkStart w:id="1268" w:name="bookmark1268"/>
      <w:r>
        <w:rPr>
          <w:color w:val="000000"/>
          <w:spacing w:val="0"/>
          <w:w w:val="100"/>
          <w:position w:val="0"/>
        </w:rPr>
        <w:t>4</w:t>
      </w:r>
      <w:bookmarkEnd w:id="1267"/>
      <w:r>
        <w:rPr>
          <w:color w:val="000000"/>
          <w:spacing w:val="0"/>
          <w:w w:val="100"/>
          <w:position w:val="0"/>
        </w:rPr>
        <w:t>2</w:t>
      </w:r>
      <w:r>
        <w:rPr>
          <w:color w:val="000000"/>
          <w:spacing w:val="0"/>
          <w:w w:val="100"/>
          <w:position w:val="0"/>
        </w:rPr>
        <w:t>、研发费用</w:t>
      </w:r>
      <w:bookmarkEnd w:id="1265"/>
      <w:bookmarkEnd w:id="1266"/>
      <w:bookmarkEnd w:id="1268"/>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129,635,878.43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154,183,255.81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37,525,789.37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49,087,853.55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2,491,199.79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3,179,773.65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10,263,035.15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7,867,396.69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2,032,131.47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4,136,903.89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1,115,017.04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1,111,227.03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63,600.40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288,711.66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1,988,250.54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2,061,833.92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185,114,902.19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221,916,956.20</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600"/>
        <w:jc w:val="left"/>
      </w:pPr>
      <w:bookmarkStart w:id="1269" w:name="bookmark1269"/>
      <w:bookmarkStart w:id="1270" w:name="bookmark1270"/>
      <w:bookmarkStart w:id="1271" w:name="bookmark1271"/>
      <w:bookmarkStart w:id="1272" w:name="bookmark1272"/>
      <w:r>
        <w:rPr>
          <w:color w:val="000000"/>
          <w:spacing w:val="0"/>
          <w:w w:val="100"/>
          <w:position w:val="0"/>
        </w:rPr>
        <w:t>4</w:t>
      </w:r>
      <w:bookmarkEnd w:id="1271"/>
      <w:r>
        <w:rPr>
          <w:color w:val="000000"/>
          <w:spacing w:val="0"/>
          <w:w w:val="100"/>
          <w:position w:val="0"/>
        </w:rPr>
        <w:t>3</w:t>
      </w:r>
      <w:r>
        <w:rPr>
          <w:color w:val="000000"/>
          <w:spacing w:val="0"/>
          <w:w w:val="100"/>
          <w:position w:val="0"/>
        </w:rPr>
        <w:t>、财务费用</w:t>
      </w:r>
      <w:bookmarkEnd w:id="1269"/>
      <w:bookmarkEnd w:id="1270"/>
      <w:bookmarkEnd w:id="1272"/>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13,415,689.31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7,566,727.22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5,082,474.46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2,733,418.13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1,563,881.82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1,213,692.21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989,276.16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减：现金折扣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60,727.46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11,030,728.12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5,603,969.58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报告期内，财务费用较上年同期增加</w:t>
      </w:r>
      <w:r>
        <w:rPr>
          <w:color w:val="000000"/>
          <w:spacing w:val="0"/>
          <w:w w:val="100"/>
          <w:position w:val="0"/>
        </w:rPr>
        <w:t>96.84%，</w:t>
      </w:r>
      <w:r>
        <w:rPr>
          <w:color w:val="000000"/>
          <w:spacing w:val="0"/>
          <w:w w:val="100"/>
          <w:position w:val="0"/>
        </w:rPr>
        <w:t>主要由于报告期内，公司票据贴现业务量增加，票据贴现费用相应增加。</w:t>
      </w:r>
    </w:p>
    <w:p>
      <w:pPr>
        <w:pStyle w:val="Style30"/>
        <w:keepNext/>
        <w:keepLines/>
        <w:widowControl w:val="0"/>
        <w:shd w:val="clear" w:color="auto" w:fill="auto"/>
        <w:bidi w:val="0"/>
        <w:spacing w:before="0" w:after="400" w:line="240" w:lineRule="auto"/>
        <w:ind w:left="0" w:right="0" w:firstLine="600"/>
        <w:jc w:val="left"/>
      </w:pPr>
      <w:bookmarkStart w:id="1273" w:name="bookmark1273"/>
      <w:bookmarkStart w:id="1274" w:name="bookmark1274"/>
      <w:bookmarkStart w:id="1275" w:name="bookmark1275"/>
      <w:bookmarkStart w:id="1276" w:name="bookmark1276"/>
      <w:r>
        <w:rPr>
          <w:color w:val="000000"/>
          <w:spacing w:val="0"/>
          <w:w w:val="100"/>
          <w:position w:val="0"/>
        </w:rPr>
        <w:t>4</w:t>
      </w:r>
      <w:bookmarkEnd w:id="1275"/>
      <w:r>
        <w:rPr>
          <w:color w:val="000000"/>
          <w:spacing w:val="0"/>
          <w:w w:val="100"/>
          <w:position w:val="0"/>
        </w:rPr>
        <w:t>4</w:t>
      </w:r>
      <w:r>
        <w:rPr>
          <w:color w:val="000000"/>
          <w:spacing w:val="0"/>
          <w:w w:val="100"/>
          <w:position w:val="0"/>
        </w:rPr>
        <w:t>、其他收益</w:t>
      </w:r>
      <w:bookmarkEnd w:id="1273"/>
      <w:bookmarkEnd w:id="1274"/>
      <w:bookmarkEnd w:id="1276"/>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30,452,364.27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45,073,441.21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扣缴税款手续费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209,666.42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31,010,301.43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45,328,400.42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00"/>
        <w:jc w:val="left"/>
      </w:pPr>
      <w:bookmarkStart w:id="1277" w:name="bookmark1277"/>
      <w:bookmarkStart w:id="1278" w:name="bookmark1278"/>
      <w:bookmarkStart w:id="1279" w:name="bookmark1279"/>
      <w:bookmarkStart w:id="1280" w:name="bookmark1280"/>
      <w:r>
        <w:rPr>
          <w:color w:val="000000"/>
          <w:spacing w:val="0"/>
          <w:w w:val="100"/>
          <w:position w:val="0"/>
        </w:rPr>
        <w:t>4</w:t>
      </w:r>
      <w:bookmarkEnd w:id="1279"/>
      <w:r>
        <w:rPr>
          <w:color w:val="000000"/>
          <w:spacing w:val="0"/>
          <w:w w:val="100"/>
          <w:position w:val="0"/>
        </w:rPr>
        <w:t>5</w:t>
      </w:r>
      <w:r>
        <w:rPr>
          <w:color w:val="000000"/>
          <w:spacing w:val="0"/>
          <w:w w:val="100"/>
          <w:position w:val="0"/>
        </w:rPr>
        <w:t>、投资收益</w:t>
      </w:r>
      <w:bookmarkEnd w:id="1277"/>
      <w:bookmarkEnd w:id="1278"/>
      <w:bookmarkEnd w:id="1280"/>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-532,802.71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623,937.60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8,802,570.81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118,980,180.42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指定为以公允价值计量其变动计入其他综 合收益的非交易性权益工具在持有期间的 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3,777,122.79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11,187,601.71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122,848,438.10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200" w:line="240" w:lineRule="auto"/>
        <w:ind w:left="0" w:right="0" w:firstLine="980"/>
        <w:jc w:val="lef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387" w:right="476" w:bottom="1634" w:left="476" w:header="0" w:footer="3" w:gutter="0"/>
          <w:cols w:space="720"/>
          <w:noEndnote/>
          <w:rtlGutter w:val="0"/>
          <w:docGrid w:linePitch="360"/>
        </w:sectPr>
      </w:pPr>
      <w:r>
        <w:rPr>
          <w:color w:val="000000"/>
          <w:spacing w:val="0"/>
          <w:w w:val="100"/>
          <w:position w:val="0"/>
        </w:rPr>
        <w:t>报告期内，投资收益较上年同期减少</w:t>
      </w:r>
      <w:r>
        <w:rPr>
          <w:color w:val="000000"/>
          <w:spacing w:val="0"/>
          <w:w w:val="100"/>
          <w:position w:val="0"/>
        </w:rPr>
        <w:t>90.89%</w:t>
      </w:r>
      <w:r>
        <w:rPr>
          <w:color w:val="000000"/>
          <w:spacing w:val="0"/>
          <w:w w:val="100"/>
          <w:position w:val="0"/>
        </w:rPr>
        <w:t>，主要由于上年同期公司出售持有的其他上市公司股票产生了较大投资收益。</w:t>
      </w:r>
    </w:p>
    <w:p>
      <w:pPr>
        <w:pStyle w:val="Style30"/>
        <w:keepNext/>
        <w:keepLines/>
        <w:widowControl w:val="0"/>
        <w:shd w:val="clear" w:color="auto" w:fill="auto"/>
        <w:bidi w:val="0"/>
        <w:spacing w:before="0" w:after="400" w:line="240" w:lineRule="auto"/>
        <w:ind w:left="0" w:right="0" w:firstLine="600"/>
        <w:jc w:val="left"/>
      </w:pPr>
      <w:bookmarkStart w:id="1281" w:name="bookmark1281"/>
      <w:bookmarkStart w:id="1282" w:name="bookmark1282"/>
      <w:bookmarkStart w:id="1283" w:name="bookmark1283"/>
      <w:bookmarkStart w:id="1284" w:name="bookmark1284"/>
      <w:r>
        <w:rPr>
          <w:color w:val="000000"/>
          <w:spacing w:val="0"/>
          <w:w w:val="100"/>
          <w:position w:val="0"/>
        </w:rPr>
        <w:t>4</w:t>
      </w:r>
      <w:bookmarkEnd w:id="1283"/>
      <w:r>
        <w:rPr>
          <w:color w:val="000000"/>
          <w:spacing w:val="0"/>
          <w:w w:val="100"/>
          <w:position w:val="0"/>
        </w:rPr>
        <w:t>6</w:t>
      </w:r>
      <w:r>
        <w:rPr>
          <w:color w:val="000000"/>
          <w:spacing w:val="0"/>
          <w:w w:val="100"/>
          <w:position w:val="0"/>
        </w:rPr>
        <w:t>、公允价值变动收益</w:t>
      </w:r>
      <w:bookmarkEnd w:id="1281"/>
      <w:bookmarkEnd w:id="1282"/>
      <w:bookmarkEnd w:id="1284"/>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9,846,964.32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89,058,562.56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9,846,964.32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89,058,562.56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22" w:lineRule="exact"/>
        <w:ind w:left="600" w:right="0" w:firstLine="380"/>
        <w:jc w:val="left"/>
      </w:pPr>
      <w:r>
        <w:rPr>
          <w:color w:val="000000"/>
          <w:spacing w:val="0"/>
          <w:w w:val="100"/>
          <w:position w:val="0"/>
        </w:rPr>
        <w:t>报告期内，公允价值变动收益较上年同期减少</w:t>
      </w:r>
      <w:r>
        <w:rPr>
          <w:color w:val="000000"/>
          <w:spacing w:val="0"/>
          <w:w w:val="100"/>
          <w:position w:val="0"/>
        </w:rPr>
        <w:t>88.94%，</w:t>
      </w:r>
      <w:r>
        <w:rPr>
          <w:color w:val="000000"/>
          <w:spacing w:val="0"/>
          <w:w w:val="100"/>
          <w:position w:val="0"/>
        </w:rPr>
        <w:t>主要由于上年同期公司出售了持有的其他上市公司股票，使报告 期内公允价值变动收益减少。</w:t>
      </w:r>
    </w:p>
    <w:p>
      <w:pPr>
        <w:pStyle w:val="Style30"/>
        <w:keepNext/>
        <w:keepLines/>
        <w:widowControl w:val="0"/>
        <w:shd w:val="clear" w:color="auto" w:fill="auto"/>
        <w:bidi w:val="0"/>
        <w:spacing w:before="0" w:after="400" w:line="240" w:lineRule="auto"/>
        <w:ind w:left="0" w:right="0" w:firstLine="600"/>
        <w:jc w:val="left"/>
      </w:pPr>
      <w:bookmarkStart w:id="1285" w:name="bookmark1285"/>
      <w:bookmarkStart w:id="1286" w:name="bookmark1286"/>
      <w:bookmarkStart w:id="1287" w:name="bookmark1287"/>
      <w:bookmarkStart w:id="1288" w:name="bookmark1288"/>
      <w:r>
        <w:rPr>
          <w:color w:val="000000"/>
          <w:spacing w:val="0"/>
          <w:w w:val="100"/>
          <w:position w:val="0"/>
        </w:rPr>
        <w:t>4</w:t>
      </w:r>
      <w:bookmarkEnd w:id="1287"/>
      <w:r>
        <w:rPr>
          <w:color w:val="000000"/>
          <w:spacing w:val="0"/>
          <w:w w:val="100"/>
          <w:position w:val="0"/>
        </w:rPr>
        <w:t>7</w:t>
      </w:r>
      <w:r>
        <w:rPr>
          <w:color w:val="000000"/>
          <w:spacing w:val="0"/>
          <w:w w:val="100"/>
          <w:position w:val="0"/>
        </w:rPr>
        <w:t>、信用减值损失</w:t>
      </w:r>
      <w:bookmarkEnd w:id="1285"/>
      <w:bookmarkEnd w:id="1286"/>
      <w:bookmarkEnd w:id="1288"/>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-1,609,314.70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-1,171,590.53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-4,241,716.35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-2,746,711.33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-11,170,705.07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-8,597,742.38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-12,342,295.60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22" w:lineRule="exact"/>
        <w:ind w:left="600" w:right="0" w:firstLine="380"/>
        <w:jc w:val="left"/>
      </w:pPr>
      <w:r>
        <w:rPr>
          <w:color w:val="000000"/>
          <w:spacing w:val="0"/>
          <w:w w:val="100"/>
          <w:position w:val="0"/>
        </w:rPr>
        <w:t>报告期内，信用减值损失计提金额较上年同期减少</w:t>
      </w:r>
      <w:r>
        <w:rPr>
          <w:color w:val="000000"/>
          <w:spacing w:val="0"/>
          <w:w w:val="100"/>
          <w:position w:val="0"/>
        </w:rPr>
        <w:t>30.34%，</w:t>
      </w:r>
      <w:r>
        <w:rPr>
          <w:color w:val="000000"/>
          <w:spacing w:val="0"/>
          <w:w w:val="100"/>
          <w:position w:val="0"/>
        </w:rPr>
        <w:t>主要由于营业收入减少，应收账款相应减少，根据会计政策 计提的坏账准备同比减少。</w:t>
      </w:r>
    </w:p>
    <w:p>
      <w:pPr>
        <w:pStyle w:val="Style30"/>
        <w:keepNext/>
        <w:keepLines/>
        <w:widowControl w:val="0"/>
        <w:shd w:val="clear" w:color="auto" w:fill="auto"/>
        <w:bidi w:val="0"/>
        <w:spacing w:before="0" w:after="400" w:line="240" w:lineRule="auto"/>
        <w:ind w:left="0" w:right="0" w:firstLine="600"/>
        <w:jc w:val="left"/>
      </w:pPr>
      <w:bookmarkStart w:id="1289" w:name="bookmark1289"/>
      <w:bookmarkStart w:id="1290" w:name="bookmark1290"/>
      <w:bookmarkStart w:id="1291" w:name="bookmark1291"/>
      <w:bookmarkStart w:id="1292" w:name="bookmark1292"/>
      <w:r>
        <w:rPr>
          <w:color w:val="000000"/>
          <w:spacing w:val="0"/>
          <w:w w:val="100"/>
          <w:position w:val="0"/>
        </w:rPr>
        <w:t>4</w:t>
      </w:r>
      <w:bookmarkEnd w:id="1291"/>
      <w:r>
        <w:rPr>
          <w:color w:val="000000"/>
          <w:spacing w:val="0"/>
          <w:w w:val="100"/>
          <w:position w:val="0"/>
        </w:rPr>
        <w:t>8</w:t>
      </w:r>
      <w:r>
        <w:rPr>
          <w:color w:val="000000"/>
          <w:spacing w:val="0"/>
          <w:w w:val="100"/>
          <w:position w:val="0"/>
        </w:rPr>
        <w:t>、资产减值损失</w:t>
      </w:r>
      <w:bookmarkEnd w:id="1289"/>
      <w:bookmarkEnd w:id="1290"/>
      <w:bookmarkEnd w:id="1292"/>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-19,844,486.23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-15,878,714.43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-6,224,135.44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-19,844,486.23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-22,102,849.87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00"/>
        <w:jc w:val="left"/>
      </w:pPr>
      <w:bookmarkStart w:id="1293" w:name="bookmark1293"/>
      <w:bookmarkStart w:id="1294" w:name="bookmark1294"/>
      <w:bookmarkStart w:id="1295" w:name="bookmark1295"/>
      <w:bookmarkStart w:id="1296" w:name="bookmark1296"/>
      <w:r>
        <w:rPr>
          <w:color w:val="000000"/>
          <w:spacing w:val="0"/>
          <w:w w:val="100"/>
          <w:position w:val="0"/>
        </w:rPr>
        <w:t>4</w:t>
      </w:r>
      <w:bookmarkEnd w:id="1295"/>
      <w:r>
        <w:rPr>
          <w:color w:val="000000"/>
          <w:spacing w:val="0"/>
          <w:w w:val="100"/>
          <w:position w:val="0"/>
        </w:rPr>
        <w:t>9</w:t>
      </w:r>
      <w:r>
        <w:rPr>
          <w:color w:val="000000"/>
          <w:spacing w:val="0"/>
          <w:w w:val="100"/>
          <w:position w:val="0"/>
        </w:rPr>
        <w:t>、资产处置收益</w:t>
      </w:r>
      <w:bookmarkEnd w:id="1293"/>
      <w:bookmarkEnd w:id="1294"/>
      <w:bookmarkEnd w:id="1296"/>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处置非流动资产的利得（损失</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-191,645.28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-42,245.99</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600"/>
        <w:jc w:val="left"/>
      </w:pPr>
      <w:bookmarkStart w:id="1297" w:name="bookmark1297"/>
      <w:bookmarkStart w:id="1298" w:name="bookmark1298"/>
      <w:bookmarkStart w:id="1299" w:name="bookmark1299"/>
      <w:bookmarkStart w:id="1300" w:name="bookmark1300"/>
      <w:r>
        <w:rPr>
          <w:color w:val="000000"/>
          <w:spacing w:val="0"/>
          <w:w w:val="100"/>
          <w:position w:val="0"/>
        </w:rPr>
        <w:t>5</w:t>
      </w:r>
      <w:bookmarkEnd w:id="1299"/>
      <w:r>
        <w:rPr>
          <w:color w:val="000000"/>
          <w:spacing w:val="0"/>
          <w:w w:val="100"/>
          <w:position w:val="0"/>
        </w:rPr>
        <w:t>0</w:t>
      </w:r>
      <w:r>
        <w:rPr>
          <w:color w:val="000000"/>
          <w:spacing w:val="0"/>
          <w:w w:val="100"/>
          <w:position w:val="0"/>
        </w:rPr>
        <w:t>、营业外收入</w:t>
      </w:r>
      <w:bookmarkEnd w:id="1297"/>
      <w:bookmarkEnd w:id="1298"/>
      <w:bookmarkEnd w:id="1300"/>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781,191.84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1,190,506.00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781,191.84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784,627.24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1,194,018.36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784,627.24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报告期内，营业外收入较上年同期减少</w:t>
      </w:r>
      <w:r>
        <w:rPr>
          <w:color w:val="000000"/>
          <w:spacing w:val="0"/>
          <w:w w:val="100"/>
          <w:position w:val="0"/>
        </w:rPr>
        <w:t xml:space="preserve">34. </w:t>
      </w:r>
      <w:r>
        <w:rPr>
          <w:color w:val="000000"/>
          <w:spacing w:val="0"/>
          <w:w w:val="100"/>
          <w:position w:val="0"/>
        </w:rPr>
        <w:t>29%</w:t>
      </w:r>
      <w:r>
        <w:rPr>
          <w:color w:val="000000"/>
          <w:spacing w:val="0"/>
          <w:w w:val="100"/>
          <w:position w:val="0"/>
        </w:rPr>
        <w:t>，主要由于上年同期有无法支付的应付款项核销产生的收入。</w:t>
      </w:r>
    </w:p>
    <w:p>
      <w:pPr>
        <w:pStyle w:val="Style30"/>
        <w:keepNext/>
        <w:keepLines/>
        <w:widowControl w:val="0"/>
        <w:shd w:val="clear" w:color="auto" w:fill="auto"/>
        <w:bidi w:val="0"/>
        <w:spacing w:before="0" w:line="240" w:lineRule="auto"/>
        <w:ind w:left="0" w:right="0" w:firstLine="600"/>
        <w:jc w:val="both"/>
      </w:pPr>
      <w:bookmarkStart w:id="1301" w:name="bookmark1301"/>
      <w:bookmarkStart w:id="1302" w:name="bookmark1302"/>
      <w:bookmarkStart w:id="1303" w:name="bookmark1303"/>
      <w:bookmarkStart w:id="1304" w:name="bookmark1304"/>
      <w:r>
        <w:rPr>
          <w:color w:val="000000"/>
          <w:spacing w:val="0"/>
          <w:w w:val="100"/>
          <w:position w:val="0"/>
        </w:rPr>
        <w:t>5</w:t>
      </w:r>
      <w:bookmarkEnd w:id="1303"/>
      <w:r>
        <w:rPr>
          <w:color w:val="000000"/>
          <w:spacing w:val="0"/>
          <w:w w:val="100"/>
          <w:position w:val="0"/>
        </w:rPr>
        <w:t>1</w:t>
      </w:r>
      <w:r>
        <w:rPr>
          <w:color w:val="000000"/>
          <w:spacing w:val="0"/>
          <w:w w:val="100"/>
          <w:position w:val="0"/>
        </w:rPr>
        <w:t>、营业外支出</w:t>
      </w:r>
      <w:bookmarkEnd w:id="1301"/>
      <w:bookmarkEnd w:id="1302"/>
      <w:bookmarkEnd w:id="13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3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436,146.56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1,442,808.11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436,146.56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290,603.77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290,603.77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549,559.08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549,559.08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1,276,309.41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2,452,622.59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1,276,309.41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报告期内，营业外支出较上年同期减少</w:t>
      </w:r>
      <w:r>
        <w:rPr>
          <w:color w:val="000000"/>
          <w:spacing w:val="0"/>
          <w:w w:val="100"/>
          <w:position w:val="0"/>
        </w:rPr>
        <w:t xml:space="preserve">47. </w:t>
      </w:r>
      <w:r>
        <w:rPr>
          <w:color w:val="000000"/>
          <w:spacing w:val="0"/>
          <w:w w:val="100"/>
          <w:position w:val="0"/>
        </w:rPr>
        <w:t>96%</w:t>
      </w:r>
      <w:r>
        <w:rPr>
          <w:color w:val="000000"/>
          <w:spacing w:val="0"/>
          <w:w w:val="100"/>
          <w:position w:val="0"/>
        </w:rPr>
        <w:t>，主要由于上年同期向湖北省春辉助学基金会捐赠助学款</w:t>
      </w:r>
      <w:r>
        <w:rPr>
          <w:color w:val="000000"/>
          <w:spacing w:val="0"/>
          <w:w w:val="100"/>
          <w:position w:val="0"/>
        </w:rPr>
        <w:t>110</w:t>
      </w:r>
      <w:r>
        <w:rPr>
          <w:color w:val="000000"/>
          <w:spacing w:val="0"/>
          <w:w w:val="100"/>
          <w:position w:val="0"/>
        </w:rPr>
        <w:t>万元。</w:t>
      </w:r>
    </w:p>
    <w:p>
      <w:pPr>
        <w:pStyle w:val="Style30"/>
        <w:keepNext/>
        <w:keepLines/>
        <w:widowControl w:val="0"/>
        <w:shd w:val="clear" w:color="auto" w:fill="auto"/>
        <w:bidi w:val="0"/>
        <w:spacing w:before="0" w:line="240" w:lineRule="auto"/>
        <w:ind w:left="0" w:right="0" w:firstLine="600"/>
        <w:jc w:val="both"/>
      </w:pPr>
      <w:bookmarkStart w:id="1305" w:name="bookmark1305"/>
      <w:bookmarkStart w:id="1306" w:name="bookmark1306"/>
      <w:bookmarkStart w:id="1307" w:name="bookmark1307"/>
      <w:bookmarkStart w:id="1308" w:name="bookmark1308"/>
      <w:r>
        <w:rPr>
          <w:color w:val="000000"/>
          <w:spacing w:val="0"/>
          <w:w w:val="100"/>
          <w:position w:val="0"/>
        </w:rPr>
        <w:t>5</w:t>
      </w:r>
      <w:bookmarkEnd w:id="1307"/>
      <w:r>
        <w:rPr>
          <w:color w:val="000000"/>
          <w:spacing w:val="0"/>
          <w:w w:val="100"/>
          <w:position w:val="0"/>
        </w:rPr>
        <w:t>2</w:t>
      </w:r>
      <w:r>
        <w:rPr>
          <w:color w:val="000000"/>
          <w:spacing w:val="0"/>
          <w:w w:val="100"/>
          <w:position w:val="0"/>
        </w:rPr>
        <w:t>、所得税费用</w:t>
      </w:r>
      <w:bookmarkEnd w:id="1305"/>
      <w:bookmarkEnd w:id="1306"/>
      <w:bookmarkEnd w:id="1308"/>
    </w:p>
    <w:p>
      <w:pPr>
        <w:pStyle w:val="Style36"/>
        <w:keepNext/>
        <w:keepLines/>
        <w:widowControl w:val="0"/>
        <w:shd w:val="clear" w:color="auto" w:fill="auto"/>
        <w:bidi w:val="0"/>
        <w:spacing w:before="0" w:after="380" w:line="240" w:lineRule="auto"/>
        <w:ind w:left="0" w:right="0" w:firstLine="600"/>
        <w:jc w:val="both"/>
      </w:pPr>
      <w:bookmarkStart w:id="1309" w:name="bookmark1309"/>
      <w:bookmarkStart w:id="1310" w:name="bookmark1310"/>
      <w:bookmarkStart w:id="1311" w:name="bookmark1311"/>
      <w:r>
        <w:rPr>
          <w:color w:val="000000"/>
          <w:spacing w:val="0"/>
          <w:w w:val="100"/>
          <w:position w:val="0"/>
        </w:rPr>
        <w:t>（1）</w:t>
      </w:r>
      <w:r>
        <w:rPr>
          <w:color w:val="000000"/>
          <w:spacing w:val="0"/>
          <w:w w:val="100"/>
          <w:position w:val="0"/>
        </w:rPr>
        <w:t>所得税费用表</w:t>
      </w:r>
      <w:bookmarkEnd w:id="1309"/>
      <w:bookmarkEnd w:id="1310"/>
      <w:bookmarkEnd w:id="1311"/>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55,911,818.09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3,802,330.03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-31,978,385.57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4,426,765.72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23,933,432.52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740"/>
        <w:jc w:val="left"/>
      </w:pPr>
      <w:bookmarkStart w:id="1312" w:name="bookmark1312"/>
      <w:bookmarkStart w:id="1313" w:name="bookmark1313"/>
      <w:bookmarkStart w:id="1314" w:name="bookmark1314"/>
      <w:r>
        <w:rPr>
          <w:color w:val="000000"/>
          <w:spacing w:val="0"/>
          <w:w w:val="100"/>
          <w:position w:val="0"/>
        </w:rPr>
        <w:t>（2）</w:t>
      </w:r>
      <w:r>
        <w:rPr>
          <w:color w:val="000000"/>
          <w:spacing w:val="0"/>
          <w:w w:val="100"/>
          <w:position w:val="0"/>
        </w:rPr>
        <w:t>会计利润与所得税费用调整过程</w:t>
      </w:r>
      <w:bookmarkEnd w:id="1312"/>
      <w:bookmarkEnd w:id="1313"/>
      <w:bookmarkEnd w:id="1314"/>
    </w:p>
    <w:p>
      <w:pPr>
        <w:pStyle w:val="Style26"/>
        <w:keepNext w:val="0"/>
        <w:keepLines w:val="0"/>
        <w:widowControl w:val="0"/>
        <w:shd w:val="clear" w:color="auto" w:fill="auto"/>
        <w:bidi w:val="0"/>
        <w:spacing w:before="0" w:after="100" w:line="240" w:lineRule="auto"/>
        <w:ind w:left="956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-58,727,414.93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-8,809,112.24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-413,323.69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pPr>
            <w:r>
              <w:rPr>
                <w:color w:val="000000"/>
                <w:spacing w:val="0"/>
                <w:w w:val="100"/>
                <w:position w:val="0"/>
              </w:rPr>
              <w:t>-114,739.00</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-313,101.60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7,738,409.33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-40,150.80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14,425,893.38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-7,671,546.86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-375,562.80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4,426,765.72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报告期内，所得税费用较上年同期减少</w:t>
      </w:r>
      <w:r>
        <w:rPr>
          <w:color w:val="000000"/>
          <w:spacing w:val="0"/>
          <w:w w:val="100"/>
          <w:position w:val="0"/>
        </w:rPr>
        <w:t>81.50%</w:t>
      </w:r>
      <w:r>
        <w:rPr>
          <w:color w:val="000000"/>
          <w:spacing w:val="0"/>
          <w:w w:val="100"/>
          <w:position w:val="0"/>
        </w:rPr>
        <w:t>，主要由于应纳税所得额减少，当期所得税费用相应减少。</w:t>
      </w:r>
    </w:p>
    <w:p>
      <w:pPr>
        <w:pStyle w:val="Style30"/>
        <w:keepNext/>
        <w:keepLines/>
        <w:widowControl w:val="0"/>
        <w:shd w:val="clear" w:color="auto" w:fill="auto"/>
        <w:tabs>
          <w:tab w:pos="1074" w:val="left"/>
        </w:tabs>
        <w:bidi w:val="0"/>
        <w:spacing w:before="0" w:line="240" w:lineRule="auto"/>
        <w:ind w:left="0" w:right="0" w:firstLine="600"/>
        <w:jc w:val="both"/>
      </w:pPr>
      <w:bookmarkStart w:id="1315" w:name="bookmark1315"/>
      <w:bookmarkStart w:id="1316" w:name="bookmark1316"/>
      <w:bookmarkStart w:id="1317" w:name="bookmark1317"/>
      <w:bookmarkStart w:id="1318" w:name="bookmark1318"/>
      <w:r>
        <w:rPr>
          <w:color w:val="000000"/>
          <w:spacing w:val="0"/>
          <w:w w:val="100"/>
          <w:position w:val="0"/>
        </w:rPr>
        <w:t>5</w:t>
      </w:r>
      <w:bookmarkEnd w:id="1317"/>
      <w:r>
        <w:rPr>
          <w:color w:val="000000"/>
          <w:spacing w:val="0"/>
          <w:w w:val="100"/>
          <w:position w:val="0"/>
        </w:rPr>
        <w:t>3</w:t>
      </w:r>
      <w:r>
        <w:rPr>
          <w:color w:val="000000"/>
          <w:spacing w:val="0"/>
          <w:w w:val="100"/>
          <w:position w:val="0"/>
        </w:rPr>
        <w:t>、</w:t>
        <w:tab/>
        <w:t>其他综合收益</w:t>
      </w:r>
      <w:bookmarkEnd w:id="1315"/>
      <w:bookmarkEnd w:id="1316"/>
      <w:bookmarkEnd w:id="1318"/>
    </w:p>
    <w:p>
      <w:pPr>
        <w:pStyle w:val="Style26"/>
        <w:keepNext w:val="0"/>
        <w:keepLines w:val="0"/>
        <w:widowControl w:val="0"/>
        <w:shd w:val="clear" w:color="auto" w:fill="auto"/>
        <w:bidi w:val="0"/>
        <w:spacing w:before="0" w:after="380" w:line="240" w:lineRule="auto"/>
        <w:ind w:left="0" w:right="0" w:firstLine="600"/>
        <w:jc w:val="both"/>
      </w:pPr>
      <w:r>
        <w:rPr>
          <w:color w:val="000000"/>
          <w:spacing w:val="0"/>
          <w:w w:val="100"/>
          <w:position w:val="0"/>
        </w:rPr>
        <w:t>详见附注七、</w:t>
      </w:r>
      <w:r>
        <w:rPr>
          <w:color w:val="000000"/>
          <w:spacing w:val="0"/>
          <w:w w:val="100"/>
          <w:position w:val="0"/>
        </w:rPr>
        <w:t>35</w:t>
      </w:r>
      <w:r>
        <w:rPr>
          <w:color w:val="000000"/>
          <w:spacing w:val="0"/>
          <w:w w:val="100"/>
          <w:position w:val="0"/>
        </w:rPr>
        <w:t>。</w:t>
      </w:r>
    </w:p>
    <w:p>
      <w:pPr>
        <w:pStyle w:val="Style30"/>
        <w:keepNext/>
        <w:keepLines/>
        <w:widowControl w:val="0"/>
        <w:shd w:val="clear" w:color="auto" w:fill="auto"/>
        <w:tabs>
          <w:tab w:pos="1074" w:val="left"/>
        </w:tabs>
        <w:bidi w:val="0"/>
        <w:spacing w:before="0" w:line="240" w:lineRule="auto"/>
        <w:ind w:left="0" w:right="0" w:firstLine="600"/>
        <w:jc w:val="both"/>
      </w:pPr>
      <w:bookmarkStart w:id="1319" w:name="bookmark1319"/>
      <w:bookmarkStart w:id="1320" w:name="bookmark1320"/>
      <w:bookmarkStart w:id="1321" w:name="bookmark1321"/>
      <w:bookmarkStart w:id="1322" w:name="bookmark1322"/>
      <w:r>
        <w:rPr>
          <w:color w:val="000000"/>
          <w:spacing w:val="0"/>
          <w:w w:val="100"/>
          <w:position w:val="0"/>
        </w:rPr>
        <w:t>5</w:t>
      </w:r>
      <w:bookmarkEnd w:id="1321"/>
      <w:r>
        <w:rPr>
          <w:color w:val="000000"/>
          <w:spacing w:val="0"/>
          <w:w w:val="100"/>
          <w:position w:val="0"/>
        </w:rPr>
        <w:t>4</w:t>
      </w:r>
      <w:r>
        <w:rPr>
          <w:color w:val="000000"/>
          <w:spacing w:val="0"/>
          <w:w w:val="100"/>
          <w:position w:val="0"/>
        </w:rPr>
        <w:t>、</w:t>
        <w:tab/>
        <w:t>现金流量表项目</w:t>
      </w:r>
      <w:bookmarkEnd w:id="1319"/>
      <w:bookmarkEnd w:id="1320"/>
      <w:bookmarkEnd w:id="1322"/>
    </w:p>
    <w:p>
      <w:pPr>
        <w:pStyle w:val="Style36"/>
        <w:keepNext/>
        <w:keepLines/>
        <w:widowControl w:val="0"/>
        <w:shd w:val="clear" w:color="auto" w:fill="auto"/>
        <w:bidi w:val="0"/>
        <w:spacing w:before="0" w:after="380" w:line="240" w:lineRule="auto"/>
        <w:ind w:left="0" w:right="0" w:firstLine="600"/>
        <w:jc w:val="both"/>
      </w:pPr>
      <w:bookmarkStart w:id="1323" w:name="bookmark1323"/>
      <w:bookmarkStart w:id="1324" w:name="bookmark1324"/>
      <w:bookmarkStart w:id="1325" w:name="bookmark1325"/>
      <w:r>
        <w:rPr>
          <w:color w:val="000000"/>
          <w:spacing w:val="0"/>
          <w:w w:val="100"/>
          <w:position w:val="0"/>
        </w:rPr>
        <w:t>（1）</w:t>
      </w:r>
      <w:r>
        <w:rPr>
          <w:color w:val="000000"/>
          <w:spacing w:val="0"/>
          <w:w w:val="100"/>
          <w:position w:val="0"/>
        </w:rPr>
        <w:t>收到的其他与经营活动有关的现金</w:t>
      </w:r>
      <w:bookmarkEnd w:id="1323"/>
      <w:bookmarkEnd w:id="1324"/>
      <w:bookmarkEnd w:id="1325"/>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3,950,532.73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2,733,418.13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16,334,397.72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12,489,464.94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收到的质保金、保证金、押金等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7,423,561.55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59,516,575.08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8,580,559.33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7,395,375.56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36,289,051.33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82,134,833.71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pStyle w:val="Style26"/>
        <w:keepNext w:val="0"/>
        <w:keepLines w:val="0"/>
        <w:widowControl w:val="0"/>
        <w:shd w:val="clear" w:color="auto" w:fill="auto"/>
        <w:bidi w:val="0"/>
        <w:spacing w:before="0" w:after="380" w:line="322" w:lineRule="exact"/>
        <w:ind w:left="600" w:right="0" w:firstLine="380"/>
        <w:jc w:val="left"/>
      </w:pPr>
      <w:r>
        <w:rPr>
          <w:color w:val="000000"/>
          <w:spacing w:val="0"/>
          <w:w w:val="100"/>
          <w:position w:val="0"/>
        </w:rPr>
        <w:t>报告期末，收到的其他与经营活动有关的现金较上年同期减少</w:t>
      </w:r>
      <w:r>
        <w:rPr>
          <w:color w:val="000000"/>
          <w:spacing w:val="0"/>
          <w:w w:val="100"/>
          <w:position w:val="0"/>
        </w:rPr>
        <w:t>55.82%，</w:t>
      </w:r>
      <w:r>
        <w:rPr>
          <w:color w:val="000000"/>
          <w:spacing w:val="0"/>
          <w:w w:val="100"/>
          <w:position w:val="0"/>
        </w:rPr>
        <w:t>主要由于收回的银行承兑汇票保证金、投标保证 金等减少。</w:t>
      </w:r>
    </w:p>
    <w:p>
      <w:pPr>
        <w:pStyle w:val="Style36"/>
        <w:keepNext/>
        <w:keepLines/>
        <w:widowControl w:val="0"/>
        <w:shd w:val="clear" w:color="auto" w:fill="auto"/>
        <w:bidi w:val="0"/>
        <w:spacing w:before="0" w:after="380" w:line="240" w:lineRule="auto"/>
        <w:ind w:left="0" w:right="0" w:firstLine="600"/>
        <w:jc w:val="left"/>
      </w:pPr>
      <w:bookmarkStart w:id="1326" w:name="bookmark1326"/>
      <w:bookmarkStart w:id="1327" w:name="bookmark1327"/>
      <w:bookmarkStart w:id="1328" w:name="bookmark1328"/>
      <w:r>
        <w:rPr>
          <w:color w:val="000000"/>
          <w:spacing w:val="0"/>
          <w:w w:val="100"/>
          <w:position w:val="0"/>
        </w:rPr>
        <w:t>（2）</w:t>
      </w:r>
      <w:r>
        <w:rPr>
          <w:color w:val="000000"/>
          <w:spacing w:val="0"/>
          <w:w w:val="100"/>
          <w:position w:val="0"/>
        </w:rPr>
        <w:t>支付的其他与经营活动有关的现金</w:t>
      </w:r>
      <w:bookmarkEnd w:id="1326"/>
      <w:bookmarkEnd w:id="1327"/>
      <w:bookmarkEnd w:id="1328"/>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190,026,267.49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214,934,243.69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9,751,901.45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33,315,715.83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6,160,887.17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1,576,470.02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205,939,056.11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249,826,429.54</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74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color w:val="000000"/>
          <w:spacing w:val="0"/>
          <w:w w:val="100"/>
          <w:position w:val="0"/>
        </w:rPr>
        <w:t>3）</w:t>
      </w:r>
      <w:r>
        <w:rPr>
          <w:color w:val="000000"/>
          <w:spacing w:val="0"/>
          <w:w w:val="100"/>
          <w:position w:val="0"/>
        </w:rPr>
        <w:t>收到的其他与筹资活动有关的现金</w:t>
      </w:r>
      <w:bookmarkEnd w:id="1329"/>
      <w:bookmarkEnd w:id="1330"/>
      <w:bookmarkEnd w:id="1332"/>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50,000,000.00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50,000,000.00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20"/>
        <w:jc w:val="left"/>
      </w:pPr>
      <w:bookmarkStart w:id="1333" w:name="bookmark1333"/>
      <w:bookmarkStart w:id="1334" w:name="bookmark1334"/>
      <w:bookmarkStart w:id="1335" w:name="bookmark1335"/>
      <w:bookmarkStart w:id="1336" w:name="bookmark1336"/>
      <w:r>
        <w:rPr>
          <w:color w:val="000000"/>
          <w:spacing w:val="0"/>
          <w:w w:val="100"/>
          <w:position w:val="0"/>
        </w:rPr>
        <w:t>5</w:t>
      </w:r>
      <w:bookmarkEnd w:id="1335"/>
      <w:r>
        <w:rPr>
          <w:color w:val="000000"/>
          <w:spacing w:val="0"/>
          <w:w w:val="100"/>
          <w:position w:val="0"/>
        </w:rPr>
        <w:t>5</w:t>
      </w:r>
      <w:r>
        <w:rPr>
          <w:color w:val="000000"/>
          <w:spacing w:val="0"/>
          <w:w w:val="100"/>
          <w:position w:val="0"/>
        </w:rPr>
        <w:t>、现金流量表补充资料</w:t>
      </w:r>
      <w:bookmarkEnd w:id="1333"/>
      <w:bookmarkEnd w:id="1334"/>
      <w:bookmarkEnd w:id="1336"/>
    </w:p>
    <w:p>
      <w:pPr>
        <w:pStyle w:val="Style36"/>
        <w:keepNext/>
        <w:keepLines/>
        <w:widowControl w:val="0"/>
        <w:shd w:val="clear" w:color="auto" w:fill="auto"/>
        <w:bidi w:val="0"/>
        <w:spacing w:before="0" w:after="400" w:line="240" w:lineRule="auto"/>
        <w:ind w:left="0" w:right="0" w:firstLine="620"/>
        <w:jc w:val="left"/>
      </w:pPr>
      <w:bookmarkStart w:id="1337" w:name="bookmark1337"/>
      <w:bookmarkStart w:id="1338" w:name="bookmark1338"/>
      <w:bookmarkStart w:id="1339" w:name="bookmark1339"/>
      <w:r>
        <w:rPr>
          <w:color w:val="000000"/>
          <w:spacing w:val="0"/>
          <w:w w:val="100"/>
          <w:position w:val="0"/>
        </w:rPr>
        <w:t>（1）</w:t>
      </w:r>
      <w:r>
        <w:rPr>
          <w:color w:val="000000"/>
          <w:spacing w:val="0"/>
          <w:w w:val="100"/>
          <w:position w:val="0"/>
        </w:rPr>
        <w:t>现金流量表补充资料</w:t>
      </w:r>
      <w:bookmarkEnd w:id="1337"/>
      <w:bookmarkEnd w:id="1338"/>
      <w:bookmarkEnd w:id="1339"/>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658"/>
        <w:gridCol w:w="3058"/>
        <w:gridCol w:w="276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-63,154,180.65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178,304,816.88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28,442,228.61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34,445,145.47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20,716,277.91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21,830,129.82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8,578,094.99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6,161,348.58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4,201,208.02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11,146,823.18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42,245.99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640,979.01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-9,846,964.32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-89,058,562.56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15,347,599.07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8,408,839.01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-11,187,601.71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-122,848,438. </w:t>
            </w:r>
            <w:r>
              <w:rPr>
                <w:color w:val="000000"/>
                <w:spacing w:val="0"/>
                <w:w w:val="100"/>
                <w:position w:val="0"/>
              </w:rPr>
              <w:t>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1,610,453.08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-17,969,370.87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2,191,876.95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-14,009,014.70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63,041,126.26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-103,948, 807.72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81,092,005.36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-124,735,587.75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104,928,555.01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493,315,192.16</w:t>
            </w:r>
          </w:p>
        </w:tc>
      </w:tr>
    </w:tbl>
    <w:p>
      <w:pPr>
        <w:spacing w:lineRule="exact" w:line="1"/>
        <w:rPr>
          <w:sz w:val="2"/>
          <w:szCs w:val="2"/>
        </w:rPr>
      </w:pPr>
      <w:r>
        <w:br w:type="page"/>
      </w:r>
    </w:p>
    <w:tbl>
      <w:tblPr>
        <w:tblOverlap w:val="never"/>
        <w:jc w:val="center"/>
        <w:tblLayout w:type="fixed"/>
      </w:tblPr>
      <w:tblGrid>
        <w:gridCol w:w="3658"/>
        <w:gridCol w:w="3058"/>
        <w:gridCol w:w="276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248,252,927.63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281,725,738.40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584,761,853.83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686,354,244.32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686,354,244.32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377,293,615.81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-101,592,390.49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309,060,628.51</w:t>
            </w:r>
          </w:p>
        </w:tc>
      </w:tr>
    </w:tbl>
    <w:p>
      <w:pPr>
        <w:widowControl w:val="0"/>
        <w:spacing w:after="319" w:line="1" w:lineRule="exact"/>
      </w:pPr>
    </w:p>
    <w:p>
      <w:pPr>
        <w:pStyle w:val="Style36"/>
        <w:keepNext/>
        <w:keepLines/>
        <w:widowControl w:val="0"/>
        <w:shd w:val="clear" w:color="auto" w:fill="auto"/>
        <w:bidi w:val="0"/>
        <w:spacing w:before="0" w:after="420" w:line="240" w:lineRule="auto"/>
        <w:ind w:left="0" w:right="0" w:firstLine="740"/>
        <w:jc w:val="left"/>
      </w:pPr>
      <w:bookmarkStart w:id="1340" w:name="bookmark1340"/>
      <w:bookmarkStart w:id="1341" w:name="bookmark1341"/>
      <w:bookmarkStart w:id="1342" w:name="bookmark1342"/>
      <w:r>
        <w:rPr>
          <w:color w:val="000000"/>
          <w:spacing w:val="0"/>
          <w:w w:val="100"/>
          <w:position w:val="0"/>
        </w:rPr>
        <w:t>(2)</w:t>
      </w:r>
      <w:r>
        <w:rPr>
          <w:color w:val="000000"/>
          <w:spacing w:val="0"/>
          <w:w w:val="100"/>
          <w:position w:val="0"/>
        </w:rPr>
        <w:t>现金和现金等价物的构成</w:t>
      </w:r>
      <w:bookmarkEnd w:id="1340"/>
      <w:bookmarkEnd w:id="1341"/>
      <w:bookmarkEnd w:id="1342"/>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584,761,853.83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686,354,244.32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584,745,894.08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686,348,103.68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584,761,853.83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686,354,244.32</w:t>
            </w:r>
          </w:p>
        </w:tc>
      </w:tr>
    </w:tbl>
    <w:p>
      <w:pPr>
        <w:widowControl w:val="0"/>
        <w:spacing w:after="319" w:line="1" w:lineRule="exact"/>
      </w:pPr>
    </w:p>
    <w:p>
      <w:pPr>
        <w:pStyle w:val="Style30"/>
        <w:keepNext/>
        <w:keepLines/>
        <w:widowControl w:val="0"/>
        <w:shd w:val="clear" w:color="auto" w:fill="auto"/>
        <w:tabs>
          <w:tab w:pos="1094" w:val="left"/>
        </w:tabs>
        <w:bidi w:val="0"/>
        <w:spacing w:before="0" w:after="260" w:line="240" w:lineRule="auto"/>
        <w:ind w:left="0" w:right="0" w:firstLine="620"/>
        <w:jc w:val="left"/>
      </w:pPr>
      <w:bookmarkStart w:id="1343" w:name="bookmark1343"/>
      <w:bookmarkStart w:id="1344" w:name="bookmark1344"/>
      <w:bookmarkStart w:id="1345" w:name="bookmark1345"/>
      <w:bookmarkStart w:id="1346" w:name="bookmark1346"/>
      <w:r>
        <w:rPr>
          <w:color w:val="000000"/>
          <w:spacing w:val="0"/>
          <w:w w:val="100"/>
          <w:position w:val="0"/>
        </w:rPr>
        <w:t>5</w:t>
      </w:r>
      <w:bookmarkEnd w:id="1345"/>
      <w:r>
        <w:rPr>
          <w:color w:val="000000"/>
          <w:spacing w:val="0"/>
          <w:w w:val="100"/>
          <w:position w:val="0"/>
        </w:rPr>
        <w:t>6</w:t>
      </w:r>
      <w:r>
        <w:rPr>
          <w:color w:val="000000"/>
          <w:spacing w:val="0"/>
          <w:w w:val="100"/>
          <w:position w:val="0"/>
        </w:rPr>
        <w:t>、</w:t>
        <w:tab/>
        <w:t>所有者权益变动表项目注释</w:t>
      </w:r>
      <w:bookmarkEnd w:id="1343"/>
      <w:bookmarkEnd w:id="1344"/>
      <w:bookmarkEnd w:id="1346"/>
    </w:p>
    <w:p>
      <w:pPr>
        <w:pStyle w:val="Style26"/>
        <w:keepNext w:val="0"/>
        <w:keepLines w:val="0"/>
        <w:widowControl w:val="0"/>
        <w:shd w:val="clear" w:color="auto" w:fill="auto"/>
        <w:bidi w:val="0"/>
        <w:spacing w:before="0" w:after="360" w:line="346" w:lineRule="exact"/>
        <w:ind w:left="980" w:right="0" w:hanging="360"/>
        <w:jc w:val="left"/>
      </w:pPr>
      <w:r>
        <w:rPr>
          <w:color w:val="000000"/>
          <w:spacing w:val="0"/>
          <w:w w:val="100"/>
          <w:position w:val="0"/>
        </w:rPr>
        <w:t>说明对上年期末余额进行调整的“其他”项目名称及调整金额等事项: 不适用。</w:t>
      </w:r>
    </w:p>
    <w:p>
      <w:pPr>
        <w:pStyle w:val="Style30"/>
        <w:keepNext/>
        <w:keepLines/>
        <w:widowControl w:val="0"/>
        <w:shd w:val="clear" w:color="auto" w:fill="auto"/>
        <w:tabs>
          <w:tab w:pos="1094" w:val="left"/>
        </w:tabs>
        <w:bidi w:val="0"/>
        <w:spacing w:before="0" w:after="420" w:line="240" w:lineRule="auto"/>
        <w:ind w:left="0" w:right="0" w:firstLine="620"/>
        <w:jc w:val="left"/>
      </w:pPr>
      <w:bookmarkStart w:id="1347" w:name="bookmark1347"/>
      <w:bookmarkStart w:id="1348" w:name="bookmark1348"/>
      <w:bookmarkStart w:id="1349" w:name="bookmark1349"/>
      <w:bookmarkStart w:id="1350" w:name="bookmark1350"/>
      <w:r>
        <w:rPr>
          <w:color w:val="000000"/>
          <w:spacing w:val="0"/>
          <w:w w:val="100"/>
          <w:position w:val="0"/>
        </w:rPr>
        <w:t>5</w:t>
      </w:r>
      <w:bookmarkEnd w:id="1349"/>
      <w:r>
        <w:rPr>
          <w:color w:val="000000"/>
          <w:spacing w:val="0"/>
          <w:w w:val="100"/>
          <w:position w:val="0"/>
        </w:rPr>
        <w:t>7</w:t>
      </w:r>
      <w:r>
        <w:rPr>
          <w:color w:val="000000"/>
          <w:spacing w:val="0"/>
          <w:w w:val="100"/>
          <w:position w:val="0"/>
        </w:rPr>
        <w:t>、</w:t>
        <w:tab/>
        <w:t>所有权或使用权受到限制的资产</w:t>
      </w:r>
      <w:bookmarkEnd w:id="1347"/>
      <w:bookmarkEnd w:id="1348"/>
      <w:bookmarkEnd w:id="1350"/>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14,534,997.29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保函保证金及银行承兑汇票保证金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2,013,895.12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诉讼案件导致的冻结</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结构性存款用于借款质押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28,548,892.41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620"/>
        <w:jc w:val="both"/>
      </w:pPr>
      <w:bookmarkStart w:id="1351" w:name="bookmark1351"/>
      <w:bookmarkStart w:id="1352" w:name="bookmark1352"/>
      <w:bookmarkStart w:id="1353" w:name="bookmark1353"/>
      <w:bookmarkStart w:id="1354" w:name="bookmark1354"/>
      <w:r>
        <w:rPr>
          <w:color w:val="000000"/>
          <w:spacing w:val="0"/>
          <w:w w:val="100"/>
          <w:position w:val="0"/>
        </w:rPr>
        <w:t>5</w:t>
      </w:r>
      <w:bookmarkEnd w:id="1353"/>
      <w:r>
        <w:rPr>
          <w:color w:val="000000"/>
          <w:spacing w:val="0"/>
          <w:w w:val="100"/>
          <w:position w:val="0"/>
        </w:rPr>
        <w:t>8</w:t>
      </w:r>
      <w:r>
        <w:rPr>
          <w:color w:val="000000"/>
          <w:spacing w:val="0"/>
          <w:w w:val="100"/>
          <w:position w:val="0"/>
        </w:rPr>
        <w:t>、外币货币性项目</w:t>
      </w:r>
      <w:bookmarkEnd w:id="1351"/>
      <w:bookmarkEnd w:id="1352"/>
      <w:bookmarkEnd w:id="1354"/>
    </w:p>
    <w:p>
      <w:pPr>
        <w:pStyle w:val="Style36"/>
        <w:keepNext/>
        <w:keepLines/>
        <w:widowControl w:val="0"/>
        <w:shd w:val="clear" w:color="auto" w:fill="auto"/>
        <w:bidi w:val="0"/>
        <w:spacing w:before="0" w:after="400" w:line="240" w:lineRule="auto"/>
        <w:ind w:left="0" w:right="0" w:firstLine="620"/>
        <w:jc w:val="both"/>
      </w:pPr>
      <w:bookmarkStart w:id="1355" w:name="bookmark1355"/>
      <w:bookmarkStart w:id="1356" w:name="bookmark1356"/>
      <w:bookmarkStart w:id="1357" w:name="bookmark1357"/>
      <w:r>
        <w:rPr>
          <w:color w:val="000000"/>
          <w:spacing w:val="0"/>
          <w:w w:val="100"/>
          <w:position w:val="0"/>
        </w:rPr>
        <w:t>(1)</w:t>
      </w:r>
      <w:r>
        <w:rPr>
          <w:color w:val="000000"/>
          <w:spacing w:val="0"/>
          <w:w w:val="100"/>
          <w:position w:val="0"/>
        </w:rPr>
        <w:t>外币货币性项目</w:t>
      </w:r>
      <w:bookmarkEnd w:id="1355"/>
      <w:bookmarkEnd w:id="1356"/>
      <w:bookmarkEnd w:id="1357"/>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29,831,791.75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4,515,384.74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29,462,433.90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46,025.90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369,357.85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20,950,419.02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1,789,913.61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11,679,007.32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1,155,316.10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9,271,411.70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2,014,549.98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1,822,504.07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74,151.00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95,669.16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661,796.45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99,488.00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649,149.25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12,647.20</w:t>
            </w:r>
          </w:p>
        </w:tc>
      </w:tr>
    </w:tbl>
    <w:p>
      <w:pPr>
        <w:widowControl w:val="0"/>
        <w:spacing w:after="239" w:line="1" w:lineRule="exact"/>
      </w:pPr>
    </w:p>
    <w:p>
      <w:pPr>
        <w:pStyle w:val="Style36"/>
        <w:keepNext/>
        <w:keepLines/>
        <w:widowControl w:val="0"/>
        <w:shd w:val="clear" w:color="auto" w:fill="auto"/>
        <w:bidi w:val="0"/>
        <w:spacing w:before="0" w:after="400" w:line="322" w:lineRule="exact"/>
        <w:ind w:left="620" w:right="0" w:firstLine="0"/>
        <w:jc w:val="left"/>
      </w:pPr>
      <w:bookmarkStart w:id="1358" w:name="bookmark1358"/>
      <w:bookmarkStart w:id="1359" w:name="bookmark1359"/>
      <w:bookmarkStart w:id="1360" w:name="bookmark1360"/>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58"/>
      <w:bookmarkEnd w:id="1359"/>
      <w:bookmarkEnd w:id="1360"/>
    </w:p>
    <w:p>
      <w:pPr>
        <w:pStyle w:val="Style26"/>
        <w:keepNext w:val="0"/>
        <w:keepLines w:val="0"/>
        <w:widowControl w:val="0"/>
        <w:shd w:val="clear" w:color="auto" w:fill="auto"/>
        <w:bidi w:val="0"/>
        <w:spacing w:before="0" w:after="400" w:line="240" w:lineRule="auto"/>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620"/>
        <w:jc w:val="both"/>
      </w:pPr>
      <w:bookmarkStart w:id="1361" w:name="bookmark1361"/>
      <w:bookmarkStart w:id="1362" w:name="bookmark1362"/>
      <w:bookmarkStart w:id="1363" w:name="bookmark1363"/>
      <w:bookmarkStart w:id="1364" w:name="bookmark1364"/>
      <w:r>
        <w:rPr>
          <w:color w:val="000000"/>
          <w:spacing w:val="0"/>
          <w:w w:val="100"/>
          <w:position w:val="0"/>
        </w:rPr>
        <w:t>5</w:t>
      </w:r>
      <w:bookmarkEnd w:id="1363"/>
      <w:r>
        <w:rPr>
          <w:color w:val="000000"/>
          <w:spacing w:val="0"/>
          <w:w w:val="100"/>
          <w:position w:val="0"/>
        </w:rPr>
        <w:t>9</w:t>
      </w:r>
      <w:r>
        <w:rPr>
          <w:color w:val="000000"/>
          <w:spacing w:val="0"/>
          <w:w w:val="100"/>
          <w:position w:val="0"/>
        </w:rPr>
        <w:t>、政府补助</w:t>
      </w:r>
      <w:bookmarkEnd w:id="1361"/>
      <w:bookmarkEnd w:id="1362"/>
      <w:bookmarkEnd w:id="1364"/>
    </w:p>
    <w:p>
      <w:pPr>
        <w:pStyle w:val="Style36"/>
        <w:keepNext/>
        <w:keepLines/>
        <w:widowControl w:val="0"/>
        <w:shd w:val="clear" w:color="auto" w:fill="auto"/>
        <w:bidi w:val="0"/>
        <w:spacing w:before="0" w:after="360" w:line="240" w:lineRule="auto"/>
        <w:ind w:left="0" w:right="0" w:firstLine="620"/>
        <w:jc w:val="both"/>
      </w:pPr>
      <w:bookmarkStart w:id="1365" w:name="bookmark1365"/>
      <w:bookmarkStart w:id="1366" w:name="bookmark1366"/>
      <w:bookmarkStart w:id="1367" w:name="bookmark1367"/>
      <w:r>
        <w:rPr>
          <w:color w:val="000000"/>
          <w:spacing w:val="0"/>
          <w:w w:val="100"/>
          <w:position w:val="0"/>
        </w:rPr>
        <w:t>（1）</w:t>
      </w:r>
      <w:r>
        <w:rPr>
          <w:color w:val="000000"/>
          <w:spacing w:val="0"/>
          <w:w w:val="100"/>
          <w:position w:val="0"/>
        </w:rPr>
        <w:t>政府补助基本情况</w:t>
      </w:r>
      <w:bookmarkEnd w:id="1365"/>
      <w:bookmarkEnd w:id="1366"/>
      <w:bookmarkEnd w:id="1367"/>
    </w:p>
    <w:p>
      <w:pPr>
        <w:pStyle w:val="Style26"/>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16,295,994.49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16,295,994.49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368,027.94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14,156,369.78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14,156,369.78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32,630,392.21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30,820,392.21</w:t>
            </w:r>
          </w:p>
        </w:tc>
      </w:tr>
    </w:tbl>
    <w:p>
      <w:pPr>
        <w:widowControl w:val="0"/>
        <w:spacing w:after="359" w:line="1" w:lineRule="exact"/>
      </w:pPr>
    </w:p>
    <w:p>
      <w:pPr>
        <w:pStyle w:val="Style36"/>
        <w:keepNext/>
        <w:keepLines/>
        <w:widowControl w:val="0"/>
        <w:shd w:val="clear" w:color="auto" w:fill="auto"/>
        <w:bidi w:val="0"/>
        <w:spacing w:before="0" w:after="260" w:line="240" w:lineRule="auto"/>
        <w:ind w:left="0" w:right="0" w:firstLine="620"/>
        <w:jc w:val="left"/>
      </w:pPr>
      <w:bookmarkStart w:id="1368" w:name="bookmark1368"/>
      <w:bookmarkStart w:id="1369" w:name="bookmark1369"/>
      <w:bookmarkStart w:id="1370" w:name="bookmark1370"/>
      <w:r>
        <w:rPr>
          <w:color w:val="000000"/>
          <w:spacing w:val="0"/>
          <w:w w:val="100"/>
          <w:position w:val="0"/>
        </w:rPr>
        <w:t>（2）</w:t>
      </w:r>
      <w:r>
        <w:rPr>
          <w:color w:val="000000"/>
          <w:spacing w:val="0"/>
          <w:w w:val="100"/>
          <w:position w:val="0"/>
        </w:rPr>
        <w:t>政府补助退回情况</w:t>
      </w:r>
      <w:bookmarkEnd w:id="1368"/>
      <w:bookmarkEnd w:id="1369"/>
      <w:bookmarkEnd w:id="1370"/>
    </w:p>
    <w:p>
      <w:pPr>
        <w:pStyle w:val="Style26"/>
        <w:keepNext w:val="0"/>
        <w:keepLines w:val="0"/>
        <w:widowControl w:val="0"/>
        <w:shd w:val="clear" w:color="auto" w:fill="auto"/>
        <w:bidi w:val="0"/>
        <w:spacing w:before="0" w:after="360" w:line="320" w:lineRule="exact"/>
        <w:ind w:left="0" w:right="0" w:firstLine="6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1137" w:val="left"/>
        </w:tabs>
        <w:bidi w:val="0"/>
        <w:spacing w:before="0" w:line="240" w:lineRule="auto"/>
        <w:ind w:left="0" w:right="0" w:firstLine="620"/>
        <w:jc w:val="left"/>
      </w:pPr>
      <w:bookmarkStart w:id="1371" w:name="bookmark1371"/>
      <w:bookmarkStart w:id="1372" w:name="bookmark1372"/>
      <w:bookmarkStart w:id="1373" w:name="bookmark1373"/>
      <w:bookmarkStart w:id="1374" w:name="bookmark1374"/>
      <w:r>
        <w:rPr>
          <w:color w:val="000000"/>
          <w:spacing w:val="0"/>
          <w:w w:val="100"/>
          <w:position w:val="0"/>
        </w:rPr>
        <w:t>八</w:t>
      </w:r>
      <w:bookmarkEnd w:id="1373"/>
      <w:r>
        <w:rPr>
          <w:color w:val="000000"/>
          <w:spacing w:val="0"/>
          <w:w w:val="100"/>
          <w:position w:val="0"/>
        </w:rPr>
        <w:t>、</w:t>
        <w:tab/>
        <w:t>合并范围的变更</w:t>
      </w:r>
      <w:bookmarkEnd w:id="1371"/>
      <w:bookmarkEnd w:id="1372"/>
      <w:bookmarkEnd w:id="1374"/>
    </w:p>
    <w:p>
      <w:pPr>
        <w:pStyle w:val="Style30"/>
        <w:keepNext/>
        <w:keepLines/>
        <w:widowControl w:val="0"/>
        <w:shd w:val="clear" w:color="auto" w:fill="auto"/>
        <w:bidi w:val="0"/>
        <w:spacing w:before="0" w:after="260" w:line="240" w:lineRule="auto"/>
        <w:ind w:left="0" w:right="0" w:firstLine="620"/>
        <w:jc w:val="left"/>
      </w:pPr>
      <w:bookmarkStart w:id="1375" w:name="bookmark1375"/>
      <w:bookmarkStart w:id="1376" w:name="bookmark1376"/>
      <w:bookmarkStart w:id="1377" w:name="bookmark1377"/>
      <w:r>
        <w:rPr>
          <w:color w:val="000000"/>
          <w:spacing w:val="0"/>
          <w:w w:val="100"/>
          <w:position w:val="0"/>
        </w:rPr>
        <w:t>1</w:t>
      </w:r>
      <w:r>
        <w:rPr>
          <w:color w:val="000000"/>
          <w:spacing w:val="0"/>
          <w:w w:val="100"/>
          <w:position w:val="0"/>
        </w:rPr>
        <w:t>、其他原因的合并范围变动</w:t>
      </w:r>
      <w:bookmarkEnd w:id="1375"/>
      <w:bookmarkEnd w:id="1376"/>
      <w:bookmarkEnd w:id="1377"/>
    </w:p>
    <w:p>
      <w:pPr>
        <w:pStyle w:val="Style26"/>
        <w:keepNext w:val="0"/>
        <w:keepLines w:val="0"/>
        <w:widowControl w:val="0"/>
        <w:shd w:val="clear" w:color="auto" w:fill="auto"/>
        <w:bidi w:val="0"/>
        <w:spacing w:before="0" w:after="0" w:line="320" w:lineRule="exact"/>
        <w:ind w:left="0" w:right="0" w:firstLine="62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0" w:line="320" w:lineRule="exact"/>
        <w:ind w:left="620" w:right="0" w:firstLine="360"/>
        <w:jc w:val="both"/>
      </w:pPr>
      <w:r>
        <w:rPr>
          <w:color w:val="000000"/>
          <w:spacing w:val="0"/>
          <w:w w:val="100"/>
          <w:position w:val="0"/>
        </w:rPr>
        <w:t>报告期内，公司新设全资子公司四川天喻云科技有限公司，注册资本</w:t>
      </w:r>
      <w:r>
        <w:rPr>
          <w:color w:val="000000"/>
          <w:spacing w:val="0"/>
          <w:w w:val="100"/>
          <w:position w:val="0"/>
        </w:rPr>
        <w:t>1</w:t>
      </w:r>
      <w:r>
        <w:rPr>
          <w:color w:val="000000"/>
          <w:spacing w:val="0"/>
          <w:w w:val="100"/>
          <w:position w:val="0"/>
        </w:rPr>
        <w:t>亿元，</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w:t>
      </w:r>
      <w:r>
        <w:rPr>
          <w:color w:val="000000"/>
          <w:spacing w:val="0"/>
          <w:w w:val="100"/>
          <w:position w:val="0"/>
        </w:rPr>
        <w:t>日完成工商注册登记，截至报 告期末，公司尚未实缴出资。</w:t>
      </w:r>
    </w:p>
    <w:p>
      <w:pPr>
        <w:pStyle w:val="Style26"/>
        <w:keepNext w:val="0"/>
        <w:keepLines w:val="0"/>
        <w:widowControl w:val="0"/>
        <w:shd w:val="clear" w:color="auto" w:fill="auto"/>
        <w:bidi w:val="0"/>
        <w:spacing w:before="0" w:after="0" w:line="320" w:lineRule="exact"/>
        <w:ind w:left="620" w:right="0" w:firstLine="360"/>
        <w:jc w:val="both"/>
      </w:pPr>
      <w:r>
        <w:rPr>
          <w:color w:val="000000"/>
          <w:spacing w:val="0"/>
          <w:w w:val="100"/>
          <w:position w:val="0"/>
        </w:rPr>
        <w:t>报告期内，天喻教育新设全资子公司焦作天喻云教育科技有限公司，注册资本</w:t>
      </w:r>
      <w:r>
        <w:rPr>
          <w:color w:val="000000"/>
          <w:spacing w:val="0"/>
          <w:w w:val="100"/>
          <w:position w:val="0"/>
        </w:rPr>
        <w:t>500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日完成工商注册登 记，截至报告期末，天喻教育尚未实缴出资。</w:t>
      </w:r>
    </w:p>
    <w:p>
      <w:pPr>
        <w:pStyle w:val="Style26"/>
        <w:keepNext w:val="0"/>
        <w:keepLines w:val="0"/>
        <w:widowControl w:val="0"/>
        <w:shd w:val="clear" w:color="auto" w:fill="auto"/>
        <w:bidi w:val="0"/>
        <w:spacing w:before="0" w:after="0" w:line="320" w:lineRule="exact"/>
        <w:ind w:left="620" w:right="0" w:firstLine="360"/>
        <w:jc w:val="both"/>
      </w:pPr>
      <w:r>
        <w:rPr>
          <w:color w:val="000000"/>
          <w:spacing w:val="0"/>
          <w:w w:val="100"/>
          <w:position w:val="0"/>
        </w:rPr>
        <w:t>报告期内，天喻教育新设全资子公司喻教（武汉汉阳）科技有限公司，注册资本</w:t>
      </w:r>
      <w:r>
        <w:rPr>
          <w:color w:val="000000"/>
          <w:spacing w:val="0"/>
          <w:w w:val="100"/>
          <w:position w:val="0"/>
        </w:rPr>
        <w:t>1,000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日完成工商 注册登记，截至报告期末，天喻教育尚未实缴出资。</w:t>
      </w:r>
    </w:p>
    <w:p>
      <w:pPr>
        <w:pStyle w:val="Style26"/>
        <w:keepNext w:val="0"/>
        <w:keepLines w:val="0"/>
        <w:widowControl w:val="0"/>
        <w:shd w:val="clear" w:color="auto" w:fill="auto"/>
        <w:bidi w:val="0"/>
        <w:spacing w:before="0" w:after="0" w:line="320" w:lineRule="exact"/>
        <w:ind w:left="620" w:right="0" w:firstLine="360"/>
        <w:jc w:val="both"/>
      </w:pPr>
      <w:r>
        <w:rPr>
          <w:color w:val="000000"/>
          <w:spacing w:val="0"/>
          <w:w w:val="100"/>
          <w:position w:val="0"/>
        </w:rPr>
        <w:t>报告期内，天喻教育新设全资子公司喻优教（武汉青山）科技有限公司，注册资本</w:t>
      </w:r>
      <w:r>
        <w:rPr>
          <w:color w:val="000000"/>
          <w:spacing w:val="0"/>
          <w:w w:val="100"/>
          <w:position w:val="0"/>
        </w:rPr>
        <w:t>1,000</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日完成工商 注册登记，截至报告期末，天喻教育尚未实缴出资。</w:t>
      </w:r>
    </w:p>
    <w:p>
      <w:pPr>
        <w:pStyle w:val="Style26"/>
        <w:keepNext w:val="0"/>
        <w:keepLines w:val="0"/>
        <w:widowControl w:val="0"/>
        <w:shd w:val="clear" w:color="auto" w:fill="auto"/>
        <w:bidi w:val="0"/>
        <w:spacing w:before="0" w:after="0" w:line="320" w:lineRule="exact"/>
        <w:ind w:left="0" w:right="0" w:firstLine="940"/>
        <w:jc w:val="left"/>
      </w:pPr>
      <w:r>
        <w:rPr>
          <w:color w:val="000000"/>
          <w:spacing w:val="0"/>
          <w:w w:val="100"/>
          <w:position w:val="0"/>
        </w:rPr>
        <w:t>报告期内，子公司无锡尚蠡信息科技有限公司已完成工商注销登记，不再纳入公司合并财务报表范围。</w:t>
      </w:r>
    </w:p>
    <w:p>
      <w:pPr>
        <w:pStyle w:val="Style26"/>
        <w:keepNext w:val="0"/>
        <w:keepLines w:val="0"/>
        <w:widowControl w:val="0"/>
        <w:shd w:val="clear" w:color="auto" w:fill="auto"/>
        <w:bidi w:val="0"/>
        <w:spacing w:before="0" w:after="360" w:line="320" w:lineRule="exact"/>
        <w:ind w:left="0" w:right="0" w:firstLine="0"/>
        <w:jc w:val="center"/>
      </w:pPr>
      <w:r>
        <w:rPr>
          <w:color w:val="000000"/>
          <w:spacing w:val="0"/>
          <w:w w:val="100"/>
          <w:position w:val="0"/>
        </w:rPr>
        <w:t>报告期内，子公司贵州天喻通慧教育科技有限公司已完成工商注销登记，不再纳入公司合并财务报表范围。</w:t>
      </w:r>
    </w:p>
    <w:p>
      <w:pPr>
        <w:pStyle w:val="Style23"/>
        <w:keepNext/>
        <w:keepLines/>
        <w:widowControl w:val="0"/>
        <w:shd w:val="clear" w:color="auto" w:fill="auto"/>
        <w:tabs>
          <w:tab w:pos="1137" w:val="left"/>
        </w:tabs>
        <w:bidi w:val="0"/>
        <w:spacing w:before="0" w:line="240" w:lineRule="auto"/>
        <w:ind w:left="0" w:right="0" w:firstLine="620"/>
        <w:jc w:val="both"/>
      </w:pPr>
      <w:bookmarkStart w:id="1378" w:name="bookmark1378"/>
      <w:bookmarkStart w:id="1379" w:name="bookmark1379"/>
      <w:bookmarkStart w:id="1380" w:name="bookmark1380"/>
      <w:bookmarkStart w:id="1381" w:name="bookmark1381"/>
      <w:r>
        <w:rPr>
          <w:color w:val="000000"/>
          <w:spacing w:val="0"/>
          <w:w w:val="100"/>
          <w:position w:val="0"/>
        </w:rPr>
        <w:t>九</w:t>
      </w:r>
      <w:bookmarkEnd w:id="1380"/>
      <w:r>
        <w:rPr>
          <w:color w:val="000000"/>
          <w:spacing w:val="0"/>
          <w:w w:val="100"/>
          <w:position w:val="0"/>
        </w:rPr>
        <w:t>、</w:t>
        <w:tab/>
        <w:t>在其他主体中的权益</w:t>
      </w:r>
      <w:bookmarkEnd w:id="1378"/>
      <w:bookmarkEnd w:id="1379"/>
      <w:bookmarkEnd w:id="1381"/>
    </w:p>
    <w:p>
      <w:pPr>
        <w:pStyle w:val="Style30"/>
        <w:keepNext/>
        <w:keepLines/>
        <w:widowControl w:val="0"/>
        <w:shd w:val="clear" w:color="auto" w:fill="auto"/>
        <w:bidi w:val="0"/>
        <w:spacing w:before="0" w:after="360" w:line="240" w:lineRule="auto"/>
        <w:ind w:left="0" w:right="0" w:firstLine="620"/>
        <w:jc w:val="both"/>
      </w:pPr>
      <w:bookmarkStart w:id="1382" w:name="bookmark1382"/>
      <w:bookmarkStart w:id="1383" w:name="bookmark1383"/>
      <w:bookmarkStart w:id="1384" w:name="bookmark1384"/>
      <w:r>
        <w:rPr>
          <w:color w:val="000000"/>
          <w:spacing w:val="0"/>
          <w:w w:val="100"/>
          <w:position w:val="0"/>
        </w:rPr>
        <w:t>1</w:t>
      </w:r>
      <w:r>
        <w:rPr>
          <w:color w:val="000000"/>
          <w:spacing w:val="0"/>
          <w:w w:val="100"/>
          <w:position w:val="0"/>
        </w:rPr>
        <w:t>、在子公司中的权益</w:t>
      </w:r>
      <w:bookmarkEnd w:id="1382"/>
      <w:bookmarkEnd w:id="1383"/>
      <w:bookmarkEnd w:id="1384"/>
    </w:p>
    <w:p>
      <w:pPr>
        <w:pStyle w:val="Style36"/>
        <w:keepNext/>
        <w:keepLines/>
        <w:widowControl w:val="0"/>
        <w:shd w:val="clear" w:color="auto" w:fill="auto"/>
        <w:bidi w:val="0"/>
        <w:spacing w:before="0" w:after="360" w:line="240" w:lineRule="auto"/>
        <w:ind w:left="0" w:right="0" w:firstLine="740"/>
        <w:jc w:val="left"/>
      </w:pPr>
      <w:bookmarkStart w:id="1385" w:name="bookmark1385"/>
      <w:bookmarkStart w:id="1386" w:name="bookmark1386"/>
      <w:bookmarkStart w:id="1387" w:name="bookmark1387"/>
      <w:r>
        <w:rPr>
          <w:color w:val="000000"/>
          <w:spacing w:val="0"/>
          <w:w w:val="100"/>
          <w:position w:val="0"/>
        </w:rPr>
        <w:t>（1）</w:t>
      </w:r>
      <w:r>
        <w:rPr>
          <w:color w:val="000000"/>
          <w:spacing w:val="0"/>
          <w:w w:val="100"/>
          <w:position w:val="0"/>
        </w:rPr>
        <w:t>企业集团的构成</w:t>
      </w:r>
      <w:bookmarkEnd w:id="1385"/>
      <w:bookmarkEnd w:id="1386"/>
      <w:bookmarkEnd w:id="1387"/>
    </w:p>
    <w:tbl>
      <w:tblPr>
        <w:tblOverlap w:val="never"/>
        <w:jc w:val="center"/>
        <w:tblLayout w:type="fixed"/>
      </w:tblPr>
      <w:tblGrid>
        <w:gridCol w:w="2664"/>
        <w:gridCol w:w="1133"/>
        <w:gridCol w:w="854"/>
        <w:gridCol w:w="1982"/>
        <w:gridCol w:w="994"/>
        <w:gridCol w:w="989"/>
        <w:gridCol w:w="188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664"/>
        <w:gridCol w:w="1133"/>
        <w:gridCol w:w="854"/>
        <w:gridCol w:w="1982"/>
        <w:gridCol w:w="994"/>
        <w:gridCol w:w="989"/>
        <w:gridCol w:w="18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深圳市易考乐学测评有限公司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山东天喻爱书人现代教育科技有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武汉鱼渔课堂教育科技有限公司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网络教育及信息技术服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河南喻周教育科技有限公司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焦作天喻云教育科技有限公司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焦作市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喻教（武汉汉阳）科技有限公司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科技推广和应用服务业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喻优教（武汉青山）科技有限公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新闻和出版业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湖北百旺金赋科技有限公司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黑龙江百望信息技术有限公司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武汉果核科技有限公司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四川天喻云科技有限公司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零售业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3"/>
        <w:keepNext w:val="0"/>
        <w:keepLines w:val="0"/>
        <w:widowControl w:val="0"/>
        <w:shd w:val="clear" w:color="auto" w:fill="auto"/>
        <w:bidi w:val="0"/>
        <w:spacing w:before="0" w:after="0" w:line="240" w:lineRule="auto"/>
        <w:ind w:left="413"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380" w:line="317" w:lineRule="exact"/>
        <w:ind w:left="620" w:right="0" w:firstLine="360"/>
        <w:jc w:val="left"/>
      </w:pPr>
      <w:r>
        <w:rPr>
          <w:color w:val="000000"/>
          <w:spacing w:val="0"/>
          <w:w w:val="100"/>
          <w:position w:val="0"/>
        </w:rPr>
        <w:t>公司对聚联科技的持股比例为</w:t>
      </w:r>
      <w:r>
        <w:rPr>
          <w:color w:val="000000"/>
          <w:spacing w:val="0"/>
          <w:w w:val="100"/>
          <w:position w:val="0"/>
        </w:rPr>
        <w:t xml:space="preserve">49. </w:t>
      </w:r>
      <w:r>
        <w:rPr>
          <w:color w:val="000000"/>
          <w:spacing w:val="0"/>
          <w:w w:val="100"/>
          <w:position w:val="0"/>
        </w:rPr>
        <w:t>45%，</w:t>
      </w:r>
      <w:r>
        <w:rPr>
          <w:color w:val="000000"/>
          <w:spacing w:val="0"/>
          <w:w w:val="100"/>
          <w:position w:val="0"/>
        </w:rPr>
        <w:t>但由于公司在聚联科技的董事会席位中占多数，能主导其经营决策，实质控制其 经营活动，因此仍将聚联科技纳入公司合并财务报表范围。</w:t>
      </w:r>
    </w:p>
    <w:p>
      <w:pPr>
        <w:pStyle w:val="Style36"/>
        <w:keepNext/>
        <w:keepLines/>
        <w:widowControl w:val="0"/>
        <w:shd w:val="clear" w:color="auto" w:fill="auto"/>
        <w:bidi w:val="0"/>
        <w:spacing w:before="0" w:after="380" w:line="240" w:lineRule="auto"/>
        <w:ind w:left="0" w:right="0" w:firstLine="620"/>
        <w:jc w:val="left"/>
      </w:pPr>
      <w:bookmarkStart w:id="1388" w:name="bookmark1388"/>
      <w:bookmarkStart w:id="1389" w:name="bookmark1389"/>
      <w:bookmarkStart w:id="1390" w:name="bookmark1390"/>
      <w:r>
        <w:rPr>
          <w:color w:val="000000"/>
          <w:spacing w:val="0"/>
          <w:w w:val="100"/>
          <w:position w:val="0"/>
        </w:rPr>
        <w:t>（2）</w:t>
      </w:r>
      <w:r>
        <w:rPr>
          <w:color w:val="000000"/>
          <w:spacing w:val="0"/>
          <w:w w:val="100"/>
          <w:position w:val="0"/>
        </w:rPr>
        <w:t>重要的非全资子公司</w:t>
      </w:r>
      <w:bookmarkEnd w:id="1388"/>
      <w:bookmarkEnd w:id="1389"/>
      <w:bookmarkEnd w:id="13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910"/>
        <w:gridCol w:w="1915"/>
        <w:gridCol w:w="1704"/>
        <w:gridCol w:w="1920"/>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2,031,495.25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4,055,110.87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-7,689,262.15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-34,582,648.45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797,165.71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8,304,056.50</w:t>
            </w:r>
          </w:p>
        </w:tc>
      </w:tr>
    </w:tbl>
    <w:p>
      <w:pPr>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Restart w:val="continuous"/>
          </w:footnotePr>
          <w:pgSz w:w="11900" w:h="16840"/>
          <w:pgMar w:top="1387" w:right="476" w:bottom="1634" w:left="476" w:header="0" w:footer="3" w:gutter="0"/>
          <w:cols w:space="720"/>
          <w:noEndnote/>
          <w:titlePg/>
          <w:rtlGutter w:val="0"/>
          <w:docGrid w:linePitch="360"/>
        </w:sectPr>
      </w:pPr>
    </w:p>
    <w:p>
      <w:pPr>
        <w:pStyle w:val="Style36"/>
        <w:keepNext/>
        <w:keepLines/>
        <w:widowControl w:val="0"/>
        <w:numPr>
          <w:ilvl w:val="0"/>
          <w:numId w:val="49"/>
        </w:numPr>
        <w:shd w:val="clear" w:color="auto" w:fill="auto"/>
        <w:bidi w:val="0"/>
        <w:spacing w:before="0" w:after="420" w:line="240" w:lineRule="auto"/>
        <w:ind w:left="0" w:right="0" w:firstLine="80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重要非全资子公司的主要财务信息</w:t>
      </w:r>
      <w:bookmarkEnd w:id="1391"/>
      <w:bookmarkEnd w:id="1392"/>
      <w:bookmarkEnd w:id="1394"/>
    </w:p>
    <w:p>
      <w:pPr>
        <w:pStyle w:val="Style26"/>
        <w:keepNext w:val="0"/>
        <w:keepLines w:val="0"/>
        <w:widowControl w:val="0"/>
        <w:shd w:val="clear" w:color="auto" w:fill="auto"/>
        <w:bidi w:val="0"/>
        <w:spacing w:before="0" w:after="80" w:line="240" w:lineRule="auto"/>
        <w:ind w:left="13920" w:right="0" w:firstLine="0"/>
        <w:jc w:val="left"/>
      </w:pPr>
      <w:r>
        <w:rPr>
          <w:color w:val="000000"/>
          <w:spacing w:val="0"/>
          <w:w w:val="100"/>
          <w:position w:val="0"/>
        </w:rPr>
        <w:t>单位：元</w:t>
      </w:r>
    </w:p>
    <w:tbl>
      <w:tblPr>
        <w:tblOverlap w:val="never"/>
        <w:jc w:val="center"/>
        <w:tblLayout w:type="fixed"/>
      </w:tblPr>
      <w:tblGrid>
        <w:gridCol w:w="744"/>
        <w:gridCol w:w="1243"/>
        <w:gridCol w:w="1277"/>
        <w:gridCol w:w="1277"/>
        <w:gridCol w:w="1277"/>
        <w:gridCol w:w="1133"/>
        <w:gridCol w:w="1133"/>
        <w:gridCol w:w="1277"/>
        <w:gridCol w:w="1277"/>
        <w:gridCol w:w="1277"/>
        <w:gridCol w:w="1272"/>
        <w:gridCol w:w="854"/>
        <w:gridCol w:w="1282"/>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子公司名</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非流动负债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负债合计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武汉天喻</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聚联科技</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23,477, </w:t>
            </w:r>
            <w:r>
              <w:rPr>
                <w:rFonts w:ascii="Times New Roman" w:eastAsia="Times New Roman" w:hAnsi="Times New Roman" w:cs="Times New Roman"/>
                <w:color w:val="000000"/>
                <w:spacing w:val="0"/>
                <w:w w:val="100"/>
                <w:position w:val="0"/>
                <w:sz w:val="14"/>
                <w:szCs w:val="14"/>
              </w:rPr>
              <w:t>126.58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567,854.06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24,044,980.64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11,436,083.89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11,936,083.89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9,443,383.54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708,963.74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10,152,347.28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2,080,592.80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2,080,592.80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武汉天喻 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189,929, </w:t>
            </w:r>
            <w:r>
              <w:rPr>
                <w:rFonts w:ascii="Times New Roman" w:eastAsia="Times New Roman" w:hAnsi="Times New Roman" w:cs="Times New Roman"/>
                <w:color w:val="000000"/>
                <w:spacing w:val="0"/>
                <w:w w:val="100"/>
                <w:position w:val="0"/>
                <w:sz w:val="14"/>
                <w:szCs w:val="14"/>
              </w:rPr>
              <w:t xml:space="preserve">736. </w:t>
            </w:r>
            <w:r>
              <w:rPr>
                <w:rFonts w:ascii="Times New Roman" w:eastAsia="Times New Roman" w:hAnsi="Times New Roman" w:cs="Times New Roman"/>
                <w:color w:val="000000"/>
                <w:spacing w:val="0"/>
                <w:w w:val="100"/>
                <w:position w:val="0"/>
                <w:sz w:val="14"/>
                <w:szCs w:val="14"/>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128,058,938.06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317,988,674.75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475,447,047.86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1,117,029.12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476,564,076.98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220,324,955.29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56,839,957.00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277,164,912.29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397,591,787.25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397,899,787.25</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武汉百望 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69,895,921.70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11,056,505.04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80,952,426.74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37,418,413.66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1,004,411.82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38,422,825.48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49,925,987.58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11,342,498.58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61,268,486.16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23,814,069.36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746,554.99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24,560,624.35</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13920" w:right="0" w:firstLine="0"/>
        <w:jc w:val="left"/>
      </w:pPr>
      <w:r>
        <w:rPr>
          <w:color w:val="000000"/>
          <w:spacing w:val="0"/>
          <w:w w:val="100"/>
          <w:position w:val="0"/>
        </w:rPr>
        <w:t>单位：元</w:t>
      </w:r>
    </w:p>
    <w:tbl>
      <w:tblPr>
        <w:tblOverlap w:val="never"/>
        <w:jc w:val="center"/>
        <w:tblLayout w:type="fixed"/>
      </w:tblPr>
      <w:tblGrid>
        <w:gridCol w:w="2242"/>
        <w:gridCol w:w="1454"/>
        <w:gridCol w:w="1421"/>
        <w:gridCol w:w="1416"/>
        <w:gridCol w:w="1517"/>
        <w:gridCol w:w="1421"/>
        <w:gridCol w:w="1416"/>
        <w:gridCol w:w="1421"/>
        <w:gridCol w:w="1709"/>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综合收益总额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武汉天喻聚联科技有限公司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19,573,559.43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4,037,142.27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4,037,142.27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4,300,343.94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1,806,944.18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-2,253,730.48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-2,253,730.48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-1,843,146.16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223,123,334.75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-37,840,527.27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-37,840,527.27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-37,078,848.06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186,453,006.31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-76,356,054.23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-76,356,054.23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21,637,900.16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武汉百望信息技术有限公司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45,885,523.91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4,360,550.75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4,360,550.75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10,030,794.54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57,694,311.01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-3,883,107.21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-3,883,107.21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-14,470,835.34</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1155" w:right="759" w:bottom="1155" w:left="759" w:header="0" w:footer="3" w:gutter="0"/>
          <w:cols w:space="720"/>
          <w:noEndnote/>
          <w:rtlGutter w:val="0"/>
          <w:docGrid w:linePitch="360"/>
        </w:sectPr>
      </w:pPr>
    </w:p>
    <w:p>
      <w:pPr>
        <w:pStyle w:val="Style30"/>
        <w:keepNext/>
        <w:keepLines/>
        <w:widowControl w:val="0"/>
        <w:shd w:val="clear" w:color="auto" w:fill="auto"/>
        <w:bidi w:val="0"/>
        <w:spacing w:before="80" w:after="400" w:line="240" w:lineRule="auto"/>
        <w:ind w:left="0" w:right="0" w:firstLine="0"/>
        <w:jc w:val="left"/>
      </w:pPr>
      <w:bookmarkStart w:id="1395" w:name="bookmark1395"/>
      <w:bookmarkStart w:id="1396" w:name="bookmark1396"/>
      <w:bookmarkStart w:id="1397" w:name="bookmark1397"/>
      <w:r>
        <w:rPr>
          <w:color w:val="000000"/>
          <w:spacing w:val="0"/>
          <w:w w:val="100"/>
          <w:position w:val="0"/>
        </w:rPr>
        <w:t>2</w:t>
      </w:r>
      <w:r>
        <w:rPr>
          <w:color w:val="000000"/>
          <w:spacing w:val="0"/>
          <w:w w:val="100"/>
          <w:position w:val="0"/>
        </w:rPr>
        <w:t>、在合营安排或联营企业中的权益</w:t>
      </w:r>
      <w:bookmarkEnd w:id="1395"/>
      <w:bookmarkEnd w:id="1396"/>
      <w:bookmarkEnd w:id="1397"/>
    </w:p>
    <w:p>
      <w:pPr>
        <w:pStyle w:val="Style36"/>
        <w:keepNext/>
        <w:keepLines/>
        <w:widowControl w:val="0"/>
        <w:shd w:val="clear" w:color="auto" w:fill="auto"/>
        <w:bidi w:val="0"/>
        <w:spacing w:before="0" w:after="400" w:line="240" w:lineRule="auto"/>
        <w:ind w:left="0" w:right="0" w:firstLine="0"/>
        <w:jc w:val="left"/>
      </w:pPr>
      <w:bookmarkStart w:id="1398" w:name="bookmark1398"/>
      <w:bookmarkStart w:id="1399" w:name="bookmark1399"/>
      <w:bookmarkStart w:id="1400" w:name="bookmark1400"/>
      <w:r>
        <w:rPr>
          <w:color w:val="000000"/>
          <w:spacing w:val="0"/>
          <w:w w:val="100"/>
          <w:position w:val="0"/>
        </w:rPr>
        <w:t>（1）</w:t>
      </w:r>
      <w:r>
        <w:rPr>
          <w:color w:val="000000"/>
          <w:spacing w:val="0"/>
          <w:w w:val="100"/>
          <w:position w:val="0"/>
        </w:rPr>
        <w:t>不重要的合营企业和联营企业的汇总财务信息</w:t>
      </w:r>
      <w:bookmarkEnd w:id="1398"/>
      <w:bookmarkEnd w:id="1399"/>
      <w:bookmarkEnd w:id="1400"/>
    </w:p>
    <w:p>
      <w:pPr>
        <w:pStyle w:val="Style26"/>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-145,744.50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-145,744.50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72,441,998.80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71,454,446.57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-422,540.97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-422,540.97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r>
        <w:rPr>
          <w:color w:val="000000"/>
          <w:spacing w:val="0"/>
          <w:w w:val="100"/>
          <w:position w:val="0"/>
        </w:rPr>
        <w:t>（2）</w:t>
      </w:r>
      <w:r>
        <w:rPr>
          <w:color w:val="000000"/>
          <w:spacing w:val="0"/>
          <w:w w:val="100"/>
          <w:position w:val="0"/>
        </w:rPr>
        <w:t>合营企业或联营企业发生的超额亏损</w:t>
      </w:r>
      <w:bookmarkEnd w:id="1401"/>
      <w:bookmarkEnd w:id="1402"/>
      <w:bookmarkEnd w:id="1403"/>
    </w:p>
    <w:p>
      <w:pPr>
        <w:pStyle w:val="Style26"/>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武汉国广天喻信息技术有限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-235,912.43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-333,637.84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-569,550.27</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1404" w:name="bookmark1404"/>
      <w:bookmarkStart w:id="1405" w:name="bookmark1405"/>
      <w:bookmarkStart w:id="1406" w:name="bookmark1406"/>
      <w:r>
        <w:rPr>
          <w:color w:val="000000"/>
          <w:spacing w:val="0"/>
          <w:w w:val="100"/>
          <w:position w:val="0"/>
        </w:rPr>
        <w:t>十、与金融工具相关的风险</w:t>
      </w:r>
      <w:bookmarkEnd w:id="1404"/>
      <w:bookmarkEnd w:id="1405"/>
      <w:bookmarkEnd w:id="1406"/>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本公司的主要金融工具包括股权投资、债权投资、借款、应收账款、应付账款、应付债券，各项金融工具的详细情况说 明见本附注七相关项目。与这些金融工具有关的风险，主要包括信用风险、流动性风险和市场风险。本公司管理层对这些风 险敞口进行管理和监控以确保将上述风险控制在限定的范围之内。</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（一）风险管理目标和政策</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本公司从事风险管理的目标是在风险和收益之间取得适当的平衡,将风险对本公司经营业绩的负面影响降低到最低水平, 使股东及其其他权益投资者的利益最大化。基于该风险管理目标，本公司风险管理的基本策略是确定和分析本公司所面临的 各种风险，建立适当的风险承受底线和进行风险管理，并及时可靠地对各种风险进行监督，将风险控制在限定的范围之内。</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1</w:t>
      </w:r>
      <w:r>
        <w:rPr>
          <w:color w:val="000000"/>
          <w:spacing w:val="0"/>
          <w:w w:val="100"/>
          <w:position w:val="0"/>
        </w:rPr>
        <w:t>、市场风险</w:t>
      </w:r>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（1）</w:t>
      </w:r>
      <w:r>
        <w:rPr>
          <w:color w:val="000000"/>
          <w:spacing w:val="0"/>
          <w:w w:val="100"/>
          <w:position w:val="0"/>
        </w:rPr>
        <w:t>外汇风险</w:t>
      </w:r>
    </w:p>
    <w:p>
      <w:pPr>
        <w:pStyle w:val="Style26"/>
        <w:keepNext w:val="0"/>
        <w:keepLines w:val="0"/>
        <w:widowControl w:val="0"/>
        <w:shd w:val="clear" w:color="auto" w:fill="auto"/>
        <w:bidi w:val="0"/>
        <w:spacing w:before="0" w:after="320" w:line="313" w:lineRule="exact"/>
        <w:ind w:left="0" w:right="0" w:firstLine="380"/>
        <w:jc w:val="left"/>
      </w:pPr>
      <w:r>
        <w:rPr>
          <w:color w:val="000000"/>
          <w:spacing w:val="0"/>
          <w:w w:val="100"/>
          <w:position w:val="0"/>
        </w:rPr>
        <w:t>外汇风险指因汇率变动产生损失的风险。本公司承受外汇风险主要与美元、欧元和英镑有关，除本公司以美元、欧元、 英镑、新加坡元和日元进行采购和销售外，本公司的其他主要业务活动以人民币计价结算。于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日，除下表所述 资产或负债为美元、欧元、英镑、新加坡元和日元余额外，本公司的资产及负债均为人民币余额。该等外币余额的资产和负 债产生的外汇风险可能对本公司的经营业绩产生影响。</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2726"/>
        <w:gridCol w:w="2275"/>
        <w:gridCol w:w="241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27,029,910.69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18,138,646.49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18,138,646.49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20,950,419.02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20,823,563.85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20,823,563.85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2,014,549.98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597,701.68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661,796.45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本公司密切关注汇率变动对本集团外汇风险的影响。本集团目前并未采取任何措施规避外汇风险。</w:t>
      </w:r>
    </w:p>
    <w:p>
      <w:pPr>
        <w:pStyle w:val="Style33"/>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外汇风险敏感性分析：</w:t>
      </w:r>
    </w:p>
    <w:p>
      <w:pPr>
        <w:pStyle w:val="Style33"/>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外汇风险敏感性分析假设：所有境外经营净投资套期及现金流量套期均符合有效性要求。在上述假设的基础上，在其他</w:t>
      </w:r>
    </w:p>
    <w:p>
      <w:pPr>
        <w:widowControl w:val="0"/>
        <w:spacing w:after="9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变量不变的情况下，汇率可能发生的合理变动对当期损益和股东权益的税前影响如下: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2141"/>
        <w:gridCol w:w="1670"/>
        <w:gridCol w:w="1877"/>
        <w:gridCol w:w="1430"/>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人民币对美元贬值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329,003.78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264,893.69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人民币对美元升值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-329,003.78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-264,893.69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人民币对欧元贬值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81,316.26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82,774.42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人民币对欧元升值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-81,316.26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-82,774.42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人民币对英镑贬值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人民币对英镑升值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人民币对新加坡币贬值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人民币对新加坡币升值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人民币对日元贬值</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人民币对日元升值</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上表以正数表示增加，以负数表示减少。</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上表的股东权益变动不包括留存收益。</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(2)</w:t>
      </w:r>
      <w:r>
        <w:rPr>
          <w:color w:val="000000"/>
          <w:spacing w:val="0"/>
          <w:w w:val="100"/>
          <w:position w:val="0"/>
        </w:rPr>
        <w:t>利率风险一一现金流量变动风险</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本公司的利率风险产生于银行借款等带息债务。浮动利率的金融负债使本公司面临现金流量利率风险，固定利率的金融 负债使本公司面临公允价值利率风险。本公司根据当时的市场环境来决定固定利率及浮动利率合同的相对比例。</w:t>
      </w:r>
    </w:p>
    <w:p>
      <w:pPr>
        <w:pStyle w:val="Style26"/>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利率风险敏感性分析：</w:t>
      </w:r>
    </w:p>
    <w:p>
      <w:pPr>
        <w:pStyle w:val="Style26"/>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利率风险敏感性分析基于下述假设：</w:t>
      </w:r>
    </w:p>
    <w:p>
      <w:pPr>
        <w:pStyle w:val="Style26"/>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-市场利率变化影响可变利率金融工具的利息收入或费用；</w:t>
      </w:r>
    </w:p>
    <w:p>
      <w:pPr>
        <w:pStyle w:val="Style26"/>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-对于以公允价值计量的固定利率金融工具，市场利率变化仅仅影响其利息收入或费用；</w:t>
      </w:r>
    </w:p>
    <w:p>
      <w:pPr>
        <w:pStyle w:val="Style26"/>
        <w:keepNext w:val="0"/>
        <w:keepLines w:val="0"/>
        <w:widowControl w:val="0"/>
        <w:shd w:val="clear" w:color="auto" w:fill="auto"/>
        <w:bidi w:val="0"/>
        <w:spacing w:before="0" w:after="0" w:line="317" w:lineRule="exact"/>
        <w:ind w:left="0" w:right="0" w:firstLine="280"/>
        <w:jc w:val="left"/>
      </w:pPr>
      <w:r>
        <w:rPr>
          <w:color w:val="000000"/>
          <w:spacing w:val="0"/>
          <w:w w:val="100"/>
          <w:position w:val="0"/>
        </w:rPr>
        <w:t>-以资产负债表日市场利率采用现金流量折现法计算衍生金融工具及其他金融资产和负债的公允价值变化。</w:t>
      </w:r>
    </w:p>
    <w:p>
      <w:pPr>
        <w:pStyle w:val="Style26"/>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在上述假设的基础上，在其他变量不变的情况下，利率可能发生的合理变动对当期损益和股东权益的税前影响如下：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2"/>
        <w:gridCol w:w="1579"/>
        <w:gridCol w:w="1666"/>
        <w:gridCol w:w="1690"/>
        <w:gridCol w:w="1608"/>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人民币基准利率增加</w:t>
            </w:r>
            <w:r>
              <w:rPr>
                <w:color w:val="000000"/>
                <w:spacing w:val="0"/>
                <w:w w:val="100"/>
                <w:position w:val="0"/>
              </w:rPr>
              <w:t>25</w:t>
            </w:r>
            <w:r>
              <w:rPr>
                <w:color w:val="000000"/>
                <w:spacing w:val="0"/>
                <w:w w:val="100"/>
                <w:position w:val="0"/>
              </w:rPr>
              <w:t>个基准点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304,368.75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人民币基准利率减少</w:t>
            </w:r>
            <w:r>
              <w:rPr>
                <w:color w:val="000000"/>
                <w:spacing w:val="0"/>
                <w:w w:val="100"/>
                <w:position w:val="0"/>
              </w:rPr>
              <w:t>25</w:t>
            </w:r>
            <w:r>
              <w:rPr>
                <w:color w:val="000000"/>
                <w:spacing w:val="0"/>
                <w:w w:val="100"/>
                <w:position w:val="0"/>
              </w:rPr>
              <w:t>个基准点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-304,368.75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446" w:right="0" w:firstLine="0"/>
        <w:jc w:val="left"/>
      </w:pPr>
      <w:r>
        <w:rPr>
          <w:color w:val="000000"/>
          <w:spacing w:val="0"/>
          <w:w w:val="100"/>
          <w:position w:val="0"/>
        </w:rPr>
        <w:t>(3)</w:t>
      </w:r>
      <w:r>
        <w:rPr>
          <w:color w:val="000000"/>
          <w:spacing w:val="0"/>
          <w:w w:val="100"/>
          <w:position w:val="0"/>
        </w:rPr>
        <w:t>其他价格风险</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本公司持有的分类为以公允价值计量且其变动计入当期损益、以公允价值计量且其变动计入其他综合收益的金融资产的 投资在资产负债表日以公允价值计量。因此，本公司承担着证券市场变动的风险。本公司采取持有多种权益证券组合的方式 降低权益证券投资的价格风险。</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其他价格风险敏感性分析：</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本公司因持有以公允价值计量的金融资产而面临价格风险。</w:t>
      </w:r>
    </w:p>
    <w:p>
      <w:pPr>
        <w:pStyle w:val="Style26"/>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由于某些金融工具的公允价值是按照未来现金流量折现法为基础的通用定价模型或其他估值技术确定的，而估值技术本 身基于一定的估值假设，因此估值结果对估值假设具有重大的敏感性。改变估值结果可能产生的影响如下：</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1565"/>
        <w:gridCol w:w="1680"/>
        <w:gridCol w:w="1906"/>
        <w:gridCol w:w="1934"/>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净利润变动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股东权益变动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权益工具公允价值增加</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25,030,605.90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1,151,583.34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8,605,229.84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228,523.91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权益工具公允价值减少</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-25,030,605.90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-1,151,583.34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-8,605,229.84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-228,523.91</w:t>
            </w:r>
          </w:p>
        </w:tc>
      </w:tr>
    </w:tbl>
    <w:p>
      <w:pPr>
        <w:pStyle w:val="Style33"/>
        <w:keepNext w:val="0"/>
        <w:keepLines w:val="0"/>
        <w:widowControl w:val="0"/>
        <w:shd w:val="clear" w:color="auto" w:fill="auto"/>
        <w:bidi w:val="0"/>
        <w:spacing w:before="0" w:after="0" w:line="240" w:lineRule="auto"/>
        <w:ind w:left="355" w:right="0" w:firstLine="0"/>
        <w:jc w:val="left"/>
      </w:pPr>
      <w:r>
        <w:rPr>
          <w:color w:val="000000"/>
          <w:spacing w:val="0"/>
          <w:w w:val="100"/>
          <w:position w:val="0"/>
        </w:rPr>
        <w:t>2</w:t>
      </w:r>
      <w:r>
        <w:rPr>
          <w:color w:val="000000"/>
          <w:spacing w:val="0"/>
          <w:w w:val="100"/>
          <w:position w:val="0"/>
        </w:rPr>
        <w:t>、信用风险</w:t>
      </w:r>
    </w:p>
    <w:p>
      <w:pPr>
        <w:pStyle w:val="Style2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为降低信用风险，本公司由各事业部、客户服务部组织专人负责确定信用额度、进行信用审批，并执行其他监控程序以 确保采取必要的措施回收过期债权。此外，本公司于每个资产负债表日审核每一单项应收款的回收情况，以确保就无法回收 的款项计提充分的坏账准备。因此，本公司管理层认为本公司所承担的信用风险已经大为降低。于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 司无重大的因债务人抵押而持有的担保物或其他信用增级。由于本公司的风险敞口分布在多个合同方和多个客户，因此本公 司没有重大的信用集中风险。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本公司流动资金主要存放于信用评级较高的银行，本公司认为其不存在重大的信用风险，不会产生因对方单位违约而导 致的任何重大损失。</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3</w:t>
      </w:r>
      <w:r>
        <w:rPr>
          <w:color w:val="000000"/>
          <w:spacing w:val="0"/>
          <w:w w:val="100"/>
          <w:position w:val="0"/>
        </w:rPr>
        <w:t>、流动风险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流动性风险，是指企业在履行以交付现金或其他金融资产的方式结算的义务时发生资金短缺的风险。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rPr>
        <w:t>12</w:t>
      </w:r>
      <w:r>
        <w:rPr>
          <w:color w:val="000000"/>
          <w:spacing w:val="0"/>
          <w:w w:val="100"/>
          <w:position w:val="0"/>
        </w:rPr>
        <w:t>个月现金流量的滚动预测，确保公司在所有合理预测的情况下拥有充足的资 金偿还债务。</w:t>
      </w:r>
    </w:p>
    <w:p>
      <w:pPr>
        <w:pStyle w:val="Style26"/>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金融负债按未折现的合同现金流量所作的到期期限分析如下：管理流动性风险时，本公司保持管理层认为充分的现金及 现金等价物并对其进行监控，以满足本公司经营需要，并降低现金流量波动的影响。本公司管理层对银行借款的使用情况进 行监控并确保遵守借款协议。于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日，本公司持有的金融负债按未折现剩余合同义务的到期期限分析如下： 期末余额：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22"/>
        <w:gridCol w:w="1656"/>
        <w:gridCol w:w="1008"/>
        <w:gridCol w:w="869"/>
        <w:gridCol w:w="734"/>
        <w:gridCol w:w="826"/>
        <w:gridCol w:w="787"/>
        <w:gridCol w:w="1718"/>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短期借款（含息）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162,330,000.00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698,595,588.88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698,595,588.88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322,416,645.93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322,416,645.93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113,857,950.39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113,857,950.39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26,202,009.60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26,202,009.60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1,323,402,194.80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1,323,402,194.80</w:t>
            </w:r>
          </w:p>
        </w:tc>
      </w:tr>
    </w:tbl>
    <w:p>
      <w:pPr>
        <w:spacing w:lineRule="exact" w:line="1"/>
        <w:rPr>
          <w:sz w:val="2"/>
          <w:szCs w:val="2"/>
        </w:rPr>
      </w:pPr>
      <w:r>
        <w:br w:type="page"/>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期初余额: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22"/>
        <w:gridCol w:w="1656"/>
        <w:gridCol w:w="1008"/>
        <w:gridCol w:w="869"/>
        <w:gridCol w:w="734"/>
        <w:gridCol w:w="826"/>
        <w:gridCol w:w="787"/>
        <w:gridCol w:w="1718"/>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短期借款（含息）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381,873,863.17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381,873,863.17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532,297,560.79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532,297,560.79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106,980,921.15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106,980,921.15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25,194,240.00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25,194,240.00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1,046,346,585.11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1,046,346,585.11</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r>
        <w:rPr>
          <w:color w:val="000000"/>
          <w:spacing w:val="0"/>
          <w:w w:val="100"/>
          <w:position w:val="0"/>
        </w:rPr>
        <w:t>十一、公允价值的披露</w:t>
      </w:r>
      <w:bookmarkEnd w:id="1407"/>
      <w:bookmarkEnd w:id="1408"/>
      <w:bookmarkEnd w:id="1409"/>
    </w:p>
    <w:p>
      <w:pPr>
        <w:pStyle w:val="Style30"/>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1</w:t>
      </w:r>
      <w:r>
        <w:rPr>
          <w:color w:val="000000"/>
          <w:spacing w:val="0"/>
          <w:w w:val="100"/>
          <w:position w:val="0"/>
        </w:rPr>
        <w:t>、以公允价值计量的资产和负债的期末公允价值</w:t>
      </w:r>
      <w:bookmarkEnd w:id="1410"/>
      <w:bookmarkEnd w:id="1411"/>
      <w:bookmarkEnd w:id="14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2083"/>
        <w:gridCol w:w="1910"/>
        <w:gridCol w:w="1915"/>
        <w:gridCol w:w="161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5,283,360.00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583,672,072.83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588,955,432.83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5,283,360.00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583,672,072.83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588,955,432.83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5,283,360.00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5,283,360.00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27,096,078.63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27,096,078.63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583,672,072.83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583,672,072.83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16,599,920.00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16,599,920.00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16,599,920.00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16,599,920.00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持续以公允价值计量的资产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21,883,280.00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610,768,151.46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632,651,431.46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一</w:t>
            </w:r>
          </w:p>
        </w:tc>
      </w:tr>
    </w:tbl>
    <w:p>
      <w:pPr>
        <w:widowControl w:val="0"/>
        <w:spacing w:after="299" w:line="1" w:lineRule="exact"/>
      </w:pPr>
    </w:p>
    <w:p>
      <w:pPr>
        <w:pStyle w:val="Style30"/>
        <w:keepNext/>
        <w:keepLines/>
        <w:widowControl w:val="0"/>
        <w:shd w:val="clear" w:color="auto" w:fill="auto"/>
        <w:tabs>
          <w:tab w:pos="373" w:val="left"/>
        </w:tabs>
        <w:bidi w:val="0"/>
        <w:spacing w:before="0" w:after="30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2</w:t>
      </w:r>
      <w:bookmarkEnd w:id="1415"/>
      <w:r>
        <w:rPr>
          <w:color w:val="000000"/>
          <w:spacing w:val="0"/>
          <w:w w:val="100"/>
          <w:position w:val="0"/>
        </w:rPr>
        <w:t>、</w:t>
        <w:tab/>
        <w:t>持续和非持续第一层次公允价值计量项目市价的确定依据</w:t>
      </w:r>
      <w:bookmarkEnd w:id="1413"/>
      <w:bookmarkEnd w:id="1414"/>
      <w:bookmarkEnd w:id="1416"/>
    </w:p>
    <w:p>
      <w:pPr>
        <w:pStyle w:val="Style26"/>
        <w:keepNext w:val="0"/>
        <w:keepLines w:val="0"/>
        <w:widowControl w:val="0"/>
        <w:shd w:val="clear" w:color="auto" w:fill="auto"/>
        <w:bidi w:val="0"/>
        <w:spacing w:before="0" w:after="380" w:line="298" w:lineRule="exact"/>
        <w:ind w:left="0" w:right="0" w:firstLine="360"/>
        <w:jc w:val="left"/>
      </w:pPr>
      <w:r>
        <w:rPr>
          <w:color w:val="000000"/>
          <w:spacing w:val="0"/>
          <w:w w:val="100"/>
          <w:position w:val="0"/>
        </w:rPr>
        <w:t>本公司以活跃市场报价作为第一层次金融资产的公允价值。</w:t>
      </w:r>
    </w:p>
    <w:p>
      <w:pPr>
        <w:pStyle w:val="Style30"/>
        <w:keepNext/>
        <w:keepLines/>
        <w:widowControl w:val="0"/>
        <w:shd w:val="clear" w:color="auto" w:fill="auto"/>
        <w:tabs>
          <w:tab w:pos="373" w:val="left"/>
        </w:tabs>
        <w:bidi w:val="0"/>
        <w:spacing w:before="0" w:after="30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3</w:t>
      </w:r>
      <w:bookmarkEnd w:id="1419"/>
      <w:r>
        <w:rPr>
          <w:color w:val="000000"/>
          <w:spacing w:val="0"/>
          <w:w w:val="100"/>
          <w:position w:val="0"/>
        </w:rPr>
        <w:t>、</w:t>
        <w:tab/>
        <w:t>持续和非持续第二层次公允价值计量项目，采用的估值技术和重要参数的定性及定量信息</w:t>
      </w:r>
      <w:bookmarkEnd w:id="1417"/>
      <w:bookmarkEnd w:id="1418"/>
      <w:bookmarkEnd w:id="1420"/>
    </w:p>
    <w:p>
      <w:pPr>
        <w:pStyle w:val="Style26"/>
        <w:keepNext w:val="0"/>
        <w:keepLines w:val="0"/>
        <w:widowControl w:val="0"/>
        <w:shd w:val="clear" w:color="auto" w:fill="auto"/>
        <w:bidi w:val="0"/>
        <w:spacing w:before="0" w:after="380" w:line="298" w:lineRule="exact"/>
        <w:ind w:left="0" w:right="0" w:firstLine="360"/>
        <w:jc w:val="both"/>
      </w:pPr>
      <w:r>
        <w:rPr>
          <w:color w:val="000000"/>
          <w:spacing w:val="0"/>
          <w:w w:val="100"/>
          <w:position w:val="0"/>
        </w:rPr>
        <w:t>本公司持续第二层次公允价值计量项目主要为购入的结构性存款及持有的非上市权益投资。其中：结构性存款的期末公 允价值以本金和根据</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日伦敦银行业市场公布的美元</w:t>
      </w:r>
      <w:r>
        <w:rPr>
          <w:color w:val="000000"/>
          <w:spacing w:val="0"/>
          <w:w w:val="100"/>
          <w:position w:val="0"/>
        </w:rPr>
        <w:t>3</w:t>
      </w:r>
      <w:r>
        <w:rPr>
          <w:color w:val="000000"/>
          <w:spacing w:val="0"/>
          <w:w w:val="100"/>
          <w:position w:val="0"/>
        </w:rPr>
        <w:t>个月</w:t>
      </w:r>
      <w:r>
        <w:rPr>
          <w:color w:val="000000"/>
          <w:spacing w:val="0"/>
          <w:w w:val="100"/>
          <w:position w:val="0"/>
        </w:rPr>
        <w:t>LIBOR</w:t>
      </w:r>
      <w:r>
        <w:rPr>
          <w:color w:val="000000"/>
          <w:spacing w:val="0"/>
          <w:w w:val="100"/>
          <w:position w:val="0"/>
        </w:rPr>
        <w:t xml:space="preserve">利率对利息部分进行估值确定；非上市权益投资 </w:t>
      </w:r>
      <w:r>
        <w:rPr>
          <w:color w:val="000000"/>
          <w:spacing w:val="0"/>
          <w:w w:val="100"/>
          <w:position w:val="0"/>
        </w:rPr>
        <w:t>的公允价值是根据</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日这些非上市公司财务报表信息，并结合同行业上市公司可比信息采用可比公司乘数法确定。</w:t>
      </w:r>
    </w:p>
    <w:p>
      <w:pPr>
        <w:pStyle w:val="Style30"/>
        <w:keepNext/>
        <w:keepLines/>
        <w:widowControl w:val="0"/>
        <w:shd w:val="clear" w:color="auto" w:fill="auto"/>
        <w:tabs>
          <w:tab w:pos="378" w:val="left"/>
        </w:tabs>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4</w:t>
      </w:r>
      <w:bookmarkEnd w:id="1423"/>
      <w:r>
        <w:rPr>
          <w:color w:val="000000"/>
          <w:spacing w:val="0"/>
          <w:w w:val="100"/>
          <w:position w:val="0"/>
        </w:rPr>
        <w:t>、</w:t>
        <w:tab/>
        <w:t>持续和非持续第三层次公允价值计量项目，采用的估值技术和重要参数的定性及定量信息</w:t>
      </w:r>
      <w:bookmarkEnd w:id="1421"/>
      <w:bookmarkEnd w:id="1422"/>
      <w:bookmarkEnd w:id="1424"/>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425" w:name="bookmark1425"/>
      <w:bookmarkStart w:id="1426" w:name="bookmark1426"/>
      <w:bookmarkStart w:id="1427" w:name="bookmark1427"/>
      <w:bookmarkStart w:id="1428" w:name="bookmark1428"/>
      <w:r>
        <w:rPr>
          <w:color w:val="000000"/>
          <w:spacing w:val="0"/>
          <w:w w:val="100"/>
          <w:position w:val="0"/>
        </w:rPr>
        <w:t>5</w:t>
      </w:r>
      <w:bookmarkEnd w:id="1427"/>
      <w:r>
        <w:rPr>
          <w:color w:val="000000"/>
          <w:spacing w:val="0"/>
          <w:w w:val="100"/>
          <w:position w:val="0"/>
        </w:rPr>
        <w:t>、</w:t>
        <w:tab/>
        <w:t>持续的第三层次公允价值计量项目，期初与期末账面价值间的调节信息及不可观察参数敏感性分析</w:t>
      </w:r>
      <w:bookmarkEnd w:id="1425"/>
      <w:bookmarkEnd w:id="1426"/>
      <w:bookmarkEnd w:id="1428"/>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6</w:t>
      </w:r>
      <w:bookmarkEnd w:id="1431"/>
      <w:r>
        <w:rPr>
          <w:color w:val="000000"/>
          <w:spacing w:val="0"/>
          <w:w w:val="100"/>
          <w:position w:val="0"/>
        </w:rPr>
        <w:t>、</w:t>
        <w:tab/>
        <w:t>持续的公允价值计量项目，本期内发生各层级之间转换的，转换的原因及确定转换时点的政策</w:t>
      </w:r>
      <w:bookmarkEnd w:id="1429"/>
      <w:bookmarkEnd w:id="1430"/>
      <w:bookmarkEnd w:id="1432"/>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本期内各层级之间未发生转换。</w:t>
      </w:r>
    </w:p>
    <w:p>
      <w:pPr>
        <w:pStyle w:val="Style30"/>
        <w:keepNext/>
        <w:keepLines/>
        <w:widowControl w:val="0"/>
        <w:shd w:val="clear" w:color="auto" w:fill="auto"/>
        <w:tabs>
          <w:tab w:pos="378"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7</w:t>
      </w:r>
      <w:bookmarkEnd w:id="1435"/>
      <w:r>
        <w:rPr>
          <w:color w:val="000000"/>
          <w:spacing w:val="0"/>
          <w:w w:val="100"/>
          <w:position w:val="0"/>
        </w:rPr>
        <w:t>、</w:t>
        <w:tab/>
        <w:t>本期内发生的估值技术变更及变更原因</w:t>
      </w:r>
      <w:bookmarkEnd w:id="1433"/>
      <w:bookmarkEnd w:id="1434"/>
      <w:bookmarkEnd w:id="1436"/>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本期内未变更。</w:t>
      </w:r>
    </w:p>
    <w:p>
      <w:pPr>
        <w:pStyle w:val="Style30"/>
        <w:keepNext/>
        <w:keepLines/>
        <w:widowControl w:val="0"/>
        <w:shd w:val="clear" w:color="auto" w:fill="auto"/>
        <w:tabs>
          <w:tab w:pos="378"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8</w:t>
      </w:r>
      <w:bookmarkEnd w:id="1439"/>
      <w:r>
        <w:rPr>
          <w:color w:val="000000"/>
          <w:spacing w:val="0"/>
          <w:w w:val="100"/>
          <w:position w:val="0"/>
        </w:rPr>
        <w:t>、</w:t>
        <w:tab/>
        <w:t>不以公允价值计量的金融资产和金融负债的公允价值情况</w:t>
      </w:r>
      <w:bookmarkEnd w:id="1437"/>
      <w:bookmarkEnd w:id="1438"/>
      <w:bookmarkEnd w:id="1440"/>
    </w:p>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本公司以摊余成本计量的金融资产和金融负债主要包括：货币资金、应收票据、应收账款、其他应收款、其他流动资产、</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应付票据、应付账款、其他应付款等。本公司不以公允价值计量的金融资产和金融负债的账面价值与公允价值通常相差很小。</w:t>
      </w:r>
    </w:p>
    <w:p>
      <w:pPr>
        <w:pStyle w:val="Style23"/>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r>
        <w:rPr>
          <w:color w:val="000000"/>
          <w:spacing w:val="0"/>
          <w:w w:val="100"/>
          <w:position w:val="0"/>
        </w:rPr>
        <w:t>十二、关联方及关联交易</w:t>
      </w:r>
      <w:bookmarkEnd w:id="1441"/>
      <w:bookmarkEnd w:id="1442"/>
      <w:bookmarkEnd w:id="1443"/>
    </w:p>
    <w:p>
      <w:pPr>
        <w:pStyle w:val="Style30"/>
        <w:keepNext/>
        <w:keepLines/>
        <w:widowControl w:val="0"/>
        <w:shd w:val="clear" w:color="auto" w:fill="auto"/>
        <w:bidi w:val="0"/>
        <w:spacing w:before="0" w:after="300" w:line="240" w:lineRule="auto"/>
        <w:ind w:left="0" w:right="0" w:firstLine="0"/>
        <w:jc w:val="left"/>
      </w:pPr>
      <w:bookmarkStart w:id="1444" w:name="bookmark1444"/>
      <w:bookmarkStart w:id="1445" w:name="bookmark1445"/>
      <w:bookmarkStart w:id="1446" w:name="bookmark1446"/>
      <w:r>
        <w:rPr>
          <w:color w:val="000000"/>
          <w:spacing w:val="0"/>
          <w:w w:val="100"/>
          <w:position w:val="0"/>
        </w:rPr>
        <w:t>1</w:t>
      </w:r>
      <w:r>
        <w:rPr>
          <w:color w:val="000000"/>
          <w:spacing w:val="0"/>
          <w:w w:val="100"/>
          <w:position w:val="0"/>
        </w:rPr>
        <w:t>、本企业的母公司情况</w:t>
      </w:r>
      <w:bookmarkEnd w:id="1444"/>
      <w:bookmarkEnd w:id="1445"/>
      <w:bookmarkEnd w:id="1446"/>
    </w:p>
    <w:tbl>
      <w:tblPr>
        <w:tblOverlap w:val="never"/>
        <w:jc w:val="center"/>
        <w:tblLayout w:type="fixed"/>
      </w:tblPr>
      <w:tblGrid>
        <w:gridCol w:w="1598"/>
        <w:gridCol w:w="1594"/>
        <w:gridCol w:w="1594"/>
        <w:gridCol w:w="1598"/>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武汉华工创业投资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对高新技术产品和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企业的投资;投资咨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询服务，企业管理咨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13,660.00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产业集团系华工创投的母公司，同时产业集团持有本公司</w:t>
      </w:r>
      <w:r>
        <w:rPr>
          <w:color w:val="000000"/>
          <w:spacing w:val="0"/>
          <w:w w:val="100"/>
          <w:position w:val="0"/>
        </w:rPr>
        <w:t>2,443.16</w:t>
      </w:r>
      <w:r>
        <w:rPr>
          <w:color w:val="000000"/>
          <w:spacing w:val="0"/>
          <w:w w:val="100"/>
          <w:position w:val="0"/>
        </w:rPr>
        <w:t>万股股份，持股比例</w:t>
      </w:r>
      <w:r>
        <w:rPr>
          <w:color w:val="000000"/>
          <w:spacing w:val="0"/>
          <w:w w:val="100"/>
          <w:position w:val="0"/>
        </w:rPr>
        <w:t>5.68%</w:t>
      </w:r>
      <w:r>
        <w:rPr>
          <w:color w:val="000000"/>
          <w:spacing w:val="0"/>
          <w:w w:val="100"/>
          <w:position w:val="0"/>
        </w:rPr>
        <w:t>。产业集团系华中科技大 学全资子公司，因此华中科技大学为本公司实际控制人。</w:t>
      </w:r>
    </w:p>
    <w:p>
      <w:pPr>
        <w:pStyle w:val="Style26"/>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本企业最终控制方是华中科技大学。</w:t>
      </w:r>
    </w:p>
    <w:p>
      <w:pPr>
        <w:pStyle w:val="Style30"/>
        <w:keepNext/>
        <w:keepLines/>
        <w:widowControl w:val="0"/>
        <w:shd w:val="clear" w:color="auto" w:fill="auto"/>
        <w:bidi w:val="0"/>
        <w:spacing w:before="0" w:after="300" w:line="240" w:lineRule="auto"/>
        <w:ind w:left="0" w:right="0" w:firstLine="0"/>
        <w:jc w:val="left"/>
      </w:pPr>
      <w:bookmarkStart w:id="1447" w:name="bookmark1447"/>
      <w:bookmarkStart w:id="1448" w:name="bookmark1448"/>
      <w:bookmarkStart w:id="1449" w:name="bookmark1449"/>
      <w:r>
        <w:rPr>
          <w:color w:val="000000"/>
          <w:spacing w:val="0"/>
          <w:w w:val="100"/>
          <w:position w:val="0"/>
        </w:rPr>
        <w:t>2</w:t>
      </w:r>
      <w:r>
        <w:rPr>
          <w:color w:val="000000"/>
          <w:spacing w:val="0"/>
          <w:w w:val="100"/>
          <w:position w:val="0"/>
        </w:rPr>
        <w:t>、本企业的子公司情况</w:t>
      </w:r>
      <w:bookmarkEnd w:id="1447"/>
      <w:bookmarkEnd w:id="1448"/>
      <w:bookmarkEnd w:id="1449"/>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本企业子公司的情况详见附注九、</w:t>
      </w:r>
      <w:r>
        <w:rPr>
          <w:color w:val="000000"/>
          <w:spacing w:val="0"/>
          <w:w w:val="100"/>
          <w:position w:val="0"/>
        </w:rPr>
        <w:t>1</w:t>
      </w:r>
      <w:r>
        <w:rPr>
          <w:color w:val="000000"/>
          <w:spacing w:val="0"/>
          <w:w w:val="100"/>
          <w:position w:val="0"/>
        </w:rPr>
        <w:t>。</w:t>
      </w:r>
      <w:r>
        <w:br w:type="page"/>
      </w:r>
    </w:p>
    <w:p>
      <w:pPr>
        <w:pStyle w:val="Style30"/>
        <w:keepNext/>
        <w:keepLines/>
        <w:widowControl w:val="0"/>
        <w:shd w:val="clear" w:color="auto" w:fill="auto"/>
        <w:bidi w:val="0"/>
        <w:spacing w:before="0" w:after="400" w:line="240" w:lineRule="auto"/>
        <w:ind w:left="0" w:right="0" w:firstLine="0"/>
        <w:jc w:val="both"/>
      </w:pPr>
      <w:bookmarkStart w:id="1450" w:name="bookmark1450"/>
      <w:bookmarkStart w:id="1451" w:name="bookmark1451"/>
      <w:bookmarkStart w:id="1452" w:name="bookmark1452"/>
      <w:bookmarkStart w:id="1453" w:name="bookmark1453"/>
      <w:r>
        <w:rPr>
          <w:color w:val="000000"/>
          <w:spacing w:val="0"/>
          <w:w w:val="100"/>
          <w:position w:val="0"/>
        </w:rPr>
        <w:t>3</w:t>
      </w:r>
      <w:bookmarkEnd w:id="1452"/>
      <w:r>
        <w:rPr>
          <w:color w:val="000000"/>
          <w:spacing w:val="0"/>
          <w:w w:val="100"/>
          <w:position w:val="0"/>
        </w:rPr>
        <w:t>、本企业合营和联营企业情况</w:t>
      </w:r>
      <w:bookmarkEnd w:id="1450"/>
      <w:bookmarkEnd w:id="1451"/>
      <w:bookmarkEnd w:id="1453"/>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本企业重要的合营或联营企业详见附注九、</w:t>
      </w:r>
      <w:r>
        <w:rPr>
          <w:color w:val="000000"/>
          <w:spacing w:val="0"/>
          <w:w w:val="100"/>
          <w:position w:val="0"/>
        </w:rPr>
        <w:t>2</w:t>
      </w:r>
      <w:r>
        <w:rPr>
          <w:color w:val="000000"/>
          <w:spacing w:val="0"/>
          <w:w w:val="100"/>
          <w:position w:val="0"/>
        </w:rPr>
        <w:t>。</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湖北兴华教投信息技术有限公司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武汉武信天喻科技投资有限公司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454" w:name="bookmark1454"/>
      <w:bookmarkStart w:id="1455" w:name="bookmark1455"/>
      <w:bookmarkStart w:id="1456" w:name="bookmark1456"/>
      <w:bookmarkStart w:id="1457" w:name="bookmark1457"/>
      <w:r>
        <w:rPr>
          <w:color w:val="000000"/>
          <w:spacing w:val="0"/>
          <w:w w:val="100"/>
          <w:position w:val="0"/>
        </w:rPr>
        <w:t>4</w:t>
      </w:r>
      <w:bookmarkEnd w:id="1456"/>
      <w:r>
        <w:rPr>
          <w:color w:val="000000"/>
          <w:spacing w:val="0"/>
          <w:w w:val="100"/>
          <w:position w:val="0"/>
        </w:rPr>
        <w:t>、其他关联方情况</w:t>
      </w:r>
      <w:bookmarkEnd w:id="1454"/>
      <w:bookmarkEnd w:id="1455"/>
      <w:bookmarkEnd w:id="145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武汉华工图像技术开发有限公司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武汉新威奇机械有限公司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本公司关联自然人对其有重大影响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武汉华工赛百数据系统有限公司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本公司关键管理人员对其有重大影响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武汉华工建设发展有限公司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武汉华工大学科技园发展有限公司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同受一方控制</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17" w:lineRule="exact"/>
        <w:ind w:left="0" w:right="0" w:firstLine="360"/>
        <w:jc w:val="left"/>
      </w:pPr>
      <w:r>
        <w:rPr>
          <w:color w:val="000000"/>
          <w:spacing w:val="0"/>
          <w:w w:val="100"/>
          <w:position w:val="0"/>
        </w:rPr>
        <w:t>本公司关联自然人陈吉红担任武汉新威奇机械有限公司执行董事，因此该公司为公司关联方；本公司监事岳蓉担任科华 银赛创业投资有限公司董事、总经理，因此该公司为公司关联方。</w:t>
      </w:r>
    </w:p>
    <w:p>
      <w:pPr>
        <w:pStyle w:val="Style30"/>
        <w:keepNext/>
        <w:keepLines/>
        <w:widowControl w:val="0"/>
        <w:shd w:val="clear" w:color="auto" w:fill="auto"/>
        <w:bidi w:val="0"/>
        <w:spacing w:before="0" w:after="4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5</w:t>
      </w:r>
      <w:bookmarkEnd w:id="1460"/>
      <w:r>
        <w:rPr>
          <w:color w:val="000000"/>
          <w:spacing w:val="0"/>
          <w:w w:val="100"/>
          <w:position w:val="0"/>
        </w:rPr>
        <w:t>、关联交易情况</w:t>
      </w:r>
      <w:bookmarkEnd w:id="1458"/>
      <w:bookmarkEnd w:id="1459"/>
      <w:bookmarkEnd w:id="1461"/>
    </w:p>
    <w:p>
      <w:pPr>
        <w:pStyle w:val="Style36"/>
        <w:keepNext/>
        <w:keepLines/>
        <w:widowControl w:val="0"/>
        <w:shd w:val="clear" w:color="auto" w:fill="auto"/>
        <w:bidi w:val="0"/>
        <w:spacing w:before="0" w:after="260" w:line="240" w:lineRule="auto"/>
        <w:ind w:left="0" w:right="0" w:firstLine="0"/>
        <w:jc w:val="left"/>
      </w:pPr>
      <w:bookmarkStart w:id="1462" w:name="bookmark1462"/>
      <w:bookmarkStart w:id="1463" w:name="bookmark1463"/>
      <w:bookmarkStart w:id="1464" w:name="bookmark1464"/>
      <w:r>
        <w:rPr>
          <w:color w:val="000000"/>
          <w:spacing w:val="0"/>
          <w:w w:val="100"/>
          <w:position w:val="0"/>
        </w:rPr>
        <w:t>（1）</w:t>
      </w:r>
      <w:r>
        <w:rPr>
          <w:color w:val="000000"/>
          <w:spacing w:val="0"/>
          <w:w w:val="100"/>
          <w:position w:val="0"/>
        </w:rPr>
        <w:t>购销商品、提供和接受劳务的关联交易</w:t>
      </w:r>
      <w:bookmarkEnd w:id="1462"/>
      <w:bookmarkEnd w:id="1463"/>
      <w:bookmarkEnd w:id="1464"/>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采购商品/接受劳务情况表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690"/>
        <w:gridCol w:w="1450"/>
        <w:gridCol w:w="1709"/>
        <w:gridCol w:w="1709"/>
        <w:gridCol w:w="171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武汉华科物业管理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1,372,999.73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1,437,110.25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武汉华工图像技术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采购烫金膜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1,673,059.83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2,260,054.15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技术服务费及标书费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146,231.07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119" w:line="1" w:lineRule="exact"/>
      </w:pPr>
    </w:p>
    <w:p>
      <w:pPr>
        <w:pStyle w:val="Style26"/>
        <w:keepNext w:val="0"/>
        <w:keepLines w:val="0"/>
        <w:widowControl w:val="0"/>
        <w:shd w:val="clear" w:color="auto" w:fill="auto"/>
        <w:bidi w:val="0"/>
        <w:spacing w:before="0" w:after="300" w:line="240" w:lineRule="auto"/>
        <w:ind w:left="0" w:right="160" w:firstLine="0"/>
        <w:jc w:val="right"/>
      </w:pPr>
      <w:r>
        <w:rPr>
          <w:color w:val="000000"/>
          <w:spacing w:val="0"/>
          <w:w w:val="100"/>
          <w:position w:val="0"/>
        </w:rPr>
        <w:t>单位：元</w:t>
      </w:r>
      <w:r>
        <w:br w:type="page"/>
      </w:r>
    </w:p>
    <w:tbl>
      <w:tblPr>
        <w:tblOverlap w:val="never"/>
        <w:jc w:val="center"/>
        <w:tblLayout w:type="fixed"/>
      </w:tblPr>
      <w:tblGrid>
        <w:gridCol w:w="2664"/>
        <w:gridCol w:w="2261"/>
        <w:gridCol w:w="2261"/>
        <w:gridCol w:w="265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智能交通卡/智慧教学平台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511,504.19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福建中教网络教育服务有限公司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智慧课堂及技术服务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237,335.98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武汉新威奇机械有限公司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湖北兴华教投信息技术有限公司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技术服务费/智慧课堂软件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武汉华工赛百数据系统有限公司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智慧课堂及技术服务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183,962.26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264.15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65" w:name="bookmark1465"/>
      <w:bookmarkStart w:id="1466" w:name="bookmark1466"/>
      <w:bookmarkStart w:id="1467" w:name="bookmark1467"/>
      <w:r>
        <w:rPr>
          <w:color w:val="000000"/>
          <w:spacing w:val="0"/>
          <w:w w:val="100"/>
          <w:position w:val="0"/>
        </w:rPr>
        <w:t>（2）</w:t>
      </w:r>
      <w:r>
        <w:rPr>
          <w:color w:val="000000"/>
          <w:spacing w:val="0"/>
          <w:w w:val="100"/>
          <w:position w:val="0"/>
        </w:rPr>
        <w:t>关联租赁情况</w:t>
      </w:r>
      <w:bookmarkEnd w:id="1465"/>
      <w:bookmarkEnd w:id="1466"/>
      <w:bookmarkEnd w:id="1467"/>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本公司作为承租方：</w:t>
      </w:r>
    </w:p>
    <w:p>
      <w:pPr>
        <w:pStyle w:val="Style26"/>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武汉华工大学科技园发展有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1,002,445.72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1,092,002.12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6"/>
        <w:keepNext w:val="0"/>
        <w:keepLines w:val="0"/>
        <w:widowControl w:val="0"/>
        <w:shd w:val="clear" w:color="auto" w:fill="auto"/>
        <w:bidi w:val="0"/>
        <w:spacing w:before="0" w:after="400" w:line="305" w:lineRule="exact"/>
        <w:ind w:left="0" w:right="0" w:firstLine="360"/>
        <w:jc w:val="left"/>
      </w:pPr>
      <w:r>
        <w:rPr>
          <w:color w:val="000000"/>
          <w:spacing w:val="0"/>
          <w:w w:val="100"/>
          <w:position w:val="0"/>
        </w:rPr>
        <w:t>公司与武汉华工大学科技园发展有限公司签订《华工科技园创新基地研发楼租赁合同》</w:t>
      </w:r>
      <w:r>
        <w:rPr>
          <w:color w:val="000000"/>
          <w:spacing w:val="0"/>
          <w:w w:val="100"/>
          <w:position w:val="0"/>
        </w:rPr>
        <w:t>，</w:t>
      </w:r>
      <w:r>
        <w:rPr>
          <w:color w:val="000000"/>
          <w:spacing w:val="0"/>
          <w:w w:val="100"/>
          <w:position w:val="0"/>
        </w:rPr>
        <w:t>租赁建筑面积为</w:t>
      </w:r>
      <w:r>
        <w:rPr>
          <w:color w:val="000000"/>
          <w:spacing w:val="0"/>
          <w:w w:val="100"/>
          <w:position w:val="0"/>
        </w:rPr>
        <w:t>2,741.08</w:t>
      </w:r>
      <w:r>
        <w:rPr>
          <w:color w:val="000000"/>
          <w:spacing w:val="0"/>
          <w:w w:val="100"/>
          <w:position w:val="0"/>
        </w:rPr>
        <w:t>平方 米，租赁期为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日，租金每月</w:t>
      </w:r>
      <w:r>
        <w:rPr>
          <w:color w:val="000000"/>
          <w:spacing w:val="0"/>
          <w:w w:val="100"/>
          <w:position w:val="0"/>
        </w:rPr>
        <w:t>32</w:t>
      </w:r>
      <w:r>
        <w:rPr>
          <w:color w:val="000000"/>
          <w:spacing w:val="0"/>
          <w:w w:val="100"/>
          <w:position w:val="0"/>
        </w:rPr>
        <w:t>元</w:t>
      </w:r>
      <w:r>
        <w:rPr>
          <w:color w:val="000000"/>
          <w:spacing w:val="0"/>
          <w:w w:val="100"/>
          <w:position w:val="0"/>
        </w:rPr>
        <w:t>/</w:t>
      </w:r>
      <w:r>
        <w:rPr>
          <w:color w:val="000000"/>
          <w:spacing w:val="0"/>
          <w:w w:val="100"/>
          <w:position w:val="0"/>
        </w:rPr>
        <w:t>平方米，每月租金总额为</w:t>
      </w:r>
      <w:r>
        <w:rPr>
          <w:color w:val="000000"/>
          <w:spacing w:val="0"/>
          <w:w w:val="100"/>
          <w:position w:val="0"/>
        </w:rPr>
        <w:t>87,714.00</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1-12</w:t>
      </w:r>
      <w:r>
        <w:rPr>
          <w:color w:val="000000"/>
          <w:spacing w:val="0"/>
          <w:w w:val="100"/>
          <w:position w:val="0"/>
        </w:rPr>
        <w:t>月共发生 租金</w:t>
      </w:r>
      <w:r>
        <w:rPr>
          <w:color w:val="000000"/>
          <w:spacing w:val="0"/>
          <w:w w:val="100"/>
          <w:position w:val="0"/>
        </w:rPr>
        <w:t>1,002,445.72</w:t>
      </w:r>
      <w:r>
        <w:rPr>
          <w:color w:val="000000"/>
          <w:spacing w:val="0"/>
          <w:w w:val="100"/>
          <w:position w:val="0"/>
        </w:rPr>
        <w:t>元（不含税）。</w:t>
      </w:r>
    </w:p>
    <w:p>
      <w:pPr>
        <w:pStyle w:val="Style36"/>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color w:val="000000"/>
          <w:spacing w:val="0"/>
          <w:w w:val="100"/>
          <w:position w:val="0"/>
        </w:rPr>
        <w:t>3）</w:t>
      </w:r>
      <w:r>
        <w:rPr>
          <w:color w:val="000000"/>
          <w:spacing w:val="0"/>
          <w:w w:val="100"/>
          <w:position w:val="0"/>
        </w:rPr>
        <w:t>关键管理人员报酬</w:t>
      </w:r>
      <w:bookmarkEnd w:id="1468"/>
      <w:bookmarkEnd w:id="1469"/>
      <w:bookmarkEnd w:id="1471"/>
    </w:p>
    <w:p>
      <w:pPr>
        <w:pStyle w:val="Style26"/>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3,867,343.69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5,999,366.22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6</w:t>
      </w:r>
      <w:bookmarkEnd w:id="1474"/>
      <w:r>
        <w:rPr>
          <w:color w:val="000000"/>
          <w:spacing w:val="0"/>
          <w:w w:val="100"/>
          <w:position w:val="0"/>
        </w:rPr>
        <w:t>、关联方应收应付款项</w:t>
      </w:r>
      <w:bookmarkEnd w:id="1472"/>
      <w:bookmarkEnd w:id="1473"/>
      <w:bookmarkEnd w:id="1475"/>
    </w:p>
    <w:p>
      <w:pPr>
        <w:pStyle w:val="Style36"/>
        <w:keepNext/>
        <w:keepLines/>
        <w:widowControl w:val="0"/>
        <w:shd w:val="clear" w:color="auto" w:fill="auto"/>
        <w:bidi w:val="0"/>
        <w:spacing w:before="0" w:after="400" w:line="240" w:lineRule="auto"/>
        <w:ind w:left="0" w:right="0" w:firstLine="0"/>
        <w:jc w:val="both"/>
      </w:pPr>
      <w:bookmarkStart w:id="1476" w:name="bookmark1476"/>
      <w:bookmarkStart w:id="1477" w:name="bookmark1477"/>
      <w:bookmarkStart w:id="1478" w:name="bookmark1478"/>
      <w:r>
        <w:rPr>
          <w:color w:val="000000"/>
          <w:spacing w:val="0"/>
          <w:w w:val="100"/>
          <w:position w:val="0"/>
        </w:rPr>
        <w:t>（1）</w:t>
      </w:r>
      <w:r>
        <w:rPr>
          <w:color w:val="000000"/>
          <w:spacing w:val="0"/>
          <w:w w:val="100"/>
          <w:position w:val="0"/>
        </w:rPr>
        <w:t>应收项目</w:t>
      </w:r>
      <w:bookmarkEnd w:id="1476"/>
      <w:bookmarkEnd w:id="1477"/>
      <w:bookmarkEnd w:id="14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915"/>
        <w:gridCol w:w="1598"/>
        <w:gridCol w:w="1594"/>
        <w:gridCol w:w="1594"/>
        <w:gridCol w:w="1603"/>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武汉华工建设发展有限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547,478.00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522,077.60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523,753.00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华中科技大学附属中学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87,731.61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福建中教网络教育服务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1,361,326.87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271,975.56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1,618,806.87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148,380.69</w:t>
            </w:r>
          </w:p>
        </w:tc>
      </w:tr>
    </w:tbl>
    <w:tbl>
      <w:tblPr>
        <w:tblOverlap w:val="never"/>
        <w:jc w:val="center"/>
        <w:tblLayout w:type="fixed"/>
      </w:tblPr>
      <w:tblGrid>
        <w:gridCol w:w="1598"/>
        <w:gridCol w:w="1915"/>
        <w:gridCol w:w="1598"/>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武汉华工大学科技园发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武汉华科物业管理有限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r>
    </w:tbl>
    <w:p>
      <w:pPr>
        <w:widowControl w:val="0"/>
        <w:spacing w:after="299" w:line="1" w:lineRule="exact"/>
      </w:pPr>
    </w:p>
    <w:p>
      <w:pPr>
        <w:pStyle w:val="Style36"/>
        <w:keepNext/>
        <w:keepLines/>
        <w:widowControl w:val="0"/>
        <w:shd w:val="clear" w:color="auto" w:fill="auto"/>
        <w:bidi w:val="0"/>
        <w:spacing w:before="0" w:after="400" w:line="240" w:lineRule="auto"/>
        <w:ind w:left="0" w:right="0" w:firstLine="0"/>
        <w:jc w:val="left"/>
      </w:pPr>
      <w:bookmarkStart w:id="1479" w:name="bookmark1479"/>
      <w:bookmarkStart w:id="1480" w:name="bookmark1480"/>
      <w:bookmarkStart w:id="1481" w:name="bookmark1481"/>
      <w:r>
        <w:rPr>
          <w:color w:val="000000"/>
          <w:spacing w:val="0"/>
          <w:w w:val="100"/>
          <w:position w:val="0"/>
        </w:rPr>
        <w:t>（2）</w:t>
      </w:r>
      <w:r>
        <w:rPr>
          <w:color w:val="000000"/>
          <w:spacing w:val="0"/>
          <w:w w:val="100"/>
          <w:position w:val="0"/>
        </w:rPr>
        <w:t>应付项目</w:t>
      </w:r>
      <w:bookmarkEnd w:id="1479"/>
      <w:bookmarkEnd w:id="1480"/>
      <w:bookmarkEnd w:id="1481"/>
    </w:p>
    <w:p>
      <w:pPr>
        <w:pStyle w:val="Style26"/>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武汉华工图像技术开发有限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1,074,935.49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武汉华工大学科技园发展有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224,367.50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武汉武信天喻科技投资有限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bl>
    <w:p>
      <w:pPr>
        <w:widowControl w:val="0"/>
        <w:spacing w:after="29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根据公司与武汉武信天喻科技投资有限公司签订的《最高额借款合同》中关于合同期满后自动续约的条款，该合同于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日到期后续约一年。</w:t>
      </w:r>
    </w:p>
    <w:p>
      <w:pPr>
        <w:pStyle w:val="Style23"/>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r>
        <w:rPr>
          <w:color w:val="000000"/>
          <w:spacing w:val="0"/>
          <w:w w:val="100"/>
          <w:position w:val="0"/>
        </w:rPr>
        <w:t>十三、承诺及或有事项</w:t>
      </w:r>
      <w:bookmarkEnd w:id="1482"/>
      <w:bookmarkEnd w:id="1483"/>
      <w:bookmarkEnd w:id="1484"/>
    </w:p>
    <w:p>
      <w:pPr>
        <w:pStyle w:val="Style30"/>
        <w:keepNext/>
        <w:keepLines/>
        <w:widowControl w:val="0"/>
        <w:shd w:val="clear" w:color="auto" w:fill="auto"/>
        <w:tabs>
          <w:tab w:pos="365" w:val="left"/>
        </w:tabs>
        <w:bidi w:val="0"/>
        <w:spacing w:before="0" w:after="40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1</w:t>
      </w:r>
      <w:bookmarkEnd w:id="1487"/>
      <w:r>
        <w:rPr>
          <w:color w:val="000000"/>
          <w:spacing w:val="0"/>
          <w:w w:val="100"/>
          <w:position w:val="0"/>
        </w:rPr>
        <w:t>、</w:t>
        <w:tab/>
        <w:t>重要承诺事项</w:t>
      </w:r>
      <w:bookmarkEnd w:id="1485"/>
      <w:bookmarkEnd w:id="1486"/>
      <w:bookmarkEnd w:id="148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3" w:val="left"/>
        </w:tabs>
        <w:bidi w:val="0"/>
        <w:spacing w:before="0" w:after="40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2</w:t>
      </w:r>
      <w:bookmarkEnd w:id="1491"/>
      <w:r>
        <w:rPr>
          <w:color w:val="000000"/>
          <w:spacing w:val="0"/>
          <w:w w:val="100"/>
          <w:position w:val="0"/>
        </w:rPr>
        <w:t>、</w:t>
        <w:tab/>
        <w:t>或有事项</w:t>
      </w:r>
      <w:bookmarkEnd w:id="1489"/>
      <w:bookmarkEnd w:id="1490"/>
      <w:bookmarkEnd w:id="1492"/>
    </w:p>
    <w:p>
      <w:pPr>
        <w:pStyle w:val="Style36"/>
        <w:keepNext/>
        <w:keepLines/>
        <w:widowControl w:val="0"/>
        <w:shd w:val="clear" w:color="auto" w:fill="auto"/>
        <w:tabs>
          <w:tab w:pos="493" w:val="left"/>
        </w:tabs>
        <w:bidi w:val="0"/>
        <w:spacing w:before="0" w:after="40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color w:val="000000"/>
          <w:spacing w:val="0"/>
          <w:w w:val="100"/>
          <w:position w:val="0"/>
        </w:rPr>
        <w:t>1）</w:t>
        <w:tab/>
      </w:r>
      <w:r>
        <w:rPr>
          <w:color w:val="000000"/>
          <w:spacing w:val="0"/>
          <w:w w:val="100"/>
          <w:position w:val="0"/>
        </w:rPr>
        <w:t>资产负债表日存在的重要或有事项</w:t>
      </w:r>
      <w:bookmarkEnd w:id="1493"/>
      <w:bookmarkEnd w:id="1494"/>
      <w:bookmarkEnd w:id="1496"/>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4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color w:val="000000"/>
          <w:spacing w:val="0"/>
          <w:w w:val="100"/>
          <w:position w:val="0"/>
        </w:rPr>
        <w:t>2）</w:t>
        <w:tab/>
      </w:r>
      <w:r>
        <w:rPr>
          <w:color w:val="000000"/>
          <w:spacing w:val="0"/>
          <w:w w:val="100"/>
          <w:position w:val="0"/>
        </w:rPr>
        <w:t>公司没有需要披露的重要或有事项，也应予以说明</w:t>
      </w:r>
      <w:bookmarkEnd w:id="1497"/>
      <w:bookmarkEnd w:id="1498"/>
      <w:bookmarkEnd w:id="1500"/>
    </w:p>
    <w:p>
      <w:pPr>
        <w:pStyle w:val="Style26"/>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r>
        <w:rPr>
          <w:color w:val="000000"/>
          <w:spacing w:val="0"/>
          <w:w w:val="100"/>
          <w:position w:val="0"/>
        </w:rPr>
        <w:t>十四、资产负债表日后事项</w:t>
      </w:r>
      <w:bookmarkEnd w:id="1501"/>
      <w:bookmarkEnd w:id="1502"/>
      <w:bookmarkEnd w:id="1503"/>
    </w:p>
    <w:p>
      <w:pPr>
        <w:pStyle w:val="Style30"/>
        <w:keepNext/>
        <w:keepLines/>
        <w:widowControl w:val="0"/>
        <w:shd w:val="clear" w:color="auto" w:fill="auto"/>
        <w:tabs>
          <w:tab w:pos="370" w:val="left"/>
        </w:tabs>
        <w:bidi w:val="0"/>
        <w:spacing w:before="0" w:line="240" w:lineRule="auto"/>
        <w:ind w:left="0" w:right="0" w:firstLine="0"/>
        <w:jc w:val="both"/>
      </w:pPr>
      <w:bookmarkStart w:id="1504" w:name="bookmark1504"/>
      <w:bookmarkStart w:id="1505" w:name="bookmark1505"/>
      <w:bookmarkStart w:id="1506" w:name="bookmark1506"/>
      <w:bookmarkStart w:id="1507" w:name="bookmark1507"/>
      <w:r>
        <w:rPr>
          <w:color w:val="000000"/>
          <w:spacing w:val="0"/>
          <w:w w:val="100"/>
          <w:position w:val="0"/>
        </w:rPr>
        <w:t>1</w:t>
      </w:r>
      <w:bookmarkEnd w:id="1506"/>
      <w:r>
        <w:rPr>
          <w:color w:val="000000"/>
          <w:spacing w:val="0"/>
          <w:w w:val="100"/>
          <w:position w:val="0"/>
        </w:rPr>
        <w:t>、</w:t>
        <w:tab/>
        <w:t>重要的非调整事项</w:t>
      </w:r>
      <w:bookmarkEnd w:id="1504"/>
      <w:bookmarkEnd w:id="1505"/>
      <w:bookmarkEnd w:id="1507"/>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3" w:val="left"/>
        </w:tabs>
        <w:bidi w:val="0"/>
        <w:spacing w:before="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2</w:t>
      </w:r>
      <w:bookmarkEnd w:id="1510"/>
      <w:r>
        <w:rPr>
          <w:color w:val="000000"/>
          <w:spacing w:val="0"/>
          <w:w w:val="100"/>
          <w:position w:val="0"/>
        </w:rPr>
        <w:t>、</w:t>
        <w:tab/>
        <w:t>利润分配情况</w:t>
      </w:r>
      <w:bookmarkEnd w:id="1508"/>
      <w:bookmarkEnd w:id="1509"/>
      <w:bookmarkEnd w:id="151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59" w:line="1" w:lineRule="exact"/>
      </w:pPr>
    </w:p>
    <w:p>
      <w:pPr>
        <w:pStyle w:val="Style23"/>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r>
        <w:rPr>
          <w:color w:val="000000"/>
          <w:spacing w:val="0"/>
          <w:w w:val="100"/>
          <w:position w:val="0"/>
        </w:rPr>
        <w:t>十五、其他重要事项</w:t>
      </w:r>
      <w:bookmarkEnd w:id="1512"/>
      <w:bookmarkEnd w:id="1513"/>
      <w:bookmarkEnd w:id="1514"/>
    </w:p>
    <w:p>
      <w:pPr>
        <w:pStyle w:val="Style30"/>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1</w:t>
      </w:r>
      <w:r>
        <w:rPr>
          <w:color w:val="000000"/>
          <w:spacing w:val="0"/>
          <w:w w:val="100"/>
          <w:position w:val="0"/>
        </w:rPr>
        <w:t>、分部信息</w:t>
      </w:r>
      <w:bookmarkEnd w:id="1515"/>
      <w:bookmarkEnd w:id="1516"/>
      <w:bookmarkEnd w:id="1517"/>
    </w:p>
    <w:p>
      <w:pPr>
        <w:pStyle w:val="Style36"/>
        <w:keepNext/>
        <w:keepLines/>
        <w:widowControl w:val="0"/>
        <w:shd w:val="clear" w:color="auto" w:fill="auto"/>
        <w:tabs>
          <w:tab w:pos="493" w:val="left"/>
        </w:tabs>
        <w:bidi w:val="0"/>
        <w:spacing w:before="0" w:after="24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color w:val="000000"/>
          <w:spacing w:val="0"/>
          <w:w w:val="100"/>
          <w:position w:val="0"/>
        </w:rPr>
        <w:t>1）</w:t>
        <w:tab/>
      </w:r>
      <w:r>
        <w:rPr>
          <w:color w:val="000000"/>
          <w:spacing w:val="0"/>
          <w:w w:val="100"/>
          <w:position w:val="0"/>
        </w:rPr>
        <w:t>报告分部的确定依据与会计政策</w:t>
      </w:r>
      <w:bookmarkEnd w:id="1518"/>
      <w:bookmarkEnd w:id="1519"/>
      <w:bookmarkEnd w:id="1521"/>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根据本公司的内部组织结构、管理要求及内部报告制度，本公司的经营业务划分为</w:t>
      </w:r>
      <w:r>
        <w:rPr>
          <w:color w:val="000000"/>
          <w:spacing w:val="0"/>
          <w:w w:val="100"/>
          <w:position w:val="0"/>
        </w:rPr>
        <w:t>2</w:t>
      </w:r>
      <w:r>
        <w:rPr>
          <w:color w:val="000000"/>
          <w:spacing w:val="0"/>
          <w:w w:val="100"/>
          <w:position w:val="0"/>
        </w:rPr>
        <w:t>个经营分部，本公司的管理层定期 评价这些分部的经营成果，以决定向其分配资源及评价其业绩。在经营分部的基础上本公司确定了</w:t>
      </w:r>
      <w:r>
        <w:rPr>
          <w:color w:val="000000"/>
          <w:spacing w:val="0"/>
          <w:w w:val="100"/>
          <w:position w:val="0"/>
        </w:rPr>
        <w:t>2</w:t>
      </w:r>
      <w:r>
        <w:rPr>
          <w:color w:val="000000"/>
          <w:spacing w:val="0"/>
          <w:w w:val="100"/>
          <w:position w:val="0"/>
        </w:rPr>
        <w:t>个报告分部，分别为数 据安全业务单元报告分部、智慧教育业务单元报告分部。这些报告分部是以管理层配置资源和评价业绩为目的，对各业务单 元的经营分开进行管理为基础确定的。本公司各个报告分部提供的主要产品及劳务分别为：</w:t>
      </w:r>
    </w:p>
    <w:p>
      <w:pPr>
        <w:pStyle w:val="Style26"/>
        <w:keepNext w:val="0"/>
        <w:keepLines w:val="0"/>
        <w:widowControl w:val="0"/>
        <w:shd w:val="clear" w:color="auto" w:fill="auto"/>
        <w:tabs>
          <w:tab w:pos="704" w:val="left"/>
        </w:tabs>
        <w:bidi w:val="0"/>
        <w:spacing w:before="0" w:after="0" w:line="315" w:lineRule="exact"/>
        <w:ind w:left="0" w:right="0" w:firstLine="380"/>
        <w:jc w:val="both"/>
      </w:pPr>
      <w:bookmarkStart w:id="1522" w:name="bookmark1522"/>
      <w:r>
        <w:rPr>
          <w:color w:val="000000"/>
          <w:spacing w:val="0"/>
          <w:w w:val="100"/>
          <w:position w:val="0"/>
        </w:rPr>
        <w:t>A</w:t>
      </w:r>
      <w:bookmarkEnd w:id="1522"/>
      <w:r>
        <w:rPr>
          <w:color w:val="000000"/>
          <w:spacing w:val="0"/>
          <w:w w:val="100"/>
          <w:position w:val="0"/>
        </w:rPr>
        <w:t>、</w:t>
        <w:tab/>
      </w:r>
      <w:r>
        <w:rPr>
          <w:color w:val="000000"/>
          <w:spacing w:val="0"/>
          <w:w w:val="100"/>
          <w:position w:val="0"/>
        </w:rPr>
        <w:t>数据安全业务：包括母公司及子公司百望信息、湖北百旺、黑龙江百望、聚联科技、擎动网络、果核科技，业务涵 盖智能卡、终端、以数据安全技术为核心的服务，产品应用于金融、通信、交通、税务、政府等领域。</w:t>
      </w:r>
    </w:p>
    <w:p>
      <w:pPr>
        <w:pStyle w:val="Style26"/>
        <w:keepNext w:val="0"/>
        <w:keepLines w:val="0"/>
        <w:widowControl w:val="0"/>
        <w:shd w:val="clear" w:color="auto" w:fill="auto"/>
        <w:tabs>
          <w:tab w:pos="704" w:val="left"/>
        </w:tabs>
        <w:bidi w:val="0"/>
        <w:spacing w:before="0" w:after="0" w:line="315" w:lineRule="exact"/>
        <w:ind w:left="0" w:right="0" w:firstLine="380"/>
        <w:jc w:val="both"/>
      </w:pPr>
      <w:bookmarkStart w:id="1523" w:name="bookmark1523"/>
      <w:r>
        <w:rPr>
          <w:color w:val="000000"/>
          <w:spacing w:val="0"/>
          <w:w w:val="100"/>
          <w:position w:val="0"/>
        </w:rPr>
        <w:t>B</w:t>
      </w:r>
      <w:bookmarkEnd w:id="1523"/>
      <w:r>
        <w:rPr>
          <w:color w:val="000000"/>
          <w:spacing w:val="0"/>
          <w:w w:val="100"/>
          <w:position w:val="0"/>
        </w:rPr>
        <w:t>、</w:t>
        <w:tab/>
      </w:r>
      <w:r>
        <w:rPr>
          <w:color w:val="000000"/>
          <w:spacing w:val="0"/>
          <w:w w:val="100"/>
          <w:position w:val="0"/>
        </w:rPr>
        <w:t>智慧教育业务：包括子公司天喻教育、易考乐学、无锡尚蠡、四川天喻云、现代教育、鱼渔课堂、河南喻周、焦作 天喻云、汉阳喻教、青山喻优教，业务涵盖以国家教育信息化建设为背景的</w:t>
      </w:r>
      <w:r>
        <w:rPr>
          <w:color w:val="000000"/>
          <w:spacing w:val="0"/>
          <w:w w:val="100"/>
          <w:position w:val="0"/>
        </w:rPr>
        <w:t>K12</w:t>
      </w:r>
      <w:r>
        <w:rPr>
          <w:color w:val="000000"/>
          <w:spacing w:val="0"/>
          <w:w w:val="100"/>
          <w:position w:val="0"/>
        </w:rPr>
        <w:t>阶段教育云平台与应用的开发、销售、运营 业务及</w:t>
      </w:r>
      <w:r>
        <w:rPr>
          <w:color w:val="000000"/>
          <w:spacing w:val="0"/>
          <w:w w:val="100"/>
          <w:position w:val="0"/>
        </w:rPr>
        <w:t>K12</w:t>
      </w:r>
      <w:r>
        <w:rPr>
          <w:color w:val="000000"/>
          <w:spacing w:val="0"/>
          <w:w w:val="100"/>
          <w:position w:val="0"/>
        </w:rPr>
        <w:t>阶段学生在线学习服务平台运营服务。</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分部报告信息根据各分部向管理层报告时采用的会计政策及计量标准披露，这些计量基础与编制财务报表时的会计与计 量基础保持一致。</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color w:val="000000"/>
          <w:spacing w:val="0"/>
          <w:w w:val="100"/>
          <w:position w:val="0"/>
        </w:rPr>
        <w:t>2）</w:t>
        <w:tab/>
      </w:r>
      <w:r>
        <w:rPr>
          <w:color w:val="000000"/>
          <w:spacing w:val="0"/>
          <w:w w:val="100"/>
          <w:position w:val="0"/>
        </w:rPr>
        <w:t>报告分部的财务信息</w:t>
      </w:r>
      <w:bookmarkEnd w:id="1524"/>
      <w:bookmarkEnd w:id="1525"/>
      <w:bookmarkEnd w:id="152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数据安全业务单元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智慧教育业务单元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1,570,400,291.26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123,129,387.92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1,693,529,679.18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99,993,946.83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-100, 348,476.28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118,606,771.64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63,116,256.43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181,723,028.07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17,293,685.17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1,167,019.84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-13,378,230.55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5,082,474.46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13,952,606.46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12,841,313.40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-13,378,230.55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13,415,689.31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184,068.00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-5,279,440.58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-3,318,301.80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-8,597,742.38</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-19,796,093.09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-19,844,486.23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25,274,911.57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8,220,669.35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33,495,580.92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-21,079,664.70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-37,657,785.62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-58,727,414.93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3,032,442,788.39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317,988,674.75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-530,373,287.02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2,820,058,176.12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1,462,351,755.33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476,564,076.98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-446,253,287.02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1,492,662,545.29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对联营企业和合营企业 的长期股权投资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72,195,802.86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72,441,998.80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长期股权投资以外的其 他非流动资产增加额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56,637,557.16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6,556,131.18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63,193,688.34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after="359" w:line="1" w:lineRule="exact"/>
      </w:pPr>
    </w:p>
    <w:p>
      <w:pPr>
        <w:pStyle w:val="Style30"/>
        <w:keepNext/>
        <w:keepLines/>
        <w:widowControl w:val="0"/>
        <w:shd w:val="clear" w:color="auto" w:fill="auto"/>
        <w:bidi w:val="0"/>
        <w:spacing w:before="0" w:after="280" w:line="240" w:lineRule="auto"/>
        <w:ind w:left="0" w:right="0" w:firstLine="0"/>
        <w:jc w:val="left"/>
      </w:pPr>
      <w:bookmarkStart w:id="1528" w:name="bookmark1528"/>
      <w:bookmarkStart w:id="1529" w:name="bookmark1529"/>
      <w:bookmarkStart w:id="1530" w:name="bookmark1530"/>
      <w:r>
        <w:rPr>
          <w:color w:val="000000"/>
          <w:spacing w:val="0"/>
          <w:w w:val="100"/>
          <w:position w:val="0"/>
        </w:rPr>
        <w:t>2</w:t>
      </w:r>
      <w:r>
        <w:rPr>
          <w:color w:val="000000"/>
          <w:spacing w:val="0"/>
          <w:w w:val="100"/>
          <w:position w:val="0"/>
        </w:rPr>
        <w:t>、新冠肺炎疫情相关租金减让简化处理的影响</w:t>
      </w:r>
      <w:bookmarkEnd w:id="1528"/>
      <w:bookmarkEnd w:id="1529"/>
      <w:bookmarkEnd w:id="1530"/>
    </w:p>
    <w:p>
      <w:pPr>
        <w:pStyle w:val="Style26"/>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本公司对于全部符合《新冠肺炎疫情相关租金减让会计处理规定》（财会</w:t>
      </w:r>
      <w:r>
        <w:rPr>
          <w:color w:val="000000"/>
          <w:spacing w:val="0"/>
          <w:w w:val="100"/>
          <w:position w:val="0"/>
        </w:rPr>
        <w:t>[2020]10</w:t>
      </w:r>
      <w:r>
        <w:rPr>
          <w:color w:val="000000"/>
          <w:spacing w:val="0"/>
          <w:w w:val="100"/>
          <w:position w:val="0"/>
        </w:rPr>
        <w:t>号）适用范围和条件的租赁合同，采 用简化处理方法（详见附注五、</w:t>
      </w:r>
      <w:r>
        <w:rPr>
          <w:color w:val="000000"/>
          <w:spacing w:val="0"/>
          <w:w w:val="100"/>
          <w:position w:val="0"/>
        </w:rPr>
        <w:t xml:space="preserve">34 </w:t>
      </w:r>
      <w:r>
        <w:rPr>
          <w:color w:val="000000"/>
          <w:spacing w:val="0"/>
          <w:w w:val="100"/>
          <w:position w:val="0"/>
        </w:rPr>
        <w:t>“租赁”）。</w:t>
      </w:r>
    </w:p>
    <w:p>
      <w:pPr>
        <w:pStyle w:val="Style26"/>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采用上述简化处理方法导致本公司</w:t>
      </w:r>
      <w:r>
        <w:rPr>
          <w:color w:val="000000"/>
          <w:spacing w:val="0"/>
          <w:w w:val="100"/>
          <w:position w:val="0"/>
        </w:rPr>
        <w:t>2020</w:t>
      </w:r>
      <w:r>
        <w:rPr>
          <w:color w:val="000000"/>
          <w:spacing w:val="0"/>
          <w:w w:val="100"/>
          <w:position w:val="0"/>
        </w:rPr>
        <w:t>年度主营业务成本减少</w:t>
      </w:r>
      <w:r>
        <w:rPr>
          <w:color w:val="000000"/>
          <w:spacing w:val="0"/>
          <w:w w:val="100"/>
          <w:position w:val="0"/>
        </w:rPr>
        <w:t>520,954.37</w:t>
      </w:r>
      <w:r>
        <w:rPr>
          <w:color w:val="000000"/>
          <w:spacing w:val="0"/>
          <w:w w:val="100"/>
          <w:position w:val="0"/>
        </w:rPr>
        <w:t>元、管理费用减少</w:t>
      </w:r>
      <w:r>
        <w:rPr>
          <w:color w:val="000000"/>
          <w:spacing w:val="0"/>
          <w:w w:val="100"/>
          <w:position w:val="0"/>
        </w:rPr>
        <w:t>253,578.77</w:t>
      </w:r>
      <w:r>
        <w:rPr>
          <w:color w:val="000000"/>
          <w:spacing w:val="0"/>
          <w:w w:val="100"/>
          <w:position w:val="0"/>
        </w:rPr>
        <w:t>元、销售费用减</w:t>
      </w:r>
    </w:p>
    <w:p>
      <w:pPr>
        <w:pStyle w:val="Style26"/>
        <w:keepNext w:val="0"/>
        <w:keepLines w:val="0"/>
        <w:widowControl w:val="0"/>
        <w:shd w:val="clear" w:color="auto" w:fill="auto"/>
        <w:bidi w:val="0"/>
        <w:spacing w:before="0" w:after="280" w:line="341" w:lineRule="exact"/>
        <w:ind w:left="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388" w:right="927" w:bottom="1450" w:left="1057" w:header="0" w:footer="3" w:gutter="0"/>
          <w:cols w:space="720"/>
          <w:noEndnote/>
          <w:rtlGutter w:val="0"/>
          <w:docGrid w:linePitch="360"/>
        </w:sectPr>
      </w:pPr>
      <w:r>
        <w:rPr>
          <w:color w:val="000000"/>
          <w:spacing w:val="0"/>
          <w:w w:val="100"/>
          <w:position w:val="0"/>
        </w:rPr>
        <w:t>少</w:t>
      </w:r>
      <w:r>
        <w:rPr>
          <w:color w:val="000000"/>
          <w:spacing w:val="0"/>
          <w:w w:val="100"/>
          <w:position w:val="0"/>
        </w:rPr>
        <w:t>133,193.80</w:t>
      </w:r>
      <w:r>
        <w:rPr>
          <w:color w:val="000000"/>
          <w:spacing w:val="0"/>
          <w:w w:val="100"/>
          <w:position w:val="0"/>
        </w:rPr>
        <w:t>元、研发费用减少</w:t>
      </w:r>
      <w:r>
        <w:rPr>
          <w:color w:val="000000"/>
          <w:spacing w:val="0"/>
          <w:w w:val="100"/>
          <w:position w:val="0"/>
        </w:rPr>
        <w:t xml:space="preserve">266, </w:t>
      </w:r>
      <w:r>
        <w:rPr>
          <w:color w:val="000000"/>
          <w:spacing w:val="0"/>
          <w:w w:val="100"/>
          <w:position w:val="0"/>
        </w:rPr>
        <w:t xml:space="preserve">620. </w:t>
      </w:r>
      <w:r>
        <w:rPr>
          <w:color w:val="000000"/>
          <w:spacing w:val="0"/>
          <w:w w:val="100"/>
          <w:position w:val="0"/>
        </w:rPr>
        <w:t>22</w:t>
      </w:r>
      <w:r>
        <w:rPr>
          <w:color w:val="000000"/>
          <w:spacing w:val="0"/>
          <w:w w:val="100"/>
          <w:position w:val="0"/>
        </w:rPr>
        <w:t>元、其他业务支出减少</w:t>
      </w:r>
      <w:r>
        <w:rPr>
          <w:color w:val="000000"/>
          <w:spacing w:val="0"/>
          <w:w w:val="100"/>
          <w:position w:val="0"/>
        </w:rPr>
        <w:t>137,645.71</w:t>
      </w:r>
      <w:r>
        <w:rPr>
          <w:color w:val="000000"/>
          <w:spacing w:val="0"/>
          <w:w w:val="100"/>
          <w:position w:val="0"/>
        </w:rPr>
        <w:t>元、归属于母公司股东的净利润增加</w:t>
      </w:r>
      <w:r>
        <w:rPr>
          <w:color w:val="000000"/>
          <w:spacing w:val="0"/>
          <w:w w:val="100"/>
          <w:position w:val="0"/>
        </w:rPr>
        <w:t xml:space="preserve">912, </w:t>
      </w:r>
      <w:r>
        <w:rPr>
          <w:color w:val="000000"/>
          <w:spacing w:val="0"/>
          <w:w w:val="100"/>
          <w:position w:val="0"/>
        </w:rPr>
        <w:t xml:space="preserve">843. </w:t>
      </w:r>
      <w:r>
        <w:rPr>
          <w:color w:val="000000"/>
          <w:spacing w:val="0"/>
          <w:w w:val="100"/>
          <w:position w:val="0"/>
        </w:rPr>
        <w:t>81 7</w:t>
      </w:r>
      <w:r>
        <w:rPr>
          <w:color w:val="000000"/>
          <w:spacing w:val="0"/>
          <w:w w:val="100"/>
          <w:position w:val="0"/>
        </w:rPr>
        <w:t>元</w:t>
      </w:r>
      <w:r>
        <w:rPr>
          <w:color w:val="000000"/>
          <w:spacing w:val="0"/>
          <w:w w:val="100"/>
          <w:position w:val="0"/>
          <w:vertAlign w:val="superscript"/>
        </w:rPr>
        <w:t>0</w:t>
      </w:r>
    </w:p>
    <w:p>
      <w:pPr>
        <w:pStyle w:val="Style23"/>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color w:val="000000"/>
          <w:spacing w:val="0"/>
          <w:w w:val="100"/>
          <w:position w:val="0"/>
        </w:rPr>
        <w:t>十六、母公司财务报表主要项目注释</w:t>
      </w:r>
      <w:bookmarkEnd w:id="1531"/>
      <w:bookmarkEnd w:id="1532"/>
      <w:bookmarkEnd w:id="1533"/>
    </w:p>
    <w:p>
      <w:pPr>
        <w:pStyle w:val="Style30"/>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1</w:t>
      </w:r>
      <w:r>
        <w:rPr>
          <w:color w:val="000000"/>
          <w:spacing w:val="0"/>
          <w:w w:val="100"/>
          <w:position w:val="0"/>
        </w:rPr>
        <w:t>、应收账款</w:t>
      </w:r>
      <w:bookmarkEnd w:id="1534"/>
      <w:bookmarkEnd w:id="1535"/>
      <w:bookmarkEnd w:id="1536"/>
    </w:p>
    <w:p>
      <w:pPr>
        <w:pStyle w:val="Style36"/>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color w:val="000000"/>
          <w:spacing w:val="0"/>
          <w:w w:val="100"/>
          <w:position w:val="0"/>
        </w:rPr>
        <w:t>（1）</w:t>
      </w:r>
      <w:r>
        <w:rPr>
          <w:color w:val="000000"/>
          <w:spacing w:val="0"/>
          <w:w w:val="100"/>
          <w:position w:val="0"/>
        </w:rPr>
        <w:t>应收账款分类披露</w:t>
      </w:r>
      <w:bookmarkEnd w:id="1537"/>
      <w:bookmarkEnd w:id="1538"/>
      <w:bookmarkEnd w:id="1539"/>
    </w:p>
    <w:p>
      <w:pPr>
        <w:pStyle w:val="Style33"/>
        <w:keepNext w:val="0"/>
        <w:keepLines w:val="0"/>
        <w:widowControl w:val="0"/>
        <w:shd w:val="clear" w:color="auto" w:fill="auto"/>
        <w:bidi w:val="0"/>
        <w:spacing w:before="0" w:after="0" w:line="240" w:lineRule="auto"/>
        <w:ind w:left="13234" w:right="0" w:firstLine="0"/>
        <w:jc w:val="left"/>
      </w:pPr>
      <w:r>
        <w:rPr>
          <w:color w:val="000000"/>
          <w:spacing w:val="0"/>
          <w:w w:val="100"/>
          <w:position w:val="0"/>
        </w:rPr>
        <w:t>单位：元</w:t>
      </w:r>
    </w:p>
    <w:tbl>
      <w:tblPr>
        <w:tblOverlap w:val="never"/>
        <w:jc w:val="center"/>
        <w:tblLayout w:type="fixed"/>
      </w:tblPr>
      <w:tblGrid>
        <w:gridCol w:w="2664"/>
        <w:gridCol w:w="1454"/>
        <w:gridCol w:w="758"/>
        <w:gridCol w:w="1368"/>
        <w:gridCol w:w="763"/>
        <w:gridCol w:w="1363"/>
        <w:gridCol w:w="1416"/>
        <w:gridCol w:w="797"/>
        <w:gridCol w:w="1330"/>
        <w:gridCol w:w="787"/>
        <w:gridCol w:w="148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822,588,358.15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126,561,819.75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696,026,538.40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985,702,245.90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126,682,510.50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859,019,735.40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1 </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800,381,630.24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126,561,819.75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673,819,810.49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970,053,085.22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126,682,510.50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843,370,574.72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2 </w:t>
            </w: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22,206,727.91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22,206,727.91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15,649,160.68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15,649,160.68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824,652,251.15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128,625,712.75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696,026,538.40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987,766,138.90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128,746,403.50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859,019,735.40</w:t>
            </w:r>
          </w:p>
        </w:tc>
      </w:tr>
    </w:tbl>
    <w:p>
      <w:pPr>
        <w:widowControl w:val="0"/>
        <w:spacing w:after="2359" w:line="1" w:lineRule="exact"/>
      </w:pPr>
    </w:p>
    <w:p>
      <w:pPr>
        <w:pStyle w:val="Style64"/>
        <w:keepNext w:val="0"/>
        <w:keepLines w:val="0"/>
        <w:widowControl w:val="0"/>
        <w:shd w:val="clear" w:color="auto" w:fill="auto"/>
        <w:bidi w:val="0"/>
        <w:spacing w:before="0" w:after="0" w:line="240" w:lineRule="auto"/>
        <w:ind w:left="0" w:right="0" w:firstLine="0"/>
        <w:jc w:val="center"/>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1385" w:right="1215" w:bottom="967" w:left="1436" w:header="0" w:footer="539" w:gutter="0"/>
          <w:cols w:space="720"/>
          <w:noEndnote/>
          <w:rtlGutter w:val="0"/>
          <w:docGrid w:linePitch="360"/>
        </w:sectPr>
      </w:pPr>
      <w:r>
        <w:rPr>
          <w:color w:val="000000"/>
          <w:spacing w:val="0"/>
          <w:w w:val="100"/>
          <w:position w:val="0"/>
        </w:rPr>
        <w:t>161</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武汉擎动网络科技有限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2,063,893.00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2,063,893.00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1 </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800,381,630.24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126,561,819.75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 xml:space="preserve">2 </w:t>
            </w: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22,206,727.91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822,588,358.15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126,561,819.75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 xml:space="preserve">不适用 </w:t>
      </w: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590,184,921.82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132,059,562.37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19,042,096.57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3,513,602.00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7,633,657.52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72,218,410.87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824,652,251.15</w:t>
            </w:r>
          </w:p>
        </w:tc>
      </w:tr>
    </w:tbl>
    <w:p>
      <w:pPr>
        <w:widowControl w:val="0"/>
        <w:spacing w:after="319" w:line="1" w:lineRule="exact"/>
      </w:pPr>
    </w:p>
    <w:p>
      <w:pPr>
        <w:pStyle w:val="Style36"/>
        <w:keepNext/>
        <w:keepLines/>
        <w:widowControl w:val="0"/>
        <w:shd w:val="clear" w:color="auto" w:fill="auto"/>
        <w:bidi w:val="0"/>
        <w:spacing w:before="0" w:after="420" w:line="240" w:lineRule="auto"/>
        <w:ind w:left="0" w:right="0" w:firstLine="0"/>
        <w:jc w:val="left"/>
      </w:pPr>
      <w:bookmarkStart w:id="1540" w:name="bookmark1540"/>
      <w:bookmarkStart w:id="1541" w:name="bookmark1541"/>
      <w:bookmarkStart w:id="1542" w:name="bookmark1542"/>
      <w:r>
        <w:rPr>
          <w:color w:val="000000"/>
          <w:spacing w:val="0"/>
          <w:w w:val="100"/>
          <w:position w:val="0"/>
        </w:rPr>
        <w:t>（2）</w:t>
      </w:r>
      <w:r>
        <w:rPr>
          <w:color w:val="000000"/>
          <w:spacing w:val="0"/>
          <w:w w:val="100"/>
          <w:position w:val="0"/>
        </w:rPr>
        <w:t>本期计提、收回或转回的坏账准备情况</w:t>
      </w:r>
      <w:bookmarkEnd w:id="1540"/>
      <w:bookmarkEnd w:id="1541"/>
      <w:bookmarkEnd w:id="154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按组合计提的坏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128,746,403.50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-120, 690.75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128,625,712.75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128,746,403.50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-120, 690.75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128,625,712.75</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color w:val="000000"/>
          <w:spacing w:val="0"/>
          <w:w w:val="100"/>
          <w:position w:val="0"/>
        </w:rPr>
        <w:t>3）</w:t>
      </w:r>
      <w:r>
        <w:rPr>
          <w:color w:val="000000"/>
          <w:spacing w:val="0"/>
          <w:w w:val="100"/>
          <w:position w:val="0"/>
        </w:rPr>
        <w:t>按欠款方归集的期末余额前五名的应收账款情况</w:t>
      </w:r>
      <w:bookmarkEnd w:id="1543"/>
      <w:bookmarkEnd w:id="1544"/>
      <w:bookmarkEnd w:id="154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181,611,007.00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9,080,550.35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49,105,032.00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4,680,747.80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45,849,496.80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2,292,474.84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35,958,100.00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3,595,810.00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32,981,325.00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1,649,066.25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345,504,960.80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47" w:name="bookmark1547"/>
      <w:bookmarkStart w:id="1548" w:name="bookmark1548"/>
      <w:bookmarkStart w:id="1549" w:name="bookmark1549"/>
      <w:r>
        <w:rPr>
          <w:color w:val="000000"/>
          <w:spacing w:val="0"/>
          <w:w w:val="100"/>
          <w:position w:val="0"/>
        </w:rPr>
        <w:t>2</w:t>
      </w:r>
      <w:r>
        <w:rPr>
          <w:color w:val="000000"/>
          <w:spacing w:val="0"/>
          <w:w w:val="100"/>
          <w:position w:val="0"/>
        </w:rPr>
        <w:t>、其他应收款</w:t>
      </w:r>
      <w:bookmarkEnd w:id="1547"/>
      <w:bookmarkEnd w:id="1548"/>
      <w:bookmarkEnd w:id="154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367,646,278.99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326,865,201.44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367,646,278.99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326,865,201.44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r>
        <w:rPr>
          <w:color w:val="000000"/>
          <w:spacing w:val="0"/>
          <w:w w:val="100"/>
          <w:position w:val="0"/>
        </w:rPr>
        <w:t>（1）</w:t>
      </w:r>
      <w:r>
        <w:rPr>
          <w:color w:val="000000"/>
          <w:spacing w:val="0"/>
          <w:w w:val="100"/>
          <w:position w:val="0"/>
        </w:rPr>
        <w:t>其他应收款</w:t>
      </w:r>
      <w:bookmarkEnd w:id="1550"/>
      <w:bookmarkEnd w:id="1551"/>
      <w:bookmarkEnd w:id="1552"/>
    </w:p>
    <w:p>
      <w:pPr>
        <w:pStyle w:val="Style59"/>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1</w:t>
      </w:r>
      <w:bookmarkEnd w:id="1555"/>
      <w:r>
        <w:rPr>
          <w:color w:val="000000"/>
          <w:spacing w:val="0"/>
          <w:w w:val="100"/>
          <w:position w:val="0"/>
        </w:rPr>
        <w:t>）</w:t>
      </w:r>
      <w:r>
        <w:rPr>
          <w:color w:val="000000"/>
          <w:spacing w:val="0"/>
          <w:w w:val="100"/>
          <w:position w:val="0"/>
        </w:rPr>
        <w:t>其他应收款按款项性质分类情况</w:t>
      </w:r>
      <w:bookmarkEnd w:id="1553"/>
      <w:bookmarkEnd w:id="1554"/>
      <w:bookmarkEnd w:id="155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17,358,237.41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18,289,460.11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572,940.11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358,230,899.24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314,511,972.30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对非关联公司的应收款项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6,477,945.91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6,797,488.45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382,881,849.35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340,400,360.97</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2</w:t>
      </w:r>
      <w:bookmarkEnd w:id="1559"/>
      <w:r>
        <w:rPr>
          <w:color w:val="000000"/>
          <w:spacing w:val="0"/>
          <w:w w:val="100"/>
          <w:position w:val="0"/>
        </w:rPr>
        <w:t>）</w:t>
      </w:r>
      <w:r>
        <w:rPr>
          <w:color w:val="000000"/>
          <w:spacing w:val="0"/>
          <w:w w:val="100"/>
          <w:position w:val="0"/>
        </w:rPr>
        <w:t>坏账准备计提情况</w:t>
      </w:r>
      <w:bookmarkEnd w:id="1557"/>
      <w:bookmarkEnd w:id="1558"/>
      <w:bookmarkEnd w:id="156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个月预期信 用损失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3,783,363.15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9,751,796.38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13,535,159.53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1,131,410.83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1,700,410.83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4,914,773.98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10,320,796.38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15,235,570.36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56,818,336.88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108,480,150.53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64,740,028.77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48,799,905.87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59,563,126.14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44,480,301.16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382,881,849.35</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both"/>
      </w:pPr>
      <w:bookmarkStart w:id="1561" w:name="bookmark1561"/>
      <w:bookmarkStart w:id="1562" w:name="bookmark1562"/>
      <w:bookmarkStart w:id="1563" w:name="bookmark1563"/>
      <w:bookmarkStart w:id="1564" w:name="bookmark1564"/>
      <w:r>
        <w:rPr>
          <w:color w:val="000000"/>
          <w:spacing w:val="0"/>
          <w:w w:val="100"/>
          <w:position w:val="0"/>
        </w:rPr>
        <w:t>3</w:t>
      </w:r>
      <w:bookmarkEnd w:id="1563"/>
      <w:r>
        <w:rPr>
          <w:color w:val="000000"/>
          <w:spacing w:val="0"/>
          <w:w w:val="100"/>
          <w:position w:val="0"/>
        </w:rPr>
        <w:t>）</w:t>
      </w:r>
      <w:r>
        <w:rPr>
          <w:color w:val="000000"/>
          <w:spacing w:val="0"/>
          <w:w w:val="100"/>
          <w:position w:val="0"/>
        </w:rPr>
        <w:t>本期计提、收回或转回的坏账准备情况</w:t>
      </w:r>
      <w:bookmarkEnd w:id="1561"/>
      <w:bookmarkEnd w:id="1562"/>
      <w:bookmarkEnd w:id="1564"/>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363"/>
        <w:gridCol w:w="1334"/>
        <w:gridCol w:w="1450"/>
        <w:gridCol w:w="1200"/>
        <w:gridCol w:w="979"/>
        <w:gridCol w:w="1584"/>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13,535,159.53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1,700,410.83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15,235,570.36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13,535,159.53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1,700,410.83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15,235,570.36</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4</w:t>
      </w:r>
      <w:bookmarkEnd w:id="1567"/>
      <w:r>
        <w:rPr>
          <w:color w:val="000000"/>
          <w:spacing w:val="0"/>
          <w:w w:val="100"/>
          <w:position w:val="0"/>
        </w:rPr>
        <w:t>）</w:t>
      </w:r>
      <w:r>
        <w:rPr>
          <w:color w:val="000000"/>
          <w:spacing w:val="0"/>
          <w:w w:val="100"/>
          <w:position w:val="0"/>
        </w:rPr>
        <w:t>按欠款方归集的期末余额前五名的其他应收款情况</w:t>
      </w:r>
      <w:bookmarkEnd w:id="1565"/>
      <w:bookmarkEnd w:id="1566"/>
      <w:bookmarkEnd w:id="15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118"/>
        <w:gridCol w:w="1550"/>
        <w:gridCol w:w="2270"/>
        <w:gridCol w:w="1613"/>
        <w:gridCol w:w="162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武汉天喻教育科技有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对子公司的 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349,094,213.53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48,149,926.94；</w:t>
            </w:r>
          </w:p>
          <w:p>
            <w:pPr>
              <w:pStyle w:val="Style2"/>
              <w:keepNext w:val="0"/>
              <w:keepLines w:val="0"/>
              <w:widowControl w:val="0"/>
              <w:numPr>
                <w:ilvl w:val="0"/>
                <w:numId w:val="51"/>
              </w:numPr>
              <w:shd w:val="clear" w:color="auto" w:fill="auto"/>
              <w:tabs>
                <w:tab w:pos="173" w:val="left"/>
              </w:tabs>
              <w:bidi w:val="0"/>
              <w:spacing w:before="0" w:after="140" w:line="240" w:lineRule="auto"/>
              <w:ind w:left="0" w:right="0" w:firstLine="0"/>
              <w:jc w:val="left"/>
            </w:pPr>
            <w:r>
              <w:rPr>
                <w:color w:val="000000"/>
                <w:spacing w:val="0"/>
                <w:w w:val="100"/>
                <w:position w:val="0"/>
              </w:rPr>
              <w:t xml:space="preserve">2 </w:t>
            </w:r>
            <w:r>
              <w:rPr>
                <w:color w:val="000000"/>
                <w:spacing w:val="0"/>
                <w:w w:val="100"/>
                <w:position w:val="0"/>
              </w:rPr>
              <w:t xml:space="preserve">年 </w:t>
            </w:r>
            <w:r>
              <w:rPr>
                <w:color w:val="000000"/>
                <w:spacing w:val="0"/>
                <w:w w:val="100"/>
                <w:position w:val="0"/>
              </w:rPr>
              <w:t xml:space="preserve">97, </w:t>
            </w:r>
            <w:r>
              <w:rPr>
                <w:color w:val="000000"/>
                <w:spacing w:val="0"/>
                <w:w w:val="100"/>
                <w:position w:val="0"/>
              </w:rPr>
              <w:t>122,616.49；</w:t>
            </w:r>
          </w:p>
          <w:p>
            <w:pPr>
              <w:pStyle w:val="Style2"/>
              <w:keepNext w:val="0"/>
              <w:keepLines w:val="0"/>
              <w:widowControl w:val="0"/>
              <w:numPr>
                <w:ilvl w:val="0"/>
                <w:numId w:val="51"/>
              </w:numPr>
              <w:shd w:val="clear" w:color="auto" w:fill="auto"/>
              <w:tabs>
                <w:tab w:pos="182" w:val="left"/>
              </w:tabs>
              <w:bidi w:val="0"/>
              <w:spacing w:before="0" w:after="140" w:line="240" w:lineRule="auto"/>
              <w:ind w:left="0" w:right="0" w:firstLine="0"/>
              <w:jc w:val="left"/>
            </w:pPr>
            <w:r>
              <w:rPr>
                <w:color w:val="000000"/>
                <w:spacing w:val="0"/>
                <w:w w:val="100"/>
                <w:position w:val="0"/>
              </w:rPr>
              <w:t xml:space="preserve">3 </w:t>
            </w:r>
            <w:r>
              <w:rPr>
                <w:color w:val="000000"/>
                <w:spacing w:val="0"/>
                <w:w w:val="100"/>
                <w:position w:val="0"/>
              </w:rPr>
              <w:t xml:space="preserve">年 </w:t>
            </w:r>
            <w:r>
              <w:rPr>
                <w:color w:val="000000"/>
                <w:spacing w:val="0"/>
                <w:w w:val="100"/>
                <w:position w:val="0"/>
              </w:rPr>
              <w:t xml:space="preserve">55,217,688. </w:t>
            </w:r>
            <w:r>
              <w:rPr>
                <w:color w:val="000000"/>
                <w:spacing w:val="0"/>
                <w:w w:val="100"/>
                <w:position w:val="0"/>
              </w:rPr>
              <w:t>10；</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3 </w:t>
            </w:r>
            <w:r>
              <w:rPr>
                <w:color w:val="000000"/>
                <w:spacing w:val="0"/>
                <w:w w:val="100"/>
                <w:position w:val="0"/>
              </w:rPr>
              <w:t xml:space="preserve">年以上 </w:t>
            </w:r>
            <w:r>
              <w:rPr>
                <w:color w:val="000000"/>
                <w:spacing w:val="0"/>
                <w:w w:val="100"/>
                <w:position w:val="0"/>
              </w:rPr>
              <w:t>148,603,982.00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武汉擎动网络科技有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9,086,351.92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569,000.00；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9,086,351.92</w:t>
            </w:r>
          </w:p>
        </w:tc>
      </w:tr>
    </w:tbl>
    <w:p>
      <w:pPr>
        <w:spacing w:lineRule="exact" w:line="1"/>
        <w:rPr>
          <w:sz w:val="2"/>
          <w:szCs w:val="2"/>
        </w:rPr>
      </w:pPr>
      <w:r>
        <w:br w:type="page"/>
      </w:r>
    </w:p>
    <w:tbl>
      <w:tblPr>
        <w:tblOverlap w:val="never"/>
        <w:jc w:val="center"/>
        <w:tblLayout w:type="fixed"/>
      </w:tblPr>
      <w:tblGrid>
        <w:gridCol w:w="1690"/>
        <w:gridCol w:w="1118"/>
        <w:gridCol w:w="1550"/>
        <w:gridCol w:w="2270"/>
        <w:gridCol w:w="1613"/>
        <w:gridCol w:w="1627"/>
      </w:tblGrid>
      <w:tr>
        <w:trPr>
          <w:trHeight w:val="7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53"/>
              </w:numPr>
              <w:shd w:val="clear" w:color="auto" w:fill="auto"/>
              <w:tabs>
                <w:tab w:pos="173" w:val="left"/>
              </w:tabs>
              <w:bidi w:val="0"/>
              <w:spacing w:before="0" w:after="140" w:line="240" w:lineRule="auto"/>
              <w:ind w:left="0" w:right="0" w:firstLine="0"/>
              <w:jc w:val="left"/>
            </w:pPr>
            <w:r>
              <w:rPr>
                <w:color w:val="000000"/>
                <w:spacing w:val="0"/>
                <w:w w:val="100"/>
                <w:position w:val="0"/>
              </w:rPr>
              <w:t xml:space="preserve">2 </w:t>
            </w:r>
            <w:r>
              <w:rPr>
                <w:color w:val="000000"/>
                <w:spacing w:val="0"/>
                <w:w w:val="100"/>
                <w:position w:val="0"/>
              </w:rPr>
              <w:t xml:space="preserve">年 </w:t>
            </w:r>
            <w:r>
              <w:rPr>
                <w:color w:val="000000"/>
                <w:spacing w:val="0"/>
                <w:w w:val="100"/>
                <w:position w:val="0"/>
              </w:rPr>
              <w:t>589,902.67；</w:t>
            </w:r>
          </w:p>
          <w:p>
            <w:pPr>
              <w:pStyle w:val="Style2"/>
              <w:keepNext w:val="0"/>
              <w:keepLines w:val="0"/>
              <w:widowControl w:val="0"/>
              <w:numPr>
                <w:ilvl w:val="0"/>
                <w:numId w:val="53"/>
              </w:numPr>
              <w:shd w:val="clear" w:color="auto" w:fill="auto"/>
              <w:tabs>
                <w:tab w:pos="182" w:val="left"/>
              </w:tabs>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 xml:space="preserve">年 </w:t>
            </w:r>
            <w:r>
              <w:rPr>
                <w:color w:val="000000"/>
                <w:spacing w:val="0"/>
                <w:w w:val="100"/>
                <w:position w:val="0"/>
              </w:rPr>
              <w:t>7,927,449.25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张家口智云教育云科 技平台运营有限公司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7,502,997.60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750,299.76</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拉卡拉支付股份有限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深圳市国乾科技有限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对非关联公 司的应收款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964,444.46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964,444.46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369,148,007.51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10,951,096.14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360"/>
        <w:jc w:val="left"/>
      </w:pPr>
      <w:bookmarkStart w:id="1569" w:name="bookmark1569"/>
      <w:bookmarkStart w:id="1570" w:name="bookmark1570"/>
      <w:bookmarkStart w:id="1571" w:name="bookmark1571"/>
      <w:bookmarkStart w:id="1572" w:name="bookmark1572"/>
      <w:r>
        <w:rPr>
          <w:color w:val="000000"/>
          <w:spacing w:val="0"/>
          <w:w w:val="100"/>
          <w:position w:val="0"/>
        </w:rPr>
        <w:t>3</w:t>
      </w:r>
      <w:bookmarkEnd w:id="1571"/>
      <w:r>
        <w:rPr>
          <w:color w:val="000000"/>
          <w:spacing w:val="0"/>
          <w:w w:val="100"/>
          <w:position w:val="0"/>
        </w:rPr>
        <w:t>、长期股权投资</w:t>
      </w:r>
      <w:bookmarkEnd w:id="1569"/>
      <w:bookmarkEnd w:id="1570"/>
      <w:bookmarkEnd w:id="1572"/>
    </w:p>
    <w:p>
      <w:pPr>
        <w:pStyle w:val="Style26"/>
        <w:keepNext w:val="0"/>
        <w:keepLines w:val="0"/>
        <w:widowControl w:val="0"/>
        <w:shd w:val="clear" w:color="auto" w:fill="auto"/>
        <w:bidi w:val="0"/>
        <w:spacing w:before="0" w:after="80" w:line="240" w:lineRule="auto"/>
        <w:ind w:left="0" w:right="52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84,120,000.00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72,195,802.86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72,195,802.86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71,333,649.30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71,333,649.30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261,715,802.86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156,315,802.86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260,853,649.30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155,453,649.30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500"/>
        <w:jc w:val="left"/>
      </w:pPr>
      <w:bookmarkStart w:id="1573" w:name="bookmark1573"/>
      <w:bookmarkStart w:id="1574" w:name="bookmark1574"/>
      <w:bookmarkStart w:id="1575" w:name="bookmark1575"/>
      <w:r>
        <w:rPr>
          <w:color w:val="000000"/>
          <w:spacing w:val="0"/>
          <w:w w:val="100"/>
          <w:position w:val="0"/>
        </w:rPr>
        <w:t>（1）</w:t>
      </w:r>
      <w:r>
        <w:rPr>
          <w:color w:val="000000"/>
          <w:spacing w:val="0"/>
          <w:w w:val="100"/>
          <w:position w:val="0"/>
        </w:rPr>
        <w:t>对子公司投资</w:t>
      </w:r>
      <w:bookmarkEnd w:id="1573"/>
      <w:bookmarkEnd w:id="1574"/>
      <w:bookmarkEnd w:id="15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392"/>
        <w:gridCol w:w="1166"/>
        <w:gridCol w:w="1166"/>
        <w:gridCol w:w="1166"/>
        <w:gridCol w:w="1214"/>
        <w:gridCol w:w="1382"/>
        <w:gridCol w:w="1426"/>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期初余额（账面 价值）</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武汉天喻教育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武汉擎动网络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武汉果核科技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武汉天喻聚联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武汉百望信息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84,120,000.00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105,400,000.00</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580"/>
        <w:jc w:val="left"/>
      </w:pPr>
      <w:bookmarkStart w:id="1576" w:name="bookmark1576"/>
      <w:bookmarkStart w:id="1577" w:name="bookmark1577"/>
      <w:bookmarkStart w:id="1578" w:name="bookmark1578"/>
      <w:r>
        <w:rPr>
          <w:color w:val="000000"/>
          <w:spacing w:val="0"/>
          <w:w w:val="100"/>
          <w:position w:val="0"/>
        </w:rPr>
        <w:t>（2）</w:t>
      </w:r>
      <w:r>
        <w:rPr>
          <w:color w:val="000000"/>
          <w:spacing w:val="0"/>
          <w:w w:val="100"/>
          <w:position w:val="0"/>
        </w:rPr>
        <w:t>对联营、合营企业投资</w:t>
      </w:r>
      <w:bookmarkEnd w:id="1576"/>
      <w:bookmarkEnd w:id="1577"/>
      <w:bookmarkEnd w:id="15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1301"/>
        <w:gridCol w:w="451"/>
        <w:gridCol w:w="1046"/>
        <w:gridCol w:w="1133"/>
        <w:gridCol w:w="802"/>
        <w:gridCol w:w="1042"/>
        <w:gridCol w:w="802"/>
        <w:gridCol w:w="797"/>
        <w:gridCol w:w="331"/>
        <w:gridCol w:w="1258"/>
        <w:gridCol w:w="806"/>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期初余额（账面 价值）</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权益法下确 认的投资损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武汉中天 慧购电商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104,873.98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104,873.98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福建中教 网络教育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938,510.93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-516, 924.73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421,586.20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武汉星合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数媒科技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4,694,678.93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4,692,505.61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武汉武信 天喻科技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50,067,005.61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50,065,221.20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湖北兴华 教投信息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3,620,539.76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487,631.88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4,108,171.64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河南聚联 智慧大数 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11,999,960.00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12,908,318.21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71,320,695.23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-33,250.58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908,358.21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72,195,802.86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71,333,649.30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117,828.05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71,623.40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908,358.21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72,195,802.86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440"/>
        <w:jc w:val="left"/>
      </w:pPr>
      <w:bookmarkStart w:id="1579" w:name="bookmark1579"/>
      <w:bookmarkStart w:id="1580" w:name="bookmark1580"/>
      <w:bookmarkStart w:id="1581" w:name="bookmark1581"/>
      <w:bookmarkStart w:id="1582" w:name="bookmark1582"/>
      <w:r>
        <w:rPr>
          <w:color w:val="000000"/>
          <w:spacing w:val="0"/>
          <w:w w:val="100"/>
          <w:position w:val="0"/>
        </w:rPr>
        <w:t>4</w:t>
      </w:r>
      <w:bookmarkEnd w:id="1581"/>
      <w:r>
        <w:rPr>
          <w:color w:val="000000"/>
          <w:spacing w:val="0"/>
          <w:w w:val="100"/>
          <w:position w:val="0"/>
        </w:rPr>
        <w:t>、营业收入和营业成本</w:t>
      </w:r>
      <w:bookmarkEnd w:id="1579"/>
      <w:bookmarkEnd w:id="1580"/>
      <w:bookmarkEnd w:id="1582"/>
    </w:p>
    <w:p>
      <w:pPr>
        <w:pStyle w:val="Style26"/>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1997"/>
        <w:gridCol w:w="3754"/>
        <w:gridCol w:w="3835"/>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1,509,035,515.92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1,271,076,819.22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2,034,449,411.65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1,629,944,872.08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1,968,821.01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3,292,386.80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1,511,004,336.93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1,271,076,819.22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2,037,741,798.45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1,629,944,872.08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44"/>
        <w:gridCol w:w="416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年营业收入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467,300,112.78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876,209,368.76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技术服务与开发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98,202,258.07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69,292,597.32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1,511,004,336.93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1,470,139,772.03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40,864,564.90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1,511,004,336.93</w:t>
            </w:r>
          </w:p>
        </w:tc>
      </w:tr>
    </w:tbl>
    <w:p>
      <w:pPr>
        <w:widowControl w:val="0"/>
        <w:spacing w:after="679" w:line="1" w:lineRule="exact"/>
      </w:pPr>
    </w:p>
    <w:p>
      <w:pPr>
        <w:pStyle w:val="Style30"/>
        <w:keepNext/>
        <w:keepLines/>
        <w:widowControl w:val="0"/>
        <w:shd w:val="clear" w:color="auto" w:fill="auto"/>
        <w:bidi w:val="0"/>
        <w:spacing w:before="0" w:after="400" w:line="240" w:lineRule="auto"/>
        <w:ind w:left="0" w:right="0" w:firstLine="420"/>
        <w:jc w:val="both"/>
      </w:pPr>
      <w:bookmarkStart w:id="1583" w:name="bookmark1583"/>
      <w:bookmarkStart w:id="1584" w:name="bookmark1584"/>
      <w:bookmarkStart w:id="1585" w:name="bookmark1585"/>
      <w:bookmarkStart w:id="1586" w:name="bookmark1586"/>
      <w:r>
        <w:rPr>
          <w:color w:val="000000"/>
          <w:spacing w:val="0"/>
          <w:w w:val="100"/>
          <w:position w:val="0"/>
        </w:rPr>
        <w:t>5</w:t>
      </w:r>
      <w:bookmarkEnd w:id="1585"/>
      <w:r>
        <w:rPr>
          <w:color w:val="000000"/>
          <w:spacing w:val="0"/>
          <w:w w:val="100"/>
          <w:position w:val="0"/>
        </w:rPr>
        <w:t>、投资收益</w:t>
      </w:r>
      <w:bookmarkEnd w:id="1583"/>
      <w:bookmarkEnd w:id="1584"/>
      <w:bookmarkEnd w:id="1586"/>
    </w:p>
    <w:p>
      <w:pPr>
        <w:pStyle w:val="Style26"/>
        <w:keepNext w:val="0"/>
        <w:keepLines w:val="0"/>
        <w:widowControl w:val="0"/>
        <w:shd w:val="clear" w:color="auto" w:fill="auto"/>
        <w:bidi w:val="0"/>
        <w:spacing w:before="0" w:after="60" w:line="240" w:lineRule="auto"/>
        <w:ind w:left="938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-554, 668.91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623,937.60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8,642,378.50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118,946,646.18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处置对子公司的长期股权投资产生的投资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8,834,964.80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116,015,914.87</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420"/>
        <w:jc w:val="left"/>
      </w:pPr>
      <w:bookmarkStart w:id="1587" w:name="bookmark1587"/>
      <w:bookmarkStart w:id="1588" w:name="bookmark1588"/>
      <w:bookmarkStart w:id="1589" w:name="bookmark1589"/>
      <w:r>
        <w:rPr>
          <w:color w:val="000000"/>
          <w:spacing w:val="0"/>
          <w:w w:val="100"/>
          <w:position w:val="0"/>
        </w:rPr>
        <w:t>十七、补充资料</w:t>
      </w:r>
      <w:bookmarkEnd w:id="1587"/>
      <w:bookmarkEnd w:id="1588"/>
      <w:bookmarkEnd w:id="1589"/>
    </w:p>
    <w:p>
      <w:pPr>
        <w:pStyle w:val="Style30"/>
        <w:keepNext/>
        <w:keepLines/>
        <w:widowControl w:val="0"/>
        <w:shd w:val="clear" w:color="auto" w:fill="auto"/>
        <w:bidi w:val="0"/>
        <w:spacing w:before="0" w:after="400" w:line="240" w:lineRule="auto"/>
        <w:ind w:left="0" w:right="0" w:firstLine="420"/>
        <w:jc w:val="left"/>
      </w:pPr>
      <w:bookmarkStart w:id="1590" w:name="bookmark1590"/>
      <w:bookmarkStart w:id="1591" w:name="bookmark1591"/>
      <w:bookmarkStart w:id="1592" w:name="bookmark1592"/>
      <w:r>
        <w:rPr>
          <w:color w:val="000000"/>
          <w:spacing w:val="0"/>
          <w:w w:val="100"/>
          <w:position w:val="0"/>
        </w:rPr>
        <w:t>1</w:t>
      </w:r>
      <w:r>
        <w:rPr>
          <w:color w:val="000000"/>
          <w:spacing w:val="0"/>
          <w:w w:val="100"/>
          <w:position w:val="0"/>
        </w:rPr>
        <w:t>、当期非经常性损益明细表</w:t>
      </w:r>
      <w:bookmarkEnd w:id="1590"/>
      <w:bookmarkEnd w:id="1591"/>
      <w:bookmarkEnd w:id="1592"/>
    </w:p>
    <w:p>
      <w:pPr>
        <w:pStyle w:val="Style26"/>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V</w:t>
      </w:r>
      <w:r>
        <w:rPr>
          <w:color w:val="000000"/>
          <w:spacing w:val="0"/>
          <w:w w:val="100"/>
          <w:position w:val="0"/>
        </w:rPr>
        <w:t>适用口不适用</w:t>
      </w:r>
    </w:p>
    <w:p>
      <w:pPr>
        <w:pStyle w:val="Style26"/>
        <w:keepNext w:val="0"/>
        <w:keepLines w:val="0"/>
        <w:widowControl w:val="0"/>
        <w:shd w:val="clear" w:color="auto" w:fill="auto"/>
        <w:bidi w:val="0"/>
        <w:spacing w:before="0" w:after="340" w:line="240" w:lineRule="auto"/>
        <w:ind w:left="9380" w:right="0" w:firstLine="0"/>
        <w:jc w:val="lef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-78,026.38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14,524,397.72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18,649,535.13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-491,682.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557,937.16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663,621.47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31,145,778.99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0" w:lineRule="exact"/>
        <w:ind w:left="440" w:right="0" w:firstLine="2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26"/>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440"/>
        <w:jc w:val="both"/>
      </w:pPr>
      <w:bookmarkStart w:id="1593" w:name="bookmark1593"/>
      <w:bookmarkStart w:id="1594" w:name="bookmark1594"/>
      <w:bookmarkStart w:id="1595" w:name="bookmark1595"/>
      <w:r>
        <w:rPr>
          <w:color w:val="000000"/>
          <w:spacing w:val="0"/>
          <w:w w:val="100"/>
          <w:position w:val="0"/>
        </w:rPr>
        <w:t>2</w:t>
      </w:r>
      <w:r>
        <w:rPr>
          <w:color w:val="000000"/>
          <w:spacing w:val="0"/>
          <w:w w:val="100"/>
          <w:position w:val="0"/>
        </w:rPr>
        <w:t>、净资产收益率及每股收益</w:t>
      </w:r>
      <w:bookmarkEnd w:id="1593"/>
      <w:bookmarkEnd w:id="1594"/>
      <w:bookmarkEnd w:id="1595"/>
    </w:p>
    <w:tbl>
      <w:tblPr>
        <w:tblOverlap w:val="never"/>
        <w:jc w:val="center"/>
        <w:tblLayout w:type="fixed"/>
      </w:tblPr>
      <w:tblGrid>
        <w:gridCol w:w="2669"/>
        <w:gridCol w:w="2688"/>
        <w:gridCol w:w="1987"/>
        <w:gridCol w:w="2136"/>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-0.1412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-0.2137</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440"/>
        <w:jc w:val="both"/>
      </w:pPr>
      <w:bookmarkStart w:id="1596" w:name="bookmark1596"/>
      <w:bookmarkStart w:id="1597" w:name="bookmark1597"/>
      <w:bookmarkStart w:id="1598" w:name="bookmark1598"/>
      <w:bookmarkStart w:id="1599" w:name="bookmark1599"/>
      <w:r>
        <w:rPr>
          <w:color w:val="000000"/>
          <w:spacing w:val="0"/>
          <w:w w:val="100"/>
          <w:position w:val="0"/>
        </w:rPr>
        <w:t>3</w:t>
      </w:r>
      <w:bookmarkEnd w:id="1598"/>
      <w:r>
        <w:rPr>
          <w:color w:val="000000"/>
          <w:spacing w:val="0"/>
          <w:w w:val="100"/>
          <w:position w:val="0"/>
        </w:rPr>
        <w:t>、境内外会计准则下会计数据差异</w:t>
      </w:r>
      <w:bookmarkEnd w:id="1596"/>
      <w:bookmarkEnd w:id="1597"/>
      <w:bookmarkEnd w:id="1599"/>
    </w:p>
    <w:p>
      <w:pPr>
        <w:pStyle w:val="Style36"/>
        <w:keepNext/>
        <w:keepLines/>
        <w:widowControl w:val="0"/>
        <w:shd w:val="clear" w:color="auto" w:fill="auto"/>
        <w:tabs>
          <w:tab w:pos="933" w:val="left"/>
        </w:tabs>
        <w:bidi w:val="0"/>
        <w:spacing w:before="0" w:after="380" w:line="240" w:lineRule="auto"/>
        <w:ind w:left="0" w:right="0" w:firstLine="440"/>
        <w:jc w:val="both"/>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color w:val="000000"/>
          <w:spacing w:val="0"/>
          <w:w w:val="100"/>
          <w:position w:val="0"/>
        </w:rPr>
        <w:t>1）</w:t>
        <w:tab/>
      </w:r>
      <w:r>
        <w:rPr>
          <w:color w:val="000000"/>
          <w:spacing w:val="0"/>
          <w:w w:val="100"/>
          <w:position w:val="0"/>
        </w:rPr>
        <w:t>同时按照国际会计准则与按中国会计准则披露的财务报告中净利润和净资产差异情况</w:t>
      </w:r>
      <w:bookmarkEnd w:id="1600"/>
      <w:bookmarkEnd w:id="1601"/>
      <w:bookmarkEnd w:id="1603"/>
    </w:p>
    <w:p>
      <w:pPr>
        <w:pStyle w:val="Style26"/>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933" w:val="left"/>
        </w:tabs>
        <w:bidi w:val="0"/>
        <w:spacing w:before="0" w:after="380" w:line="240" w:lineRule="auto"/>
        <w:ind w:left="0" w:right="0" w:firstLine="440"/>
        <w:jc w:val="both"/>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color w:val="000000"/>
          <w:spacing w:val="0"/>
          <w:w w:val="100"/>
          <w:position w:val="0"/>
        </w:rPr>
        <w:t>2）</w:t>
        <w:tab/>
      </w:r>
      <w:r>
        <w:rPr>
          <w:color w:val="000000"/>
          <w:spacing w:val="0"/>
          <w:w w:val="100"/>
          <w:position w:val="0"/>
        </w:rPr>
        <w:t>同时按照境外会计准则与按中国会计准则披露的财务报告中净利润和净资产差异情况</w:t>
      </w:r>
      <w:bookmarkEnd w:id="1604"/>
      <w:bookmarkEnd w:id="1605"/>
      <w:bookmarkEnd w:id="1607"/>
    </w:p>
    <w:p>
      <w:pPr>
        <w:pStyle w:val="Style26"/>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9"/>
        <w:keepNext/>
        <w:keepLines/>
        <w:widowControl w:val="0"/>
        <w:shd w:val="clear" w:color="auto" w:fill="auto"/>
        <w:bidi w:val="0"/>
        <w:spacing w:before="0" w:after="600" w:line="240" w:lineRule="auto"/>
        <w:ind w:left="0" w:right="0" w:firstLine="0"/>
        <w:jc w:val="center"/>
      </w:pPr>
      <w:bookmarkStart w:id="1608" w:name="bookmark1608"/>
      <w:bookmarkStart w:id="1609" w:name="bookmark1609"/>
      <w:bookmarkStart w:id="1610" w:name="bookmark1610"/>
      <w:r>
        <w:rPr>
          <w:color w:val="000000"/>
          <w:spacing w:val="0"/>
          <w:w w:val="100"/>
          <w:position w:val="0"/>
        </w:rPr>
        <w:t>第十三节备查文件目录</w:t>
      </w:r>
      <w:bookmarkEnd w:id="1608"/>
      <w:bookmarkEnd w:id="1609"/>
      <w:bookmarkEnd w:id="1610"/>
    </w:p>
    <w:p>
      <w:pPr>
        <w:pStyle w:val="Style26"/>
        <w:keepNext w:val="0"/>
        <w:keepLines w:val="0"/>
        <w:widowControl w:val="0"/>
        <w:shd w:val="clear" w:color="auto" w:fill="auto"/>
        <w:tabs>
          <w:tab w:pos="895" w:val="left"/>
        </w:tabs>
        <w:bidi w:val="0"/>
        <w:spacing w:before="0" w:after="160" w:line="240" w:lineRule="auto"/>
        <w:ind w:left="0" w:right="0" w:firstLine="460"/>
        <w:jc w:val="left"/>
      </w:pPr>
      <w:bookmarkStart w:id="1611" w:name="bookmark1611"/>
      <w:bookmarkStart w:id="1612" w:name="bookmark1612"/>
      <w:r>
        <w:rPr>
          <w:color w:val="000000"/>
          <w:spacing w:val="0"/>
          <w:w w:val="100"/>
          <w:position w:val="0"/>
        </w:rPr>
        <w:t>一</w:t>
      </w:r>
      <w:bookmarkEnd w:id="1612"/>
      <w:r>
        <w:rPr>
          <w:color w:val="000000"/>
          <w:spacing w:val="0"/>
          <w:w w:val="100"/>
          <w:position w:val="0"/>
        </w:rPr>
        <w:t>、</w:t>
        <w:tab/>
        <w:t>载有公司法定代表人、主管会计工作负责人、会计机构负责人（会计主管人员）签名并盖章的财务报表。</w:t>
      </w:r>
      <w:bookmarkEnd w:id="1611"/>
    </w:p>
    <w:p>
      <w:pPr>
        <w:pStyle w:val="Style26"/>
        <w:keepNext w:val="0"/>
        <w:keepLines w:val="0"/>
        <w:widowControl w:val="0"/>
        <w:shd w:val="clear" w:color="auto" w:fill="auto"/>
        <w:tabs>
          <w:tab w:pos="895" w:val="left"/>
        </w:tabs>
        <w:bidi w:val="0"/>
        <w:spacing w:before="0" w:after="160" w:line="240" w:lineRule="auto"/>
        <w:ind w:left="0" w:right="0" w:firstLine="460"/>
        <w:jc w:val="left"/>
      </w:pPr>
      <w:bookmarkStart w:id="1613" w:name="bookmark1613"/>
      <w:r>
        <w:rPr>
          <w:color w:val="000000"/>
          <w:spacing w:val="0"/>
          <w:w w:val="100"/>
          <w:position w:val="0"/>
        </w:rPr>
        <w:t>二</w:t>
      </w:r>
      <w:bookmarkEnd w:id="1613"/>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895" w:val="left"/>
        </w:tabs>
        <w:bidi w:val="0"/>
        <w:spacing w:before="0" w:after="160" w:line="240" w:lineRule="auto"/>
        <w:ind w:left="0" w:right="0" w:firstLine="460"/>
        <w:jc w:val="left"/>
      </w:pPr>
      <w:bookmarkStart w:id="1614" w:name="bookmark1614"/>
      <w:r>
        <w:rPr>
          <w:color w:val="000000"/>
          <w:spacing w:val="0"/>
          <w:w w:val="100"/>
          <w:position w:val="0"/>
        </w:rPr>
        <w:t>三</w:t>
      </w:r>
      <w:bookmarkEnd w:id="1614"/>
      <w:r>
        <w:rPr>
          <w:color w:val="000000"/>
          <w:spacing w:val="0"/>
          <w:w w:val="100"/>
          <w:position w:val="0"/>
        </w:rPr>
        <w:t>、</w:t>
        <w:tab/>
        <w:t>报告期内在巨潮资讯网上公开披露过的所有公司文件的正本及公告的原稿。</w:t>
      </w:r>
    </w:p>
    <w:p>
      <w:pPr>
        <w:pStyle w:val="Style26"/>
        <w:keepNext w:val="0"/>
        <w:keepLines w:val="0"/>
        <w:widowControl w:val="0"/>
        <w:shd w:val="clear" w:color="auto" w:fill="auto"/>
        <w:tabs>
          <w:tab w:pos="895" w:val="left"/>
        </w:tabs>
        <w:bidi w:val="0"/>
        <w:spacing w:before="0" w:after="1540" w:line="240" w:lineRule="auto"/>
        <w:ind w:left="0" w:right="0" w:firstLine="460"/>
        <w:jc w:val="left"/>
      </w:pPr>
      <w:bookmarkStart w:id="1615" w:name="bookmark1615"/>
      <w:r>
        <w:rPr>
          <w:color w:val="000000"/>
          <w:spacing w:val="0"/>
          <w:w w:val="100"/>
          <w:position w:val="0"/>
        </w:rPr>
        <w:t>四</w:t>
      </w:r>
      <w:bookmarkEnd w:id="1615"/>
      <w:r>
        <w:rPr>
          <w:color w:val="000000"/>
          <w:spacing w:val="0"/>
          <w:w w:val="100"/>
          <w:position w:val="0"/>
        </w:rPr>
        <w:t>、</w:t>
        <w:tab/>
        <w:t>其他相关资料。</w:t>
      </w:r>
    </w:p>
    <w:p>
      <w:pPr>
        <w:pStyle w:val="Style26"/>
        <w:keepNext w:val="0"/>
        <w:keepLines w:val="0"/>
        <w:widowControl w:val="0"/>
        <w:shd w:val="clear" w:color="auto" w:fill="auto"/>
        <w:bidi w:val="0"/>
        <w:spacing w:before="0" w:after="160" w:line="240" w:lineRule="auto"/>
        <w:ind w:left="0" w:right="440" w:firstLine="0"/>
        <w:jc w:val="right"/>
      </w:pPr>
      <w:r>
        <w:rPr>
          <w:color w:val="000000"/>
          <w:spacing w:val="0"/>
          <w:w w:val="100"/>
          <w:position w:val="0"/>
        </w:rPr>
        <w:t>武汉天喻信息产业股份有限公司</w:t>
      </w:r>
    </w:p>
    <w:p>
      <w:pPr>
        <w:pStyle w:val="Style26"/>
        <w:keepNext w:val="0"/>
        <w:keepLines w:val="0"/>
        <w:widowControl w:val="0"/>
        <w:shd w:val="clear" w:color="auto" w:fill="auto"/>
        <w:bidi w:val="0"/>
        <w:spacing w:before="0" w:after="160" w:line="240" w:lineRule="auto"/>
        <w:ind w:left="8300" w:right="0" w:firstLine="0"/>
        <w:jc w:val="left"/>
      </w:pPr>
      <w:r>
        <w:rPr>
          <w:color w:val="000000"/>
          <w:spacing w:val="0"/>
          <w:w w:val="100"/>
          <w:position w:val="0"/>
        </w:rPr>
        <w:t>董事长：张新访</w:t>
      </w:r>
    </w:p>
    <w:p>
      <w:pPr>
        <w:pStyle w:val="Style26"/>
        <w:keepNext w:val="0"/>
        <w:keepLines w:val="0"/>
        <w:widowControl w:val="0"/>
        <w:shd w:val="clear" w:color="auto" w:fill="auto"/>
        <w:bidi w:val="0"/>
        <w:spacing w:before="0" w:after="160" w:line="240" w:lineRule="auto"/>
        <w:ind w:left="784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二一年四月二十二日</w:t>
      </w:r>
    </w:p>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41" w:right="652" w:bottom="1590" w:left="68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3794760</wp:posOffset>
              </wp:positionH>
              <wp:positionV relativeFrom="page">
                <wp:posOffset>9958070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8.80000000000001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5288915</wp:posOffset>
              </wp:positionH>
              <wp:positionV relativeFrom="page">
                <wp:posOffset>6844665</wp:posOffset>
              </wp:positionV>
              <wp:extent cx="109855" cy="79375"/>
              <wp:wrapNone/>
              <wp:docPr id="43" name="Shape 4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416.44999999999999pt;margin-top:538.95000000000005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3794760</wp:posOffset>
              </wp:positionH>
              <wp:positionV relativeFrom="page">
                <wp:posOffset>9958070</wp:posOffset>
              </wp:positionV>
              <wp:extent cx="103505" cy="79375"/>
              <wp:wrapNone/>
              <wp:docPr id="49" name="Shape 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8.80000000000001pt;margin-top:784.10000000000002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3794760</wp:posOffset>
              </wp:positionH>
              <wp:positionV relativeFrom="page">
                <wp:posOffset>9958070</wp:posOffset>
              </wp:positionV>
              <wp:extent cx="103505" cy="79375"/>
              <wp:wrapNone/>
              <wp:docPr id="54" name="Shape 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298.80000000000001pt;margin-top:784.10000000000002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5288915</wp:posOffset>
              </wp:positionH>
              <wp:positionV relativeFrom="page">
                <wp:posOffset>6839585</wp:posOffset>
              </wp:positionV>
              <wp:extent cx="106680" cy="79375"/>
              <wp:wrapNone/>
              <wp:docPr id="61" name="Shape 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416.44999999999999pt;margin-top:538.54999999999995pt;width:8.4000000000000004pt;height:6.25pt;z-index:-18874401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5288915</wp:posOffset>
              </wp:positionH>
              <wp:positionV relativeFrom="page">
                <wp:posOffset>6839585</wp:posOffset>
              </wp:positionV>
              <wp:extent cx="106680" cy="79375"/>
              <wp:wrapNone/>
              <wp:docPr id="66" name="Shape 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416.44999999999999pt;margin-top:538.54999999999995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3794760</wp:posOffset>
              </wp:positionH>
              <wp:positionV relativeFrom="page">
                <wp:posOffset>9958070</wp:posOffset>
              </wp:positionV>
              <wp:extent cx="103505" cy="79375"/>
              <wp:wrapNone/>
              <wp:docPr id="71" name="Shape 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8.80000000000001pt;margin-top:784.10000000000002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3794760</wp:posOffset>
              </wp:positionH>
              <wp:positionV relativeFrom="page">
                <wp:posOffset>9958070</wp:posOffset>
              </wp:positionV>
              <wp:extent cx="103505" cy="79375"/>
              <wp:wrapNone/>
              <wp:docPr id="76" name="Shape 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8.80000000000001pt;margin-top:784.10000000000002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5351145</wp:posOffset>
              </wp:positionH>
              <wp:positionV relativeFrom="page">
                <wp:posOffset>6835140</wp:posOffset>
              </wp:positionV>
              <wp:extent cx="109855" cy="79375"/>
              <wp:wrapNone/>
              <wp:docPr id="117" name="Shape 11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421.35000000000002pt;margin-top:538.20000000000005pt;width:8.6500000000000004pt;height:6.25pt;z-index:-18874400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5351145</wp:posOffset>
              </wp:positionH>
              <wp:positionV relativeFrom="page">
                <wp:posOffset>6835140</wp:posOffset>
              </wp:positionV>
              <wp:extent cx="109855" cy="79375"/>
              <wp:wrapNone/>
              <wp:docPr id="122" name="Shape 1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421.35000000000002pt;margin-top:538.20000000000005pt;width:8.6500000000000004pt;height:6.25pt;z-index:-18874399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3702050</wp:posOffset>
              </wp:positionH>
              <wp:positionV relativeFrom="page">
                <wp:posOffset>9958070</wp:posOffset>
              </wp:positionV>
              <wp:extent cx="155575" cy="79375"/>
              <wp:wrapNone/>
              <wp:docPr id="127" name="Shape 1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291.5pt;margin-top:784.10000000000002pt;width:12.25pt;height:6.25pt;z-index:-18874399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3794760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8.80000000000001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3702050</wp:posOffset>
              </wp:positionH>
              <wp:positionV relativeFrom="page">
                <wp:posOffset>9958070</wp:posOffset>
              </wp:positionV>
              <wp:extent cx="155575" cy="79375"/>
              <wp:wrapNone/>
              <wp:docPr id="132" name="Shape 1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291.5pt;margin-top:784.10000000000002pt;width:12.25pt;height:6.25pt;z-index:-18874398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3702050</wp:posOffset>
              </wp:positionH>
              <wp:positionV relativeFrom="page">
                <wp:posOffset>9958070</wp:posOffset>
              </wp:positionV>
              <wp:extent cx="155575" cy="79375"/>
              <wp:wrapNone/>
              <wp:docPr id="137" name="Shape 1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291.5pt;margin-top:784.10000000000002pt;width:12.25pt;height:6.25pt;z-index:-18874398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6393815</wp:posOffset>
              </wp:positionH>
              <wp:positionV relativeFrom="page">
                <wp:posOffset>9664700</wp:posOffset>
              </wp:positionV>
              <wp:extent cx="445135" cy="106680"/>
              <wp:wrapNone/>
              <wp:docPr id="142" name="Shape 14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68" type="#_x0000_t202" style="position:absolute;margin-left:503.44999999999999pt;margin-top:761.pt;width:35.050000000000004pt;height:8.4000000000000004pt;z-index:-18874398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3705225</wp:posOffset>
              </wp:positionH>
              <wp:positionV relativeFrom="page">
                <wp:posOffset>10165080</wp:posOffset>
              </wp:positionV>
              <wp:extent cx="155575" cy="79375"/>
              <wp:wrapNone/>
              <wp:docPr id="144" name="Shape 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291.75pt;margin-top:800.39999999999998pt;width:12.25pt;height:6.25pt;z-index:-18874397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6393180</wp:posOffset>
              </wp:positionH>
              <wp:positionV relativeFrom="page">
                <wp:posOffset>9779000</wp:posOffset>
              </wp:positionV>
              <wp:extent cx="445135" cy="106680"/>
              <wp:wrapNone/>
              <wp:docPr id="149" name="Shape 14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75" type="#_x0000_t202" style="position:absolute;margin-left:503.40000000000003pt;margin-top:770.pt;width:35.050000000000004pt;height:8.4000000000000004pt;z-index:-18874397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3705225</wp:posOffset>
              </wp:positionH>
              <wp:positionV relativeFrom="page">
                <wp:posOffset>10144760</wp:posOffset>
              </wp:positionV>
              <wp:extent cx="155575" cy="79375"/>
              <wp:wrapNone/>
              <wp:docPr id="151" name="Shape 1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291.75pt;margin-top:798.80000000000007pt;width:12.25pt;height:6.25pt;z-index:-18874397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3702050</wp:posOffset>
              </wp:positionH>
              <wp:positionV relativeFrom="page">
                <wp:posOffset>9958070</wp:posOffset>
              </wp:positionV>
              <wp:extent cx="155575" cy="79375"/>
              <wp:wrapNone/>
              <wp:docPr id="156" name="Shape 1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291.5pt;margin-top:784.10000000000002pt;width:12.25pt;height:6.25pt;z-index:-18874396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3702050</wp:posOffset>
              </wp:positionH>
              <wp:positionV relativeFrom="page">
                <wp:posOffset>9958070</wp:posOffset>
              </wp:positionV>
              <wp:extent cx="155575" cy="79375"/>
              <wp:wrapNone/>
              <wp:docPr id="161" name="Shape 1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291.5pt;margin-top:784.10000000000002pt;width:12.25pt;height:6.25pt;z-index:-18874396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3702050</wp:posOffset>
              </wp:positionH>
              <wp:positionV relativeFrom="page">
                <wp:posOffset>9958070</wp:posOffset>
              </wp:positionV>
              <wp:extent cx="155575" cy="79375"/>
              <wp:wrapNone/>
              <wp:docPr id="166" name="Shape 1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291.5pt;margin-top:784.10000000000002pt;width:12.25pt;height:6.25pt;z-index:-18874396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3702050</wp:posOffset>
              </wp:positionH>
              <wp:positionV relativeFrom="page">
                <wp:posOffset>9958070</wp:posOffset>
              </wp:positionV>
              <wp:extent cx="155575" cy="79375"/>
              <wp:wrapNone/>
              <wp:docPr id="171" name="Shape 1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291.5pt;margin-top:784.10000000000002pt;width:12.25pt;height:6.25pt;z-index:-18874395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6393815</wp:posOffset>
              </wp:positionH>
              <wp:positionV relativeFrom="page">
                <wp:posOffset>9664700</wp:posOffset>
              </wp:positionV>
              <wp:extent cx="445135" cy="106680"/>
              <wp:wrapNone/>
              <wp:docPr id="176" name="Shape 17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02" type="#_x0000_t202" style="position:absolute;margin-left:503.44999999999999pt;margin-top:761.pt;width:35.050000000000004pt;height:8.4000000000000004pt;z-index:-18874395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3705225</wp:posOffset>
              </wp:positionH>
              <wp:positionV relativeFrom="page">
                <wp:posOffset>10165080</wp:posOffset>
              </wp:positionV>
              <wp:extent cx="155575" cy="79375"/>
              <wp:wrapNone/>
              <wp:docPr id="178" name="Shape 1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291.75pt;margin-top:800.39999999999998pt;width:12.25pt;height:6.25pt;z-index:-18874395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5273675</wp:posOffset>
              </wp:positionH>
              <wp:positionV relativeFrom="page">
                <wp:posOffset>6826250</wp:posOffset>
              </wp:positionV>
              <wp:extent cx="155575" cy="79375"/>
              <wp:wrapNone/>
              <wp:docPr id="183" name="Shape 1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415.25pt;margin-top:537.5pt;width:12.25pt;height:6.25pt;z-index:-18874394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3754120</wp:posOffset>
              </wp:positionH>
              <wp:positionV relativeFrom="page">
                <wp:posOffset>9958070</wp:posOffset>
              </wp:positionV>
              <wp:extent cx="42545" cy="79375"/>
              <wp:wrapNone/>
              <wp:docPr id="11" name="Shape 11"/>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5.60000000000002pt;margin-top:784.10000000000002pt;width:3.3500000000000001pt;height:6.25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5273675</wp:posOffset>
              </wp:positionH>
              <wp:positionV relativeFrom="page">
                <wp:posOffset>6826250</wp:posOffset>
              </wp:positionV>
              <wp:extent cx="155575" cy="79375"/>
              <wp:wrapNone/>
              <wp:docPr id="188" name="Shape 1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415.25pt;margin-top:537.5pt;width:12.25pt;height:6.25pt;z-index:-18874394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3702050</wp:posOffset>
              </wp:positionH>
              <wp:positionV relativeFrom="page">
                <wp:posOffset>9958070</wp:posOffset>
              </wp:positionV>
              <wp:extent cx="155575" cy="79375"/>
              <wp:wrapNone/>
              <wp:docPr id="193" name="Shape 1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291.5pt;margin-top:784.10000000000002pt;width:12.25pt;height:6.25pt;z-index:-18874393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3702050</wp:posOffset>
              </wp:positionH>
              <wp:positionV relativeFrom="page">
                <wp:posOffset>9958070</wp:posOffset>
              </wp:positionV>
              <wp:extent cx="155575" cy="79375"/>
              <wp:wrapNone/>
              <wp:docPr id="198" name="Shape 1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291.5pt;margin-top:784.10000000000002pt;width:12.25pt;height:6.25pt;z-index:-18874393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3702050</wp:posOffset>
              </wp:positionH>
              <wp:positionV relativeFrom="page">
                <wp:posOffset>9958070</wp:posOffset>
              </wp:positionV>
              <wp:extent cx="155575" cy="79375"/>
              <wp:wrapNone/>
              <wp:docPr id="209" name="Shape 2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291.5pt;margin-top:784.10000000000002pt;width:12.25pt;height:6.25pt;z-index:-18874392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3702050</wp:posOffset>
              </wp:positionH>
              <wp:positionV relativeFrom="page">
                <wp:posOffset>9958070</wp:posOffset>
              </wp:positionV>
              <wp:extent cx="155575" cy="79375"/>
              <wp:wrapNone/>
              <wp:docPr id="214" name="Shape 2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291.5pt;margin-top:784.10000000000002pt;width:12.25pt;height:6.25pt;z-index:-18874392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3754120</wp:posOffset>
              </wp:positionH>
              <wp:positionV relativeFrom="page">
                <wp:posOffset>9958070</wp:posOffset>
              </wp:positionV>
              <wp:extent cx="42545" cy="79375"/>
              <wp:wrapNone/>
              <wp:docPr id="13" name="Shape 13"/>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95.60000000000002pt;margin-top:784.10000000000002pt;width:3.3500000000000001pt;height:6.25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3916045</wp:posOffset>
              </wp:positionH>
              <wp:positionV relativeFrom="page">
                <wp:posOffset>9958070</wp:posOffset>
              </wp:positionV>
              <wp:extent cx="42545" cy="79375"/>
              <wp:wrapNone/>
              <wp:docPr id="18" name="Shape 18"/>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308.35000000000002pt;margin-top:784.10000000000002pt;width:3.3500000000000001pt;height:6.25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3794760</wp:posOffset>
              </wp:positionH>
              <wp:positionV relativeFrom="page">
                <wp:posOffset>9958070</wp:posOffset>
              </wp:positionV>
              <wp:extent cx="103505" cy="79375"/>
              <wp:wrapNone/>
              <wp:docPr id="23" name="Shape 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8.80000000000001pt;margin-top:784.10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3794760</wp:posOffset>
              </wp:positionH>
              <wp:positionV relativeFrom="page">
                <wp:posOffset>9958070</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98.80000000000001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3794760</wp:posOffset>
              </wp:positionH>
              <wp:positionV relativeFrom="page">
                <wp:posOffset>9958070</wp:posOffset>
              </wp:positionV>
              <wp:extent cx="103505" cy="79375"/>
              <wp:wrapNone/>
              <wp:docPr id="33" name="Shape 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8.80000000000001pt;margin-top:784.10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5288915</wp:posOffset>
              </wp:positionH>
              <wp:positionV relativeFrom="page">
                <wp:posOffset>6844665</wp:posOffset>
              </wp:positionV>
              <wp:extent cx="109855" cy="79375"/>
              <wp:wrapNone/>
              <wp:docPr id="38" name="Shape 3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416.44999999999999pt;margin-top:538.95000000000005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4572000</wp:posOffset>
              </wp:positionH>
              <wp:positionV relativeFrom="page">
                <wp:posOffset>558165</wp:posOffset>
              </wp:positionV>
              <wp:extent cx="2331720" cy="106680"/>
              <wp:wrapNone/>
              <wp:docPr id="1" name="Shape 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0.pt;margin-top:43.950000000000003pt;width:183.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7443470</wp:posOffset>
              </wp:positionH>
              <wp:positionV relativeFrom="page">
                <wp:posOffset>548005</wp:posOffset>
              </wp:positionV>
              <wp:extent cx="2331720" cy="106680"/>
              <wp:wrapNone/>
              <wp:docPr id="40" name="Shape 4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6" type="#_x0000_t202" style="position:absolute;margin-left:586.10000000000002pt;margin-top:43.149999999999999pt;width:183.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723900</wp:posOffset>
              </wp:positionV>
              <wp:extent cx="8903335" cy="0"/>
              <wp:wrapNone/>
              <wp:docPr id="42" name="Shape 4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7.pt;width:701.05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4572000</wp:posOffset>
              </wp:positionH>
              <wp:positionV relativeFrom="page">
                <wp:posOffset>558165</wp:posOffset>
              </wp:positionV>
              <wp:extent cx="2331720" cy="106680"/>
              <wp:wrapNone/>
              <wp:docPr id="46" name="Shape 4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2" type="#_x0000_t202" style="position:absolute;margin-left:360.pt;margin-top:43.950000000000003pt;width:183.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48" name="Shape 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4572000</wp:posOffset>
              </wp:positionH>
              <wp:positionV relativeFrom="page">
                <wp:posOffset>558165</wp:posOffset>
              </wp:positionV>
              <wp:extent cx="2331720" cy="106680"/>
              <wp:wrapNone/>
              <wp:docPr id="51" name="Shape 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7" type="#_x0000_t202" style="position:absolute;margin-left:360.pt;margin-top:43.950000000000003pt;width:183.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53" name="Shape 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7443470</wp:posOffset>
              </wp:positionH>
              <wp:positionV relativeFrom="page">
                <wp:posOffset>542925</wp:posOffset>
              </wp:positionV>
              <wp:extent cx="2331720" cy="106680"/>
              <wp:wrapNone/>
              <wp:docPr id="58" name="Shape 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84" type="#_x0000_t202" style="position:absolute;margin-left:586.10000000000002pt;margin-top:42.75pt;width:183.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718820</wp:posOffset>
              </wp:positionV>
              <wp:extent cx="8903335" cy="0"/>
              <wp:wrapNone/>
              <wp:docPr id="60" name="Shape 6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6.600000000000001pt;width:701.05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7443470</wp:posOffset>
              </wp:positionH>
              <wp:positionV relativeFrom="page">
                <wp:posOffset>542925</wp:posOffset>
              </wp:positionV>
              <wp:extent cx="2331720" cy="106680"/>
              <wp:wrapNone/>
              <wp:docPr id="63" name="Shape 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089" type="#_x0000_t202" style="position:absolute;margin-left:586.10000000000002pt;margin-top:42.75pt;width:183.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718820</wp:posOffset>
              </wp:positionV>
              <wp:extent cx="8903335" cy="0"/>
              <wp:wrapNone/>
              <wp:docPr id="65" name="Shape 6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6.600000000000001pt;width:701.05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4572000</wp:posOffset>
              </wp:positionH>
              <wp:positionV relativeFrom="page">
                <wp:posOffset>558165</wp:posOffset>
              </wp:positionV>
              <wp:extent cx="2331720" cy="106680"/>
              <wp:wrapNone/>
              <wp:docPr id="68" name="Shape 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4" type="#_x0000_t202" style="position:absolute;margin-left:360.pt;margin-top:43.950000000000003pt;width:183.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70" name="Shape 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4572000</wp:posOffset>
              </wp:positionH>
              <wp:positionV relativeFrom="page">
                <wp:posOffset>558165</wp:posOffset>
              </wp:positionV>
              <wp:extent cx="2331720" cy="106680"/>
              <wp:wrapNone/>
              <wp:docPr id="73" name="Shape 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9" type="#_x0000_t202" style="position:absolute;margin-left:360.pt;margin-top:43.950000000000003pt;width:183.5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75" name="Shape 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7502525</wp:posOffset>
              </wp:positionH>
              <wp:positionV relativeFrom="page">
                <wp:posOffset>554355</wp:posOffset>
              </wp:positionV>
              <wp:extent cx="2331720" cy="106680"/>
              <wp:wrapNone/>
              <wp:docPr id="114" name="Shape 1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40" type="#_x0000_t202" style="position:absolute;margin-left:590.75pt;margin-top:43.649999999999999pt;width:183.5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955675</wp:posOffset>
              </wp:positionH>
              <wp:positionV relativeFrom="page">
                <wp:posOffset>703580</wp:posOffset>
              </wp:positionV>
              <wp:extent cx="8903335" cy="0"/>
              <wp:wrapNone/>
              <wp:docPr id="116" name="Shape 116"/>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5.25pt;margin-top:55.399999999999999pt;width:701.05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7502525</wp:posOffset>
              </wp:positionH>
              <wp:positionV relativeFrom="page">
                <wp:posOffset>554355</wp:posOffset>
              </wp:positionV>
              <wp:extent cx="2331720" cy="106680"/>
              <wp:wrapNone/>
              <wp:docPr id="119" name="Shape 1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45" type="#_x0000_t202" style="position:absolute;margin-left:590.75pt;margin-top:43.649999999999999pt;width:183.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955675</wp:posOffset>
              </wp:positionH>
              <wp:positionV relativeFrom="page">
                <wp:posOffset>703580</wp:posOffset>
              </wp:positionV>
              <wp:extent cx="8903335" cy="0"/>
              <wp:wrapNone/>
              <wp:docPr id="121" name="Shape 121"/>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5.25pt;margin-top:55.399999999999999pt;width:701.05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4502150</wp:posOffset>
              </wp:positionH>
              <wp:positionV relativeFrom="page">
                <wp:posOffset>523875</wp:posOffset>
              </wp:positionV>
              <wp:extent cx="2331720" cy="106680"/>
              <wp:wrapNone/>
              <wp:docPr id="124" name="Shape 1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50" type="#_x0000_t202" style="position:absolute;margin-left:354.5pt;margin-top:41.25pt;width:183.5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26" name="Shape 1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4572000</wp:posOffset>
              </wp:positionH>
              <wp:positionV relativeFrom="page">
                <wp:posOffset>558165</wp:posOffset>
              </wp:positionV>
              <wp:extent cx="2331720" cy="106680"/>
              <wp:wrapNone/>
              <wp:docPr id="6" name="Shape 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2" type="#_x0000_t202" style="position:absolute;margin-left:360.pt;margin-top:43.950000000000003pt;width:183.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4502150</wp:posOffset>
              </wp:positionH>
              <wp:positionV relativeFrom="page">
                <wp:posOffset>523875</wp:posOffset>
              </wp:positionV>
              <wp:extent cx="2331720" cy="106680"/>
              <wp:wrapNone/>
              <wp:docPr id="129" name="Shape 1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55" type="#_x0000_t202" style="position:absolute;margin-left:354.5pt;margin-top:41.25pt;width:183.59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31" name="Shape 13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4502150</wp:posOffset>
              </wp:positionH>
              <wp:positionV relativeFrom="page">
                <wp:posOffset>523875</wp:posOffset>
              </wp:positionV>
              <wp:extent cx="2331720" cy="106680"/>
              <wp:wrapNone/>
              <wp:docPr id="134" name="Shape 1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60" type="#_x0000_t202" style="position:absolute;margin-left:354.5pt;margin-top:41.25pt;width:183.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36" name="Shape 1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4504055</wp:posOffset>
              </wp:positionH>
              <wp:positionV relativeFrom="page">
                <wp:posOffset>558165</wp:posOffset>
              </wp:positionV>
              <wp:extent cx="2331720" cy="106680"/>
              <wp:wrapNone/>
              <wp:docPr id="139" name="Shape 13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65" type="#_x0000_t202" style="position:absolute;margin-left:354.65000000000003pt;margin-top:43.950000000000003pt;width:183.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913765</wp:posOffset>
              </wp:positionV>
              <wp:extent cx="6160135" cy="0"/>
              <wp:wrapNone/>
              <wp:docPr id="141" name="Shape 1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1.950000000000003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4503420</wp:posOffset>
              </wp:positionH>
              <wp:positionV relativeFrom="page">
                <wp:posOffset>744855</wp:posOffset>
              </wp:positionV>
              <wp:extent cx="2331720" cy="106680"/>
              <wp:wrapNone/>
              <wp:docPr id="146" name="Shape 14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72" type="#_x0000_t202" style="position:absolute;margin-left:354.60000000000002pt;margin-top:58.649999999999999pt;width:183.5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894080</wp:posOffset>
              </wp:positionV>
              <wp:extent cx="6160135" cy="0"/>
              <wp:wrapNone/>
              <wp:docPr id="148" name="Shape 1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400000000000006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4502150</wp:posOffset>
              </wp:positionH>
              <wp:positionV relativeFrom="page">
                <wp:posOffset>523875</wp:posOffset>
              </wp:positionV>
              <wp:extent cx="2331720" cy="106680"/>
              <wp:wrapNone/>
              <wp:docPr id="153" name="Shape 15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79" type="#_x0000_t202" style="position:absolute;margin-left:354.5pt;margin-top:41.25pt;width:183.5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55" name="Shape 1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4502150</wp:posOffset>
              </wp:positionH>
              <wp:positionV relativeFrom="page">
                <wp:posOffset>523875</wp:posOffset>
              </wp:positionV>
              <wp:extent cx="2331720" cy="106680"/>
              <wp:wrapNone/>
              <wp:docPr id="158" name="Shape 1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84" type="#_x0000_t202" style="position:absolute;margin-left:354.5pt;margin-top:41.25pt;width:183.59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60" name="Shape 16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4502150</wp:posOffset>
              </wp:positionH>
              <wp:positionV relativeFrom="page">
                <wp:posOffset>523875</wp:posOffset>
              </wp:positionV>
              <wp:extent cx="2331720" cy="106680"/>
              <wp:wrapNone/>
              <wp:docPr id="163" name="Shape 1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89" type="#_x0000_t202" style="position:absolute;margin-left:354.5pt;margin-top:41.25pt;width:183.59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65" name="Shape 1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4502150</wp:posOffset>
              </wp:positionH>
              <wp:positionV relativeFrom="page">
                <wp:posOffset>523875</wp:posOffset>
              </wp:positionV>
              <wp:extent cx="2331720" cy="106680"/>
              <wp:wrapNone/>
              <wp:docPr id="168" name="Shape 1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94" type="#_x0000_t202" style="position:absolute;margin-left:354.5pt;margin-top:41.25pt;width:183.5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70" name="Shape 1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4504055</wp:posOffset>
              </wp:positionH>
              <wp:positionV relativeFrom="page">
                <wp:posOffset>558165</wp:posOffset>
              </wp:positionV>
              <wp:extent cx="2331720" cy="106680"/>
              <wp:wrapNone/>
              <wp:docPr id="173" name="Shape 1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199" type="#_x0000_t202" style="position:absolute;margin-left:354.65000000000003pt;margin-top:43.950000000000003pt;width:183.59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913765</wp:posOffset>
              </wp:positionV>
              <wp:extent cx="6160135" cy="0"/>
              <wp:wrapNone/>
              <wp:docPr id="175" name="Shape 1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1.950000000000003pt;width:485.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7443470</wp:posOffset>
              </wp:positionH>
              <wp:positionV relativeFrom="page">
                <wp:posOffset>556895</wp:posOffset>
              </wp:positionV>
              <wp:extent cx="2331720" cy="106680"/>
              <wp:wrapNone/>
              <wp:docPr id="180" name="Shape 18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06" type="#_x0000_t202" style="position:absolute;margin-left:586.10000000000002pt;margin-top:43.850000000000001pt;width:183.59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182" name="Shape 18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7443470</wp:posOffset>
              </wp:positionH>
              <wp:positionV relativeFrom="page">
                <wp:posOffset>556895</wp:posOffset>
              </wp:positionV>
              <wp:extent cx="2331720" cy="106680"/>
              <wp:wrapNone/>
              <wp:docPr id="185" name="Shape 18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11" type="#_x0000_t202" style="position:absolute;margin-left:586.10000000000002pt;margin-top:43.850000000000001pt;width:183.59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187" name="Shape 18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4502150</wp:posOffset>
              </wp:positionH>
              <wp:positionV relativeFrom="page">
                <wp:posOffset>523875</wp:posOffset>
              </wp:positionV>
              <wp:extent cx="2331720" cy="106680"/>
              <wp:wrapNone/>
              <wp:docPr id="190" name="Shape 1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16" type="#_x0000_t202" style="position:absolute;margin-left:354.5pt;margin-top:41.25pt;width:183.59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92" name="Shape 1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4502150</wp:posOffset>
              </wp:positionH>
              <wp:positionV relativeFrom="page">
                <wp:posOffset>523875</wp:posOffset>
              </wp:positionV>
              <wp:extent cx="2331720" cy="106680"/>
              <wp:wrapNone/>
              <wp:docPr id="195" name="Shape 1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21" type="#_x0000_t202" style="position:absolute;margin-left:354.5pt;margin-top:41.25pt;width:183.59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197" name="Shape 1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7443470</wp:posOffset>
              </wp:positionH>
              <wp:positionV relativeFrom="page">
                <wp:posOffset>556260</wp:posOffset>
              </wp:positionV>
              <wp:extent cx="2331720" cy="106680"/>
              <wp:wrapNone/>
              <wp:docPr id="200" name="Shape 2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26" type="#_x0000_t202" style="position:absolute;margin-left:586.10000000000002pt;margin-top:43.800000000000004pt;width:183.5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02" name="Shape 20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7443470</wp:posOffset>
              </wp:positionH>
              <wp:positionV relativeFrom="page">
                <wp:posOffset>556260</wp:posOffset>
              </wp:positionV>
              <wp:extent cx="2331720" cy="106680"/>
              <wp:wrapNone/>
              <wp:docPr id="203" name="Shape 20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29" type="#_x0000_t202" style="position:absolute;margin-left:586.10000000000002pt;margin-top:43.800000000000004pt;width:183.59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05" name="Shape 20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4502150</wp:posOffset>
              </wp:positionH>
              <wp:positionV relativeFrom="page">
                <wp:posOffset>523875</wp:posOffset>
              </wp:positionV>
              <wp:extent cx="2331720" cy="106680"/>
              <wp:wrapNone/>
              <wp:docPr id="206" name="Shape 2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32" type="#_x0000_t202" style="position:absolute;margin-left:354.5pt;margin-top:41.25pt;width:183.59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208" name="Shape 20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4502150</wp:posOffset>
              </wp:positionH>
              <wp:positionV relativeFrom="page">
                <wp:posOffset>523875</wp:posOffset>
              </wp:positionV>
              <wp:extent cx="2331720" cy="106680"/>
              <wp:wrapNone/>
              <wp:docPr id="211" name="Shape 2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wps:txbx>
                    <wps:bodyPr wrap="none" lIns="0" tIns="0" rIns="0" bIns="0">
                      <a:spAutoFit/>
                    </wps:bodyPr>
                  </wps:wsp>
                </a:graphicData>
              </a:graphic>
            </wp:anchor>
          </w:drawing>
        </mc:Choice>
        <mc:Fallback>
          <w:pict>
            <v:shape id="_x0000_s1237" type="#_x0000_t202" style="position:absolute;margin-left:354.5pt;margin-top:41.25pt;width:183.59999999999999pt;height:8.4000000000000004pt;z-index:-18874392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60135" cy="0"/>
              <wp:wrapNone/>
              <wp:docPr id="213" name="Shape 2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4754245</wp:posOffset>
              </wp:positionH>
              <wp:positionV relativeFrom="page">
                <wp:posOffset>558165</wp:posOffset>
              </wp:positionV>
              <wp:extent cx="2331720" cy="106680"/>
              <wp:wrapNone/>
              <wp:docPr id="15" name="Shape 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1" type="#_x0000_t202" style="position:absolute;margin-left:374.35000000000002pt;margin-top:43.950000000000003pt;width:183.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707390</wp:posOffset>
              </wp:positionV>
              <wp:extent cx="6339840" cy="0"/>
              <wp:wrapNone/>
              <wp:docPr id="17" name="Shape 17"/>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60.700000000000003pt;margin-top:55.700000000000003pt;width:499.1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4572000</wp:posOffset>
              </wp:positionH>
              <wp:positionV relativeFrom="page">
                <wp:posOffset>558165</wp:posOffset>
              </wp:positionV>
              <wp:extent cx="2331720" cy="106680"/>
              <wp:wrapNone/>
              <wp:docPr id="20" name="Shape 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6" type="#_x0000_t202" style="position:absolute;margin-left:360.pt;margin-top:43.950000000000003pt;width:183.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22" name="Shape 2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4572000</wp:posOffset>
              </wp:positionH>
              <wp:positionV relativeFrom="page">
                <wp:posOffset>558165</wp:posOffset>
              </wp:positionV>
              <wp:extent cx="2331720" cy="106680"/>
              <wp:wrapNone/>
              <wp:docPr id="25" name="Shape 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1" type="#_x0000_t202" style="position:absolute;margin-left:360.pt;margin-top:43.950000000000003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4572000</wp:posOffset>
              </wp:positionH>
              <wp:positionV relativeFrom="page">
                <wp:posOffset>558165</wp:posOffset>
              </wp:positionV>
              <wp:extent cx="2331720" cy="106680"/>
              <wp:wrapNone/>
              <wp:docPr id="30" name="Shape 3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6" type="#_x0000_t202" style="position:absolute;margin-left:360.pt;margin-top:43.950000000000003pt;width:183.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707390</wp:posOffset>
              </wp:positionV>
              <wp:extent cx="6160135" cy="0"/>
              <wp:wrapNone/>
              <wp:docPr id="32" name="Shape 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0.5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7443470</wp:posOffset>
              </wp:positionH>
              <wp:positionV relativeFrom="page">
                <wp:posOffset>548005</wp:posOffset>
              </wp:positionV>
              <wp:extent cx="2331720" cy="106680"/>
              <wp:wrapNone/>
              <wp:docPr id="35" name="Shape 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1" type="#_x0000_t202" style="position:absolute;margin-left:586.10000000000002pt;margin-top:43.149999999999999pt;width:183.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武汉天喻信息产业股份有限公司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723900</wp:posOffset>
              </wp:positionV>
              <wp:extent cx="8903335" cy="0"/>
              <wp:wrapNone/>
              <wp:docPr id="37" name="Shape 3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7.pt;width:701.05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7">
    <w:name w:val="页眉或页脚_"/>
    <w:basedOn w:val="DefaultParagraphFont"/>
    <w:link w:val="Style46"/>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正文文本 (6)_"/>
    <w:basedOn w:val="DefaultParagraphFont"/>
    <w:link w:val="Style50"/>
    <w:rPr>
      <w:rFonts w:ascii="SimSun" w:eastAsia="SimSun" w:hAnsi="SimSun" w:cs="SimSun"/>
      <w:b/>
      <w:bCs/>
      <w:i w:val="0"/>
      <w:iCs w:val="0"/>
      <w:smallCaps w:val="0"/>
      <w:strike w:val="0"/>
      <w:sz w:val="30"/>
      <w:szCs w:val="30"/>
      <w:u w:val="none"/>
      <w:shd w:val="clear" w:color="auto" w:fill="auto"/>
    </w:rPr>
  </w:style>
  <w:style w:type="character" w:customStyle="1" w:styleId="CharStyle60">
    <w:name w:val="标题 #5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7)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line="389"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标题 #1"/>
    <w:basedOn w:val="Normal"/>
    <w:link w:val="CharStyle10"/>
    <w:pPr>
      <w:widowControl w:val="0"/>
      <w:shd w:val="clear" w:color="auto" w:fill="auto"/>
      <w:spacing w:before="54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正文文本 (2)"/>
    <w:basedOn w:val="Normal"/>
    <w:link w:val="CharStyle16"/>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30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正文文本"/>
    <w:basedOn w:val="Normal"/>
    <w:link w:val="CharStyle27"/>
    <w:pPr>
      <w:widowControl w:val="0"/>
      <w:shd w:val="clear" w:color="auto" w:fill="auto"/>
      <w:spacing w:line="389"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80"/>
      <w:ind w:firstLine="4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4"/>
    <w:basedOn w:val="Normal"/>
    <w:link w:val="CharStyle37"/>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5)"/>
    <w:basedOn w:val="Normal"/>
    <w:link w:val="CharStyle44"/>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46">
    <w:name w:val="页眉或页脚"/>
    <w:basedOn w:val="Normal"/>
    <w:link w:val="CharStyle4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正文文本 (6)"/>
    <w:basedOn w:val="Normal"/>
    <w:link w:val="CharStyle51"/>
    <w:pPr>
      <w:widowControl w:val="0"/>
      <w:shd w:val="clear" w:color="auto" w:fill="auto"/>
      <w:jc w:val="center"/>
    </w:pPr>
    <w:rPr>
      <w:rFonts w:ascii="SimSun" w:eastAsia="SimSun" w:hAnsi="SimSun" w:cs="SimSun"/>
      <w:b/>
      <w:bCs/>
      <w:i w:val="0"/>
      <w:iCs w:val="0"/>
      <w:smallCaps w:val="0"/>
      <w:strike w:val="0"/>
      <w:sz w:val="30"/>
      <w:szCs w:val="30"/>
      <w:u w:val="none"/>
      <w:shd w:val="clear" w:color="auto" w:fill="auto"/>
    </w:rPr>
  </w:style>
  <w:style w:type="paragraph" w:customStyle="1" w:styleId="Style59">
    <w:name w:val="标题 #5"/>
    <w:basedOn w:val="Normal"/>
    <w:link w:val="CharStyle60"/>
    <w:pPr>
      <w:widowControl w:val="0"/>
      <w:shd w:val="clear" w:color="auto" w:fill="auto"/>
      <w:spacing w:after="400"/>
      <w:ind w:firstLine="7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7)"/>
    <w:basedOn w:val="Normal"/>
    <w:link w:val="CharStyle65"/>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s>
</file>

<file path=docProps/core.xml><?xml version="1.0" encoding="utf-8"?>
<cp:coreProperties xmlns:cp="http://schemas.openxmlformats.org/package/2006/metadata/core-properties" xmlns:dc="http://purl.org/dc/elements/1.1/">
  <dc:title>武汉天喻信息产业股份有限公司2020年年度报告全文</dc:title>
  <dc:subject/>
  <dc:creator>武汉天喻信息产业股份有限公司</dc:creator>
  <cp:keywords/>
</cp:coreProperties>
</file>