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522" w:lineRule="exact"/>
        <w:ind w:left="36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632489" cy="33147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32489" cy="331470"/>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58" w:right="364" w:firstLine="0"/>
        <w:jc w:val="center"/>
        <w:rPr>
          <w:rFonts w:ascii="宋体" w:hAnsi="宋体" w:cs="宋体" w:eastAsia="宋体" w:hint="default"/>
          <w:sz w:val="36"/>
          <w:szCs w:val="36"/>
        </w:rPr>
      </w:pPr>
      <w:r>
        <w:rPr>
          <w:rFonts w:ascii="宋体" w:hAnsi="宋体" w:cs="宋体" w:eastAsia="宋体" w:hint="default"/>
          <w:b/>
          <w:bCs/>
          <w:sz w:val="36"/>
          <w:szCs w:val="36"/>
        </w:rPr>
        <w:t>青岛市恒顺电气股份有限公司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58" w:right="35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358" w:right="358" w:firstLine="0"/>
        <w:jc w:val="center"/>
        <w:rPr>
          <w:rFonts w:ascii="Times New Roman" w:hAnsi="Times New Roman" w:cs="Times New Roman" w:eastAsia="Times New Roman" w:hint="default"/>
          <w:sz w:val="22"/>
          <w:szCs w:val="22"/>
        </w:rPr>
      </w:pPr>
      <w:r>
        <w:rPr>
          <w:rFonts w:ascii="Times New Roman"/>
          <w:b/>
          <w:sz w:val="22"/>
        </w:rPr>
        <w:t>2013-004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358" w:right="3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公司董事均出席了审议本次年报的董事会会议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公司负责人贾全臣、主管会计工作负责人王艳强及会计机构负责人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刘涛声明：保证年度报告中财务报告的真实、准确、完整。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58" w:right="3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78"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29</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36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41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46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49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140</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358" w:right="3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本公司、公司、恒顺电气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保荐机构、兴业证券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清源环保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青岛清源环保实业有限公司、公司控股股东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荣信股份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青岛福日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青岛福日集团有限公司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奕飞投资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新疆奕飞股权投资有限公司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山东汇德会计师事务所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山东汇德会计师事务所有限公司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北京天银律师事务所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恒顺电气</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300208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恒顺电气</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Qingdao Evercontaining Electric</w:t>
            </w:r>
            <w:r>
              <w:rPr>
                <w:rFonts w:ascii="Times New Roman"/>
                <w:spacing w:val="-10"/>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www.qdhengshun.com</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hengshun@188.com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山东汇德会计师事务所</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山东省青岛市市南区东海西路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27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王艳强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莫柏欣</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1"/>
              <w:jc w:val="left"/>
              <w:rPr>
                <w:rFonts w:ascii="宋体" w:hAnsi="宋体" w:cs="宋体" w:eastAsia="宋体" w:hint="default"/>
                <w:sz w:val="18"/>
                <w:szCs w:val="18"/>
              </w:rPr>
            </w:pPr>
            <w:r>
              <w:rPr>
                <w:rFonts w:ascii="宋体" w:hAnsi="宋体" w:cs="宋体" w:eastAsia="宋体" w:hint="default"/>
                <w:sz w:val="18"/>
                <w:szCs w:val="18"/>
              </w:rPr>
              <w:t>青岛市城阳区流亭空港工业园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号路中 段</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青岛市城阳区流亭空港工业园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号路中 段</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0532-66962326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0532-87712839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9"/>
        <w:gridCol w:w="5711"/>
      </w:tblGrid>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青岛市城阳区流亭街道双元路西侧（空港工业聚集区）公司董事会办公 室</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青岛市城阳区长城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26485491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370214706460498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706460498</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变更股份公司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10"/>
                <w:sz w:val="18"/>
                <w:szCs w:val="18"/>
              </w:rPr>
              <w:t>街道双元路西侧（空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港工业聚集区）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370214018001595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706460498</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股权变动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10"/>
                <w:sz w:val="18"/>
                <w:szCs w:val="18"/>
              </w:rPr>
              <w:t>街道双元路西侧（空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港工业聚集区）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370214018001595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706460498</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10"/>
                <w:sz w:val="18"/>
                <w:szCs w:val="18"/>
              </w:rPr>
              <w:t>街道双元路西侧（空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港工业聚集区）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370214018001595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706460498</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10"/>
                <w:sz w:val="18"/>
                <w:szCs w:val="18"/>
              </w:rPr>
              <w:t>街道双元路西侧（空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港工业聚集区）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370214018001595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706460498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5"/>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247,263,192.79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222,423,508.17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11.1677%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182,749,708.33</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61,382,798.56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51,901,874.52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45,179,000.41</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62,771,365.25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57,614,476.81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47,766,441.71</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55,341,821.14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49,890,964.92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41,204,344.33</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54,010,375.25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44,881,422.43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20.3402%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37,521,241.45</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44,601,361.00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20,805,803.43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114.3698%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47,178,429.57</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1,049,481,657.84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859,489,488.90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338,174,874.32</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369,619,346.99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231,090,734.40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59.9456%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163,744,504.56</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679,862,310.85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628,398,754.50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174,430,369.76</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23.62%</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30.17%</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21.51%</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5"/>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-45.9052%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48.42%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二、报告期内非经常性损益的项目及金额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10,192.03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8,878.66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37,455.75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1,313,221.76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5,693,541.76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2,626,516.75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3,150.00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1,582,162.51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48,265.44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697,341.30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480,910.79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1,331,445.89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5,009,542.49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3,683,102.88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0" w:hanging="361"/>
        <w:jc w:val="left"/>
      </w:pPr>
      <w:r>
        <w:rPr>
          <w:rFonts w:ascii="Times New Roman" w:hAnsi="Times New Roman" w:cs="Times New Roman" w:eastAsia="Times New Roman" w:hint="default"/>
        </w:rPr>
        <w:t>1</w:t>
      </w:r>
      <w:r>
        <w:rPr/>
        <w:t>、境外投资地政治风险及政策性风险 </w:t>
      </w:r>
      <w:r>
        <w:rPr>
          <w:spacing w:val="-2"/>
        </w:rPr>
        <w:t>印尼国家属于发展中国家，近年来，政治民主环境逐步改善，但政策环境相对仍较为复杂，市场开放有限，对外资存在</w:t>
      </w:r>
    </w:p>
    <w:p>
      <w:pPr>
        <w:pStyle w:val="BodyText"/>
        <w:spacing w:line="316" w:lineRule="auto" w:before="31"/>
        <w:ind w:left="513" w:right="0" w:hanging="361"/>
        <w:jc w:val="left"/>
      </w:pPr>
      <w:r>
        <w:rPr/>
        <w:t>限制，公司仍可能面临印尼国家政策的变化带来不利影响。 </w:t>
      </w:r>
      <w:r>
        <w:rPr>
          <w:spacing w:val="-2"/>
        </w:rPr>
        <w:t>针对以上风险，公司积极研究了解印尼环境及政策，审慎判断；选取新加坡作为境外业务总部，规避中国与印尼可能产</w:t>
      </w:r>
    </w:p>
    <w:p>
      <w:pPr>
        <w:pStyle w:val="BodyText"/>
        <w:spacing w:line="316" w:lineRule="auto" w:before="19"/>
        <w:ind w:right="0"/>
        <w:jc w:val="left"/>
      </w:pPr>
      <w:r>
        <w:rPr>
          <w:spacing w:val="-2"/>
        </w:rPr>
        <w:t>生的政治风险；在项目投资方向上使之符合我国的战略规划，并积极争取纳入国家级投资项目，以加大我国政府对项目的保</w:t>
      </w:r>
      <w:r>
        <w:rPr>
          <w:spacing w:val="-63"/>
        </w:rPr>
        <w:t> </w:t>
      </w:r>
      <w:r>
        <w:rPr>
          <w:spacing w:val="-63"/>
        </w:rPr>
      </w:r>
      <w:r>
        <w:rPr>
          <w:spacing w:val="-2"/>
        </w:rPr>
        <w:t>护力度；通过与投资所在地政府的沟通来争取稳定的政策保障；充分利用境外投资保险，加强对自身投资的保障；在项目运</w:t>
      </w:r>
      <w:r>
        <w:rPr>
          <w:spacing w:val="-62"/>
        </w:rPr>
        <w:t> </w:t>
      </w:r>
      <w:r>
        <w:rPr>
          <w:spacing w:val="-62"/>
        </w:rPr>
      </w:r>
      <w:r>
        <w:rPr>
          <w:spacing w:val="-4"/>
        </w:rPr>
        <w:t>营上坚持与当地资本共同出资管理的方式，走本土化管理道路，尽可能选用当地雇员，适应项目地人文环境，履行社会责任，</w:t>
      </w:r>
      <w:r>
        <w:rPr>
          <w:spacing w:val="-46"/>
        </w:rPr>
        <w:t> </w:t>
      </w:r>
      <w:r>
        <w:rPr>
          <w:spacing w:val="-46"/>
        </w:rPr>
      </w:r>
      <w:r>
        <w:rPr/>
        <w:t>规避政策风险。</w:t>
      </w:r>
    </w:p>
    <w:p>
      <w:pPr>
        <w:pStyle w:val="BodyText"/>
        <w:spacing w:line="309" w:lineRule="auto" w:before="19"/>
        <w:ind w:left="506" w:right="0" w:hanging="354"/>
        <w:jc w:val="left"/>
      </w:pPr>
      <w:r>
        <w:rPr>
          <w:rFonts w:ascii="Times New Roman" w:hAnsi="Times New Roman" w:cs="Times New Roman" w:eastAsia="Times New Roman" w:hint="default"/>
        </w:rPr>
        <w:t>2</w:t>
      </w:r>
      <w:r>
        <w:rPr/>
        <w:t>、企业管理风险 </w:t>
      </w:r>
      <w:r>
        <w:rPr>
          <w:spacing w:val="-2"/>
        </w:rPr>
        <w:t>随着企业业务的扩张，公司的资产、人员将持续扩张，组织机构更加复杂，尤其是海外资产及子公司不断增加，使公司</w:t>
      </w:r>
    </w:p>
    <w:p>
      <w:pPr>
        <w:pStyle w:val="BodyText"/>
        <w:spacing w:line="275" w:lineRule="exact"/>
        <w:ind w:right="0"/>
        <w:jc w:val="left"/>
      </w:pPr>
      <w:r>
        <w:rPr/>
        <w:t>经营决策、风险控制的难度加大，这对企业组织模式</w:t>
      </w:r>
      <w:r>
        <w:rPr>
          <w:rFonts w:ascii="Microsoft JhengHei" w:hAnsi="Microsoft JhengHei" w:cs="Microsoft JhengHei" w:eastAsia="Microsoft JhengHei" w:hint="default"/>
        </w:rPr>
        <w:t>､管理制度等方面提出了更高的要求</w:t>
      </w:r>
      <w:r>
        <w:rPr>
          <w:rFonts w:ascii="Times New Roman" w:hAnsi="Times New Roman" w:cs="Times New Roman" w:eastAsia="Times New Roman" w:hint="default"/>
        </w:rPr>
        <w:t>,</w:t>
      </w:r>
      <w:r>
        <w:rPr/>
        <w:t>如果公司管理水平不能及时适应</w:t>
      </w:r>
    </w:p>
    <w:p>
      <w:pPr>
        <w:pStyle w:val="BodyText"/>
        <w:spacing w:line="295" w:lineRule="auto"/>
        <w:ind w:left="506" w:right="0" w:hanging="354"/>
        <w:jc w:val="left"/>
      </w:pPr>
      <w:r>
        <w:rPr/>
        <w:t>规模迅速扩张及结构变化的需要</w:t>
      </w:r>
      <w:r>
        <w:rPr>
          <w:rFonts w:ascii="Times New Roman" w:hAnsi="Times New Roman" w:cs="Times New Roman" w:eastAsia="Times New Roman" w:hint="default"/>
        </w:rPr>
        <w:t>,</w:t>
      </w:r>
      <w:r>
        <w:rPr/>
        <w:t>将削弱公司的市场竞争力</w:t>
      </w:r>
      <w:r>
        <w:rPr>
          <w:rFonts w:ascii="Times New Roman" w:hAnsi="Times New Roman" w:cs="Times New Roman" w:eastAsia="Times New Roman" w:hint="default"/>
        </w:rPr>
        <w:t>,</w:t>
      </w:r>
      <w:r>
        <w:rPr/>
        <w:t>存在规模迅速扩张导致的管理风险</w:t>
      </w:r>
      <w:r>
        <w:rPr>
          <w:rFonts w:ascii="Microsoft JhengHei" w:hAnsi="Microsoft JhengHei" w:cs="Microsoft JhengHei" w:eastAsia="Microsoft JhengHei" w:hint="default"/>
        </w:rPr>
        <w:t>｡ </w:t>
      </w:r>
      <w:r>
        <w:rPr/>
        <w:t>针对以上风险</w:t>
      </w:r>
      <w:r>
        <w:rPr>
          <w:rFonts w:ascii="Times New Roman" w:hAnsi="Times New Roman" w:cs="Times New Roman" w:eastAsia="Times New Roman" w:hint="default"/>
        </w:rPr>
        <w:t>,</w:t>
      </w:r>
      <w:r>
        <w:rPr/>
        <w:t>公司将不断引进管理人才，尤其是具备海外管理经验及公司业务所需专业人才，并进一步完善内部组织</w:t>
      </w:r>
    </w:p>
    <w:p>
      <w:pPr>
        <w:pStyle w:val="BodyText"/>
        <w:spacing w:line="265" w:lineRule="exact"/>
        <w:ind w:right="0"/>
        <w:jc w:val="left"/>
        <w:rPr>
          <w:rFonts w:ascii="Microsoft JhengHei" w:hAnsi="Microsoft JhengHei" w:cs="Microsoft JhengHei" w:eastAsia="Microsoft JhengHei" w:hint="default"/>
        </w:rPr>
      </w:pPr>
      <w:r>
        <w:rPr/>
        <w:t>结构</w:t>
      </w:r>
      <w:r>
        <w:rPr>
          <w:rFonts w:ascii="Times New Roman" w:hAnsi="Times New Roman" w:cs="Times New Roman" w:eastAsia="Times New Roman" w:hint="default"/>
        </w:rPr>
        <w:t>,</w:t>
      </w:r>
      <w:r>
        <w:rPr/>
        <w:t>调整薪酬制度，强化员工激励机制，加强内部控制和风险管理</w:t>
      </w:r>
      <w:r>
        <w:rPr>
          <w:rFonts w:ascii="Times New Roman" w:hAnsi="Times New Roman" w:cs="Times New Roman" w:eastAsia="Times New Roman" w:hint="default"/>
        </w:rPr>
        <w:t>,</w:t>
      </w:r>
      <w:r>
        <w:rPr/>
        <w:t>使企业管理更加制度化</w:t>
      </w:r>
      <w:r>
        <w:rPr>
          <w:rFonts w:ascii="Microsoft JhengHei" w:hAnsi="Microsoft JhengHei" w:cs="Microsoft JhengHei" w:eastAsia="Microsoft JhengHei" w:hint="default"/>
        </w:rPr>
        <w:t>､规范化､科学化｡公司目前已在</w:t>
      </w:r>
    </w:p>
    <w:p>
      <w:pPr>
        <w:pStyle w:val="BodyText"/>
        <w:spacing w:line="310" w:lineRule="exact"/>
        <w:ind w:right="0"/>
        <w:jc w:val="left"/>
        <w:rPr>
          <w:rFonts w:ascii="Microsoft JhengHei" w:hAnsi="Microsoft JhengHei" w:cs="Microsoft JhengHei" w:eastAsia="Microsoft JhengHei" w:hint="default"/>
        </w:rPr>
      </w:pPr>
      <w:r>
        <w:rPr>
          <w:rFonts w:ascii="Microsoft JhengHei" w:hAnsi="Microsoft JhengHei" w:cs="Microsoft JhengHei" w:eastAsia="Microsoft JhengHei" w:hint="default"/>
        </w:rPr>
        <w:t>新加坡与印尼搭建起了优秀的管理团队，可以支持企业在海外业务的不断发展。</w:t>
      </w:r>
    </w:p>
    <w:p>
      <w:pPr>
        <w:pStyle w:val="BodyText"/>
        <w:spacing w:line="240" w:lineRule="auto" w:before="65"/>
        <w:ind w:right="0"/>
        <w:jc w:val="left"/>
      </w:pPr>
      <w:r>
        <w:rPr>
          <w:rFonts w:ascii="Times New Roman" w:hAnsi="Times New Roman" w:cs="Times New Roman" w:eastAsia="Times New Roman" w:hint="default"/>
        </w:rPr>
        <w:t>3</w:t>
      </w:r>
      <w:r>
        <w:rPr/>
        <w:t>、财务风险</w:t>
      </w:r>
    </w:p>
    <w:p>
      <w:pPr>
        <w:pStyle w:val="BodyText"/>
        <w:spacing w:line="312" w:lineRule="auto" w:before="60"/>
        <w:ind w:right="189" w:firstLine="353"/>
        <w:jc w:val="both"/>
      </w:pPr>
      <w:r>
        <w:rPr>
          <w:spacing w:val="-1"/>
        </w:rPr>
        <w:t>近年来公司的扩张投资对资金的需求急速扩大，公司负债率已由年初的</w:t>
      </w:r>
      <w:r>
        <w:rPr>
          <w:rFonts w:ascii="Times New Roman" w:hAnsi="Times New Roman" w:cs="Times New Roman" w:eastAsia="Times New Roman" w:hint="default"/>
          <w:spacing w:val="-1"/>
        </w:rPr>
        <w:t>27%</w:t>
      </w:r>
      <w:r>
        <w:rPr>
          <w:spacing w:val="-1"/>
        </w:rPr>
        <w:t>升至年末的</w:t>
      </w:r>
      <w:r>
        <w:rPr>
          <w:rFonts w:ascii="Times New Roman" w:hAnsi="Times New Roman" w:cs="Times New Roman" w:eastAsia="Times New Roman" w:hint="default"/>
          <w:spacing w:val="-1"/>
        </w:rPr>
        <w:t>35%</w:t>
      </w:r>
      <w:r>
        <w:rPr>
          <w:spacing w:val="-1"/>
        </w:rPr>
        <w:t>，未来还将进一步增大。公</w:t>
      </w:r>
      <w:r>
        <w:rPr/>
        <w:t> </w:t>
      </w:r>
      <w:r>
        <w:rPr>
          <w:spacing w:val="-2"/>
        </w:rPr>
        <w:t>司计划投资项目仍有大量资金需求，如果资金不能及时保障，将对项目的建设运营产生不利影响。同时因项目投资所需的资</w:t>
      </w:r>
      <w:r>
        <w:rPr>
          <w:spacing w:val="-63"/>
        </w:rPr>
        <w:t> </w:t>
      </w:r>
      <w:r>
        <w:rPr>
          <w:spacing w:val="-63"/>
        </w:rPr>
      </w:r>
      <w:r>
        <w:rPr>
          <w:spacing w:val="-2"/>
        </w:rPr>
        <w:t>金多以国内负债方式取得，投资项目大多有较长的建设期，短期内公司会产生巨大的财务费用压力，因此对公司的盈利能力</w:t>
      </w:r>
      <w:r>
        <w:rPr>
          <w:spacing w:val="-62"/>
        </w:rPr>
        <w:t> </w:t>
      </w:r>
      <w:r>
        <w:rPr>
          <w:spacing w:val="-62"/>
        </w:rPr>
      </w:r>
      <w:r>
        <w:rPr/>
        <w:t>造成不利影响。</w:t>
      </w:r>
    </w:p>
    <w:p>
      <w:pPr>
        <w:pStyle w:val="BodyText"/>
        <w:spacing w:line="240" w:lineRule="auto" w:before="22"/>
        <w:ind w:left="506" w:right="0"/>
        <w:jc w:val="left"/>
      </w:pPr>
      <w:r>
        <w:rPr/>
        <w:t>针对以上风险，公司将积极开展融资，以项目信托融资、公司债融资、政策性银行项目贷款等各种债务方式筹集资金，</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1"/>
        <w:jc w:val="both"/>
      </w:pPr>
      <w:r>
        <w:rPr>
          <w:spacing w:val="-2"/>
        </w:rPr>
        <w:t>保障项目资金供应；同时进一步开拓思路，通过寻求有资金实力的合作伙伴、争取资本市场直接融资等方式，解决项目资金</w:t>
      </w:r>
      <w:r>
        <w:rPr>
          <w:spacing w:val="-65"/>
        </w:rPr>
        <w:t> </w:t>
      </w:r>
      <w:r>
        <w:rPr>
          <w:spacing w:val="-65"/>
        </w:rPr>
      </w:r>
      <w:r>
        <w:rPr/>
        <w:t>需求、降低财务成本。</w:t>
      </w:r>
    </w:p>
    <w:p>
      <w:pPr>
        <w:pStyle w:val="BodyText"/>
        <w:spacing w:line="300" w:lineRule="auto" w:before="17"/>
        <w:ind w:left="506" w:right="121" w:hanging="354"/>
        <w:jc w:val="left"/>
      </w:pPr>
      <w:r>
        <w:rPr>
          <w:rFonts w:ascii="Times New Roman" w:hAnsi="Times New Roman" w:cs="Times New Roman" w:eastAsia="Times New Roman" w:hint="default"/>
        </w:rPr>
        <w:t>4</w:t>
      </w:r>
      <w:r>
        <w:rPr/>
        <w:t>、投资项目的实施的风险： 公司的各项投资项目，包括公司募集资金投入的</w:t>
      </w:r>
      <w:r>
        <w:rPr>
          <w:rFonts w:ascii="Times New Roman" w:hAnsi="Times New Roman" w:cs="Times New Roman" w:eastAsia="Times New Roman" w:hint="default"/>
        </w:rPr>
        <w:t>“</w:t>
      </w:r>
      <w:r>
        <w:rPr/>
        <w:t>高压无功补偿产业化升级项目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研发中心项目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营销网络项目</w:t>
      </w:r>
      <w:r>
        <w:rPr>
          <w:rFonts w:ascii="Times New Roman" w:hAnsi="Times New Roman" w:cs="Times New Roman" w:eastAsia="Times New Roman" w:hint="default"/>
        </w:rPr>
        <w:t>”</w:t>
      </w:r>
      <w:r>
        <w:rPr/>
        <w:t>、</w:t>
      </w:r>
    </w:p>
    <w:p>
      <w:pPr>
        <w:pStyle w:val="BodyText"/>
        <w:spacing w:line="312" w:lineRule="auto" w:before="13"/>
        <w:ind w:right="150"/>
        <w:jc w:val="both"/>
      </w:pPr>
      <w:r>
        <w:rPr>
          <w:rFonts w:ascii="Times New Roman" w:hAnsi="Times New Roman" w:cs="Times New Roman" w:eastAsia="Times New Roman" w:hint="default"/>
        </w:rPr>
        <w:t>“</w:t>
      </w:r>
      <w:r>
        <w:rPr/>
        <w:t>铁合金余热发电合同能源管理项目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“ASAM</w:t>
      </w:r>
      <w:r>
        <w:rPr/>
        <w:t>电厂的投资运营</w:t>
      </w:r>
      <w:r>
        <w:rPr>
          <w:rFonts w:ascii="Times New Roman" w:hAnsi="Times New Roman" w:cs="Times New Roman" w:eastAsia="Times New Roman" w:hint="default"/>
        </w:rPr>
        <w:t>”“</w:t>
      </w:r>
      <w:r>
        <w:rPr/>
        <w:t>煤矿资产收购项目</w:t>
      </w:r>
      <w:r>
        <w:rPr>
          <w:rFonts w:ascii="Times New Roman" w:hAnsi="Times New Roman" w:cs="Times New Roman" w:eastAsia="Times New Roman" w:hint="default"/>
        </w:rPr>
        <w:t>”</w:t>
      </w:r>
      <w:r>
        <w:rPr/>
        <w:t>等，虽然在前期已请相关专业机构进行 </w:t>
      </w:r>
      <w:r>
        <w:rPr>
          <w:spacing w:val="-2"/>
        </w:rPr>
        <w:t>了充分论证，并经过了董事会及股东会的审议研究，但由于在项目实施过程及营运过程中可能会由于市场的变化、政策的调</w:t>
      </w:r>
      <w:r>
        <w:rPr>
          <w:spacing w:val="-63"/>
        </w:rPr>
        <w:t> </w:t>
      </w:r>
      <w:r>
        <w:rPr>
          <w:spacing w:val="-63"/>
        </w:rPr>
      </w:r>
      <w:r>
        <w:rPr>
          <w:spacing w:val="-2"/>
        </w:rPr>
        <w:t>整、投资地人文环境的不适应、市场拓展不力、人力资源的不足等问题使投资项目时间进度不能按照计划进行或项目收益无</w:t>
      </w:r>
      <w:r>
        <w:rPr>
          <w:spacing w:val="-66"/>
        </w:rPr>
        <w:t> </w:t>
      </w:r>
      <w:r>
        <w:rPr>
          <w:spacing w:val="-66"/>
        </w:rPr>
      </w:r>
      <w:r>
        <w:rPr/>
        <w:t>法达到预期，因此项目的实施存在一定的风险。</w:t>
      </w:r>
    </w:p>
    <w:p>
      <w:pPr>
        <w:pStyle w:val="BodyText"/>
        <w:spacing w:line="316" w:lineRule="auto" w:before="22"/>
        <w:ind w:right="151" w:firstLine="353"/>
        <w:jc w:val="both"/>
      </w:pPr>
      <w:r>
        <w:rPr>
          <w:spacing w:val="-2"/>
        </w:rPr>
        <w:t>针对以上风险，在项目时间进度方面，公司会对各项目的进展情况及时跟踪，及时处理项目实施过程中出现的问题，尽</w:t>
      </w:r>
      <w:r>
        <w:rPr/>
        <w:t> </w:t>
      </w:r>
      <w:r>
        <w:rPr>
          <w:spacing w:val="-2"/>
        </w:rPr>
        <w:t>可能使项目时间按计划进度进行。面对预期收益不能达到预期的风险，公司通常会在投资过程中通过降低或摊薄初始投资成</w:t>
      </w:r>
      <w:r>
        <w:rPr>
          <w:spacing w:val="-62"/>
        </w:rPr>
        <w:t> </w:t>
      </w:r>
      <w:r>
        <w:rPr>
          <w:spacing w:val="-62"/>
        </w:rPr>
      </w:r>
      <w:r>
        <w:rPr/>
        <w:t>本的方式，尽可能提高项目的收益率，将多余资金用于其它投资项目，以弥补项目绝对收益的不足。</w:t>
      </w:r>
    </w:p>
    <w:p>
      <w:pPr>
        <w:pStyle w:val="BodyText"/>
        <w:spacing w:line="300" w:lineRule="auto" w:before="19"/>
        <w:ind w:left="506" w:right="0" w:hanging="354"/>
        <w:jc w:val="left"/>
      </w:pPr>
      <w:r>
        <w:rPr>
          <w:rFonts w:ascii="Times New Roman" w:hAnsi="Times New Roman" w:cs="Times New Roman" w:eastAsia="Times New Roman" w:hint="default"/>
        </w:rPr>
        <w:t>5</w:t>
      </w:r>
      <w:r>
        <w:rPr/>
        <w:t>、客户集中风险： </w:t>
      </w:r>
      <w:r>
        <w:rPr>
          <w:spacing w:val="-1"/>
        </w:rPr>
        <w:t>公司</w:t>
      </w:r>
      <w:r>
        <w:rPr>
          <w:rFonts w:ascii="Times New Roman" w:hAnsi="Times New Roman" w:cs="Times New Roman" w:eastAsia="Times New Roman" w:hint="default"/>
          <w:spacing w:val="-1"/>
        </w:rPr>
        <w:t>2012</w:t>
      </w:r>
      <w:r>
        <w:rPr>
          <w:spacing w:val="-1"/>
        </w:rPr>
        <w:t>年前五位客户销售收入合计占全部收入的比例为</w:t>
      </w:r>
      <w:r>
        <w:rPr>
          <w:rFonts w:ascii="Times New Roman" w:hAnsi="Times New Roman" w:cs="Times New Roman" w:eastAsia="Times New Roman" w:hint="default"/>
          <w:spacing w:val="-1"/>
        </w:rPr>
        <w:t>73%</w:t>
      </w:r>
      <w:r>
        <w:rPr>
          <w:spacing w:val="-1"/>
        </w:rPr>
        <w:t>，</w:t>
      </w:r>
      <w:r>
        <w:rPr>
          <w:rFonts w:ascii="Times New Roman" w:hAnsi="Times New Roman" w:cs="Times New Roman" w:eastAsia="Times New Roman" w:hint="default"/>
          <w:spacing w:val="-1"/>
        </w:rPr>
        <w:t>2011</w:t>
      </w:r>
      <w:r>
        <w:rPr>
          <w:spacing w:val="-1"/>
        </w:rPr>
        <w:t>年占比为</w:t>
      </w:r>
      <w:r>
        <w:rPr>
          <w:rFonts w:ascii="Times New Roman" w:hAnsi="Times New Roman" w:cs="Times New Roman" w:eastAsia="Times New Roman" w:hint="default"/>
          <w:spacing w:val="-1"/>
        </w:rPr>
        <w:t>60%</w:t>
      </w:r>
      <w:r>
        <w:rPr>
          <w:spacing w:val="-1"/>
        </w:rPr>
        <w:t>。因公司近年来持续加大对电网系统</w:t>
      </w:r>
    </w:p>
    <w:p>
      <w:pPr>
        <w:pStyle w:val="BodyText"/>
        <w:spacing w:line="316" w:lineRule="auto" w:before="13"/>
        <w:ind w:right="150"/>
        <w:jc w:val="both"/>
      </w:pPr>
      <w:r>
        <w:rPr>
          <w:spacing w:val="-2"/>
        </w:rPr>
        <w:t>外市场的开拓，并采取灵活的销售模式销售产品，并逐步向设备集成乃至项目工程总包迈进，大客户项目在销售收入中占比</w:t>
      </w:r>
      <w:r>
        <w:rPr>
          <w:spacing w:val="-63"/>
        </w:rPr>
        <w:t> </w:t>
      </w:r>
      <w:r>
        <w:rPr>
          <w:spacing w:val="-63"/>
        </w:rPr>
      </w:r>
      <w:r>
        <w:rPr/>
        <w:t>较大，如果不能继续维持公司在客户方面的优势并持续开拓新的市场，会存在未来业务不稳定的风险。</w:t>
      </w:r>
    </w:p>
    <w:p>
      <w:pPr>
        <w:pStyle w:val="BodyText"/>
        <w:spacing w:line="316" w:lineRule="auto" w:before="19"/>
        <w:ind w:right="154" w:firstLine="353"/>
        <w:jc w:val="both"/>
      </w:pPr>
      <w:r>
        <w:rPr>
          <w:spacing w:val="-2"/>
        </w:rPr>
        <w:t>针对以上风险，公司积极维护原有客户关系，并拓展新的市场客户，加大对新产品的推广力度，使产品结构与客户结构</w:t>
      </w:r>
      <w:r>
        <w:rPr/>
        <w:t> 趋于多元化。同时加快新的投资项目业务的产出工作，规避市场单一的风险。</w:t>
      </w:r>
    </w:p>
    <w:p>
      <w:pPr>
        <w:spacing w:after="0" w:line="31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40" w:right="38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46" w:firstLine="144"/>
        <w:jc w:val="both"/>
      </w:pPr>
      <w:r>
        <w:rPr>
          <w:rFonts w:ascii="Times New Roman" w:hAnsi="Times New Roman" w:cs="Times New Roman" w:eastAsia="Times New Roman" w:hint="default"/>
        </w:rPr>
        <w:t>2012</w:t>
      </w:r>
      <w:r>
        <w:rPr/>
        <w:t>年是公司发展中不平凡的一年。根据董事会</w:t>
      </w:r>
      <w:r>
        <w:rPr>
          <w:rFonts w:ascii="Times New Roman" w:hAnsi="Times New Roman" w:cs="Times New Roman" w:eastAsia="Times New Roman" w:hint="default"/>
        </w:rPr>
        <w:t>2011</w:t>
      </w:r>
      <w:r>
        <w:rPr/>
        <w:t>年新的战略规划，公司由原电力装备供应商向电力综合服务商转变， </w:t>
      </w:r>
      <w:r>
        <w:rPr>
          <w:spacing w:val="-2"/>
        </w:rPr>
        <w:t>开展新业务，搭建产业链。</w:t>
      </w:r>
      <w:r>
        <w:rPr>
          <w:rFonts w:ascii="Times New Roman" w:hAnsi="Times New Roman" w:cs="Times New Roman" w:eastAsia="Times New Roman" w:hint="default"/>
          <w:spacing w:val="-2"/>
        </w:rPr>
        <w:t>2012</w:t>
      </w:r>
      <w:r>
        <w:rPr>
          <w:spacing w:val="-2"/>
        </w:rPr>
        <w:t>年是公司发展一个新的起点，公司抓住国家产业政策的扶持机遇、境外投资的国家支持政策</w:t>
      </w:r>
      <w:r>
        <w:rPr>
          <w:spacing w:val="-63"/>
        </w:rPr>
        <w:t> </w:t>
      </w:r>
      <w:r>
        <w:rPr>
          <w:spacing w:val="-63"/>
        </w:rPr>
      </w:r>
      <w:r>
        <w:rPr>
          <w:spacing w:val="-2"/>
        </w:rPr>
        <w:t>及境外收购资产的良好时机，调整产品产业结构，加快海外投资收购步伐，为公司的可持续发展奠定基础，推动了公司战略</w:t>
      </w:r>
      <w:r>
        <w:rPr>
          <w:spacing w:val="-65"/>
        </w:rPr>
        <w:t> </w:t>
      </w:r>
      <w:r>
        <w:rPr>
          <w:spacing w:val="-65"/>
        </w:rPr>
      </w:r>
      <w:r>
        <w:rPr/>
        <w:t>规划的逐步实施。</w:t>
      </w:r>
    </w:p>
    <w:p>
      <w:pPr>
        <w:pStyle w:val="BodyText"/>
        <w:spacing w:line="300" w:lineRule="auto" w:before="26"/>
        <w:ind w:right="102"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1"/>
        </w:rPr>
        <w:t>2012</w:t>
      </w:r>
      <w:r>
        <w:rPr>
          <w:spacing w:val="-1"/>
        </w:rPr>
        <w:t>年，公司实现营业收入</w:t>
      </w:r>
      <w:r>
        <w:rPr>
          <w:rFonts w:ascii="Times New Roman" w:hAnsi="Times New Roman" w:cs="Times New Roman" w:eastAsia="Times New Roman" w:hint="default"/>
          <w:spacing w:val="-1"/>
        </w:rPr>
        <w:t>24726.32</w:t>
      </w:r>
      <w:r>
        <w:rPr>
          <w:spacing w:val="-1"/>
        </w:rPr>
        <w:t>元，比上年同期增长</w:t>
      </w:r>
      <w:r>
        <w:rPr>
          <w:rFonts w:ascii="Times New Roman" w:hAnsi="Times New Roman" w:cs="Times New Roman" w:eastAsia="Times New Roman" w:hint="default"/>
          <w:spacing w:val="-1"/>
        </w:rPr>
        <w:t>11.17%</w:t>
      </w:r>
      <w:r>
        <w:rPr>
          <w:spacing w:val="-1"/>
        </w:rPr>
        <w:t>，实现营业利润</w:t>
      </w:r>
      <w:r>
        <w:rPr>
          <w:rFonts w:ascii="Times New Roman" w:hAnsi="Times New Roman" w:cs="Times New Roman" w:eastAsia="Times New Roman" w:hint="default"/>
          <w:spacing w:val="-1"/>
        </w:rPr>
        <w:t>6138.28</w:t>
      </w:r>
      <w:r>
        <w:rPr>
          <w:spacing w:val="-1"/>
        </w:rPr>
        <w:t>万元，比上年同期增长</w:t>
      </w:r>
      <w:r>
        <w:rPr>
          <w:rFonts w:ascii="Times New Roman" w:hAnsi="Times New Roman" w:cs="Times New Roman" w:eastAsia="Times New Roman" w:hint="default"/>
          <w:spacing w:val="-1"/>
        </w:rPr>
        <w:t>18.27%</w:t>
      </w:r>
      <w:r>
        <w:rPr>
          <w:spacing w:val="-1"/>
        </w:rPr>
        <w:t>，</w:t>
      </w:r>
      <w:r>
        <w:rPr/>
        <w:t> 实现归属于母公司股东的净利润</w:t>
      </w:r>
      <w:r>
        <w:rPr>
          <w:rFonts w:ascii="Times New Roman" w:hAnsi="Times New Roman" w:cs="Times New Roman" w:eastAsia="Times New Roman" w:hint="default"/>
        </w:rPr>
        <w:t>5534.18</w:t>
      </w:r>
      <w:r>
        <w:rPr/>
        <w:t>万元，比上年同期增长</w:t>
      </w:r>
      <w:r>
        <w:rPr>
          <w:rFonts w:ascii="Times New Roman" w:hAnsi="Times New Roman" w:cs="Times New Roman" w:eastAsia="Times New Roman" w:hint="default"/>
        </w:rPr>
        <w:t>10.93%</w:t>
      </w:r>
    </w:p>
    <w:p>
      <w:pPr>
        <w:pStyle w:val="BodyText"/>
        <w:spacing w:line="300" w:lineRule="auto" w:before="13"/>
        <w:ind w:right="188" w:firstLine="360"/>
        <w:jc w:val="both"/>
      </w:pPr>
      <w:r>
        <w:rPr>
          <w:rFonts w:ascii="Times New Roman" w:hAnsi="Times New Roman" w:cs="Times New Roman" w:eastAsia="Times New Roman" w:hint="default"/>
          <w:spacing w:val="-2"/>
        </w:rPr>
        <w:t>2012</w:t>
      </w:r>
      <w:r>
        <w:rPr>
          <w:spacing w:val="-2"/>
        </w:rPr>
        <w:t>年公司产品结构发生较大变化，综合毛利率略有提高。受传统无功补偿业务行业需求增速放缓的影响，公司电能质</w:t>
      </w:r>
      <w:r>
        <w:rPr/>
        <w:t> </w:t>
      </w:r>
      <w:r>
        <w:rPr>
          <w:spacing w:val="-1"/>
        </w:rPr>
        <w:t>量优化产品销售收入较去年同期下降了</w:t>
      </w:r>
      <w:r>
        <w:rPr>
          <w:rFonts w:ascii="Times New Roman" w:hAnsi="Times New Roman" w:cs="Times New Roman" w:eastAsia="Times New Roman" w:hint="default"/>
          <w:spacing w:val="-1"/>
        </w:rPr>
        <w:t>8.4%</w:t>
      </w:r>
      <w:r>
        <w:rPr>
          <w:spacing w:val="-1"/>
        </w:rPr>
        <w:t>。公司新增了余热余压发电合同能源管理业务，实现销售收入</w:t>
      </w:r>
      <w:r>
        <w:rPr>
          <w:rFonts w:ascii="Times New Roman" w:hAnsi="Times New Roman" w:cs="Times New Roman" w:eastAsia="Times New Roman" w:hint="default"/>
          <w:spacing w:val="-1"/>
        </w:rPr>
        <w:t>4320.5</w:t>
      </w:r>
      <w:r>
        <w:rPr>
          <w:spacing w:val="-1"/>
        </w:rPr>
        <w:t>万元，因该</w:t>
      </w:r>
      <w:r>
        <w:rPr>
          <w:spacing w:val="-86"/>
        </w:rPr>
        <w:t> </w:t>
      </w:r>
      <w:r>
        <w:rPr>
          <w:spacing w:val="-86"/>
        </w:rPr>
      </w:r>
      <w:r>
        <w:rPr>
          <w:spacing w:val="-2"/>
        </w:rPr>
        <w:t>行业处于起步阶段，国家政策大力支持，毛利率处于较高水平，因此公司整体销售收入比去年提升，同时毛利率提升。</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3"/>
        </w:rPr>
        <w:t> </w:t>
      </w:r>
      <w:r>
        <w:rPr/>
        <w:t>年，公司资产总额及负债总额分别增加</w:t>
      </w:r>
      <w:r>
        <w:rPr>
          <w:rFonts w:ascii="Times New Roman" w:hAnsi="Times New Roman" w:cs="Times New Roman" w:eastAsia="Times New Roman" w:hint="default"/>
        </w:rPr>
        <w:t>22%</w:t>
      </w:r>
      <w:r>
        <w:rPr/>
        <w:t>、</w:t>
      </w:r>
      <w:r>
        <w:rPr>
          <w:rFonts w:ascii="Times New Roman" w:hAnsi="Times New Roman" w:cs="Times New Roman" w:eastAsia="Times New Roman" w:hint="default"/>
        </w:rPr>
        <w:t>60%</w:t>
      </w:r>
      <w:r>
        <w:rPr/>
        <w:t>，资产负债率由</w:t>
      </w:r>
      <w:r>
        <w:rPr>
          <w:rFonts w:ascii="Times New Roman" w:hAnsi="Times New Roman" w:cs="Times New Roman" w:eastAsia="Times New Roman" w:hint="default"/>
        </w:rPr>
        <w:t>27%</w:t>
      </w:r>
      <w:r>
        <w:rPr/>
        <w:t>上升到</w:t>
      </w:r>
      <w:r>
        <w:rPr>
          <w:rFonts w:ascii="Times New Roman" w:hAnsi="Times New Roman" w:cs="Times New Roman" w:eastAsia="Times New Roman" w:hint="default"/>
        </w:rPr>
        <w:t>35%</w:t>
      </w:r>
      <w:r>
        <w:rPr/>
        <w:t>，资产结构中非流动资产增加，负债结构 中长期负债增加。随着公司战略的实施，公司产业结构的不断调整，未来这种变化趋势会一直持续。</w:t>
      </w:r>
    </w:p>
    <w:p>
      <w:pPr>
        <w:pStyle w:val="BodyText"/>
        <w:spacing w:line="240" w:lineRule="auto" w:before="31"/>
        <w:ind w:left="441" w:right="0"/>
        <w:jc w:val="left"/>
      </w:pPr>
      <w:r>
        <w:rPr/>
        <w:t>报告期内，在公司董事会的领导下，公司完成重点工作如下：</w:t>
      </w:r>
    </w:p>
    <w:p>
      <w:pPr>
        <w:pStyle w:val="BodyText"/>
        <w:spacing w:line="297" w:lineRule="auto" w:before="117"/>
        <w:ind w:right="198" w:firstLine="288"/>
        <w:jc w:val="both"/>
      </w:pPr>
      <w:r>
        <w:rPr>
          <w:rFonts w:ascii="Times New Roman" w:hAnsi="Times New Roman" w:cs="Times New Roman" w:eastAsia="Times New Roman" w:hint="default"/>
        </w:rPr>
        <w:t>1</w:t>
      </w:r>
      <w:r>
        <w:rPr/>
        <w:t>、虽然公司的战略方向在围绕电力向多产业方向延伸，但公司仍非常重视技术及新品的研发工作，致力于培育引导未 来的市场需求，</w:t>
      </w:r>
      <w:r>
        <w:rPr>
          <w:rFonts w:ascii="Times New Roman" w:hAnsi="Times New Roman" w:cs="Times New Roman" w:eastAsia="Times New Roman" w:hint="default"/>
        </w:rPr>
        <w:t>2012</w:t>
      </w:r>
      <w:r>
        <w:rPr/>
        <w:t>年主要进行了以下方面的技术研发：</w:t>
      </w:r>
    </w:p>
    <w:p>
      <w:pPr>
        <w:pStyle w:val="BodyText"/>
        <w:spacing w:line="309" w:lineRule="auto" w:before="55"/>
        <w:ind w:right="191"/>
        <w:jc w:val="both"/>
      </w:pPr>
      <w:r>
        <w:rPr/>
        <w:t>（</w:t>
      </w:r>
      <w:r>
        <w:rPr>
          <w:rFonts w:ascii="Times New Roman" w:hAnsi="Times New Roman" w:cs="Times New Roman" w:eastAsia="Times New Roman" w:hint="default"/>
        </w:rPr>
        <w:t>1</w:t>
      </w:r>
      <w:r>
        <w:rPr/>
        <w:t>）为满足智能电网一次设备智能化的要求和国家电网公司开展状态检修技术的市场需求，公司成功研制了智能电容器和</w:t>
      </w:r>
      <w:r>
        <w:rPr>
          <w:spacing w:val="-84"/>
        </w:rPr>
        <w:t> </w:t>
      </w:r>
      <w:r>
        <w:rPr>
          <w:spacing w:val="-84"/>
        </w:rPr>
      </w:r>
      <w:r>
        <w:rPr>
          <w:spacing w:val="-2"/>
        </w:rPr>
        <w:t>智能化电容器装置并投入市场运行，实现了电容器装置的在线监测和状态诊断，开展故障定位、故障诊断与辅助决策、无功</w:t>
      </w:r>
      <w:r>
        <w:rPr>
          <w:spacing w:val="-64"/>
        </w:rPr>
        <w:t> </w:t>
      </w:r>
      <w:r>
        <w:rPr>
          <w:spacing w:val="-64"/>
        </w:rPr>
      </w:r>
      <w:r>
        <w:rPr/>
        <w:t>优化和寿命管理等技术应用研究，走在了同行的前列；</w:t>
      </w:r>
    </w:p>
    <w:p>
      <w:pPr>
        <w:pStyle w:val="BodyText"/>
        <w:spacing w:line="309" w:lineRule="auto" w:before="65"/>
        <w:ind w:right="0" w:firstLine="72"/>
        <w:jc w:val="left"/>
      </w:pPr>
      <w:r>
        <w:rPr/>
        <w:t>（</w:t>
      </w:r>
      <w:r>
        <w:rPr>
          <w:rFonts w:ascii="Times New Roman" w:hAnsi="Times New Roman" w:cs="Times New Roman" w:eastAsia="Times New Roman" w:hint="default"/>
        </w:rPr>
        <w:t>2</w:t>
      </w:r>
      <w:r>
        <w:rPr/>
        <w:t>）对于一些带着电气化铁道或风电场负荷的</w:t>
      </w:r>
      <w:r>
        <w:rPr>
          <w:rFonts w:ascii="Times New Roman" w:hAnsi="Times New Roman" w:cs="Times New Roman" w:eastAsia="Times New Roman" w:hint="default"/>
        </w:rPr>
        <w:t>110kV</w:t>
      </w:r>
      <w:r>
        <w:rPr/>
        <w:t>变电站无功负荷波动较大的情况，公司成功研制了</w:t>
      </w:r>
      <w:r>
        <w:rPr>
          <w:rFonts w:ascii="Times New Roman" w:hAnsi="Times New Roman" w:cs="Times New Roman" w:eastAsia="Times New Roman" w:hint="default"/>
        </w:rPr>
        <w:t>110kVMSVC</w:t>
      </w:r>
      <w:r>
        <w:rPr/>
        <w:t>磁控</w:t>
      </w:r>
      <w:r>
        <w:rPr>
          <w:spacing w:val="-3"/>
        </w:rPr>
        <w:t> </w:t>
      </w:r>
      <w:r>
        <w:rPr>
          <w:spacing w:val="-2"/>
        </w:rPr>
        <w:t>电抗器型静止无功补偿装置并投入运行，有效地解决了母线电压畸变和功率因数不合格等问题，是目前国内电压等级最高的</w:t>
      </w:r>
      <w:r>
        <w:rPr>
          <w:spacing w:val="-64"/>
        </w:rPr>
        <w:t> </w:t>
      </w:r>
      <w:r>
        <w:rPr>
          <w:spacing w:val="-64"/>
        </w:rPr>
      </w:r>
      <w:r>
        <w:rPr/>
        <w:t>静止无功补偿装置，这也是其他静止性无功补偿技术（如</w:t>
      </w:r>
      <w:r>
        <w:rPr>
          <w:rFonts w:ascii="Times New Roman" w:hAnsi="Times New Roman" w:cs="Times New Roman" w:eastAsia="Times New Roman" w:hint="default"/>
        </w:rPr>
        <w:t>SVG</w:t>
      </w:r>
      <w:r>
        <w:rPr/>
        <w:t>或</w:t>
      </w:r>
      <w:r>
        <w:rPr>
          <w:rFonts w:ascii="Times New Roman" w:hAnsi="Times New Roman" w:cs="Times New Roman" w:eastAsia="Times New Roman" w:hint="default"/>
        </w:rPr>
        <w:t>SVC</w:t>
      </w:r>
      <w:r>
        <w:rPr/>
        <w:t>）难以达到的；</w:t>
      </w:r>
    </w:p>
    <w:p>
      <w:pPr>
        <w:pStyle w:val="BodyText"/>
        <w:spacing w:line="240" w:lineRule="auto" w:before="46"/>
        <w:ind w:left="224" w:right="0"/>
        <w:jc w:val="both"/>
      </w:pPr>
      <w:r>
        <w:rPr>
          <w:spacing w:val="5"/>
        </w:rPr>
        <w:t>（</w:t>
      </w:r>
      <w:r>
        <w:rPr>
          <w:rFonts w:ascii="Times New Roman" w:hAnsi="Times New Roman" w:cs="Times New Roman" w:eastAsia="Times New Roman" w:hint="default"/>
          <w:spacing w:val="5"/>
        </w:rPr>
        <w:t>3</w:t>
      </w:r>
      <w:r>
        <w:rPr>
          <w:spacing w:val="5"/>
        </w:rPr>
        <w:t>）公司继续完善电容式电压互感器</w:t>
      </w:r>
      <w:r>
        <w:rPr>
          <w:rFonts w:ascii="Times New Roman" w:hAnsi="Times New Roman" w:cs="Times New Roman" w:eastAsia="Times New Roman" w:hint="default"/>
          <w:spacing w:val="5"/>
        </w:rPr>
        <w:t>(CVT)</w:t>
      </w:r>
      <w:r>
        <w:rPr>
          <w:spacing w:val="5"/>
        </w:rPr>
        <w:t>的产品系列，成功研制了</w:t>
      </w:r>
      <w:r>
        <w:rPr>
          <w:rFonts w:ascii="Times New Roman" w:hAnsi="Times New Roman" w:cs="Times New Roman" w:eastAsia="Times New Roman" w:hint="default"/>
          <w:spacing w:val="5"/>
        </w:rPr>
        <w:t>35kVCVT</w:t>
      </w:r>
      <w:r>
        <w:rPr>
          <w:spacing w:val="5"/>
        </w:rPr>
        <w:t>并挂网运行，公司此时已具备批量生产</w:t>
      </w:r>
    </w:p>
    <w:p>
      <w:pPr>
        <w:pStyle w:val="BodyText"/>
        <w:spacing w:line="240" w:lineRule="auto" w:before="60"/>
        <w:ind w:right="0"/>
        <w:jc w:val="both"/>
      </w:pPr>
      <w:r>
        <w:rPr>
          <w:rFonts w:ascii="Times New Roman" w:hAnsi="Times New Roman" w:cs="Times New Roman" w:eastAsia="Times New Roman" w:hint="default"/>
        </w:rPr>
        <w:t>35-500kV</w:t>
      </w:r>
      <w:r>
        <w:rPr/>
        <w:t>电容式电压互感器的能力，</w:t>
      </w:r>
      <w:r>
        <w:rPr>
          <w:rFonts w:ascii="Times New Roman" w:hAnsi="Times New Roman" w:cs="Times New Roman" w:eastAsia="Times New Roman" w:hint="default"/>
        </w:rPr>
        <w:t>220kV</w:t>
      </w:r>
      <w:r>
        <w:rPr/>
        <w:t>和</w:t>
      </w:r>
      <w:r>
        <w:rPr>
          <w:rFonts w:ascii="Times New Roman" w:hAnsi="Times New Roman" w:cs="Times New Roman" w:eastAsia="Times New Roman" w:hint="default"/>
        </w:rPr>
        <w:t>500kV</w:t>
      </w:r>
      <w:r>
        <w:rPr/>
        <w:t>的</w:t>
      </w:r>
      <w:r>
        <w:rPr>
          <w:rFonts w:ascii="Times New Roman" w:hAnsi="Times New Roman" w:cs="Times New Roman" w:eastAsia="Times New Roman" w:hint="default"/>
        </w:rPr>
        <w:t>CVT</w:t>
      </w:r>
      <w:r>
        <w:rPr/>
        <w:t>产品取得了国家权威检测部门的抗震性能计算报告；</w:t>
      </w:r>
    </w:p>
    <w:p>
      <w:pPr>
        <w:pStyle w:val="BodyText"/>
        <w:spacing w:line="309" w:lineRule="auto" w:before="103"/>
        <w:ind w:right="191" w:firstLine="72"/>
        <w:jc w:val="both"/>
      </w:pPr>
      <w:r>
        <w:rPr>
          <w:spacing w:val="-1"/>
        </w:rPr>
        <w:t>（</w:t>
      </w:r>
      <w:r>
        <w:rPr>
          <w:rFonts w:ascii="Times New Roman" w:hAnsi="Times New Roman" w:cs="Times New Roman" w:eastAsia="Times New Roman" w:hint="default"/>
          <w:spacing w:val="-1"/>
        </w:rPr>
        <w:t>4</w:t>
      </w:r>
      <w:r>
        <w:rPr>
          <w:spacing w:val="-1"/>
        </w:rPr>
        <w:t>）为减少日益紧张的土地资源占用，公司开发和优化了目前单台容量最大的电容器类产品</w:t>
      </w:r>
      <w:r>
        <w:rPr>
          <w:rFonts w:ascii="Times New Roman" w:hAnsi="Times New Roman" w:cs="Times New Roman" w:eastAsia="Times New Roman" w:hint="default"/>
          <w:spacing w:val="-1"/>
        </w:rPr>
        <w:t>-35kV</w:t>
      </w:r>
      <w:r>
        <w:rPr>
          <w:spacing w:val="-1"/>
        </w:rPr>
        <w:t>容量为</w:t>
      </w:r>
      <w:r>
        <w:rPr>
          <w:rFonts w:ascii="Times New Roman" w:hAnsi="Times New Roman" w:cs="Times New Roman" w:eastAsia="Times New Roman" w:hint="default"/>
          <w:spacing w:val="-1"/>
        </w:rPr>
        <w:t>20Mvar</w:t>
      </w:r>
      <w:r>
        <w:rPr>
          <w:spacing w:val="-1"/>
        </w:rPr>
        <w:t>集合式电</w:t>
      </w:r>
      <w:r>
        <w:rPr/>
        <w:t> </w:t>
      </w:r>
      <w:r>
        <w:rPr>
          <w:spacing w:val="-2"/>
        </w:rPr>
        <w:t>容器，具有最优的内部单元耐爆能力结构设计和完善的保护接线方式，运行维护工作量地，占地面积小，是旧站扩容升级的</w:t>
      </w:r>
      <w:r>
        <w:rPr>
          <w:spacing w:val="-64"/>
        </w:rPr>
        <w:t> </w:t>
      </w:r>
      <w:r>
        <w:rPr>
          <w:spacing w:val="-64"/>
        </w:rPr>
      </w:r>
      <w:r>
        <w:rPr/>
        <w:t>理想选择；</w:t>
      </w:r>
    </w:p>
    <w:p>
      <w:pPr>
        <w:pStyle w:val="BodyText"/>
        <w:spacing w:line="300" w:lineRule="auto" w:before="65"/>
        <w:ind w:right="190"/>
        <w:jc w:val="both"/>
      </w:pPr>
      <w:r>
        <w:rPr/>
        <w:t>（</w:t>
      </w:r>
      <w:r>
        <w:rPr>
          <w:rFonts w:ascii="Times New Roman" w:hAnsi="Times New Roman" w:cs="Times New Roman" w:eastAsia="Times New Roman" w:hint="default"/>
        </w:rPr>
        <w:t>5</w:t>
      </w:r>
      <w:r>
        <w:rPr/>
        <w:t>）为满足快速变动负荷的无功补偿要求，如风电场、电弧炉和轧钢机等负荷，公司与高校联合开发了静止性无功发生器</w:t>
      </w:r>
      <w:r>
        <w:rPr>
          <w:spacing w:val="-84"/>
        </w:rPr>
        <w:t> </w:t>
      </w:r>
      <w:r>
        <w:rPr>
          <w:spacing w:val="-84"/>
        </w:rPr>
      </w:r>
      <w:r>
        <w:rPr>
          <w:rFonts w:ascii="Times New Roman" w:hAnsi="Times New Roman" w:cs="Times New Roman" w:eastAsia="Times New Roman" w:hint="default"/>
          <w:spacing w:val="-1"/>
        </w:rPr>
        <w:t>SVG</w:t>
      </w:r>
      <w:r>
        <w:rPr>
          <w:spacing w:val="-1"/>
        </w:rPr>
        <w:t>产品，采用</w:t>
      </w:r>
      <w:r>
        <w:rPr>
          <w:rFonts w:ascii="Times New Roman" w:hAnsi="Times New Roman" w:cs="Times New Roman" w:eastAsia="Times New Roman" w:hint="default"/>
          <w:spacing w:val="-1"/>
        </w:rPr>
        <w:t>H</w:t>
      </w:r>
      <w:r>
        <w:rPr>
          <w:spacing w:val="-1"/>
        </w:rPr>
        <w:t>桥链式结构的模块化设计、全数字一键式控制系统和开放式标准化通讯接口等面向用户的设计理念，具有</w:t>
      </w:r>
      <w:r>
        <w:rPr>
          <w:spacing w:val="-69"/>
        </w:rPr>
        <w:t> </w:t>
      </w:r>
      <w:r>
        <w:rPr>
          <w:spacing w:val="-69"/>
        </w:rPr>
      </w:r>
      <w:r>
        <w:rPr/>
        <w:t>很强的适应性，高低压产品均已实现市场化的可靠运行；</w:t>
      </w:r>
    </w:p>
    <w:p>
      <w:pPr>
        <w:pStyle w:val="BodyText"/>
        <w:spacing w:line="300" w:lineRule="auto" w:before="70"/>
        <w:ind w:right="188" w:firstLine="480"/>
        <w:jc w:val="both"/>
      </w:pPr>
      <w:r>
        <w:rPr>
          <w:rFonts w:ascii="Times New Roman" w:hAnsi="Times New Roman" w:cs="Times New Roman" w:eastAsia="Times New Roman" w:hint="default"/>
          <w:spacing w:val="-1"/>
        </w:rPr>
        <w:t>2012</w:t>
      </w:r>
      <w:r>
        <w:rPr>
          <w:spacing w:val="-1"/>
        </w:rPr>
        <w:t>年，公司募投项目研发中心已基本完成，其中的三个分项已基本达到计划状态：测试中心的基础建设已完成，实</w:t>
      </w:r>
      <w:r>
        <w:rPr/>
        <w:t> </w:t>
      </w:r>
      <w:r>
        <w:rPr>
          <w:spacing w:val="-2"/>
        </w:rPr>
        <w:t>验设备等均已投入使用；预研和在研项目共计</w:t>
      </w:r>
      <w:r>
        <w:rPr>
          <w:rFonts w:ascii="Times New Roman" w:hAnsi="Times New Roman" w:cs="Times New Roman" w:eastAsia="Times New Roman" w:hint="default"/>
          <w:spacing w:val="-2"/>
        </w:rPr>
        <w:t>34</w:t>
      </w:r>
      <w:r>
        <w:rPr>
          <w:spacing w:val="-2"/>
        </w:rPr>
        <w:t>个项目，已有</w:t>
      </w:r>
      <w:r>
        <w:rPr>
          <w:rFonts w:ascii="Times New Roman" w:hAnsi="Times New Roman" w:cs="Times New Roman" w:eastAsia="Times New Roman" w:hint="default"/>
          <w:spacing w:val="-2"/>
        </w:rPr>
        <w:t>26</w:t>
      </w:r>
      <w:r>
        <w:rPr>
          <w:spacing w:val="-2"/>
        </w:rPr>
        <w:t>个顺利完成，有</w:t>
      </w:r>
      <w:r>
        <w:rPr>
          <w:rFonts w:ascii="Times New Roman" w:hAnsi="Times New Roman" w:cs="Times New Roman" w:eastAsia="Times New Roman" w:hint="default"/>
          <w:spacing w:val="-2"/>
        </w:rPr>
        <w:t>3</w:t>
      </w:r>
      <w:r>
        <w:rPr>
          <w:spacing w:val="-2"/>
        </w:rPr>
        <w:t>个因市场变化等因素已中止，</w:t>
      </w:r>
      <w:r>
        <w:rPr>
          <w:rFonts w:ascii="Times New Roman" w:hAnsi="Times New Roman" w:cs="Times New Roman" w:eastAsia="Times New Roman" w:hint="default"/>
          <w:spacing w:val="-2"/>
        </w:rPr>
        <w:t>5</w:t>
      </w:r>
      <w:r>
        <w:rPr>
          <w:spacing w:val="-2"/>
        </w:rPr>
        <w:t>个项目已完</w:t>
      </w:r>
      <w:r>
        <w:rPr>
          <w:spacing w:val="-58"/>
        </w:rPr>
        <w:t> </w:t>
      </w:r>
      <w:r>
        <w:rPr/>
        <w:t>成主要部分，尚需继续完善及最终的验收确认；互感器产业化项目已完成基建及设备的投资，已进入生产状态。</w:t>
      </w:r>
    </w:p>
    <w:p>
      <w:pPr>
        <w:pStyle w:val="BodyText"/>
        <w:spacing w:line="309" w:lineRule="auto" w:before="72"/>
        <w:ind w:right="191" w:firstLine="216"/>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2012</w:t>
      </w:r>
      <w:r>
        <w:rPr>
          <w:spacing w:val="-1"/>
        </w:rPr>
        <w:t>年公司仍坚持以无功补偿产品为主导的销售策略，同时开展余热余压发电合同能源管理项目的市场开拓。在销售</w:t>
      </w:r>
      <w:r>
        <w:rPr/>
        <w:t> </w:t>
      </w:r>
      <w:r>
        <w:rPr>
          <w:spacing w:val="-2"/>
        </w:rPr>
        <w:t>模式上采取灵活的方式，通过发展电站设备总包、分期收款销售模式，以投资项目的产品需求拉动等不断突破新市场，扩大</w:t>
      </w:r>
      <w:r>
        <w:rPr>
          <w:spacing w:val="-65"/>
        </w:rPr>
        <w:t> </w:t>
      </w:r>
      <w:r>
        <w:rPr>
          <w:spacing w:val="-65"/>
        </w:rPr>
      </w:r>
      <w:r>
        <w:rPr/>
        <w:t>销售规模，在电网、冶金、煤炭、石油、港口和出口项目等应用领域积极拓展业务。</w:t>
      </w:r>
    </w:p>
    <w:p>
      <w:pPr>
        <w:pStyle w:val="BodyText"/>
        <w:spacing w:line="300" w:lineRule="auto" w:before="65"/>
        <w:ind w:right="191" w:firstLine="480"/>
        <w:jc w:val="both"/>
      </w:pPr>
      <w:r>
        <w:rPr/>
        <w:t>公司募投建设项目</w:t>
      </w:r>
      <w:r>
        <w:rPr>
          <w:rFonts w:ascii="Times New Roman" w:hAnsi="Times New Roman" w:cs="Times New Roman" w:eastAsia="Times New Roman" w:hint="default"/>
        </w:rPr>
        <w:t>“</w:t>
      </w:r>
      <w:r>
        <w:rPr/>
        <w:t>无功补偿产业化升级项目</w:t>
      </w:r>
      <w:r>
        <w:rPr>
          <w:rFonts w:ascii="Times New Roman" w:hAnsi="Times New Roman" w:cs="Times New Roman" w:eastAsia="Times New Roman" w:hint="default"/>
        </w:rPr>
        <w:t>”</w:t>
      </w:r>
      <w:r>
        <w:rPr/>
        <w:t>已于</w:t>
      </w:r>
      <w:r>
        <w:rPr>
          <w:rFonts w:ascii="Times New Roman" w:hAnsi="Times New Roman" w:cs="Times New Roman" w:eastAsia="Times New Roman" w:hint="default"/>
        </w:rPr>
        <w:t>2012</w:t>
      </w:r>
      <w:r>
        <w:rPr/>
        <w:t>年投产，但因市场不利及业务拓展不足方面的因素，导致项目 未能达到预期效益。该项目主要产品为</w:t>
      </w:r>
      <w:r>
        <w:rPr>
          <w:rFonts w:ascii="Times New Roman" w:hAnsi="Times New Roman" w:cs="Times New Roman" w:eastAsia="Times New Roman" w:hint="default"/>
        </w:rPr>
        <w:t>MCR</w:t>
      </w:r>
      <w:r>
        <w:rPr/>
        <w:t>型</w:t>
      </w:r>
      <w:r>
        <w:rPr>
          <w:rFonts w:ascii="Times New Roman" w:hAnsi="Times New Roman" w:cs="Times New Roman" w:eastAsia="Times New Roman" w:hint="default"/>
        </w:rPr>
        <w:t>SVC</w:t>
      </w:r>
      <w:r>
        <w:rPr/>
        <w:t>，主要的需求方向为智能电网、电气化铁路、冶金煤矿化工等领域，因</w:t>
      </w:r>
      <w:r>
        <w:rPr>
          <w:spacing w:val="-35"/>
        </w:rPr>
        <w:t> </w:t>
      </w:r>
      <w:r>
        <w:rPr>
          <w:spacing w:val="-35"/>
        </w:rPr>
      </w:r>
      <w:r>
        <w:rPr>
          <w:spacing w:val="-2"/>
        </w:rPr>
        <w:t>智能电网投资进度缓慢，铁路行业增速放缓，冶金煤炭化工等行业受宏观经济不景气影响，项目产品整体需求降低，使产品</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left="633" w:right="0" w:hanging="481"/>
        <w:jc w:val="left"/>
      </w:pPr>
      <w:r>
        <w:rPr/>
        <w:t>市场销售未能达到预期，随着国家十二五规划的相关实施进展加快，预计未来市场会有较大增长。 </w:t>
      </w:r>
      <w:r>
        <w:rPr>
          <w:spacing w:val="-1"/>
        </w:rPr>
        <w:t>公司募投建设项目</w:t>
      </w:r>
      <w:r>
        <w:rPr>
          <w:rFonts w:ascii="Times New Roman" w:hAnsi="Times New Roman" w:cs="Times New Roman" w:eastAsia="Times New Roman" w:hint="default"/>
          <w:spacing w:val="-1"/>
        </w:rPr>
        <w:t>“</w:t>
      </w:r>
      <w:r>
        <w:rPr>
          <w:spacing w:val="-1"/>
        </w:rPr>
        <w:t>营销网络建设项目</w:t>
      </w:r>
      <w:r>
        <w:rPr>
          <w:rFonts w:ascii="Times New Roman" w:hAnsi="Times New Roman" w:cs="Times New Roman" w:eastAsia="Times New Roman" w:hint="default"/>
          <w:spacing w:val="-1"/>
        </w:rPr>
        <w:t>”</w:t>
      </w:r>
      <w:r>
        <w:rPr>
          <w:spacing w:val="-1"/>
        </w:rPr>
        <w:t>原计划在</w:t>
      </w:r>
      <w:r>
        <w:rPr>
          <w:rFonts w:ascii="Times New Roman" w:hAnsi="Times New Roman" w:cs="Times New Roman" w:eastAsia="Times New Roman" w:hint="default"/>
          <w:spacing w:val="-1"/>
        </w:rPr>
        <w:t>2012</w:t>
      </w:r>
      <w:r>
        <w:rPr>
          <w:spacing w:val="-1"/>
        </w:rPr>
        <w:t>年完成建设，未能按计划完成，主要原因在于受行业需求增速放</w:t>
      </w:r>
    </w:p>
    <w:p>
      <w:pPr>
        <w:pStyle w:val="BodyText"/>
        <w:spacing w:line="199" w:lineRule="exact"/>
        <w:ind w:right="0"/>
        <w:jc w:val="both"/>
      </w:pPr>
      <w:r>
        <w:rPr/>
        <w:t>缓的影响，以及公司发展战略及业务模式的调整，公司放缓了部分地区营销中心的筹建，重新考虑国际化业务的营销网络搭</w:t>
      </w:r>
    </w:p>
    <w:p>
      <w:pPr>
        <w:pStyle w:val="BodyText"/>
        <w:spacing w:line="319" w:lineRule="auto" w:before="76"/>
        <w:ind w:right="0"/>
        <w:jc w:val="left"/>
      </w:pPr>
      <w:r>
        <w:rPr/>
        <w:t>建及人员的配置。公司将在</w:t>
      </w:r>
      <w:r>
        <w:rPr>
          <w:rFonts w:ascii="Times New Roman" w:hAnsi="Times New Roman" w:cs="Times New Roman" w:eastAsia="Times New Roman" w:hint="default"/>
        </w:rPr>
        <w:t>2013</w:t>
      </w:r>
      <w:r>
        <w:rPr/>
        <w:t>年根据海外项目的进展情况及海外销售的规划重新调整营销网络的搭建。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年公司进行了几项重大投资项目，主要包括</w:t>
      </w:r>
      <w:r>
        <w:rPr>
          <w:rFonts w:ascii="Times New Roman" w:hAnsi="Times New Roman" w:cs="Times New Roman" w:eastAsia="Times New Roman" w:hint="default"/>
        </w:rPr>
        <w:t>“</w:t>
      </w:r>
      <w:r>
        <w:rPr/>
        <w:t>印尼</w:t>
      </w:r>
      <w:r>
        <w:rPr>
          <w:rFonts w:ascii="Times New Roman" w:hAnsi="Times New Roman" w:cs="Times New Roman" w:eastAsia="Times New Roman" w:hint="default"/>
        </w:rPr>
        <w:t>ASAM</w:t>
      </w:r>
      <w:r>
        <w:rPr/>
        <w:t>电厂</w:t>
      </w:r>
      <w:r>
        <w:rPr>
          <w:rFonts w:ascii="Times New Roman" w:hAnsi="Times New Roman" w:cs="Times New Roman" w:eastAsia="Times New Roman" w:hint="default"/>
        </w:rPr>
        <w:t>”</w:t>
      </w:r>
      <w:r>
        <w:rPr/>
        <w:t>投资项目、</w:t>
      </w:r>
      <w:r>
        <w:rPr>
          <w:rFonts w:ascii="Times New Roman" w:hAnsi="Times New Roman" w:cs="Times New Roman" w:eastAsia="Times New Roman" w:hint="default"/>
        </w:rPr>
        <w:t>“</w:t>
      </w:r>
      <w:r>
        <w:rPr/>
        <w:t>印尼东加煤矿及码头</w:t>
      </w:r>
      <w:r>
        <w:rPr>
          <w:rFonts w:ascii="Times New Roman" w:hAnsi="Times New Roman" w:cs="Times New Roman" w:eastAsia="Times New Roman" w:hint="default"/>
        </w:rPr>
        <w:t>”“</w:t>
      </w:r>
      <w:r>
        <w:rPr/>
        <w:t>印尼中加煤矿</w:t>
      </w:r>
      <w:r>
        <w:rPr>
          <w:rFonts w:ascii="Times New Roman" w:hAnsi="Times New Roman" w:cs="Times New Roman" w:eastAsia="Times New Roman" w:hint="default"/>
        </w:rPr>
        <w:t>”</w:t>
      </w:r>
      <w:r>
        <w:rPr/>
        <w:t>的</w:t>
      </w:r>
      <w:r>
        <w:rPr>
          <w:spacing w:val="-13"/>
        </w:rPr>
        <w:t> </w:t>
      </w:r>
      <w:r>
        <w:rPr/>
        <w:t>资产收购项目。</w:t>
      </w:r>
      <w:r>
        <w:rPr>
          <w:rFonts w:ascii="Times New Roman" w:hAnsi="Times New Roman" w:cs="Times New Roman" w:eastAsia="Times New Roman" w:hint="default"/>
        </w:rPr>
        <w:t>“</w:t>
      </w:r>
      <w:r>
        <w:rPr/>
        <w:t>印尼</w:t>
      </w:r>
      <w:r>
        <w:rPr>
          <w:rFonts w:ascii="Times New Roman" w:hAnsi="Times New Roman" w:cs="Times New Roman" w:eastAsia="Times New Roman" w:hint="default"/>
        </w:rPr>
        <w:t>ASAM</w:t>
      </w:r>
      <w:r>
        <w:rPr/>
        <w:t>电厂</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月份取得印尼国家电力公司的中标通知书，随后展开商务及技术谈判，</w:t>
      </w:r>
      <w:r>
        <w:rPr>
          <w:rFonts w:ascii="Times New Roman" w:hAnsi="Times New Roman" w:cs="Times New Roman" w:eastAsia="Times New Roman" w:hint="default"/>
        </w:rPr>
        <w:t>10</w:t>
      </w:r>
      <w:r>
        <w:rPr/>
        <w:t>月份</w:t>
      </w:r>
    </w:p>
    <w:p>
      <w:pPr>
        <w:pStyle w:val="BodyText"/>
        <w:spacing w:line="304" w:lineRule="auto"/>
        <w:ind w:right="148"/>
        <w:jc w:val="both"/>
      </w:pPr>
      <w:r>
        <w:rPr>
          <w:spacing w:val="-2"/>
        </w:rPr>
        <w:t>完成商务及技术谈判，但过程中因该项目发起股东间四方协议变更一直未能得到印尼国家电力公司批复而迟迟不能签署项目</w:t>
      </w:r>
      <w:r>
        <w:rPr>
          <w:spacing w:val="-64"/>
        </w:rPr>
        <w:t> </w:t>
      </w:r>
      <w:r>
        <w:rPr>
          <w:spacing w:val="-64"/>
        </w:rPr>
      </w:r>
      <w:r>
        <w:rPr>
          <w:spacing w:val="-2"/>
        </w:rPr>
        <w:t>合同，公司正全力协调该项目进一步推进。印尼</w:t>
      </w:r>
      <w:r>
        <w:rPr>
          <w:rFonts w:ascii="Times New Roman" w:hAnsi="Times New Roman" w:cs="Times New Roman" w:eastAsia="Times New Roman" w:hint="default"/>
          <w:spacing w:val="-2"/>
        </w:rPr>
        <w:t>“</w:t>
      </w:r>
      <w:r>
        <w:rPr>
          <w:spacing w:val="-2"/>
        </w:rPr>
        <w:t>东加煤矿</w:t>
      </w:r>
      <w:r>
        <w:rPr>
          <w:rFonts w:ascii="Times New Roman" w:hAnsi="Times New Roman" w:cs="Times New Roman" w:eastAsia="Times New Roman" w:hint="default"/>
          <w:spacing w:val="-2"/>
        </w:rPr>
        <w:t>”</w:t>
      </w:r>
      <w:r>
        <w:rPr>
          <w:spacing w:val="-2"/>
        </w:rPr>
        <w:t>及码头的资产收购项目，自公司权力机构批准后，管理层一直在</w:t>
      </w:r>
      <w:r>
        <w:rPr>
          <w:spacing w:val="-40"/>
        </w:rPr>
        <w:t> </w:t>
      </w:r>
      <w:r>
        <w:rPr>
          <w:spacing w:val="-40"/>
        </w:rPr>
      </w:r>
      <w:r>
        <w:rPr>
          <w:spacing w:val="-2"/>
        </w:rPr>
        <w:t>跟踪推进，因该项目煤矿的开采生产证尚未能办理完毕，收购尚未完成，预计在</w:t>
      </w:r>
      <w:r>
        <w:rPr>
          <w:rFonts w:ascii="Times New Roman" w:hAnsi="Times New Roman" w:cs="Times New Roman" w:eastAsia="Times New Roman" w:hint="default"/>
          <w:spacing w:val="-2"/>
        </w:rPr>
        <w:t>2013</w:t>
      </w:r>
      <w:r>
        <w:rPr>
          <w:spacing w:val="-2"/>
        </w:rPr>
        <w:t>年一季度可以办理完毕开采生产证，并</w:t>
      </w:r>
      <w:r>
        <w:rPr>
          <w:spacing w:val="-60"/>
        </w:rPr>
        <w:t> </w:t>
      </w:r>
      <w:r>
        <w:rPr>
          <w:spacing w:val="-60"/>
        </w:rPr>
      </w:r>
      <w:r>
        <w:rPr/>
        <w:t>开始办理股权的过户手续，该项目已同时在进行储量的勘探（</w:t>
      </w:r>
      <w:r>
        <w:rPr>
          <w:rFonts w:ascii="Times New Roman" w:hAnsi="Times New Roman" w:cs="Times New Roman" w:eastAsia="Times New Roman" w:hint="default"/>
        </w:rPr>
        <w:t>50</w:t>
      </w:r>
      <w:r>
        <w:rPr/>
        <w:t>米部分）及</w:t>
      </w:r>
      <w:r>
        <w:rPr>
          <w:rFonts w:ascii="Times New Roman" w:hAnsi="Times New Roman" w:cs="Times New Roman" w:eastAsia="Times New Roman" w:hint="default"/>
        </w:rPr>
        <w:t>200-300</w:t>
      </w:r>
      <w:r>
        <w:rPr/>
        <w:t>公顷采矿区的采矿设计工作，预计二季</w:t>
      </w:r>
      <w:r>
        <w:rPr>
          <w:spacing w:val="-57"/>
        </w:rPr>
        <w:t> </w:t>
      </w:r>
      <w:r>
        <w:rPr>
          <w:spacing w:val="-57"/>
        </w:rPr>
      </w:r>
      <w:r>
        <w:rPr>
          <w:spacing w:val="-2"/>
        </w:rPr>
        <w:t>度可以实现煤炭的产出。</w:t>
      </w:r>
      <w:r>
        <w:rPr>
          <w:rFonts w:ascii="Times New Roman" w:hAnsi="Times New Roman" w:cs="Times New Roman" w:eastAsia="Times New Roman" w:hint="default"/>
          <w:spacing w:val="-2"/>
        </w:rPr>
        <w:t>“</w:t>
      </w:r>
      <w:r>
        <w:rPr>
          <w:spacing w:val="-2"/>
        </w:rPr>
        <w:t>中加煤矿</w:t>
      </w:r>
      <w:r>
        <w:rPr>
          <w:rFonts w:ascii="Times New Roman" w:hAnsi="Times New Roman" w:cs="Times New Roman" w:eastAsia="Times New Roman" w:hint="default"/>
          <w:spacing w:val="-2"/>
        </w:rPr>
        <w:t>”</w:t>
      </w:r>
      <w:r>
        <w:rPr>
          <w:spacing w:val="-2"/>
        </w:rPr>
        <w:t>的资产收购项目，目前正在办理股权过户相关手续，因涉及到外资进入印尼的各种审批</w:t>
      </w:r>
      <w:r>
        <w:rPr>
          <w:spacing w:val="-44"/>
        </w:rPr>
        <w:t> </w:t>
      </w:r>
      <w:r>
        <w:rPr>
          <w:spacing w:val="-44"/>
        </w:rPr>
      </w:r>
      <w:r>
        <w:rPr/>
        <w:t>事项部分尚未完成，目前尚未完成股权过户。</w:t>
      </w:r>
    </w:p>
    <w:p>
      <w:pPr>
        <w:pStyle w:val="BodyText"/>
        <w:spacing w:line="300" w:lineRule="auto" w:before="69"/>
        <w:ind w:right="149"/>
        <w:jc w:val="both"/>
      </w:pPr>
      <w:r>
        <w:rPr>
          <w:rFonts w:ascii="Times New Roman" w:hAnsi="Times New Roman" w:cs="Times New Roman" w:eastAsia="Times New Roman" w:hint="default"/>
        </w:rPr>
        <w:t>4</w:t>
      </w:r>
      <w:r>
        <w:rPr/>
        <w:t>、针对公司开展海外业务的需求，</w:t>
      </w:r>
      <w:r>
        <w:rPr>
          <w:rFonts w:ascii="Times New Roman" w:hAnsi="Times New Roman" w:cs="Times New Roman" w:eastAsia="Times New Roman" w:hint="default"/>
        </w:rPr>
        <w:t>2012</w:t>
      </w:r>
      <w:r>
        <w:rPr/>
        <w:t>年公司分别在新加坡及印尼组建了管理团队，人员主要由熟悉新加坡及印尼相关事</w:t>
      </w:r>
      <w:r>
        <w:rPr>
          <w:spacing w:val="-84"/>
        </w:rPr>
        <w:t> </w:t>
      </w:r>
      <w:r>
        <w:rPr>
          <w:spacing w:val="-84"/>
        </w:rPr>
      </w:r>
      <w:r>
        <w:rPr>
          <w:spacing w:val="-2"/>
        </w:rPr>
        <w:t>务，具备煤矿开采项目运作经验、煤炭销售经验等各方面人员组成，随着项目的开展，</w:t>
      </w:r>
      <w:r>
        <w:rPr>
          <w:rFonts w:ascii="Times New Roman" w:hAnsi="Times New Roman" w:cs="Times New Roman" w:eastAsia="Times New Roman" w:hint="default"/>
          <w:spacing w:val="-2"/>
        </w:rPr>
        <w:t>2013</w:t>
      </w:r>
      <w:r>
        <w:rPr>
          <w:spacing w:val="-2"/>
        </w:rPr>
        <w:t>年还需继续加大相关业务方面人</w:t>
      </w:r>
      <w:r>
        <w:rPr>
          <w:spacing w:val="-60"/>
        </w:rPr>
        <w:t> </w:t>
      </w:r>
      <w:r>
        <w:rPr/>
        <w:t>员的聘用。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2"/>
        <w:spacing w:line="240" w:lineRule="auto"/>
        <w:ind w:right="0"/>
        <w:jc w:val="both"/>
        <w:rPr>
          <w:b w:val="0"/>
          <w:bCs w:val="0"/>
        </w:rPr>
      </w:pPr>
      <w:r>
        <w:rPr/>
        <w:t>二、报告期内主要经营情况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说明</w:t>
      </w:r>
    </w:p>
    <w:p>
      <w:pPr>
        <w:pStyle w:val="BodyText"/>
        <w:spacing w:line="360" w:lineRule="auto" w:before="117"/>
        <w:ind w:right="126" w:firstLine="288"/>
        <w:jc w:val="left"/>
      </w:pPr>
      <w:r>
        <w:rPr/>
        <w:t>公司订单总量与去年基本持平，生产时一般根据交货期安排生产进度，因此产销量比较接近，而且同比变动幅度不大。 公司实物销售收入是否大于劳务收入</w:t>
      </w:r>
    </w:p>
    <w:p>
      <w:pPr>
        <w:pStyle w:val="BodyText"/>
        <w:spacing w:line="240" w:lineRule="auto" w:before="2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00" w:lineRule="auto"/>
              <w:ind w:left="24" w:right="204"/>
              <w:jc w:val="left"/>
              <w:rPr>
                <w:rFonts w:ascii="Times New Roman" w:hAnsi="Times New Roman" w:cs="Times New Roman" w:eastAsia="Times New Roman" w:hint="default"/>
                <w:sz w:val="18"/>
                <w:szCs w:val="18"/>
              </w:rPr>
            </w:pPr>
            <w:r>
              <w:rPr>
                <w:rFonts w:ascii="宋体" w:hAnsi="宋体" w:cs="宋体" w:eastAsia="宋体" w:hint="default"/>
                <w:sz w:val="18"/>
                <w:szCs w:val="18"/>
              </w:rPr>
              <w:t>输配电及控制设备</w:t>
            </w:r>
            <w:r>
              <w:rPr>
                <w:rFonts w:ascii="Times New Roman" w:hAnsi="Times New Roman" w:cs="Times New Roman" w:eastAsia="Times New Roman" w:hint="default"/>
                <w:sz w:val="18"/>
                <w:szCs w:val="18"/>
              </w:rPr>
              <w:t>(</w:t>
            </w:r>
            <w:r>
              <w:rPr>
                <w:rFonts w:ascii="宋体" w:hAnsi="宋体" w:cs="宋体" w:eastAsia="宋体" w:hint="default"/>
                <w:sz w:val="18"/>
                <w:szCs w:val="18"/>
              </w:rPr>
              <w:t>万 千乏</w:t>
            </w:r>
            <w:r>
              <w:rPr>
                <w:rFonts w:ascii="Times New Roman" w:hAnsi="Times New Roman" w:cs="Times New Roman" w:eastAsia="Times New Roman"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357" w:lineRule="auto" w:before="49"/>
        <w:ind w:right="4554"/>
        <w:jc w:val="left"/>
      </w:pPr>
      <w:r>
        <w:rPr/>
        <w:t>注：公司余热余压利用业务，产品为服务产品未包含在上述表中。 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6"/>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公司重大的在手订单情况</w:t>
      </w:r>
    </w:p>
    <w:p>
      <w:pPr>
        <w:pStyle w:val="BodyText"/>
        <w:spacing w:line="340" w:lineRule="auto" w:before="39"/>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212" w:right="134"/>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t>单位：元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99,317,774.74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110,590,514.02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4,124,276.08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5,329,980.87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32,874,521.42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15,331,405.82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w:t>
            </w:r>
          </w:p>
        </w:tc>
      </w:tr>
    </w:tbl>
    <w:p>
      <w:pPr>
        <w:spacing w:line="240" w:lineRule="auto" w:before="4"/>
        <w:rPr>
          <w:rFonts w:ascii="宋体" w:hAnsi="宋体" w:cs="宋体" w:eastAsia="宋体" w:hint="default"/>
          <w:sz w:val="20"/>
          <w:szCs w:val="20"/>
        </w:rPr>
      </w:pPr>
    </w:p>
    <w:p>
      <w:pPr>
        <w:pStyle w:val="BodyText"/>
        <w:spacing w:line="240" w:lineRule="auto" w:before="44"/>
        <w:ind w:left="212" w:right="134"/>
        <w:jc w:val="left"/>
        <w:rPr>
          <w:rFonts w:ascii="Times New Roman" w:hAnsi="Times New Roman" w:cs="Times New Roman" w:eastAsia="Times New Roman" w:hint="default"/>
        </w:rPr>
      </w:pPr>
      <w:r>
        <w:rPr/>
        <w:t>注：为保持上表中成本合计数据与报表的一致，余热余压利用业务的产品成本全部计入上表中制造费用，金额为</w:t>
      </w:r>
      <w:r>
        <w:rPr>
          <w:spacing w:val="84"/>
        </w:rPr>
        <w:t> </w:t>
      </w:r>
      <w:r>
        <w:rPr>
          <w:rFonts w:ascii="Times New Roman" w:hAnsi="Times New Roman" w:cs="Times New Roman" w:eastAsia="Times New Roman" w:hint="default"/>
        </w:rPr>
        <w:t>1,960.23</w:t>
      </w:r>
    </w:p>
    <w:p>
      <w:pPr>
        <w:pStyle w:val="BodyText"/>
        <w:spacing w:line="240" w:lineRule="auto" w:before="63"/>
        <w:ind w:left="212" w:right="134"/>
        <w:jc w:val="left"/>
      </w:pPr>
      <w:r>
        <w:rPr/>
        <w:t>万元，因此导致</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直接材料、制造费用占营业成本比重与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出现较大差异。</w:t>
      </w:r>
    </w:p>
    <w:p>
      <w:pPr>
        <w:spacing w:line="240" w:lineRule="auto" w:before="2"/>
        <w:rPr>
          <w:rFonts w:ascii="宋体" w:hAnsi="宋体" w:cs="宋体" w:eastAsia="宋体" w:hint="default"/>
          <w:sz w:val="26"/>
          <w:szCs w:val="26"/>
        </w:rPr>
      </w:pPr>
    </w:p>
    <w:p>
      <w:pPr>
        <w:pStyle w:val="Heading4"/>
        <w:spacing w:line="240" w:lineRule="auto"/>
        <w:ind w:left="212" w:right="134"/>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31"/>
        <w:jc w:val="right"/>
      </w:pPr>
      <w:r>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05"/>
        <w:gridCol w:w="1648"/>
        <w:gridCol w:w="1637"/>
        <w:gridCol w:w="1462"/>
        <w:gridCol w:w="2919"/>
      </w:tblGrid>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12,655,078.10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10,921,678.16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28,377,320.41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20,315,186.47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3" w:right="0"/>
              <w:jc w:val="left"/>
              <w:rPr>
                <w:rFonts w:ascii="Times New Roman" w:hAnsi="Times New Roman" w:cs="Times New Roman" w:eastAsia="Times New Roman" w:hint="default"/>
                <w:sz w:val="18"/>
                <w:szCs w:val="18"/>
              </w:rPr>
            </w:pPr>
            <w:r>
              <w:rPr>
                <w:rFonts w:ascii="Times New Roman"/>
                <w:sz w:val="18"/>
              </w:rPr>
              <w:t>39.6853%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管理费用增加主要是由于股票期权 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929 </w:t>
            </w:r>
            <w:r>
              <w:rPr>
                <w:rFonts w:ascii="宋体" w:hAnsi="宋体" w:cs="宋体" w:eastAsia="宋体" w:hint="default"/>
                <w:sz w:val="18"/>
                <w:szCs w:val="18"/>
              </w:rPr>
              <w:t>万元所致</w:t>
            </w:r>
          </w:p>
        </w:tc>
      </w:tr>
      <w:tr>
        <w:trPr>
          <w:trHeight w:val="394"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6,054,472.48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3,231,492.61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3" w:right="0"/>
              <w:jc w:val="left"/>
              <w:rPr>
                <w:rFonts w:ascii="Times New Roman" w:hAnsi="Times New Roman" w:cs="Times New Roman" w:eastAsia="Times New Roman" w:hint="default"/>
                <w:sz w:val="18"/>
                <w:szCs w:val="18"/>
              </w:rPr>
            </w:pPr>
            <w:r>
              <w:rPr>
                <w:rFonts w:ascii="Times New Roman"/>
                <w:sz w:val="18"/>
              </w:rPr>
              <w:t>87.3584%</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财务费用增加主要是由于借款增加 导致的利息支出同比增加所致</w:t>
            </w:r>
          </w:p>
        </w:tc>
      </w:tr>
      <w:tr>
        <w:trPr>
          <w:trHeight w:val="391"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7,429,544.11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7,723,511.89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12" w:right="134"/>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212" w:right="134" w:firstLine="288"/>
        <w:jc w:val="left"/>
      </w:pPr>
      <w:r>
        <w:rPr/>
        <w:t>报告期内公司研发支出</w:t>
      </w:r>
      <w:r>
        <w:rPr>
          <w:rFonts w:ascii="Times New Roman" w:hAnsi="Times New Roman" w:cs="Times New Roman" w:eastAsia="Times New Roman" w:hint="default"/>
        </w:rPr>
        <w:t>1032.52</w:t>
      </w:r>
      <w:r>
        <w:rPr/>
        <w:t>万元，占报告期内营业收入的比重为</w:t>
      </w:r>
      <w:r>
        <w:rPr>
          <w:rFonts w:ascii="Times New Roman" w:hAnsi="Times New Roman" w:cs="Times New Roman" w:eastAsia="Times New Roman" w:hint="default"/>
        </w:rPr>
        <w:t>4.18%</w:t>
      </w:r>
      <w:r>
        <w:rPr/>
        <w:t>。公司为高新技术企业，一直将研发创新纳入 公司的战略规划。报告期主要开展了智能化装置、动态无功补偿装置、</w:t>
      </w:r>
      <w:r>
        <w:rPr>
          <w:rFonts w:ascii="Times New Roman" w:hAnsi="Times New Roman" w:cs="Times New Roman" w:eastAsia="Times New Roman" w:hint="default"/>
        </w:rPr>
        <w:t>SVG</w:t>
      </w:r>
      <w:r>
        <w:rPr/>
        <w:t>、有源滤波多方面的研发，并取得预期的进展。 报告期内，公司新取得专利技术</w:t>
      </w:r>
      <w:r>
        <w:rPr>
          <w:rFonts w:ascii="Times New Roman" w:hAnsi="Times New Roman" w:cs="Times New Roman" w:eastAsia="Times New Roman" w:hint="default"/>
        </w:rPr>
        <w:t>7</w:t>
      </w:r>
      <w:r>
        <w:rPr/>
        <w:t>项：</w:t>
      </w:r>
    </w:p>
    <w:tbl>
      <w:tblPr>
        <w:tblW w:w="0" w:type="auto"/>
        <w:jc w:val="left"/>
        <w:tblInd w:w="100" w:type="dxa"/>
        <w:tblLayout w:type="fixed"/>
        <w:tblCellMar>
          <w:top w:w="0" w:type="dxa"/>
          <w:left w:w="0" w:type="dxa"/>
          <w:bottom w:w="0" w:type="dxa"/>
          <w:right w:w="0" w:type="dxa"/>
        </w:tblCellMar>
        <w:tblLook w:val="01E0"/>
      </w:tblPr>
      <w:tblGrid>
        <w:gridCol w:w="780"/>
        <w:gridCol w:w="1723"/>
        <w:gridCol w:w="1606"/>
        <w:gridCol w:w="2312"/>
        <w:gridCol w:w="2017"/>
        <w:gridCol w:w="1418"/>
      </w:tblGrid>
      <w:tr>
        <w:trPr>
          <w:trHeight w:val="40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专利证号</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专利申请日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授权公告日</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一种低压套管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ZL201120248077.2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2011.07.14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一种阀组箱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ZL201120355497.0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2011.09.21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2012.5.23</w:t>
            </w:r>
          </w:p>
        </w:tc>
      </w:tr>
      <w:tr>
        <w:trPr>
          <w:trHeight w:val="40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智能化电容器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ZL201120402459.6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2011.10.20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2012.07.04</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一种电抗器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201220467642.9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2012.09.14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20" w:right="90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780"/>
        <w:gridCol w:w="1723"/>
        <w:gridCol w:w="1606"/>
        <w:gridCol w:w="2312"/>
        <w:gridCol w:w="2017"/>
        <w:gridCol w:w="1418"/>
      </w:tblGrid>
      <w:tr>
        <w:trPr>
          <w:trHeight w:val="71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5" w:right="89"/>
              <w:jc w:val="left"/>
              <w:rPr>
                <w:rFonts w:ascii="宋体" w:hAnsi="宋体" w:cs="宋体" w:eastAsia="宋体" w:hint="default"/>
                <w:sz w:val="18"/>
                <w:szCs w:val="18"/>
              </w:rPr>
            </w:pPr>
            <w:r>
              <w:rPr>
                <w:rFonts w:ascii="宋体" w:hAnsi="宋体" w:cs="宋体" w:eastAsia="宋体" w:hint="default"/>
                <w:spacing w:val="9"/>
                <w:sz w:val="18"/>
                <w:szCs w:val="18"/>
              </w:rPr>
              <w:t>一种油浸式放电线 </w:t>
            </w:r>
            <w:r>
              <w:rPr>
                <w:rFonts w:ascii="宋体" w:hAnsi="宋体" w:cs="宋体" w:eastAsia="宋体" w:hint="default"/>
                <w:sz w:val="18"/>
                <w:szCs w:val="18"/>
              </w:rPr>
              <w:t>圈</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ZL201220206298.8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5"/>
              <w:jc w:val="right"/>
              <w:rPr>
                <w:rFonts w:ascii="Times New Roman" w:hAnsi="Times New Roman" w:cs="Times New Roman" w:eastAsia="Times New Roman" w:hint="default"/>
                <w:sz w:val="18"/>
                <w:szCs w:val="18"/>
              </w:rPr>
            </w:pPr>
            <w:r>
              <w:rPr>
                <w:rFonts w:ascii="Times New Roman"/>
                <w:w w:val="95"/>
                <w:sz w:val="18"/>
              </w:rPr>
              <w:t>2012.05.09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2012.11.28</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8" w:right="0"/>
              <w:jc w:val="left"/>
              <w:rPr>
                <w:rFonts w:ascii="Times New Roman" w:hAnsi="Times New Roman" w:cs="Times New Roman" w:eastAsia="Times New Roman" w:hint="default"/>
                <w:sz w:val="18"/>
                <w:szCs w:val="18"/>
              </w:rPr>
            </w:pPr>
            <w:r>
              <w:rPr>
                <w:rFonts w:ascii="Times New Roman"/>
                <w:sz w:val="18"/>
              </w:rPr>
              <w:t>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多出线套管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Times New Roman" w:hAnsi="Times New Roman" w:cs="Times New Roman" w:eastAsia="Times New Roman" w:hint="default"/>
                <w:sz w:val="18"/>
                <w:szCs w:val="18"/>
              </w:rPr>
            </w:pPr>
            <w:r>
              <w:rPr>
                <w:rFonts w:ascii="Times New Roman"/>
                <w:sz w:val="18"/>
              </w:rPr>
              <w:t>ZL201120510986.9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5"/>
              <w:jc w:val="right"/>
              <w:rPr>
                <w:rFonts w:ascii="Times New Roman" w:hAnsi="Times New Roman" w:cs="Times New Roman" w:eastAsia="Times New Roman" w:hint="default"/>
                <w:sz w:val="18"/>
                <w:szCs w:val="18"/>
              </w:rPr>
            </w:pPr>
            <w:r>
              <w:rPr>
                <w:rFonts w:ascii="Times New Roman"/>
                <w:w w:val="95"/>
                <w:sz w:val="18"/>
              </w:rPr>
              <w:t>2011.12.09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Times New Roman" w:hAnsi="Times New Roman" w:cs="Times New Roman" w:eastAsia="Times New Roman" w:hint="default"/>
                <w:sz w:val="18"/>
                <w:szCs w:val="18"/>
              </w:rPr>
            </w:pPr>
            <w:r>
              <w:rPr>
                <w:rFonts w:ascii="Times New Roman"/>
                <w:sz w:val="18"/>
              </w:rPr>
              <w:t>2012.12.05</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89"/>
              <w:jc w:val="left"/>
              <w:rPr>
                <w:rFonts w:ascii="宋体" w:hAnsi="宋体" w:cs="宋体" w:eastAsia="宋体" w:hint="default"/>
                <w:sz w:val="18"/>
                <w:szCs w:val="18"/>
              </w:rPr>
            </w:pPr>
            <w:r>
              <w:rPr>
                <w:rFonts w:ascii="宋体" w:hAnsi="宋体" w:cs="宋体" w:eastAsia="宋体" w:hint="default"/>
                <w:spacing w:val="9"/>
                <w:sz w:val="18"/>
                <w:szCs w:val="18"/>
              </w:rPr>
              <w:t>一种油浸式放电线 </w:t>
            </w:r>
            <w:r>
              <w:rPr>
                <w:rFonts w:ascii="宋体" w:hAnsi="宋体" w:cs="宋体" w:eastAsia="宋体" w:hint="default"/>
                <w:sz w:val="18"/>
                <w:szCs w:val="18"/>
              </w:rPr>
              <w:t>圈</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ZL201220264647.1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95"/>
              <w:jc w:val="right"/>
              <w:rPr>
                <w:rFonts w:ascii="Times New Roman" w:hAnsi="Times New Roman" w:cs="Times New Roman" w:eastAsia="Times New Roman" w:hint="default"/>
                <w:sz w:val="18"/>
                <w:szCs w:val="18"/>
              </w:rPr>
            </w:pPr>
            <w:r>
              <w:rPr>
                <w:rFonts w:ascii="Times New Roman"/>
                <w:w w:val="95"/>
                <w:sz w:val="18"/>
              </w:rPr>
              <w:t>2012.06.06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2012.12.12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before="44"/>
        <w:ind w:left="212" w:right="134"/>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369"/>
        <w:gridCol w:w="992"/>
        <w:gridCol w:w="1411"/>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10,325,161.69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10,065,900.00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9,456,000.00</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92" w:type="dxa"/>
            <w:tcBorders>
              <w:top w:val="single" w:sz="4" w:space="0" w:color="000000"/>
              <w:left w:val="single" w:sz="23" w:space="0" w:color="FFFFFF"/>
              <w:bottom w:val="single" w:sz="4" w:space="0" w:color="000000"/>
              <w:right w:val="nil" w:sz="6" w:space="0" w:color="auto"/>
            </w:tcBorders>
          </w:tcPr>
          <w:p>
            <w:pPr/>
          </w:p>
        </w:tc>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bl>
    <w:p>
      <w:pPr>
        <w:spacing w:line="240" w:lineRule="auto" w:before="3"/>
        <w:rPr>
          <w:rFonts w:ascii="宋体" w:hAnsi="宋体" w:cs="宋体" w:eastAsia="宋体" w:hint="default"/>
          <w:sz w:val="19"/>
          <w:szCs w:val="19"/>
        </w:rPr>
      </w:pPr>
    </w:p>
    <w:p>
      <w:pPr>
        <w:pStyle w:val="Heading4"/>
        <w:spacing w:line="240" w:lineRule="auto" w:before="36"/>
        <w:ind w:left="212" w:right="134"/>
        <w:jc w:val="left"/>
        <w:rPr>
          <w:b w:val="0"/>
          <w:bCs w:val="0"/>
        </w:rPr>
      </w:pPr>
      <w:r>
        <w:rPr/>
        <w:pict>
          <v:shape style="position:absolute;margin-left:170.300003pt;margin-top:-32.640354pt;width:124.25pt;height:19.6pt;mso-position-horizontal-relative:page;mso-position-vertical-relative:paragraph;z-index:-84044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7.740005pt;margin-top:-32.640354pt;width:116.8pt;height:19.6pt;mso-position-horizontal-relative:page;mso-position-vertical-relative:paragraph;z-index:-840424" coordorigin="3555,-653" coordsize="2336,392">
            <v:shape style="position:absolute;left:3555;top:-653;width:2336;height:392" coordorigin="3555,-653" coordsize="2336,392" path="m3555,-261l5890,-261,5890,-653,3555,-653,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214,993,687.26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217,489,480.71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170,392,326.26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196,683,677.28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-13.3673%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44,601,361.00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20,805,803.43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114.3698%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-99.1398%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142,555,369.42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138,276,361.10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-142,554,569.42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-138,183,361.10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284,569,695.76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586,387,053.82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-51.4707%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193,855,261.33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126,910,379.86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52.7497%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90,714,434.43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459,476,673.96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-80.257%</w:t>
            </w:r>
            <w:r>
              <w:rPr>
                <w:rFonts w:ascii="Times New Roman"/>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-6,407,038.78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342,099,116.29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-101.8729%</w:t>
            </w:r>
          </w:p>
        </w:tc>
      </w:tr>
    </w:tbl>
    <w:p>
      <w:pPr>
        <w:pStyle w:val="BodyText"/>
        <w:spacing w:line="240" w:lineRule="auto" w:before="49"/>
        <w:ind w:left="212" w:right="13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4"/>
        <w:ind w:left="212" w:right="134"/>
        <w:jc w:val="left"/>
      </w:pPr>
      <w:r>
        <w:rPr/>
        <w:t>√ 适用 □</w:t>
      </w:r>
      <w:r>
        <w:rPr>
          <w:spacing w:val="3"/>
        </w:rPr>
        <w:t> </w:t>
      </w:r>
      <w:r>
        <w:rPr/>
        <w:t>不适用</w:t>
      </w:r>
    </w:p>
    <w:p>
      <w:pPr>
        <w:pStyle w:val="BodyText"/>
        <w:spacing w:line="316" w:lineRule="auto" w:before="115"/>
        <w:ind w:left="212" w:right="221" w:firstLine="504"/>
        <w:jc w:val="left"/>
      </w:pPr>
      <w:r>
        <w:rPr>
          <w:spacing w:val="-1"/>
        </w:rPr>
        <w:t>经营活动产生的现金流量净额变化的主要原因：公司本年度原材料采购总额减少，以承兑汇票方式支付货款增加使得</w:t>
      </w:r>
      <w:r>
        <w:rPr/>
        <w:t> 购买商品、接受劳务支付的现金同比减少。</w:t>
      </w:r>
    </w:p>
    <w:p>
      <w:pPr>
        <w:pStyle w:val="BodyText"/>
        <w:spacing w:line="340" w:lineRule="auto" w:before="19"/>
        <w:ind w:left="212" w:right="170" w:firstLine="504"/>
        <w:jc w:val="left"/>
      </w:pPr>
      <w:r>
        <w:rPr/>
        <w:t>筹资活动产生的现金流量净额减少的主要原因是去年公司发行股票募集资金到位，筹资流入</w:t>
      </w:r>
      <w:r>
        <w:rPr>
          <w:rFonts w:ascii="Times New Roman" w:hAnsi="Times New Roman" w:cs="Times New Roman" w:eastAsia="Times New Roman" w:hint="default"/>
        </w:rPr>
        <w:t>2012</w:t>
      </w:r>
      <w:r>
        <w:rPr/>
        <w:t>年较去年大幅减少。 报告期内公司经营活动的现金流量与本年度净利润存在重大差异的原因说明</w:t>
      </w:r>
    </w:p>
    <w:p>
      <w:pPr>
        <w:pStyle w:val="BodyText"/>
        <w:spacing w:line="240" w:lineRule="auto" w:before="41"/>
        <w:ind w:left="212"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20" w:right="90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181,181,070.96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73.28%</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44,770,843.46</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35.97%</w:t>
            </w:r>
          </w:p>
        </w:tc>
      </w:tr>
    </w:tbl>
    <w:p>
      <w:pPr>
        <w:pStyle w:val="BodyText"/>
        <w:spacing w:line="240" w:lineRule="auto" w:before="49"/>
        <w:ind w:right="0"/>
        <w:jc w:val="left"/>
      </w:pPr>
      <w:r>
        <w:rPr/>
        <w:pict>
          <v:shape style="position:absolute;margin-left:263.570007pt;margin-top:-20.06831pt;width:270.2pt;height:19.6pt;mso-position-horizontal-relative:page;mso-position-vertical-relative:paragraph;z-index:-84040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06831pt;width:262.75pt;height:19.6pt;mso-position-horizontal-relative:page;mso-position-vertical-relative:paragraph;z-index:-840376"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338" w:lineRule="auto" w:before="117"/>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公司回顾总结前期披露的发展战略和经营计划在报告期内的进展情况</w:t>
      </w:r>
    </w:p>
    <w:p>
      <w:pPr>
        <w:pStyle w:val="BodyText"/>
        <w:spacing w:line="309" w:lineRule="auto" w:before="43"/>
        <w:ind w:right="0" w:firstLine="288"/>
        <w:jc w:val="left"/>
      </w:pPr>
      <w:r>
        <w:rPr>
          <w:spacing w:val="-1"/>
        </w:rPr>
        <w:t>根据公司前期的发展战略，积极拓展电力电子产品线，公司加大技术研发与投入，形成了智能电容器和智能化电容器装</w:t>
      </w:r>
      <w:r>
        <w:rPr/>
        <w:t> 置、</w:t>
      </w:r>
      <w:r>
        <w:rPr>
          <w:rFonts w:ascii="Times New Roman" w:hAnsi="Times New Roman" w:cs="Times New Roman" w:eastAsia="Times New Roman" w:hint="default"/>
        </w:rPr>
        <w:t>110kVMSVC</w:t>
      </w:r>
      <w:r>
        <w:rPr/>
        <w:t>、</w:t>
      </w:r>
      <w:r>
        <w:rPr>
          <w:rFonts w:ascii="Times New Roman" w:hAnsi="Times New Roman" w:cs="Times New Roman" w:eastAsia="Times New Roman" w:hint="default"/>
        </w:rPr>
        <w:t>SVG</w:t>
      </w:r>
      <w:r>
        <w:rPr/>
        <w:t>等新产品并逐步实现产业化。 不断延伸产业链，结合国家政策，开展海外电厂建设运营业务，开展资源</w:t>
      </w:r>
      <w:r>
        <w:rPr>
          <w:rFonts w:ascii="Times New Roman" w:hAnsi="Times New Roman" w:cs="Times New Roman" w:eastAsia="Times New Roman" w:hint="default"/>
        </w:rPr>
        <w:t>(</w:t>
      </w:r>
      <w:r>
        <w:rPr/>
        <w:t>煤炭）等投资项目。</w:t>
      </w:r>
    </w:p>
    <w:p>
      <w:pPr>
        <w:pStyle w:val="BodyText"/>
        <w:spacing w:line="309" w:lineRule="auto" w:before="5"/>
        <w:ind w:right="152" w:firstLine="288"/>
        <w:jc w:val="both"/>
      </w:pPr>
      <w:r>
        <w:rPr>
          <w:spacing w:val="-1"/>
        </w:rPr>
        <w:t>根据</w:t>
      </w:r>
      <w:r>
        <w:rPr>
          <w:rFonts w:ascii="Times New Roman" w:hAnsi="Times New Roman" w:cs="Times New Roman" w:eastAsia="Times New Roman" w:hint="default"/>
          <w:spacing w:val="-1"/>
        </w:rPr>
        <w:t>2012</w:t>
      </w:r>
      <w:r>
        <w:rPr>
          <w:spacing w:val="-1"/>
        </w:rPr>
        <w:t>年的经营计划，做好了技术与产品研发方面的工作，完成了内部管理包括人力资源、生产管理、财务管理几方</w:t>
      </w:r>
      <w:r>
        <w:rPr/>
        <w:t> </w:t>
      </w:r>
      <w:r>
        <w:rPr>
          <w:spacing w:val="-2"/>
        </w:rPr>
        <w:t>面的管理提升，完成了业务拓展工作，拓展了产品的应用领域。在营销中心的建设上，受行业需求增速放缓的影响，以及公</w:t>
      </w:r>
      <w:r>
        <w:rPr>
          <w:spacing w:val="-67"/>
        </w:rPr>
        <w:t> </w:t>
      </w:r>
      <w:r>
        <w:rPr>
          <w:spacing w:val="-67"/>
        </w:rPr>
      </w:r>
      <w:r>
        <w:rPr/>
        <w:t>司发展战略及业务模式的调整，公司放缓了部分地区营销中心的筹建，未能在报告期内完成。</w:t>
      </w:r>
    </w:p>
    <w:p>
      <w:pPr>
        <w:pStyle w:val="BodyText"/>
        <w:spacing w:line="240" w:lineRule="auto" w:before="65"/>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243,008,451.73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135,850,843.60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电能质量优化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199,230,621.84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115,789,330.92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余热余压利用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43,205,100.00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19,602,300.00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54.6297%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572,729.89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459,212.68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9,577,261.82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7,073,687.00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26.1408%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64,883,067.15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33,417,317.48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28,836,518.09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20,517,898.45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28.8475%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13,460,512.84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6,008,629.25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6,694,335.89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3,752,727.06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43.9418%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72,845,106.46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38,751,238.21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46,711,649.48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26,329,346.15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43.6343%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-0.1%</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t>√ 适用 □</w:t>
      </w:r>
      <w:r>
        <w:rPr>
          <w:spacing w:val="3"/>
        </w:rPr>
        <w:t> </w:t>
      </w:r>
      <w:r>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403" w:hRule="exact"/>
        </w:trPr>
        <w:tc>
          <w:tcPr>
            <w:tcW w:w="960" w:type="dxa"/>
            <w:vMerge w:val="restart"/>
            <w:tcBorders>
              <w:top w:val="single" w:sz="4" w:space="0" w:color="000000"/>
              <w:left w:val="single" w:sz="4" w:space="0" w:color="000000"/>
              <w:right w:val="single" w:sz="4" w:space="0" w:color="000000"/>
            </w:tcBorders>
            <w:shd w:val="clear" w:color="auto" w:fill="D2D2D2"/>
          </w:tcPr>
          <w:p>
            <w:pPr/>
          </w:p>
        </w:tc>
        <w:tc>
          <w:tcPr>
            <w:tcW w:w="28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r>
      <w:tr>
        <w:trPr>
          <w:trHeight w:val="401"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218,389,021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181,354,680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142,135,096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131,128,192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106,324,363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83,679,444.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41.13%</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电能质量 优化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217,499,919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179,993,893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138,700,028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130,414,658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105,859,498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80,565,235.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41.91%</w:t>
            </w:r>
          </w:p>
        </w:tc>
      </w:tr>
      <w:tr>
        <w:trPr>
          <w:trHeight w:val="71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余热余压 利用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889,102.52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1,360,786.2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3,435,068.3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713,534.23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464,865.50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3,114,209.0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20,385,276.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15,196,047.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8,178,239.3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12,930,119.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8,455,333.6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5,280,117.6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35.44%</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58,025,408.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41,142,222.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31,937,136.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35,108,157.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23,484,929.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19,820,405.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37.94%</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58,513,730.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67,164,214.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96,137,464.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32,956,661.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37,016,890.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54,990,687.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w:t>
            </w:r>
          </w:p>
        </w:tc>
      </w:tr>
      <w:tr>
        <w:trPr>
          <w:trHeight w:val="71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6,695,410.2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7,519,829.0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36,923.08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3,605,151.8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3,979,905.7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26,674.98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27.76%</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9,367,282.0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33,560,703.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4,369,350.4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5,608,545.9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23,979,045.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2,782,384.8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36.32%</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59,901,315.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16,771,663.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270,512.82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37,824,407.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9,408,259.4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155,572.12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42.49%</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5,500,598.2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1,205,470.0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3,095,148.1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623,601.72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409,660,022.8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39.0345%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411,764,550.65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47.908%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-8.8735%</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84,136,094.53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97,085,550.53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32,403,220.31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24,576,311.38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公司原材料及库存商品增加所致</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245,987,010.9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23.4389%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173,885,507.77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20.2313%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3.2076%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余热发电项目资产投入运营转资增 加固定资产所致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3,529,914.58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0.3363%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5,581,914.58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0.6494%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-0.3131%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项目达到可使用状态并通过验收转 资增加固定资产所致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14.2928%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130,000,000.00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15.12526%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-0.8325%</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133,277,777.7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12.6994%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3.7231%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8.9763%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报告期为合同能源管理项目及分期 收款项目增加了长期借款所致</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、投资状况分析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40,277.19</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1,976.18</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24,339.76</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8"/>
          <w:szCs w:val="28"/>
        </w:rPr>
      </w:pPr>
      <w:r>
        <w:rPr/>
        <w:pict>
          <v:shape style="position:absolute;margin-left:58.080002pt;margin-top:622.635986pt;width:124.7pt;height:19.6pt;mso-position-horizontal-relative:page;mso-position-vertical-relative:page;z-index:-840328" type="#_x0000_t202" filled="false" stroked="false">
            <v:textbox inset="0,0,0,0">
              <w:txbxContent>
                <w:p>
                  <w:pPr>
                    <w:pStyle w:val="BodyText"/>
                    <w:spacing w:line="240" w:lineRule="auto" w:before="49"/>
                    <w:ind w:left="0" w:right="0"/>
                    <w:jc w:val="left"/>
                  </w:pPr>
                  <w:r>
                    <w:rPr/>
                    <w:t>归还银行贷款（如有）</w:t>
                  </w:r>
                </w:p>
              </w:txbxContent>
            </v:textbox>
            <w10:wrap type="none"/>
          </v:shape>
        </w:pict>
      </w:r>
      <w:r>
        <w:rPr/>
        <w:pict>
          <v:shape style="position:absolute;margin-left:58.080002pt;margin-top:642.820007pt;width:124.7pt;height:19.6pt;mso-position-horizontal-relative:page;mso-position-vertical-relative:page;z-index:-840304"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50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0" w:right="1"/>
                    <w:jc w:val="center"/>
                  </w:pPr>
                  <w:r>
                    <w:rPr/>
                    <w:t>募集资金总体使用情况说明</w:t>
                  </w:r>
                </w:p>
              </w:txbxContent>
            </v:textbox>
            <v:fill type="solid"/>
          </v:shape>
        </w:pict>
      </w:r>
      <w:r>
        <w:rPr>
          <w:rFonts w:ascii="宋体" w:hAnsi="宋体" w:cs="宋体" w:eastAsia="宋体" w:hint="default"/>
          <w:position w:val="-7"/>
          <w:sz w:val="20"/>
          <w:szCs w:val="20"/>
        </w:rPr>
      </w:r>
    </w:p>
    <w:p>
      <w:pPr>
        <w:spacing w:line="240" w:lineRule="auto" w:before="9"/>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5"/>
              <w:jc w:val="left"/>
              <w:rPr>
                <w:rFonts w:ascii="宋体" w:hAnsi="宋体" w:cs="宋体" w:eastAsia="宋体" w:hint="default"/>
                <w:sz w:val="18"/>
                <w:szCs w:val="18"/>
              </w:rPr>
            </w:pPr>
            <w:r>
              <w:rPr>
                <w:rFonts w:ascii="宋体" w:hAnsi="宋体" w:cs="宋体" w:eastAsia="宋体" w:hint="default"/>
                <w:sz w:val="18"/>
                <w:szCs w:val="18"/>
              </w:rPr>
              <w:t>高压无功补偿装置产 品升级及产业化项目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6,940.24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4,475.85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营销网络和客户服务 基础平台建设项目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《高压无功补偿装置 产品升级及产业化项 </w:t>
            </w:r>
            <w:r>
              <w:rPr>
                <w:rFonts w:ascii="宋体" w:hAnsi="宋体" w:cs="宋体" w:eastAsia="宋体" w:hint="default"/>
                <w:spacing w:val="-9"/>
                <w:sz w:val="18"/>
                <w:szCs w:val="18"/>
              </w:rPr>
              <w:t>目》募集资金结余永久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4,704.51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4,704.51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4,704.51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5,976.18</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16,639.76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278.43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腾达西北铁合金矿热 炉余热发电合同能源 管理项目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2,038.73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南加里曼丹印尼</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发电厂</w:t>
            </w:r>
          </w:p>
          <w:p>
            <w:pPr>
              <w:pStyle w:val="TableParagraph"/>
              <w:spacing w:line="300" w:lineRule="auto" w:before="63"/>
              <w:ind w:left="24" w:right="144"/>
              <w:jc w:val="left"/>
              <w:rPr>
                <w:rFonts w:ascii="宋体" w:hAnsi="宋体" w:cs="宋体" w:eastAsia="宋体" w:hint="default"/>
                <w:sz w:val="18"/>
                <w:szCs w:val="18"/>
              </w:rPr>
            </w:pPr>
            <w:r>
              <w:rPr>
                <w:rFonts w:ascii="宋体" w:hAnsi="宋体" w:cs="宋体" w:eastAsia="宋体" w:hint="default"/>
                <w:sz w:val="18"/>
                <w:szCs w:val="18"/>
              </w:rPr>
              <w:t>扩建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ⅹ</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12,037.19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7,700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2,038.73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40,277.19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28,524.75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1,976.18</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24,339.76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2,317.16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14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2" w:lineRule="auto" w:before="49"/>
              <w:ind w:left="16" w:right="22" w:firstLine="542"/>
              <w:jc w:val="left"/>
              <w:rPr>
                <w:rFonts w:ascii="宋体" w:hAnsi="宋体" w:cs="宋体" w:eastAsia="宋体" w:hint="default"/>
                <w:sz w:val="18"/>
                <w:szCs w:val="18"/>
              </w:rPr>
            </w:pPr>
            <w:r>
              <w:rPr>
                <w:rFonts w:ascii="宋体" w:hAnsi="宋体" w:cs="宋体" w:eastAsia="宋体" w:hint="default"/>
                <w:spacing w:val="-5"/>
                <w:sz w:val="18"/>
                <w:szCs w:val="18"/>
              </w:rPr>
              <w:t>本年度“高压无功补偿装置产品升级及产业化项目”、“研发中心建设项目”皆已经完成，因</w:t>
            </w:r>
            <w:r>
              <w:rPr>
                <w:rFonts w:ascii="宋体" w:hAnsi="宋体" w:cs="宋体" w:eastAsia="宋体" w:hint="default"/>
                <w:sz w:val="18"/>
                <w:szCs w:val="18"/>
              </w:rPr>
              <w:t> 公司本着节约、合理有效的原则使用募集资金，使募集资金使用出现结余，加之尚有部分设备采购 尾款未支付，导致期末资金投入进度未到达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“营销网络和客户服务基础平台建设项目”</w:t>
            </w:r>
            <w:r>
              <w:rPr>
                <w:rFonts w:ascii="宋体" w:hAnsi="宋体" w:cs="宋体" w:eastAsia="宋体" w:hint="default"/>
                <w:sz w:val="18"/>
                <w:szCs w:val="18"/>
              </w:rPr>
              <w:t> 受行业需求增速的影响，以及公司发展战略及业务模式的调整，公司管理层采取谨慎态度，力求募</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4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6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集资金效益最大化，放缓了部分地区营销中心的建设，重新考虑国际化业务的营销网络的搭建及人 员配置。</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公司本次超募资金金额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19,737.19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经</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日第一届董事会第十次会议审议通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同意使用超募资金暂时补充流动资金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偿还到期银行贷款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并于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1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Microsoft JhengHei" w:hAnsi="Microsoft JhengHei" w:cs="Microsoft JhengHei" w:eastAsia="Microsoft JhengHei"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日偿还了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r>
              <w:rPr>
                <w:rFonts w:ascii="Microsoft JhengHei" w:hAnsi="Microsoft JhengHei" w:cs="Microsoft JhengHei" w:eastAsia="Microsoft JhengHei" w:hint="default"/>
                <w:sz w:val="18"/>
                <w:szCs w:val="18"/>
              </w:rPr>
              <w:t>､</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万到期银行贷款</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92" w:lineRule="auto"/>
              <w:ind w:left="24" w:right="19"/>
              <w:jc w:val="left"/>
              <w:rPr>
                <w:rFonts w:ascii="宋体" w:hAnsi="宋体" w:cs="宋体" w:eastAsia="宋体" w:hint="default"/>
                <w:sz w:val="18"/>
                <w:szCs w:val="18"/>
              </w:rPr>
            </w:pPr>
            <w:r>
              <w:rPr>
                <w:rFonts w:ascii="宋体" w:hAnsi="宋体" w:cs="宋体" w:eastAsia="宋体" w:hint="default"/>
                <w:sz w:val="18"/>
                <w:szCs w:val="18"/>
              </w:rPr>
              <w:t>公司已将暂时补充流动资金的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万元全部归还至公司的募集资金专用账户</w:t>
            </w:r>
            <w:r>
              <w:rPr>
                <w:rFonts w:ascii="Microsoft JhengHei" w:hAnsi="Microsoft JhengHei" w:cs="Microsoft JhengHei" w:eastAsia="Microsoft JhengHei"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公司第一届董事会第十七次会议和公司第一届监事会第九次会议分别审议通过了《关于继续使用</w:t>
            </w:r>
            <w:r>
              <w:rPr>
                <w:rFonts w:ascii="宋体" w:hAnsi="宋体" w:cs="宋体" w:eastAsia="宋体" w:hint="default"/>
                <w:sz w:val="18"/>
                <w:szCs w:val="18"/>
              </w:rPr>
              <w:t> 部分超募资金暂时补充流动资金的议案》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同意继续以超募资金中的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万元暂时补充流动资金</w:t>
            </w:r>
          </w:p>
          <w:p>
            <w:pPr>
              <w:pStyle w:val="TableParagraph"/>
              <w:spacing w:line="270" w:lineRule="exact"/>
              <w:ind w:left="24" w:right="0"/>
              <w:jc w:val="left"/>
              <w:rPr>
                <w:rFonts w:ascii="宋体" w:hAnsi="宋体" w:cs="宋体" w:eastAsia="宋体" w:hint="default"/>
                <w:sz w:val="18"/>
                <w:szCs w:val="18"/>
              </w:rPr>
            </w:pPr>
            <w:r>
              <w:rPr>
                <w:rFonts w:ascii="Microsoft JhengHei" w:hAnsi="Microsoft JhengHei" w:cs="Microsoft JhengHei" w:eastAsia="Microsoft JhengHei"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经第一届董事会第十九次会议审议通过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万元增资子</w:t>
            </w:r>
          </w:p>
          <w:p>
            <w:pPr>
              <w:pStyle w:val="TableParagraph"/>
              <w:spacing w:line="312"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公司用于腾达西北铁合金矿热炉余热发电合同能源管理项目</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公司已将暂时</w:t>
            </w:r>
          </w:p>
          <w:p>
            <w:pPr>
              <w:pStyle w:val="TableParagraph"/>
              <w:spacing w:line="295" w:lineRule="auto"/>
              <w:ind w:left="24" w:right="19"/>
              <w:jc w:val="left"/>
              <w:rPr>
                <w:rFonts w:ascii="宋体" w:hAnsi="宋体" w:cs="宋体" w:eastAsia="宋体" w:hint="default"/>
                <w:sz w:val="18"/>
                <w:szCs w:val="18"/>
              </w:rPr>
            </w:pPr>
            <w:r>
              <w:rPr>
                <w:rFonts w:ascii="宋体" w:hAnsi="宋体" w:cs="宋体" w:eastAsia="宋体" w:hint="default"/>
                <w:sz w:val="18"/>
                <w:szCs w:val="18"/>
              </w:rPr>
              <w:t>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万元全部归还至公司的募集资金专用账户</w:t>
            </w:r>
            <w:r>
              <w:rPr>
                <w:rFonts w:ascii="Microsoft JhengHei" w:hAnsi="Microsoft JhengHei" w:cs="Microsoft JhengHei" w:eastAsia="Microsoft JhengHei"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日，公司第一届</w:t>
            </w:r>
            <w:r>
              <w:rPr>
                <w:rFonts w:ascii="宋体" w:hAnsi="宋体" w:cs="宋体" w:eastAsia="宋体" w:hint="default"/>
                <w:sz w:val="18"/>
                <w:szCs w:val="18"/>
              </w:rPr>
              <w:t> 董事会第二十三次会议表决审议通过了《关于使用超募资金投资南加里曼丹印尼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 电厂扩建</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65MW</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5"/>
                <w:sz w:val="18"/>
                <w:szCs w:val="18"/>
              </w:rPr>
              <w:t>工程项目的议案》，公司拟以全部剩余超募资金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12,037.19</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万元投资印尼南加里</w:t>
            </w:r>
            <w:r>
              <w:rPr>
                <w:rFonts w:ascii="宋体" w:hAnsi="宋体" w:cs="宋体" w:eastAsia="宋体" w:hint="default"/>
                <w:sz w:val="18"/>
                <w:szCs w:val="18"/>
              </w:rPr>
              <w:t> 曼丹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ASAM-ASAM  </w:t>
            </w:r>
            <w:r>
              <w:rPr>
                <w:rFonts w:ascii="宋体" w:hAnsi="宋体" w:cs="宋体" w:eastAsia="宋体" w:hint="default"/>
                <w:sz w:val="18"/>
                <w:szCs w:val="18"/>
              </w:rPr>
              <w:t>发电厂扩建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工程项目。</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0" w:firstLine="633"/>
              <w:jc w:val="left"/>
              <w:rPr>
                <w:rFonts w:ascii="宋体" w:hAnsi="宋体" w:cs="宋体" w:eastAsia="宋体" w:hint="default"/>
                <w:sz w:val="18"/>
                <w:szCs w:val="18"/>
              </w:rPr>
            </w:pPr>
            <w:r>
              <w:rPr>
                <w:rFonts w:ascii="宋体" w:hAnsi="宋体" w:cs="宋体" w:eastAsia="宋体" w:hint="default"/>
                <w:sz w:val="18"/>
                <w:szCs w:val="18"/>
              </w:rPr>
              <w:t>为加快项目建设以满足公司发展需要</w:t>
            </w:r>
            <w:r>
              <w:rPr>
                <w:rFonts w:ascii="Times New Roman" w:hAnsi="Times New Roman" w:cs="Times New Roman" w:eastAsia="Times New Roman" w:hint="default"/>
                <w:sz w:val="18"/>
                <w:szCs w:val="18"/>
              </w:rPr>
              <w:t>,</w:t>
            </w:r>
            <w:r>
              <w:rPr>
                <w:rFonts w:ascii="宋体" w:hAnsi="宋体" w:cs="宋体" w:eastAsia="宋体" w:hint="default"/>
                <w:sz w:val="18"/>
                <w:szCs w:val="18"/>
              </w:rPr>
              <w:t>在募集资金到位前</w:t>
            </w:r>
            <w:r>
              <w:rPr>
                <w:rFonts w:ascii="Times New Roman" w:hAnsi="Times New Roman" w:cs="Times New Roman" w:eastAsia="Times New Roman" w:hint="default"/>
                <w:sz w:val="18"/>
                <w:szCs w:val="18"/>
              </w:rPr>
              <w:t>,</w:t>
            </w:r>
            <w:r>
              <w:rPr>
                <w:rFonts w:ascii="宋体" w:hAnsi="宋体" w:cs="宋体" w:eastAsia="宋体" w:hint="default"/>
                <w:sz w:val="18"/>
                <w:szCs w:val="18"/>
              </w:rPr>
              <w:t>部分项目已由公司以自筹资金先行 投入</w:t>
            </w:r>
            <w:r>
              <w:rPr>
                <w:rFonts w:ascii="Times New Roman" w:hAnsi="Times New Roman" w:cs="Times New Roman" w:eastAsia="Times New Roman" w:hint="default"/>
                <w:sz w:val="18"/>
                <w:szCs w:val="18"/>
              </w:rPr>
              <w:t>,</w:t>
            </w:r>
            <w:r>
              <w:rPr>
                <w:rFonts w:ascii="宋体" w:hAnsi="宋体" w:cs="宋体" w:eastAsia="宋体" w:hint="default"/>
                <w:sz w:val="18"/>
                <w:szCs w:val="18"/>
              </w:rPr>
              <w:t>共支付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6,709.94 </w:t>
            </w:r>
            <w:r>
              <w:rPr>
                <w:rFonts w:ascii="宋体" w:hAnsi="宋体" w:cs="宋体" w:eastAsia="宋体" w:hint="default"/>
                <w:sz w:val="18"/>
                <w:szCs w:val="18"/>
              </w:rPr>
              <w:t>万元</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第一届董事会第九次会议审议通过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公司用募集资金</w:t>
            </w:r>
          </w:p>
          <w:p>
            <w:pPr>
              <w:pStyle w:val="TableParagraph"/>
              <w:spacing w:line="312" w:lineRule="exact"/>
              <w:ind w:left="2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6,709.94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万元置换预先已投入募集资金投资项目的自筹资金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年二季度完成资金置换</w:t>
            </w:r>
            <w:r>
              <w:rPr>
                <w:rFonts w:ascii="Microsoft JhengHei" w:hAnsi="Microsoft JhengHei" w:cs="Microsoft JhengHei" w:eastAsia="Microsoft JhengHei" w:hint="default"/>
                <w:sz w:val="18"/>
                <w:szCs w:val="18"/>
              </w:rPr>
              <w:t>｡</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日第一届董事会第十次会议审议通过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同意使用超募资金暂时补充流动资</w:t>
            </w:r>
          </w:p>
          <w:p>
            <w:pPr>
              <w:pStyle w:val="TableParagraph"/>
              <w:spacing w:line="313"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实际已使用募集资金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万元用于暂时补充流动资金</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92" w:lineRule="auto"/>
              <w:ind w:left="24" w:right="19"/>
              <w:jc w:val="left"/>
              <w:rPr>
                <w:rFonts w:ascii="宋体" w:hAnsi="宋体" w:cs="宋体" w:eastAsia="宋体" w:hint="default"/>
                <w:sz w:val="18"/>
                <w:szCs w:val="18"/>
              </w:rPr>
            </w:pPr>
            <w:r>
              <w:rPr>
                <w:rFonts w:ascii="宋体" w:hAnsi="宋体" w:cs="宋体" w:eastAsia="宋体" w:hint="default"/>
                <w:sz w:val="18"/>
                <w:szCs w:val="18"/>
              </w:rPr>
              <w:t>公司已将暂时补充流动资金的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万元全部归还至公司的募集资金专用账户</w:t>
            </w:r>
            <w:r>
              <w:rPr>
                <w:rFonts w:ascii="Microsoft JhengHei" w:hAnsi="Microsoft JhengHei" w:cs="Microsoft JhengHei" w:eastAsia="Microsoft JhengHei"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公司第一届董事会第十七次会议和公司第一届监事会第九次会议分别审议通过了《关于继续使用</w:t>
            </w:r>
            <w:r>
              <w:rPr>
                <w:rFonts w:ascii="宋体" w:hAnsi="宋体" w:cs="宋体" w:eastAsia="宋体" w:hint="default"/>
                <w:sz w:val="18"/>
                <w:szCs w:val="18"/>
              </w:rPr>
              <w:t> 部分超募资金暂时补充流动资金的议案》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同意继续以超募资金中的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万元暂时补充流动资金</w:t>
            </w:r>
          </w:p>
          <w:p>
            <w:pPr>
              <w:pStyle w:val="TableParagraph"/>
              <w:spacing w:line="270" w:lineRule="exact"/>
              <w:ind w:left="24" w:right="0"/>
              <w:jc w:val="left"/>
              <w:rPr>
                <w:rFonts w:ascii="宋体" w:hAnsi="宋体" w:cs="宋体" w:eastAsia="宋体" w:hint="default"/>
                <w:sz w:val="18"/>
                <w:szCs w:val="18"/>
              </w:rPr>
            </w:pP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公司已将暂时补充流动资金的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万元全部归还至公司的募集资金专</w:t>
            </w:r>
          </w:p>
          <w:p>
            <w:pPr>
              <w:pStyle w:val="TableParagraph"/>
              <w:spacing w:line="313" w:lineRule="exact"/>
              <w:ind w:left="24" w:right="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用账户</w:t>
            </w:r>
            <w:r>
              <w:rPr>
                <w:rFonts w:ascii="Microsoft JhengHei" w:hAnsi="Microsoft JhengHei" w:cs="Microsoft JhengHei" w:eastAsia="Microsoft JhengHei" w:hint="default"/>
                <w:sz w:val="18"/>
                <w:szCs w:val="18"/>
              </w:rPr>
              <w:t>｡</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firstLine="633"/>
              <w:jc w:val="both"/>
              <w:rPr>
                <w:rFonts w:ascii="宋体" w:hAnsi="宋体" w:cs="宋体" w:eastAsia="宋体" w:hint="default"/>
                <w:sz w:val="18"/>
                <w:szCs w:val="18"/>
              </w:rPr>
            </w:pPr>
            <w:r>
              <w:rPr>
                <w:rFonts w:ascii="宋体" w:hAnsi="宋体" w:cs="宋体" w:eastAsia="宋体" w:hint="default"/>
                <w:spacing w:val="-3"/>
                <w:sz w:val="18"/>
                <w:szCs w:val="18"/>
              </w:rPr>
              <w:t>“高压无功补偿装置产品升级及产业化项目”因公司本着节约、合理有效的原则使用募集资</w:t>
            </w:r>
            <w:r>
              <w:rPr>
                <w:rFonts w:ascii="宋体" w:hAnsi="宋体" w:cs="宋体" w:eastAsia="宋体" w:hint="default"/>
                <w:sz w:val="18"/>
                <w:szCs w:val="18"/>
              </w:rPr>
              <w:t> 金，使募集资金使用出现结余，加之尚有部分设备采购尾款未支付，导致期末资金投入进度未到达 </w:t>
            </w:r>
            <w:r>
              <w:rPr>
                <w:rFonts w:ascii="Times New Roman" w:hAnsi="Times New Roman" w:cs="Times New Roman" w:eastAsia="Times New Roman" w:hint="default"/>
                <w:sz w:val="18"/>
                <w:szCs w:val="18"/>
              </w:rPr>
              <w:t>100%</w:t>
            </w:r>
            <w:r>
              <w:rPr>
                <w:rFonts w:ascii="宋体" w:hAnsi="宋体" w:cs="宋体" w:eastAsia="宋体" w:hint="default"/>
                <w:sz w:val="18"/>
                <w:szCs w:val="18"/>
              </w:rPr>
              <w:t>，募集资金结余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47,045,062.15 </w:t>
            </w:r>
            <w:r>
              <w:rPr>
                <w:rFonts w:ascii="宋体" w:hAnsi="宋体" w:cs="宋体" w:eastAsia="宋体" w:hint="default"/>
                <w:sz w:val="18"/>
                <w:szCs w:val="18"/>
              </w:rPr>
              <w:t>元。</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694"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9.05pt;height:34.7pt;mso-position-horizontal-relative:char;mso-position-vertical-relative:line" coordorigin="0,0" coordsize="9581,694">
            <v:group style="position:absolute;left:23;top:14;width:2;height:666" coordorigin="23,14" coordsize="2,666">
              <v:shape style="position:absolute;left:23;top:14;width:2;height:666" coordorigin="23,14" coordsize="0,666" path="m23,14l23,680e" filled="false" stroked="true" strokeweight="1.08pt" strokecolor="#d2d2d2">
                <v:path arrowok="t"/>
              </v:shape>
            </v:group>
            <v:group style="position:absolute;left:1760;top:14;width:2;height:666" coordorigin="1760,14" coordsize="2,666">
              <v:shape style="position:absolute;left:1760;top:14;width:2;height:666" coordorigin="1760,14" coordsize="0,666" path="m1760,14l1760,680e" filled="false" stroked="true" strokeweight="1.2pt" strokecolor="#d2d2d2">
                <v:path arrowok="t"/>
              </v:shape>
            </v:group>
            <v:group style="position:absolute;left:34;top:14;width:1715;height:312" coordorigin="34,14" coordsize="1715,312">
              <v:shape style="position:absolute;left:34;top:14;width:1715;height:312" coordorigin="34,14" coordsize="1715,312" path="m34,326l1748,326,1748,14,34,14,34,326xe" filled="true" fillcolor="#d2d2d2" stroked="false">
                <v:path arrowok="t"/>
                <v:fill type="solid"/>
              </v:shape>
            </v:group>
            <v:group style="position:absolute;left:34;top:326;width:1715;height:354" coordorigin="34,326" coordsize="1715,354">
              <v:shape style="position:absolute;left:34;top:326;width:1715;height:354" coordorigin="34,326" coordsize="1715,354" path="m34,680l1748,680,1748,326,34,326,34,680xe" filled="true" fillcolor="#d2d2d2" stroked="false">
                <v:path arrowok="t"/>
                <v:fill type="solid"/>
              </v:shape>
            </v:group>
            <v:group style="position:absolute;left:10;top:10;width:1763;height:2" coordorigin="10,10" coordsize="1763,2">
              <v:shape style="position:absolute;left:10;top:10;width:1763;height:2" coordorigin="10,10" coordsize="1763,0" path="m10,10l1772,10e" filled="false" stroked="true" strokeweight=".48pt" strokecolor="#000000">
                <v:path arrowok="t"/>
              </v:shape>
            </v:group>
            <v:group style="position:absolute;left:1781;top:10;width:7790;height:2" coordorigin="1781,10" coordsize="7790,2">
              <v:shape style="position:absolute;left:1781;top:10;width:7790;height:2" coordorigin="1781,10" coordsize="7790,0" path="m1781,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763;height:2" coordorigin="10,684" coordsize="1763,2">
              <v:shape style="position:absolute;left:10;top:684;width:1763;height:2" coordorigin="10,684" coordsize="1763,0" path="m10,684l1772,684e" filled="false" stroked="true" strokeweight=".48pt" strokecolor="#000000">
                <v:path arrowok="t"/>
              </v:shape>
            </v:group>
            <v:group style="position:absolute;left:1776;top:5;width:2;height:685" coordorigin="1776,5" coordsize="2,685">
              <v:shape style="position:absolute;left:1776;top:5;width:2;height:685" coordorigin="1776,5" coordsize="0,685" path="m1776,5l1776,689e" filled="false" stroked="true" strokeweight=".48pt" strokecolor="#000000">
                <v:path arrowok="t"/>
              </v:shape>
            </v:group>
            <v:group style="position:absolute;left:1781;top:684;width:7790;height:2" coordorigin="1781,684" coordsize="7790,2">
              <v:shape style="position:absolute;left:1781;top:684;width:7790;height:2" coordorigin="1781,684" coordsize="7790,0" path="m1781,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8pt" strokecolor="#000000">
                <v:path arrowok="t"/>
              </v:shape>
              <v:shape style="position:absolute;left:6;top:10;width:1771;height:675" type="#_x0000_t202" filled="false" stroked="false">
                <v:textbox inset="0,0,0,0">
                  <w:txbxContent>
                    <w:p>
                      <w:pPr>
                        <w:spacing w:line="319" w:lineRule="auto" w:before="13"/>
                        <w:ind w:left="27" w:right="120"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、主要控股参股公司分析</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24"/>
        <w:jc w:val="left"/>
      </w:pPr>
      <w:r>
        <w:rPr/>
        <w:t>（</w:t>
      </w:r>
      <w:r>
        <w:rPr>
          <w:rFonts w:ascii="Times New Roman" w:hAnsi="Times New Roman" w:cs="Times New Roman" w:eastAsia="Times New Roman" w:hint="default"/>
        </w:rPr>
        <w:t>1</w:t>
      </w:r>
      <w:r>
        <w:rPr/>
        <w:t>）青岛市恒川滤波科技有限公司</w:t>
      </w:r>
      <w:r>
        <w:rPr>
          <w:spacing w:val="-53"/>
        </w:rPr>
        <w:t> </w:t>
      </w:r>
      <w:r>
        <w:rPr/>
        <w:t>成立日期：</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日，现注册资本</w:t>
      </w:r>
      <w:r>
        <w:rPr>
          <w:rFonts w:ascii="Times New Roman" w:hAnsi="Times New Roman" w:cs="Times New Roman" w:eastAsia="Times New Roman" w:hint="default"/>
        </w:rPr>
        <w:t>300</w:t>
      </w:r>
      <w:r>
        <w:rPr/>
        <w:t>万元人民币，是公司全资子公司。经营范围 为：滤波软硬件的开发、销售及技术服务。</w:t>
      </w:r>
      <w:r>
        <w:rPr>
          <w:spacing w:val="-24"/>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日，恒川滤波总资产</w:t>
      </w:r>
      <w:r>
        <w:rPr>
          <w:rFonts w:ascii="Times New Roman" w:hAnsi="Times New Roman" w:cs="Times New Roman" w:eastAsia="Times New Roman" w:hint="default"/>
        </w:rPr>
        <w:t>2,920,651.20</w:t>
      </w:r>
      <w:r>
        <w:rPr/>
        <w:t>元，净资产</w:t>
      </w:r>
      <w:r>
        <w:rPr>
          <w:rFonts w:ascii="Times New Roman" w:hAnsi="Times New Roman" w:cs="Times New Roman" w:eastAsia="Times New Roman" w:hint="default"/>
        </w:rPr>
        <w:t>2,864,630.47</w:t>
      </w:r>
      <w:r>
        <w:rPr/>
        <w:t>元， 净利润：</w:t>
      </w:r>
      <w:r>
        <w:rPr>
          <w:rFonts w:ascii="Times New Roman" w:hAnsi="Times New Roman" w:cs="Times New Roman" w:eastAsia="Times New Roman" w:hint="default"/>
        </w:rPr>
        <w:t>-134,624.57</w:t>
      </w:r>
      <w:r>
        <w:rPr/>
        <w:t>元。前述财务数据均经山东汇德会计师事务所审计。</w:t>
      </w:r>
    </w:p>
    <w:p>
      <w:pPr>
        <w:pStyle w:val="BodyText"/>
        <w:spacing w:line="300" w:lineRule="auto" w:before="13"/>
        <w:ind w:left="441" w:right="3720" w:hanging="289"/>
        <w:jc w:val="left"/>
      </w:pPr>
      <w:r>
        <w:rPr/>
        <w:t>（</w:t>
      </w:r>
      <w:r>
        <w:rPr>
          <w:rFonts w:ascii="Times New Roman" w:hAnsi="Times New Roman" w:cs="Times New Roman" w:eastAsia="Times New Roman" w:hint="default"/>
        </w:rPr>
        <w:t>2</w:t>
      </w:r>
      <w:r>
        <w:rPr/>
        <w:t>）青岛恒顺节能科技有限公司 成立日期：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日，现注册资本</w:t>
      </w:r>
      <w:r>
        <w:rPr>
          <w:rFonts w:ascii="Times New Roman" w:hAnsi="Times New Roman" w:cs="Times New Roman" w:eastAsia="Times New Roman" w:hint="default"/>
        </w:rPr>
        <w:t>5,000</w:t>
      </w:r>
      <w:r>
        <w:rPr/>
        <w:t>万人民币，是公司全资子公</w:t>
      </w:r>
    </w:p>
    <w:p>
      <w:pPr>
        <w:pStyle w:val="BodyText"/>
        <w:spacing w:line="297" w:lineRule="auto" w:before="53"/>
        <w:ind w:right="0"/>
        <w:jc w:val="left"/>
      </w:pPr>
      <w:r>
        <w:rPr/>
        <w:t>司。经营范围：能源项目的投资管理，节能环保项目的技术开发、技术咨询和技术服务。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w:t>
      </w:r>
      <w:r>
        <w:rPr>
          <w:spacing w:val="-84"/>
        </w:rPr>
        <w:t> </w:t>
      </w:r>
      <w:r>
        <w:rPr>
          <w:spacing w:val="-84"/>
        </w:rPr>
      </w:r>
      <w:r>
        <w:rPr>
          <w:spacing w:val="-2"/>
        </w:rPr>
        <w:t>产为</w:t>
      </w:r>
      <w:r>
        <w:rPr>
          <w:rFonts w:ascii="Times New Roman" w:hAnsi="Times New Roman" w:cs="Times New Roman" w:eastAsia="Times New Roman" w:hint="default"/>
          <w:spacing w:val="-2"/>
        </w:rPr>
        <w:t>110,756,342.48</w:t>
      </w:r>
      <w:r>
        <w:rPr>
          <w:spacing w:val="-2"/>
        </w:rPr>
        <w:t>元，净资产为</w:t>
      </w:r>
      <w:r>
        <w:rPr>
          <w:rFonts w:ascii="Times New Roman" w:hAnsi="Times New Roman" w:cs="Times New Roman" w:eastAsia="Times New Roman" w:hint="default"/>
          <w:spacing w:val="-2"/>
        </w:rPr>
        <w:t>70,364,129.53</w:t>
      </w:r>
      <w:r>
        <w:rPr>
          <w:spacing w:val="-2"/>
        </w:rPr>
        <w:t>元，净利润：</w:t>
      </w:r>
      <w:r>
        <w:rPr>
          <w:rFonts w:ascii="Times New Roman" w:hAnsi="Times New Roman" w:cs="Times New Roman" w:eastAsia="Times New Roman" w:hint="default"/>
          <w:spacing w:val="-2"/>
        </w:rPr>
        <w:t>20,387,293.39</w:t>
      </w:r>
      <w:r>
        <w:rPr>
          <w:spacing w:val="-2"/>
        </w:rPr>
        <w:t>元。前述财务数据均经山东汇德会计师事务所审计。</w:t>
      </w:r>
    </w:p>
    <w:p>
      <w:pPr>
        <w:pStyle w:val="BodyText"/>
        <w:spacing w:line="300" w:lineRule="auto" w:before="56"/>
        <w:ind w:right="0" w:firstLine="288"/>
        <w:jc w:val="left"/>
      </w:pPr>
      <w:r>
        <w:rPr>
          <w:spacing w:val="-1"/>
        </w:rPr>
        <w:t>恒顺节能目前主要业务为余热发电合同能源管理项目，</w:t>
      </w:r>
      <w:r>
        <w:rPr>
          <w:rFonts w:ascii="Times New Roman" w:hAnsi="Times New Roman" w:cs="Times New Roman" w:eastAsia="Times New Roman" w:hint="default"/>
          <w:spacing w:val="-1"/>
        </w:rPr>
        <w:t>2012</w:t>
      </w:r>
      <w:r>
        <w:rPr>
          <w:spacing w:val="-1"/>
        </w:rPr>
        <w:t>年营业收入为</w:t>
      </w:r>
      <w:r>
        <w:rPr>
          <w:rFonts w:ascii="Times New Roman" w:hAnsi="Times New Roman" w:cs="Times New Roman" w:eastAsia="Times New Roman" w:hint="default"/>
          <w:spacing w:val="-1"/>
        </w:rPr>
        <w:t>4,320.51</w:t>
      </w:r>
      <w:r>
        <w:rPr>
          <w:spacing w:val="-1"/>
        </w:rPr>
        <w:t>万元，营业利润为</w:t>
      </w:r>
      <w:r>
        <w:rPr>
          <w:rFonts w:ascii="Times New Roman" w:hAnsi="Times New Roman" w:cs="Times New Roman" w:eastAsia="Times New Roman" w:hint="default"/>
          <w:spacing w:val="-1"/>
        </w:rPr>
        <w:t>2,038.73</w:t>
      </w:r>
      <w:r>
        <w:rPr>
          <w:spacing w:val="-1"/>
        </w:rPr>
        <w:t>万元，占公</w:t>
      </w:r>
      <w:r>
        <w:rPr/>
        <w:t> 司利润总额的</w:t>
      </w:r>
      <w:r>
        <w:rPr>
          <w:rFonts w:ascii="Times New Roman" w:hAnsi="Times New Roman" w:cs="Times New Roman" w:eastAsia="Times New Roman" w:hint="default"/>
        </w:rPr>
        <w:t>32.48%</w:t>
      </w:r>
      <w:r>
        <w:rPr/>
        <w:t>。</w:t>
      </w:r>
    </w:p>
    <w:p>
      <w:pPr>
        <w:pStyle w:val="BodyText"/>
        <w:spacing w:line="300" w:lineRule="auto" w:before="13"/>
        <w:ind w:left="441" w:right="0" w:hanging="289"/>
        <w:jc w:val="left"/>
      </w:pPr>
      <w:r>
        <w:rPr/>
        <w:t>（</w:t>
      </w:r>
      <w:r>
        <w:rPr>
          <w:rFonts w:ascii="Times New Roman" w:hAnsi="Times New Roman" w:cs="Times New Roman" w:eastAsia="Times New Roman" w:hint="default"/>
        </w:rPr>
        <w:t>3</w:t>
      </w:r>
      <w:r>
        <w:rPr/>
        <w:t>）西安恒顺电气科技有限公司 </w:t>
      </w:r>
      <w:r>
        <w:rPr>
          <w:spacing w:val="-2"/>
        </w:rPr>
        <w:t>成立日期：</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06</w:t>
      </w:r>
      <w:r>
        <w:rPr>
          <w:spacing w:val="-2"/>
        </w:rPr>
        <w:t>月</w:t>
      </w:r>
      <w:r>
        <w:rPr>
          <w:rFonts w:ascii="Times New Roman" w:hAnsi="Times New Roman" w:cs="Times New Roman" w:eastAsia="Times New Roman" w:hint="default"/>
          <w:spacing w:val="-2"/>
        </w:rPr>
        <w:t>21</w:t>
      </w:r>
      <w:r>
        <w:rPr>
          <w:spacing w:val="-2"/>
        </w:rPr>
        <w:t>日，现注册资本</w:t>
      </w:r>
      <w:r>
        <w:rPr>
          <w:rFonts w:ascii="Times New Roman" w:hAnsi="Times New Roman" w:cs="Times New Roman" w:eastAsia="Times New Roman" w:hint="default"/>
          <w:spacing w:val="-2"/>
        </w:rPr>
        <w:t>2,000</w:t>
      </w:r>
      <w:r>
        <w:rPr>
          <w:spacing w:val="-2"/>
        </w:rPr>
        <w:t>万人民币，是公司全资子公司。经营范围：技术服务与电力设备、材料的</w:t>
      </w:r>
    </w:p>
    <w:p>
      <w:pPr>
        <w:pStyle w:val="BodyText"/>
        <w:spacing w:line="300" w:lineRule="auto" w:before="13"/>
        <w:ind w:right="181"/>
        <w:jc w:val="left"/>
      </w:pPr>
      <w:r>
        <w:rPr/>
        <w:t>销售。</w:t>
      </w:r>
      <w:r>
        <w:rPr>
          <w:spacing w:val="-57"/>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日，公司总资产为</w:t>
      </w:r>
      <w:r>
        <w:rPr>
          <w:rFonts w:ascii="Times New Roman" w:hAnsi="Times New Roman" w:cs="Times New Roman" w:eastAsia="Times New Roman" w:hint="default"/>
        </w:rPr>
        <w:t>19,829,307.39</w:t>
      </w:r>
      <w:r>
        <w:rPr/>
        <w:t>元，净资产为</w:t>
      </w:r>
      <w:r>
        <w:rPr>
          <w:rFonts w:ascii="Times New Roman" w:hAnsi="Times New Roman" w:cs="Times New Roman" w:eastAsia="Times New Roman" w:hint="default"/>
        </w:rPr>
        <w:t>19,807,634.30</w:t>
      </w:r>
      <w:r>
        <w:rPr/>
        <w:t>元，净利润：</w:t>
      </w:r>
      <w:r>
        <w:rPr>
          <w:rFonts w:ascii="Times New Roman" w:hAnsi="Times New Roman" w:cs="Times New Roman" w:eastAsia="Times New Roman" w:hint="default"/>
        </w:rPr>
        <w:t>-192,365.70</w:t>
      </w:r>
      <w:r>
        <w:rPr/>
        <w:t>元。前述财务 数据均经山东汇德会计师事务所审计。</w:t>
      </w:r>
    </w:p>
    <w:p>
      <w:pPr>
        <w:pStyle w:val="BodyText"/>
        <w:spacing w:line="300" w:lineRule="auto" w:before="31"/>
        <w:ind w:right="188"/>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H&amp;SHUN INTERNATIONAL HOLDING</w:t>
      </w:r>
      <w:r>
        <w:rPr/>
        <w:t>Ｓ</w:t>
      </w:r>
      <w:r>
        <w:rPr>
          <w:spacing w:val="-26"/>
        </w:rPr>
        <w:t> </w:t>
      </w:r>
      <w:r>
        <w:rPr>
          <w:rFonts w:ascii="Times New Roman" w:hAnsi="Times New Roman" w:cs="Times New Roman" w:eastAsia="Times New Roman" w:hint="default"/>
        </w:rPr>
        <w:t>PTE.LTD</w:t>
      </w:r>
      <w:r>
        <w:rPr/>
        <w:t>（恒顺新加坡国际控股有限责任公司）成立日期：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日，现注册资本</w:t>
      </w:r>
      <w:r>
        <w:rPr>
          <w:rFonts w:ascii="Times New Roman" w:hAnsi="Times New Roman" w:cs="Times New Roman" w:eastAsia="Times New Roman" w:hint="default"/>
        </w:rPr>
        <w:t>1</w:t>
      </w:r>
      <w:r>
        <w:rPr/>
        <w:t>元新币，是公司全资子公司。经营范围：进出口贸易；公司产品海外市场的销售与服务管理；海外投资、 </w:t>
      </w:r>
      <w:r>
        <w:rPr>
          <w:spacing w:val="-2"/>
        </w:rPr>
        <w:t>并购等相关行业项目投资，（生产</w:t>
      </w:r>
      <w:r>
        <w:rPr>
          <w:rFonts w:ascii="Times New Roman" w:hAnsi="Times New Roman" w:cs="Times New Roman" w:eastAsia="Times New Roman" w:hint="default"/>
          <w:spacing w:val="-2"/>
        </w:rPr>
        <w:t>/</w:t>
      </w:r>
      <w:r>
        <w:rPr>
          <w:spacing w:val="-2"/>
        </w:rPr>
        <w:t>销售）主要产品：煤炭。 </w:t>
      </w: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日，公司总资产</w:t>
      </w:r>
      <w:r>
        <w:rPr>
          <w:rFonts w:ascii="Times New Roman" w:hAnsi="Times New Roman" w:cs="Times New Roman" w:eastAsia="Times New Roman" w:hint="default"/>
          <w:spacing w:val="-1"/>
        </w:rPr>
        <w:t>138,259,500.21</w:t>
      </w:r>
      <w:r>
        <w:rPr>
          <w:spacing w:val="-1"/>
        </w:rPr>
        <w:t>元，净资产为</w:t>
      </w:r>
    </w:p>
    <w:p>
      <w:pPr>
        <w:pStyle w:val="BodyText"/>
        <w:spacing w:line="240" w:lineRule="auto" w:before="13"/>
        <w:ind w:right="0"/>
        <w:jc w:val="left"/>
      </w:pPr>
      <w:r>
        <w:rPr>
          <w:rFonts w:ascii="Times New Roman" w:hAnsi="Times New Roman" w:cs="Times New Roman" w:eastAsia="Times New Roman" w:hint="default"/>
        </w:rPr>
        <w:t>-669,632.49</w:t>
      </w:r>
      <w:r>
        <w:rPr/>
        <w:t>元，净利润：</w:t>
      </w:r>
      <w:r>
        <w:rPr>
          <w:rFonts w:ascii="Times New Roman" w:hAnsi="Times New Roman" w:cs="Times New Roman" w:eastAsia="Times New Roman" w:hint="default"/>
        </w:rPr>
        <w:t>-535,220.99</w:t>
      </w:r>
      <w:r>
        <w:rPr/>
        <w:t>元。</w:t>
      </w:r>
    </w:p>
    <w:p>
      <w:pPr>
        <w:pStyle w:val="BodyText"/>
        <w:spacing w:line="300" w:lineRule="auto" w:before="63"/>
        <w:ind w:right="202"/>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H&amp;Shun Coal Holding Pte.Ltd.</w:t>
      </w:r>
      <w:r>
        <w:rPr>
          <w:rFonts w:ascii="Times New Roman" w:hAnsi="Times New Roman" w:cs="Times New Roman" w:eastAsia="Times New Roman" w:hint="default"/>
          <w:spacing w:val="24"/>
        </w:rPr>
        <w:t> </w:t>
      </w:r>
      <w:r>
        <w:rPr/>
        <w:t>恒顺（新加坡）煤炭控股有限公司 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日，现注册资本</w:t>
      </w:r>
      <w:r>
        <w:rPr>
          <w:rFonts w:ascii="Times New Roman" w:hAnsi="Times New Roman" w:cs="Times New Roman" w:eastAsia="Times New Roman" w:hint="default"/>
        </w:rPr>
        <w:t>1</w:t>
      </w:r>
      <w:r>
        <w:rPr/>
        <w:t>元新币，是新加坡公司子公司。经营范围：煤炭相关行业投资、并购。</w:t>
      </w:r>
      <w:r>
        <w:rPr>
          <w:spacing w:val="-18"/>
        </w:rPr>
        <w:t> </w:t>
      </w:r>
      <w:r>
        <w:rPr/>
        <w:t>截至</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日，公司尚未开展业务，公司总资产、净资产、净利润均为</w:t>
      </w:r>
      <w:r>
        <w:rPr>
          <w:rFonts w:ascii="Times New Roman" w:hAnsi="Times New Roman" w:cs="Times New Roman" w:eastAsia="Times New Roman" w:hint="default"/>
        </w:rPr>
        <w:t>0</w:t>
      </w:r>
      <w:r>
        <w:rPr/>
        <w:t>。</w:t>
      </w:r>
    </w:p>
    <w:p>
      <w:pPr>
        <w:pStyle w:val="BodyText"/>
        <w:spacing w:line="319" w:lineRule="auto" w:before="53"/>
        <w:ind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H&amp;Shun Power Holding</w:t>
      </w:r>
      <w:r>
        <w:rPr>
          <w:rFonts w:ascii="Times New Roman" w:hAnsi="Times New Roman" w:cs="Times New Roman" w:eastAsia="Times New Roman" w:hint="default"/>
          <w:spacing w:val="-6"/>
        </w:rPr>
        <w:t> </w:t>
      </w:r>
      <w:r>
        <w:rPr>
          <w:rFonts w:ascii="Times New Roman" w:hAnsi="Times New Roman" w:cs="Times New Roman" w:eastAsia="Times New Roman" w:hint="default"/>
        </w:rPr>
        <w:t>Pte.Ltd.</w:t>
      </w:r>
      <w:r>
        <w:rPr/>
        <w:t>恒顺（新加坡）能源控股有限公司 </w:t>
      </w:r>
      <w:r>
        <w:rPr>
          <w:spacing w:val="-2"/>
        </w:rPr>
        <w:t>成立日期：</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日，现注册资本</w:t>
      </w:r>
      <w:r>
        <w:rPr>
          <w:rFonts w:ascii="Times New Roman" w:hAnsi="Times New Roman" w:cs="Times New Roman" w:eastAsia="Times New Roman" w:hint="default"/>
          <w:spacing w:val="-2"/>
        </w:rPr>
        <w:t>1</w:t>
      </w:r>
      <w:r>
        <w:rPr>
          <w:spacing w:val="-2"/>
        </w:rPr>
        <w:t>元新币，是新加坡公司子公司。经营范围：能源相关行业投资、并购。</w:t>
      </w:r>
      <w:r>
        <w:rPr/>
        <w:t> 截至</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日，公司尚未开展业务，公司总资产、净资产、净利润均为</w:t>
      </w:r>
      <w:r>
        <w:rPr>
          <w:rFonts w:ascii="Times New Roman" w:hAnsi="Times New Roman" w:cs="Times New Roman" w:eastAsia="Times New Roman" w:hint="default"/>
        </w:rPr>
        <w:t>0</w:t>
      </w:r>
      <w:r>
        <w:rPr/>
        <w:t>。</w:t>
      </w:r>
    </w:p>
    <w:p>
      <w:pPr>
        <w:pStyle w:val="BodyText"/>
        <w:spacing w:line="319" w:lineRule="auto" w:before="38"/>
        <w:ind w:right="184"/>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H&amp;Shun Coal Marketing</w:t>
      </w:r>
      <w:r>
        <w:rPr>
          <w:rFonts w:ascii="Times New Roman" w:hAnsi="Times New Roman" w:cs="Times New Roman" w:eastAsia="Times New Roman" w:hint="default"/>
          <w:spacing w:val="-6"/>
        </w:rPr>
        <w:t> </w:t>
      </w:r>
      <w:r>
        <w:rPr>
          <w:rFonts w:ascii="Times New Roman" w:hAnsi="Times New Roman" w:cs="Times New Roman" w:eastAsia="Times New Roman" w:hint="default"/>
        </w:rPr>
        <w:t>Pte.Ltd.</w:t>
      </w:r>
      <w:r>
        <w:rPr/>
        <w:t>恒顺（新加坡）煤炭贸易有限公司） 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日，现注册资本</w:t>
      </w:r>
      <w:r>
        <w:rPr>
          <w:rFonts w:ascii="Times New Roman" w:hAnsi="Times New Roman" w:cs="Times New Roman" w:eastAsia="Times New Roman" w:hint="default"/>
        </w:rPr>
        <w:t>1</w:t>
      </w:r>
      <w:r>
        <w:rPr/>
        <w:t>元新币，是新加坡公司子公司。经营范围：煤炭贸易。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w:t>
      </w:r>
      <w:r>
        <w:rPr>
          <w:spacing w:val="-88"/>
        </w:rPr>
        <w:t> </w:t>
      </w:r>
      <w:r>
        <w:rPr/>
        <w:t>司尚未开展业务，公司总资产、净资产、净利润均为</w:t>
      </w:r>
      <w:r>
        <w:rPr>
          <w:rFonts w:ascii="Times New Roman" w:hAnsi="Times New Roman" w:cs="Times New Roman" w:eastAsia="Times New Roman" w:hint="default"/>
        </w:rPr>
        <w:t>0</w:t>
      </w:r>
      <w:r>
        <w:rPr/>
        <w:t>。</w:t>
      </w:r>
    </w:p>
    <w:p>
      <w:pPr>
        <w:pStyle w:val="BodyText"/>
        <w:spacing w:line="319" w:lineRule="auto" w:before="35"/>
        <w:ind w:right="178"/>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An Shun Coal Mines</w:t>
      </w:r>
      <w:r>
        <w:rPr>
          <w:rFonts w:ascii="Times New Roman" w:hAnsi="Times New Roman" w:cs="Times New Roman" w:eastAsia="Times New Roman" w:hint="default"/>
          <w:spacing w:val="-2"/>
        </w:rPr>
        <w:t> </w:t>
      </w:r>
      <w:r>
        <w:rPr>
          <w:rFonts w:ascii="Times New Roman" w:hAnsi="Times New Roman" w:cs="Times New Roman" w:eastAsia="Times New Roman" w:hint="default"/>
        </w:rPr>
        <w:t>Pte.Ltd.</w:t>
      </w:r>
      <w:r>
        <w:rPr/>
        <w:t>安顺（新加坡）煤矿有限公司） 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日，现注册资本</w:t>
      </w:r>
      <w:r>
        <w:rPr>
          <w:rFonts w:ascii="Times New Roman" w:hAnsi="Times New Roman" w:cs="Times New Roman" w:eastAsia="Times New Roman" w:hint="default"/>
        </w:rPr>
        <w:t>1</w:t>
      </w:r>
      <w:r>
        <w:rPr/>
        <w:t>元新币，是新加坡公司全资子公司</w:t>
      </w:r>
      <w:r>
        <w:rPr>
          <w:rFonts w:ascii="Times New Roman" w:hAnsi="Times New Roman" w:cs="Times New Roman" w:eastAsia="Times New Roman" w:hint="default"/>
        </w:rPr>
        <w:t>H&amp;Shun</w:t>
      </w:r>
      <w:r>
        <w:rPr>
          <w:rFonts w:ascii="Times New Roman" w:hAnsi="Times New Roman" w:cs="Times New Roman" w:eastAsia="Times New Roman" w:hint="default"/>
          <w:spacing w:val="-25"/>
        </w:rPr>
        <w:t> </w:t>
      </w:r>
      <w:r>
        <w:rPr>
          <w:rFonts w:ascii="Times New Roman" w:hAnsi="Times New Roman" w:cs="Times New Roman" w:eastAsia="Times New Roman" w:hint="default"/>
        </w:rPr>
        <w:t>Coal</w:t>
      </w:r>
      <w:r>
        <w:rPr>
          <w:rFonts w:ascii="Times New Roman" w:hAnsi="Times New Roman" w:cs="Times New Roman" w:eastAsia="Times New Roman" w:hint="default"/>
          <w:spacing w:val="-26"/>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8"/>
        </w:rPr>
        <w:t> </w:t>
      </w:r>
      <w:r>
        <w:rPr>
          <w:rFonts w:ascii="Times New Roman" w:hAnsi="Times New Roman" w:cs="Times New Roman" w:eastAsia="Times New Roman" w:hint="default"/>
        </w:rPr>
        <w:t>Pte.Ltd.[</w:t>
      </w:r>
      <w:r>
        <w:rPr/>
        <w:t>恒顺（新加坡）煤 炭控股有限公司</w:t>
      </w:r>
      <w:r>
        <w:rPr>
          <w:rFonts w:ascii="Times New Roman" w:hAnsi="Times New Roman" w:cs="Times New Roman" w:eastAsia="Times New Roman" w:hint="default"/>
        </w:rPr>
        <w:t>]</w:t>
      </w:r>
      <w:r>
        <w:rPr/>
        <w:t>下属子公司。经营范围：煤炭贸易。</w:t>
      </w:r>
      <w:r>
        <w:rPr>
          <w:spacing w:val="-58"/>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日，公司尚未开展业务，公司总资产、净资产、净</w:t>
      </w:r>
    </w:p>
    <w:p>
      <w:pPr>
        <w:pStyle w:val="BodyText"/>
        <w:spacing w:line="247" w:lineRule="exact"/>
        <w:ind w:right="0"/>
        <w:jc w:val="left"/>
      </w:pPr>
      <w:r>
        <w:rPr/>
        <w:t>利润均为</w:t>
      </w:r>
      <w:r>
        <w:rPr>
          <w:rFonts w:ascii="Times New Roman" w:hAnsi="Times New Roman" w:cs="Times New Roman" w:eastAsia="Times New Roman" w:hint="default"/>
        </w:rPr>
        <w:t>0</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6934"/>
        <w:jc w:val="left"/>
      </w:pPr>
      <w:r>
        <w:rPr/>
        <w:t>（一）公司发展战略</w:t>
      </w:r>
      <w:r>
        <w:rPr>
          <w:rFonts w:ascii="Times New Roman" w:hAnsi="Times New Roman" w:cs="Times New Roman" w:eastAsia="Times New Roman" w:hint="default"/>
        </w:rPr>
        <w:t>—</w:t>
      </w:r>
      <w:r>
        <w:rPr/>
        <w:t>建国际化恒顺 战略规划背景：</w:t>
      </w:r>
    </w:p>
    <w:p>
      <w:pPr>
        <w:pStyle w:val="BodyText"/>
        <w:spacing w:line="240" w:lineRule="auto" w:before="31"/>
        <w:ind w:right="0"/>
        <w:jc w:val="left"/>
      </w:pPr>
      <w:r>
        <w:rPr/>
        <w:t>（</w:t>
      </w:r>
      <w:r>
        <w:rPr>
          <w:rFonts w:ascii="Times New Roman" w:hAnsi="Times New Roman" w:cs="Times New Roman" w:eastAsia="Times New Roman" w:hint="default"/>
        </w:rPr>
        <w:t>1</w:t>
      </w:r>
      <w:r>
        <w:rPr/>
        <w:t>）企业自身发展扩张的需要</w:t>
      </w:r>
    </w:p>
    <w:p>
      <w:pPr>
        <w:pStyle w:val="BodyText"/>
        <w:spacing w:line="240" w:lineRule="auto" w:before="63"/>
        <w:ind w:right="0"/>
        <w:jc w:val="left"/>
      </w:pPr>
      <w:r>
        <w:rPr/>
        <w:t>（</w:t>
      </w:r>
      <w:r>
        <w:rPr>
          <w:rFonts w:ascii="Times New Roman" w:hAnsi="Times New Roman" w:cs="Times New Roman" w:eastAsia="Times New Roman" w:hint="default"/>
        </w:rPr>
        <w:t>2</w:t>
      </w:r>
      <w:r>
        <w:rPr/>
        <w:t>）国家产业政策及境外收购政策的支持导向</w:t>
      </w:r>
    </w:p>
    <w:p>
      <w:pPr>
        <w:pStyle w:val="BodyText"/>
        <w:spacing w:line="240" w:lineRule="auto" w:before="62"/>
        <w:ind w:right="0"/>
        <w:jc w:val="left"/>
      </w:pPr>
      <w:r>
        <w:rPr/>
        <w:t>（</w:t>
      </w:r>
      <w:r>
        <w:rPr>
          <w:rFonts w:ascii="Times New Roman" w:hAnsi="Times New Roman" w:cs="Times New Roman" w:eastAsia="Times New Roman" w:hint="default"/>
        </w:rPr>
        <w:t>3</w:t>
      </w:r>
      <w:r>
        <w:rPr/>
        <w:t>）人民币升值达高点，境外美元收购呈现汇率优势</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06" w:right="0" w:hanging="354"/>
        <w:jc w:val="left"/>
      </w:pPr>
      <w:r>
        <w:rPr/>
        <w:t>（</w:t>
      </w:r>
      <w:r>
        <w:rPr>
          <w:rFonts w:ascii="Times New Roman" w:hAnsi="Times New Roman" w:cs="Times New Roman" w:eastAsia="Times New Roman" w:hint="default"/>
        </w:rPr>
        <w:t>4</w:t>
      </w:r>
      <w:r>
        <w:rPr/>
        <w:t>）国际煤炭资源经济的不景气，带来好的收购时机 </w:t>
      </w:r>
      <w:r>
        <w:rPr>
          <w:spacing w:val="-2"/>
        </w:rPr>
        <w:t>基本战略思路：未来几年，公司将围绕传统电力设备制造主业，重点发展电力电子产品，不断丰富产品结构，同时，结</w:t>
      </w:r>
    </w:p>
    <w:p>
      <w:pPr>
        <w:pStyle w:val="BodyText"/>
        <w:spacing w:line="316" w:lineRule="auto" w:before="31"/>
        <w:ind w:right="151"/>
        <w:jc w:val="both"/>
      </w:pPr>
      <w:r>
        <w:rPr>
          <w:spacing w:val="-2"/>
        </w:rPr>
        <w:t>合国家产业政策，拓展节能减排领域投资及项目运营业务；重点推行国际化战略，以新加坡为境外业务总部，实现产业布局</w:t>
      </w:r>
      <w:r>
        <w:rPr>
          <w:spacing w:val="-65"/>
        </w:rPr>
        <w:t> </w:t>
      </w:r>
      <w:r>
        <w:rPr>
          <w:spacing w:val="-65"/>
        </w:rPr>
      </w:r>
      <w:r>
        <w:rPr>
          <w:spacing w:val="-2"/>
        </w:rPr>
        <w:t>的国际化，立足于电力优势，力争将公司打造成为集资源与能源投资、工程设计与总包、电力设备制造、项目运营于一体的</w:t>
      </w:r>
      <w:r>
        <w:rPr>
          <w:spacing w:val="-68"/>
        </w:rPr>
        <w:t> </w:t>
      </w:r>
      <w:r>
        <w:rPr>
          <w:spacing w:val="-68"/>
        </w:rPr>
      </w:r>
      <w:r>
        <w:rPr/>
        <w:t>电力综合服务商。</w:t>
      </w:r>
    </w:p>
    <w:p>
      <w:pPr>
        <w:pStyle w:val="BodyText"/>
        <w:spacing w:line="240" w:lineRule="auto" w:before="19"/>
        <w:ind w:left="506" w:right="0"/>
        <w:jc w:val="left"/>
      </w:pPr>
      <w:r>
        <w:rPr/>
        <w:t>未来的具体业务发展规划</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507" w:lineRule="exact"/>
        <w:ind w:left="2574"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46.15pt;height:25.35pt;mso-position-horizontal-relative:char;mso-position-vertical-relative:line" type="#_x0000_t202" filled="false" stroked="true" strokeweight=".75pt" strokecolor="#000000">
            <w10:anchorlock/>
            <v:textbox inset="0,0,0,0">
              <w:txbxContent>
                <w:p>
                  <w:pPr>
                    <w:spacing w:before="122"/>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国际化恒顺</w:t>
                  </w:r>
                  <w:r>
                    <w:rPr>
                      <w:rFonts w:ascii="宋体" w:hAnsi="宋体" w:cs="宋体" w:eastAsia="宋体" w:hint="default"/>
                      <w:sz w:val="18"/>
                      <w:szCs w:val="18"/>
                    </w:rPr>
                  </w:r>
                </w:p>
              </w:txbxContent>
            </v:textbox>
          </v:shape>
        </w:pict>
      </w:r>
      <w:r>
        <w:rPr>
          <w:rFonts w:ascii="宋体" w:hAnsi="宋体" w:cs="宋体" w:eastAsia="宋体" w:hint="default"/>
          <w:position w:val="-9"/>
          <w:sz w:val="20"/>
          <w:szCs w:val="20"/>
        </w:rPr>
      </w:r>
    </w:p>
    <w:p>
      <w:pPr>
        <w:spacing w:line="240" w:lineRule="auto" w:before="4"/>
        <w:rPr>
          <w:rFonts w:ascii="宋体" w:hAnsi="宋体" w:cs="宋体" w:eastAsia="宋体" w:hint="default"/>
          <w:sz w:val="21"/>
          <w:szCs w:val="21"/>
        </w:rPr>
      </w:pPr>
    </w:p>
    <w:p>
      <w:pPr>
        <w:spacing w:line="5116" w:lineRule="exact"/>
        <w:ind w:left="413" w:right="0" w:firstLine="0"/>
        <w:rPr>
          <w:rFonts w:ascii="宋体" w:hAnsi="宋体" w:cs="宋体" w:eastAsia="宋体" w:hint="default"/>
          <w:sz w:val="20"/>
          <w:szCs w:val="20"/>
        </w:rPr>
      </w:pPr>
      <w:r>
        <w:rPr>
          <w:rFonts w:ascii="宋体"/>
          <w:position w:val="32"/>
          <w:sz w:val="20"/>
        </w:rPr>
        <w:pict>
          <v:shape style="width:164.8pt;height:185.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05"/>
                    <w:gridCol w:w="309"/>
                    <w:gridCol w:w="162"/>
                    <w:gridCol w:w="315"/>
                    <w:gridCol w:w="262"/>
                    <w:gridCol w:w="311"/>
                    <w:gridCol w:w="263"/>
                    <w:gridCol w:w="313"/>
                    <w:gridCol w:w="253"/>
                    <w:gridCol w:w="316"/>
                    <w:gridCol w:w="262"/>
                    <w:gridCol w:w="202"/>
                  </w:tblGrid>
                  <w:tr>
                    <w:trPr>
                      <w:trHeight w:val="568" w:hRule="exact"/>
                    </w:trPr>
                    <w:tc>
                      <w:tcPr>
                        <w:tcW w:w="3273"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3"/>
                          <w:jc w:val="center"/>
                          <w:rPr>
                            <w:rFonts w:ascii="宋体" w:hAnsi="宋体" w:cs="宋体" w:eastAsia="宋体" w:hint="default"/>
                            <w:sz w:val="24"/>
                            <w:szCs w:val="24"/>
                          </w:rPr>
                        </w:pPr>
                        <w:r>
                          <w:rPr>
                            <w:rFonts w:ascii="宋体" w:hAnsi="宋体" w:cs="宋体" w:eastAsia="宋体" w:hint="default"/>
                            <w:b/>
                            <w:bCs/>
                            <w:sz w:val="24"/>
                            <w:szCs w:val="24"/>
                          </w:rPr>
                          <w:t>国内业务</w:t>
                        </w:r>
                        <w:r>
                          <w:rPr>
                            <w:rFonts w:ascii="宋体" w:hAnsi="宋体" w:cs="宋体" w:eastAsia="宋体" w:hint="default"/>
                            <w:sz w:val="24"/>
                            <w:szCs w:val="24"/>
                          </w:rPr>
                        </w:r>
                      </w:p>
                    </w:tc>
                  </w:tr>
                  <w:tr>
                    <w:trPr>
                      <w:trHeight w:val="449" w:hRule="exact"/>
                    </w:trPr>
                    <w:tc>
                      <w:tcPr>
                        <w:tcW w:w="305" w:type="dxa"/>
                        <w:tcBorders>
                          <w:top w:val="single" w:sz="6" w:space="0" w:color="000000"/>
                          <w:left w:val="nil" w:sz="6" w:space="0" w:color="auto"/>
                          <w:bottom w:val="single" w:sz="6" w:space="0" w:color="000000"/>
                          <w:right w:val="single" w:sz="6" w:space="0" w:color="000000"/>
                        </w:tcBorders>
                      </w:tcPr>
                      <w:p>
                        <w:pPr/>
                      </w:p>
                    </w:tc>
                    <w:tc>
                      <w:tcPr>
                        <w:tcW w:w="786" w:type="dxa"/>
                        <w:gridSpan w:val="3"/>
                        <w:tcBorders>
                          <w:top w:val="single" w:sz="6" w:space="0" w:color="000000"/>
                          <w:left w:val="single" w:sz="6" w:space="0" w:color="000000"/>
                          <w:bottom w:val="single" w:sz="6" w:space="0" w:color="000000"/>
                          <w:right w:val="single" w:sz="6" w:space="0" w:color="000000"/>
                        </w:tcBorders>
                      </w:tcPr>
                      <w:p>
                        <w:pPr/>
                      </w:p>
                    </w:tc>
                    <w:tc>
                      <w:tcPr>
                        <w:tcW w:w="836" w:type="dxa"/>
                        <w:gridSpan w:val="3"/>
                        <w:tcBorders>
                          <w:top w:val="single" w:sz="6" w:space="0" w:color="000000"/>
                          <w:left w:val="single" w:sz="6" w:space="0" w:color="000000"/>
                          <w:bottom w:val="single" w:sz="6" w:space="0" w:color="000000"/>
                          <w:right w:val="single" w:sz="6" w:space="0" w:color="000000"/>
                        </w:tcBorders>
                      </w:tcPr>
                      <w:p>
                        <w:pPr/>
                      </w:p>
                    </w:tc>
                    <w:tc>
                      <w:tcPr>
                        <w:tcW w:w="882" w:type="dxa"/>
                        <w:gridSpan w:val="3"/>
                        <w:tcBorders>
                          <w:top w:val="single" w:sz="6" w:space="0" w:color="000000"/>
                          <w:left w:val="single" w:sz="6" w:space="0" w:color="000000"/>
                          <w:bottom w:val="single" w:sz="6" w:space="0" w:color="000000"/>
                          <w:right w:val="single" w:sz="6" w:space="0" w:color="000000"/>
                        </w:tcBorders>
                      </w:tcPr>
                      <w:p>
                        <w:pPr/>
                      </w:p>
                    </w:tc>
                    <w:tc>
                      <w:tcPr>
                        <w:tcW w:w="464" w:type="dxa"/>
                        <w:gridSpan w:val="2"/>
                        <w:tcBorders>
                          <w:top w:val="single" w:sz="6" w:space="0" w:color="000000"/>
                          <w:left w:val="single" w:sz="6" w:space="0" w:color="000000"/>
                          <w:bottom w:val="nil" w:sz="6" w:space="0" w:color="auto"/>
                          <w:right w:val="nil" w:sz="6" w:space="0" w:color="auto"/>
                        </w:tcBorders>
                      </w:tcPr>
                      <w:p>
                        <w:pPr/>
                      </w:p>
                    </w:tc>
                  </w:tr>
                  <w:tr>
                    <w:trPr>
                      <w:trHeight w:val="2680" w:hRule="exact"/>
                    </w:trPr>
                    <w:tc>
                      <w:tcPr>
                        <w:tcW w:w="614"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5"/>
                          <w:ind w:left="170" w:right="24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 功 补 偿 及 电 力 电 子 设 备 业 务</w:t>
                        </w:r>
                        <w:r>
                          <w:rPr>
                            <w:rFonts w:ascii="Microsoft JhengHei" w:hAnsi="Microsoft JhengHei" w:cs="Microsoft JhengHei" w:eastAsia="Microsoft JhengHei" w:hint="default"/>
                            <w:sz w:val="18"/>
                            <w:szCs w:val="18"/>
                          </w:rPr>
                        </w:r>
                      </w:p>
                    </w:tc>
                    <w:tc>
                      <w:tcPr>
                        <w:tcW w:w="162" w:type="dxa"/>
                        <w:tcBorders>
                          <w:top w:val="nil" w:sz="6" w:space="0" w:color="auto"/>
                          <w:left w:val="single" w:sz="6" w:space="0" w:color="000000"/>
                          <w:bottom w:val="nil" w:sz="6" w:space="0" w:color="auto"/>
                          <w:right w:val="single" w:sz="6" w:space="0" w:color="000000"/>
                        </w:tcBorders>
                      </w:tcPr>
                      <w:p>
                        <w:pPr/>
                      </w:p>
                    </w:tc>
                    <w:tc>
                      <w:tcPr>
                        <w:tcW w:w="577"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5"/>
                          <w:ind w:left="132" w:right="24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同 能 源 管 理</w:t>
                        </w:r>
                        <w:r>
                          <w:rPr>
                            <w:rFonts w:ascii="Microsoft JhengHei" w:hAnsi="Microsoft JhengHei" w:cs="Microsoft JhengHei" w:eastAsia="Microsoft JhengHei" w:hint="default"/>
                            <w:sz w:val="18"/>
                            <w:szCs w:val="18"/>
                          </w:rPr>
                        </w:r>
                      </w:p>
                    </w:tc>
                    <w:tc>
                      <w:tcPr>
                        <w:tcW w:w="311" w:type="dxa"/>
                        <w:tcBorders>
                          <w:top w:val="nil" w:sz="6" w:space="0" w:color="auto"/>
                          <w:left w:val="single" w:sz="6" w:space="0" w:color="000000"/>
                          <w:bottom w:val="nil" w:sz="6" w:space="0" w:color="auto"/>
                          <w:right w:val="single" w:sz="6" w:space="0" w:color="000000"/>
                        </w:tcBorders>
                      </w:tcPr>
                      <w:p>
                        <w:pPr/>
                      </w:p>
                    </w:tc>
                    <w:tc>
                      <w:tcPr>
                        <w:tcW w:w="576"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5"/>
                          <w:ind w:left="128" w:right="25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勘 探 设 计 与 项 目 总 包</w:t>
                        </w:r>
                        <w:r>
                          <w:rPr>
                            <w:rFonts w:ascii="Microsoft JhengHei" w:hAnsi="Microsoft JhengHei" w:cs="Microsoft JhengHei" w:eastAsia="Microsoft JhengHei" w:hint="default"/>
                            <w:sz w:val="18"/>
                            <w:szCs w:val="18"/>
                          </w:rPr>
                        </w:r>
                      </w:p>
                    </w:tc>
                    <w:tc>
                      <w:tcPr>
                        <w:tcW w:w="253" w:type="dxa"/>
                        <w:tcBorders>
                          <w:top w:val="nil" w:sz="6" w:space="0" w:color="auto"/>
                          <w:left w:val="single" w:sz="6" w:space="0" w:color="000000"/>
                          <w:bottom w:val="nil" w:sz="6" w:space="0" w:color="auto"/>
                          <w:right w:val="single" w:sz="6" w:space="0" w:color="000000"/>
                        </w:tcBorders>
                      </w:tcPr>
                      <w:p>
                        <w:pPr/>
                      </w:p>
                    </w:tc>
                    <w:tc>
                      <w:tcPr>
                        <w:tcW w:w="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5"/>
                          <w:ind w:left="132" w:right="24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 资 收 购</w:t>
                        </w:r>
                        <w:r>
                          <w:rPr>
                            <w:rFonts w:ascii="Microsoft JhengHei" w:hAnsi="Microsoft JhengHei" w:cs="Microsoft JhengHei" w:eastAsia="Microsoft JhengHei" w:hint="default"/>
                            <w:sz w:val="18"/>
                            <w:szCs w:val="18"/>
                          </w:rPr>
                        </w:r>
                      </w:p>
                    </w:tc>
                    <w:tc>
                      <w:tcPr>
                        <w:tcW w:w="202" w:type="dxa"/>
                        <w:tcBorders>
                          <w:top w:val="nil" w:sz="6" w:space="0" w:color="auto"/>
                          <w:left w:val="single" w:sz="6" w:space="0" w:color="000000"/>
                          <w:bottom w:val="nil" w:sz="6" w:space="0" w:color="auto"/>
                          <w:right w:val="nil" w:sz="6" w:space="0" w:color="auto"/>
                        </w:tcBorders>
                      </w:tcPr>
                      <w:p>
                        <w:pPr/>
                      </w:p>
                    </w:tc>
                  </w:tr>
                </w:tbl>
                <w:p>
                  <w:pPr/>
                </w:p>
              </w:txbxContent>
            </v:textbox>
          </v:shape>
        </w:pict>
      </w:r>
      <w:r>
        <w:rPr>
          <w:rFonts w:ascii="宋体"/>
          <w:position w:val="32"/>
          <w:sz w:val="20"/>
        </w:rPr>
      </w:r>
      <w:r>
        <w:rPr>
          <w:rFonts w:ascii="Times New Roman"/>
          <w:spacing w:val="11"/>
          <w:position w:val="32"/>
          <w:sz w:val="20"/>
        </w:rPr>
        <w:t> </w:t>
      </w:r>
      <w:r>
        <w:rPr>
          <w:rFonts w:ascii="宋体"/>
          <w:spacing w:val="11"/>
          <w:position w:val="-101"/>
          <w:sz w:val="20"/>
        </w:rPr>
        <w:pict>
          <v:group style="width:265.1pt;height:255.8pt;mso-position-horizontal-relative:char;mso-position-vertical-relative:line" coordorigin="0,0" coordsize="5302,5116">
            <v:group style="position:absolute;left:131;top:968;width:5163;height:586" coordorigin="131,968" coordsize="5163,586">
              <v:shape style="position:absolute;left:131;top:968;width:5163;height:586" coordorigin="131,968" coordsize="5163,586" path="m131,1554l5294,1554,5294,968,131,968,131,1554xe" filled="false" stroked="true" strokeweight=".75pt" strokecolor="#000000">
                <v:path arrowok="t"/>
              </v:shape>
            </v:group>
            <v:group style="position:absolute;left:438;top:8;width:4134;height:585" coordorigin="438,8" coordsize="4134,585">
              <v:shape style="position:absolute;left:438;top:8;width:4134;height:585" coordorigin="438,8" coordsize="4134,585" path="m438,593l4572,593,4572,8,438,8,438,593xe" filled="false" stroked="true" strokeweight=".75pt" strokecolor="#000000">
                <v:path arrowok="t"/>
              </v:shape>
            </v:group>
            <v:group style="position:absolute;left:2176;top:593;width:2;height:338" coordorigin="2176,593" coordsize="2,338">
              <v:shape style="position:absolute;left:2176;top:593;width:2;height:338" coordorigin="2176,593" coordsize="1,338" path="m2176,593l2177,931e" filled="false" stroked="true" strokeweight=".75pt" strokecolor="#000000">
                <v:path arrowok="t"/>
              </v:shape>
            </v:group>
            <v:group style="position:absolute;left:1391;top:1554;width:2;height:337" coordorigin="1391,1554" coordsize="2,337">
              <v:shape style="position:absolute;left:1391;top:1554;width:2;height:337" coordorigin="1391,1554" coordsize="1,337" path="m1391,1554l1392,1891e" filled="false" stroked="true" strokeweight=".75pt" strokecolor="#000000">
                <v:path arrowok="t"/>
              </v:shape>
            </v:group>
            <v:group style="position:absolute;left:33;top:1923;width:2586;height:559" coordorigin="33,1923" coordsize="2586,559">
              <v:shape style="position:absolute;left:33;top:1923;width:2586;height:559" coordorigin="33,1923" coordsize="2586,559" path="m33,2482l2619,2482,2619,1923,33,1923,33,2482xe" filled="false" stroked="true" strokeweight=".75pt" strokecolor="#000000">
                <v:path arrowok="t"/>
              </v:shape>
            </v:group>
            <v:group style="position:absolute;left:8;top:2799;width:592;height:2279" coordorigin="8,2799" coordsize="592,2279">
              <v:shape style="position:absolute;left:8;top:2799;width:592;height:2279" coordorigin="8,2799" coordsize="592,2279" path="m8,5078l599,5078,599,2799,8,2799,8,5078xe" filled="false" stroked="true" strokeweight=".75pt" strokecolor="#000000">
                <v:path arrowok="t"/>
              </v:shape>
            </v:group>
            <v:group style="position:absolute;left:235;top:2481;width:2;height:317" coordorigin="235,2481" coordsize="2,317">
              <v:shape style="position:absolute;left:235;top:2481;width:2;height:317" coordorigin="235,2481" coordsize="0,317" path="m235,2481l235,2798e" filled="false" stroked="true" strokeweight=".75pt" strokecolor="#000000">
                <v:path arrowok="t"/>
              </v:shape>
            </v:group>
            <v:group style="position:absolute;left:803;top:2799;width:588;height:2279" coordorigin="803,2799" coordsize="588,2279">
              <v:shape style="position:absolute;left:803;top:2799;width:588;height:2279" coordorigin="803,2799" coordsize="588,2279" path="m803,5078l1390,5078,1390,2799,803,2799,803,5078xe" filled="false" stroked="true" strokeweight=".75pt" strokecolor="#000000">
                <v:path arrowok="t"/>
              </v:shape>
            </v:group>
            <v:group style="position:absolute;left:1022;top:2481;width:2;height:317" coordorigin="1022,2481" coordsize="2,317">
              <v:shape style="position:absolute;left:1022;top:2481;width:2;height:317" coordorigin="1022,2481" coordsize="0,317" path="m1022,2481l1022,2798e" filled="false" stroked="true" strokeweight=".75pt" strokecolor="#000000">
                <v:path arrowok="t"/>
              </v:shape>
            </v:group>
            <v:group style="position:absolute;left:1559;top:2799;width:619;height:2279" coordorigin="1559,2799" coordsize="619,2279">
              <v:shape style="position:absolute;left:1559;top:2799;width:619;height:2279" coordorigin="1559,2799" coordsize="619,2279" path="m1559,5078l2178,5078,2178,2799,1559,2799,1559,5078xe" filled="false" stroked="true" strokeweight=".75pt" strokecolor="#000000">
                <v:path arrowok="t"/>
              </v:shape>
            </v:group>
            <v:group style="position:absolute;left:1851;top:2481;width:9;height:317" coordorigin="1851,2481" coordsize="9,317">
              <v:shape style="position:absolute;left:1851;top:2481;width:9;height:317" coordorigin="1851,2481" coordsize="9,317" path="m1860,2481l1851,2798e" filled="false" stroked="true" strokeweight=".75pt" strokecolor="#000000">
                <v:path arrowok="t"/>
              </v:shape>
            </v:group>
            <v:group style="position:absolute;left:2288;top:2830;width:588;height:2279" coordorigin="2288,2830" coordsize="588,2279">
              <v:shape style="position:absolute;left:2288;top:2830;width:588;height:2279" coordorigin="2288,2830" coordsize="588,2279" path="m2288,5109l2875,5109,2875,2830,2288,2830,2288,5109xe" filled="false" stroked="true" strokeweight=".75pt" strokecolor="#000000">
                <v:path arrowok="t"/>
              </v:shape>
            </v:group>
            <v:group style="position:absolute;left:2506;top:2513;width:2;height:317" coordorigin="2506,2513" coordsize="2,317">
              <v:shape style="position:absolute;left:2506;top:2513;width:2;height:317" coordorigin="2506,2513" coordsize="0,317" path="m2506,2513l2506,2830e" filled="false" stroked="true" strokeweight=".75pt" strokecolor="#000000">
                <v:path arrowok="t"/>
              </v:shape>
            </v:group>
            <v:group style="position:absolute;left:2955;top:2004;width:577;height:2679" coordorigin="2955,2004" coordsize="577,2679">
              <v:shape style="position:absolute;left:2955;top:2004;width:577;height:2679" coordorigin="2955,2004" coordsize="577,2679" path="m2955,4683l3532,4683,3532,2004,2955,2004,2955,4683xe" filled="false" stroked="true" strokeweight=".75pt" strokecolor="#000000">
                <v:path arrowok="t"/>
              </v:shape>
            </v:group>
            <v:group style="position:absolute;left:3270;top:1554;width:2;height:449" coordorigin="3270,1554" coordsize="2,449">
              <v:shape style="position:absolute;left:3270;top:1554;width:2;height:449" coordorigin="3270,1554" coordsize="0,449" path="m3270,1554l3270,2003e" filled="false" stroked="true" strokeweight=".75pt" strokecolor="#000000">
                <v:path arrowok="t"/>
              </v:shape>
            </v:group>
            <v:group style="position:absolute;left:3726;top:2004;width:578;height:2679" coordorigin="3726,2004" coordsize="578,2679">
              <v:shape style="position:absolute;left:3726;top:2004;width:578;height:2679" coordorigin="3726,2004" coordsize="578,2679" path="m3726,4683l4304,4683,4304,2004,3726,2004,3726,4683xe" filled="false" stroked="true" strokeweight=".75pt" strokecolor="#000000">
                <v:path arrowok="t"/>
              </v:shape>
            </v:group>
            <v:group style="position:absolute;left:4043;top:1554;width:2;height:449" coordorigin="4043,1554" coordsize="2,449">
              <v:shape style="position:absolute;left:4043;top:1554;width:2;height:449" coordorigin="4043,1554" coordsize="0,449" path="m4043,1554l4043,2003e" filled="false" stroked="true" strokeweight=".75pt" strokecolor="#000000">
                <v:path arrowok="t"/>
              </v:shape>
            </v:group>
            <v:group style="position:absolute;left:4475;top:2004;width:578;height:2679" coordorigin="4475,2004" coordsize="578,2679">
              <v:shape style="position:absolute;left:4475;top:2004;width:578;height:2679" coordorigin="4475,2004" coordsize="578,2679" path="m4475,4683l5053,4683,5053,2004,4475,2004,4475,4683xe" filled="false" stroked="true" strokeweight=".75pt" strokecolor="#000000">
                <v:path arrowok="t"/>
              </v:shape>
            </v:group>
            <v:group style="position:absolute;left:4790;top:1554;width:2;height:449" coordorigin="4790,1554" coordsize="2,449">
              <v:shape style="position:absolute;left:4790;top:1554;width:2;height:449" coordorigin="4790,1554" coordsize="0,449" path="m4790,1554l4790,2003e" filled="false" stroked="true" strokeweight=".75pt" strokecolor="#000000">
                <v:path arrowok="t"/>
              </v:shape>
              <v:shape style="position:absolute;left:2144;top:19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国外业务</w:t>
                      </w:r>
                      <w:r>
                        <w:rPr>
                          <w:rFonts w:ascii="宋体" w:hAnsi="宋体" w:cs="宋体" w:eastAsia="宋体" w:hint="default"/>
                          <w:sz w:val="18"/>
                          <w:szCs w:val="18"/>
                        </w:rPr>
                      </w:r>
                    </w:p>
                  </w:txbxContent>
                </v:textbox>
                <w10:wrap type="none"/>
              </v:shape>
              <v:shape style="position:absolute;left:2081;top:1155;width:12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新加坡业务总部</w:t>
                      </w:r>
                      <w:r>
                        <w:rPr>
                          <w:rFonts w:ascii="宋体" w:hAnsi="宋体" w:cs="宋体" w:eastAsia="宋体" w:hint="default"/>
                          <w:sz w:val="18"/>
                          <w:szCs w:val="18"/>
                        </w:rPr>
                      </w:r>
                    </w:p>
                  </w:txbxContent>
                </v:textbox>
                <w10:wrap type="none"/>
              </v:shape>
              <v:shape style="position:absolute;left:965;top:21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印尼业务</w:t>
                      </w:r>
                      <w:r>
                        <w:rPr>
                          <w:rFonts w:ascii="宋体" w:hAnsi="宋体" w:cs="宋体" w:eastAsia="宋体" w:hint="default"/>
                          <w:sz w:val="18"/>
                          <w:szCs w:val="18"/>
                        </w:rPr>
                      </w:r>
                    </w:p>
                  </w:txbxContent>
                </v:textbox>
                <w10:wrap type="none"/>
              </v:shape>
              <v:shape style="position:absolute;left:1741;top:2879;width:180;height:1601"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矿 产 的 开 采 物 流 贸 易</w:t>
                      </w:r>
                      <w:r>
                        <w:rPr>
                          <w:rFonts w:ascii="Microsoft JhengHei" w:hAnsi="Microsoft JhengHei" w:cs="Microsoft JhengHei" w:eastAsia="Microsoft JhengHei" w:hint="default"/>
                          <w:sz w:val="18"/>
                          <w:szCs w:val="18"/>
                        </w:rPr>
                      </w:r>
                    </w:p>
                  </w:txbxContent>
                </v:textbox>
                <w10:wrap type="none"/>
              </v:shape>
              <v:shape style="position:absolute;left:2440;top:2911;width:180;height:1424"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电 力 设 备 生 产 销 售</w:t>
                      </w:r>
                      <w:r>
                        <w:rPr>
                          <w:rFonts w:ascii="Microsoft JhengHei" w:hAnsi="Microsoft JhengHei" w:cs="Microsoft JhengHei" w:eastAsia="Microsoft JhengHei" w:hint="default"/>
                          <w:sz w:val="18"/>
                          <w:szCs w:val="18"/>
                        </w:rPr>
                      </w:r>
                    </w:p>
                  </w:txbxContent>
                </v:textbox>
                <w10:wrap type="none"/>
              </v:shape>
              <v:shape style="position:absolute;left:3093;top:2085;width:180;height:1601"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矿 产 资 源 的 投 资 收 购</w:t>
                      </w:r>
                      <w:r>
                        <w:rPr>
                          <w:rFonts w:ascii="Microsoft JhengHei" w:hAnsi="Microsoft JhengHei" w:cs="Microsoft JhengHei" w:eastAsia="Microsoft JhengHei" w:hint="default"/>
                          <w:sz w:val="18"/>
                          <w:szCs w:val="18"/>
                        </w:rPr>
                      </w:r>
                    </w:p>
                  </w:txbxContent>
                </v:textbox>
                <w10:wrap type="none"/>
              </v:shape>
              <v:shape style="position:absolute;left:3865;top:2085;width:180;height:1424"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矿 产 开 采 物 流 贸 易</w:t>
                      </w:r>
                      <w:r>
                        <w:rPr>
                          <w:rFonts w:ascii="Microsoft JhengHei" w:hAnsi="Microsoft JhengHei" w:cs="Microsoft JhengHei" w:eastAsia="Microsoft JhengHei" w:hint="default"/>
                          <w:sz w:val="18"/>
                          <w:szCs w:val="18"/>
                        </w:rPr>
                      </w:r>
                    </w:p>
                  </w:txbxContent>
                </v:textbox>
                <w10:wrap type="none"/>
              </v:shape>
              <v:shape style="position:absolute;left:4617;top:2085;width:180;height:713"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 资 收 购</w:t>
                      </w:r>
                      <w:r>
                        <w:rPr>
                          <w:rFonts w:ascii="Microsoft JhengHei" w:hAnsi="Microsoft JhengHei" w:cs="Microsoft JhengHei" w:eastAsia="Microsoft JhengHei" w:hint="default"/>
                          <w:sz w:val="18"/>
                          <w:szCs w:val="18"/>
                        </w:rPr>
                      </w:r>
                    </w:p>
                  </w:txbxContent>
                </v:textbox>
                <w10:wrap type="none"/>
              </v:shape>
              <v:shape style="position:absolute;left:162;top:2879;width:180;height:1424"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电 厂 投 资 建 设 运 营</w:t>
                      </w:r>
                      <w:r>
                        <w:rPr>
                          <w:rFonts w:ascii="Microsoft JhengHei" w:hAnsi="Microsoft JhengHei" w:cs="Microsoft JhengHei" w:eastAsia="Microsoft JhengHei" w:hint="default"/>
                          <w:sz w:val="18"/>
                          <w:szCs w:val="18"/>
                        </w:rPr>
                      </w:r>
                    </w:p>
                  </w:txbxContent>
                </v:textbox>
                <w10:wrap type="none"/>
              </v:shape>
              <v:shape style="position:absolute;left:954;top:2879;width:180;height:1601"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矿 产 资 源 的 投 资 收 购</w:t>
                      </w:r>
                      <w:r>
                        <w:rPr>
                          <w:rFonts w:ascii="Microsoft JhengHei" w:hAnsi="Microsoft JhengHei" w:cs="Microsoft JhengHei" w:eastAsia="Microsoft JhengHei" w:hint="default"/>
                          <w:sz w:val="18"/>
                          <w:szCs w:val="18"/>
                        </w:rPr>
                      </w:r>
                    </w:p>
                  </w:txbxContent>
                </v:textbox>
                <w10:wrap type="none"/>
              </v:shape>
            </v:group>
          </v:group>
        </w:pict>
      </w:r>
      <w:r>
        <w:rPr>
          <w:rFonts w:ascii="宋体"/>
          <w:spacing w:val="11"/>
          <w:position w:val="-101"/>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tbl>
      <w:tblPr>
        <w:tblW w:w="0" w:type="auto"/>
        <w:jc w:val="left"/>
        <w:tblInd w:w="2950" w:type="dxa"/>
        <w:tblLayout w:type="fixed"/>
        <w:tblCellMar>
          <w:top w:w="0" w:type="dxa"/>
          <w:left w:w="0" w:type="dxa"/>
          <w:bottom w:w="0" w:type="dxa"/>
          <w:right w:w="0" w:type="dxa"/>
        </w:tblCellMar>
        <w:tblLook w:val="01E0"/>
      </w:tblPr>
      <w:tblGrid>
        <w:gridCol w:w="232"/>
        <w:gridCol w:w="431"/>
        <w:gridCol w:w="247"/>
        <w:gridCol w:w="399"/>
        <w:gridCol w:w="318"/>
        <w:gridCol w:w="400"/>
        <w:gridCol w:w="228"/>
        <w:gridCol w:w="443"/>
        <w:gridCol w:w="145"/>
      </w:tblGrid>
      <w:tr>
        <w:trPr>
          <w:trHeight w:val="586" w:hRule="exact"/>
        </w:trPr>
        <w:tc>
          <w:tcPr>
            <w:tcW w:w="2843"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61" w:right="0"/>
              <w:jc w:val="left"/>
              <w:rPr>
                <w:rFonts w:ascii="宋体" w:hAnsi="宋体" w:cs="宋体" w:eastAsia="宋体" w:hint="default"/>
                <w:sz w:val="18"/>
                <w:szCs w:val="18"/>
              </w:rPr>
            </w:pPr>
            <w:r>
              <w:rPr>
                <w:rFonts w:ascii="宋体" w:hAnsi="宋体" w:cs="宋体" w:eastAsia="宋体" w:hint="default"/>
                <w:b/>
                <w:bCs/>
                <w:sz w:val="18"/>
                <w:szCs w:val="18"/>
              </w:rPr>
              <w:t>循环经济工业园一级开发</w:t>
            </w:r>
            <w:r>
              <w:rPr>
                <w:rFonts w:ascii="宋体" w:hAnsi="宋体" w:cs="宋体" w:eastAsia="宋体" w:hint="default"/>
                <w:sz w:val="18"/>
                <w:szCs w:val="18"/>
              </w:rPr>
            </w:r>
          </w:p>
        </w:tc>
      </w:tr>
      <w:tr>
        <w:trPr>
          <w:trHeight w:val="462" w:hRule="exact"/>
        </w:trPr>
        <w:tc>
          <w:tcPr>
            <w:tcW w:w="232" w:type="dxa"/>
            <w:tcBorders>
              <w:top w:val="single" w:sz="6" w:space="0" w:color="000000"/>
              <w:left w:val="nil" w:sz="6" w:space="0" w:color="auto"/>
              <w:bottom w:val="single" w:sz="6" w:space="0" w:color="000000"/>
              <w:right w:val="single" w:sz="6" w:space="0" w:color="000000"/>
            </w:tcBorders>
          </w:tcPr>
          <w:p>
            <w:pPr/>
          </w:p>
        </w:tc>
        <w:tc>
          <w:tcPr>
            <w:tcW w:w="1077" w:type="dxa"/>
            <w:gridSpan w:val="3"/>
            <w:tcBorders>
              <w:top w:val="single" w:sz="6" w:space="0" w:color="000000"/>
              <w:left w:val="single" w:sz="6" w:space="0" w:color="000000"/>
              <w:bottom w:val="single" w:sz="6" w:space="0" w:color="000000"/>
              <w:right w:val="single" w:sz="6" w:space="0" w:color="000000"/>
            </w:tcBorders>
          </w:tcPr>
          <w:p>
            <w:pPr/>
          </w:p>
        </w:tc>
        <w:tc>
          <w:tcPr>
            <w:tcW w:w="946" w:type="dxa"/>
            <w:gridSpan w:val="3"/>
            <w:tcBorders>
              <w:top w:val="single" w:sz="6" w:space="0" w:color="000000"/>
              <w:left w:val="single" w:sz="6" w:space="0" w:color="000000"/>
              <w:bottom w:val="single" w:sz="6" w:space="0" w:color="000000"/>
              <w:right w:val="single" w:sz="6" w:space="0" w:color="000000"/>
            </w:tcBorders>
          </w:tcPr>
          <w:p>
            <w:pPr/>
          </w:p>
        </w:tc>
        <w:tc>
          <w:tcPr>
            <w:tcW w:w="588" w:type="dxa"/>
            <w:gridSpan w:val="2"/>
            <w:tcBorders>
              <w:top w:val="single" w:sz="6" w:space="0" w:color="000000"/>
              <w:left w:val="single" w:sz="6" w:space="0" w:color="000000"/>
              <w:bottom w:val="single" w:sz="6" w:space="0" w:color="000000"/>
              <w:right w:val="nil" w:sz="6" w:space="0" w:color="auto"/>
            </w:tcBorders>
          </w:tcPr>
          <w:p>
            <w:pPr/>
          </w:p>
        </w:tc>
      </w:tr>
      <w:tr>
        <w:trPr>
          <w:trHeight w:val="1898" w:hRule="exact"/>
        </w:trPr>
        <w:tc>
          <w:tcPr>
            <w:tcW w:w="663"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5"/>
              <w:ind w:left="215" w:right="25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配 套 服 务</w:t>
            </w:r>
            <w:r>
              <w:rPr>
                <w:rFonts w:ascii="Microsoft JhengHei" w:hAnsi="Microsoft JhengHei" w:cs="Microsoft JhengHei" w:eastAsia="Microsoft JhengHei" w:hint="default"/>
                <w:sz w:val="18"/>
                <w:szCs w:val="18"/>
              </w:rPr>
            </w:r>
          </w:p>
        </w:tc>
        <w:tc>
          <w:tcPr>
            <w:tcW w:w="247" w:type="dxa"/>
            <w:tcBorders>
              <w:top w:val="nil" w:sz="6" w:space="0" w:color="auto"/>
              <w:left w:val="single" w:sz="6" w:space="0" w:color="000000"/>
              <w:bottom w:val="nil" w:sz="6" w:space="0" w:color="auto"/>
              <w:right w:val="single" w:sz="6" w:space="0" w:color="000000"/>
            </w:tcBorders>
          </w:tcPr>
          <w:p>
            <w:pPr/>
          </w:p>
        </w:tc>
        <w:tc>
          <w:tcPr>
            <w:tcW w:w="717"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7"/>
              <w:ind w:left="275" w:right="244"/>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镍 铁 冶 炼 招 商</w:t>
            </w:r>
            <w:r>
              <w:rPr>
                <w:rFonts w:ascii="Microsoft JhengHei" w:hAnsi="Microsoft JhengHei" w:cs="Microsoft JhengHei" w:eastAsia="Microsoft JhengHei" w:hint="default"/>
                <w:sz w:val="18"/>
                <w:szCs w:val="18"/>
              </w:rPr>
            </w:r>
          </w:p>
        </w:tc>
        <w:tc>
          <w:tcPr>
            <w:tcW w:w="400" w:type="dxa"/>
            <w:tcBorders>
              <w:top w:val="nil" w:sz="6" w:space="0" w:color="auto"/>
              <w:left w:val="single" w:sz="6" w:space="0" w:color="000000"/>
              <w:bottom w:val="nil" w:sz="6" w:space="0" w:color="auto"/>
              <w:right w:val="single" w:sz="6" w:space="0" w:color="000000"/>
            </w:tcBorders>
          </w:tcPr>
          <w:p>
            <w:pPr/>
          </w:p>
        </w:tc>
        <w:tc>
          <w:tcPr>
            <w:tcW w:w="671" w:type="dxa"/>
            <w:gridSpan w:val="2"/>
            <w:tcBorders>
              <w:top w:val="single" w:sz="6" w:space="0" w:color="000000"/>
              <w:left w:val="single" w:sz="6" w:space="0" w:color="000000"/>
              <w:bottom w:val="single" w:sz="6" w:space="0" w:color="000000"/>
              <w:right w:val="single" w:sz="6" w:space="0" w:color="000000"/>
            </w:tcBorders>
          </w:tcPr>
          <w:p>
            <w:pPr>
              <w:pStyle w:val="TableParagraph"/>
              <w:spacing w:line="136" w:lineRule="auto" w:before="75"/>
              <w:ind w:left="223" w:right="25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 热 发 电</w:t>
            </w:r>
            <w:r>
              <w:rPr>
                <w:rFonts w:ascii="Microsoft JhengHei" w:hAnsi="Microsoft JhengHei" w:cs="Microsoft JhengHei" w:eastAsia="Microsoft JhengHei" w:hint="default"/>
                <w:sz w:val="18"/>
                <w:szCs w:val="18"/>
              </w:rPr>
            </w:r>
          </w:p>
        </w:tc>
        <w:tc>
          <w:tcPr>
            <w:tcW w:w="145" w:type="dxa"/>
            <w:tcBorders>
              <w:top w:val="nil" w:sz="6" w:space="0" w:color="auto"/>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300" w:lineRule="auto"/>
        <w:ind w:left="506" w:right="0"/>
        <w:jc w:val="left"/>
      </w:pPr>
      <w:r>
        <w:rPr/>
        <w:pict>
          <v:group style="position:absolute;margin-left:197.699997pt;margin-top:-197.183289pt;width:141.35pt;height:57.55pt;mso-position-horizontal-relative:page;mso-position-vertical-relative:paragraph;z-index:-839944" coordorigin="3954,-3944" coordsize="2827,1151">
            <v:group style="position:absolute;left:4823;top:-3936;width:568;height:557" coordorigin="4823,-3936" coordsize="568,557">
              <v:shape style="position:absolute;left:4823;top:-3936;width:568;height:557" coordorigin="4823,-3936" coordsize="568,557" path="m4823,-3936l5391,-3379e" filled="false" stroked="true" strokeweight=".75pt" strokecolor="#000000">
                <v:path arrowok="t"/>
              </v:shape>
            </v:group>
            <v:group style="position:absolute;left:5565;top:-3936;width:400;height:644" coordorigin="5565,-3936" coordsize="400,644">
              <v:shape style="position:absolute;left:5565;top:-3936;width:400;height:644" coordorigin="5565,-3936" coordsize="400,644" path="m5965,-3936l5565,-3292e" filled="false" stroked="true" strokeweight=".75pt" strokecolor="#000000">
                <v:path arrowok="t"/>
              </v:shape>
            </v:group>
            <v:group style="position:absolute;left:3954;top:-3379;width:2827;height:586" coordorigin="3954,-3379" coordsize="2827,586">
              <v:shape style="position:absolute;left:3954;top:-3379;width:2827;height:586" coordorigin="3954,-3379" coordsize="2827,586" path="m3954,-2793l6781,-2793,6781,-3379,3954,-3379,3954,-2793xe" filled="true" fillcolor="#ffffff" stroked="false">
                <v:path arrowok="t"/>
                <v:fill type="solid"/>
              </v:shape>
            </v:group>
            <w10:wrap type="none"/>
          </v:group>
        </w:pict>
      </w:r>
      <w:r>
        <w:rPr>
          <w:rFonts w:ascii="Times New Roman" w:hAnsi="Times New Roman" w:cs="Times New Roman" w:eastAsia="Times New Roman" w:hint="default"/>
        </w:rPr>
        <w:t>1</w:t>
      </w:r>
      <w:r>
        <w:rPr/>
        <w:t>、国内业务发展规划 </w:t>
      </w:r>
      <w:r>
        <w:rPr>
          <w:spacing w:val="-2"/>
        </w:rPr>
        <w:t>坚持以无功补偿产品为主导，研究开发高技术含量，适应未来市场的优质产品，如动态无功补偿、有源滤波、</w:t>
      </w:r>
      <w:r>
        <w:rPr>
          <w:rFonts w:ascii="Times New Roman" w:hAnsi="Times New Roman" w:cs="Times New Roman" w:eastAsia="Times New Roman" w:hint="default"/>
          <w:spacing w:val="-2"/>
        </w:rPr>
        <w:t>SVG</w:t>
      </w:r>
      <w:r>
        <w:rPr>
          <w:spacing w:val="-2"/>
        </w:rPr>
        <w:t>、无</w:t>
      </w:r>
      <w:r>
        <w:rPr/>
      </w:r>
    </w:p>
    <w:p>
      <w:pPr>
        <w:pStyle w:val="BodyText"/>
        <w:spacing w:line="309" w:lineRule="auto" w:before="13"/>
        <w:ind w:right="152"/>
        <w:jc w:val="both"/>
      </w:pPr>
      <w:r>
        <w:rPr>
          <w:spacing w:val="-2"/>
        </w:rPr>
        <w:t>功补偿智能装置等适用于新能源、智能电网、电气化铁路、煤矿等领域的产品；发展余热余压合同能源管理项目，每年计划</w:t>
      </w:r>
      <w:r>
        <w:rPr>
          <w:spacing w:val="-65"/>
        </w:rPr>
        <w:t> </w:t>
      </w:r>
      <w:r>
        <w:rPr>
          <w:spacing w:val="-65"/>
        </w:rPr>
      </w:r>
      <w:r>
        <w:rPr>
          <w:spacing w:val="-2"/>
        </w:rPr>
        <w:t>投资</w:t>
      </w:r>
      <w:r>
        <w:rPr>
          <w:rFonts w:ascii="Times New Roman" w:hAnsi="Times New Roman" w:cs="Times New Roman" w:eastAsia="Times New Roman" w:hint="default"/>
          <w:spacing w:val="-2"/>
        </w:rPr>
        <w:t>1-2</w:t>
      </w:r>
      <w:r>
        <w:rPr>
          <w:spacing w:val="-2"/>
        </w:rPr>
        <w:t>亿元，每个项目的周期</w:t>
      </w:r>
      <w:r>
        <w:rPr>
          <w:rFonts w:ascii="Times New Roman" w:hAnsi="Times New Roman" w:cs="Times New Roman" w:eastAsia="Times New Roman" w:hint="default"/>
          <w:spacing w:val="-2"/>
        </w:rPr>
        <w:t>3-5</w:t>
      </w:r>
      <w:r>
        <w:rPr>
          <w:spacing w:val="-2"/>
        </w:rPr>
        <w:t>年</w:t>
      </w:r>
      <w:r>
        <w:rPr>
          <w:rFonts w:ascii="Times New Roman" w:hAnsi="Times New Roman" w:cs="Times New Roman" w:eastAsia="Times New Roman" w:hint="default"/>
          <w:spacing w:val="-2"/>
        </w:rPr>
        <w:t>,</w:t>
      </w:r>
      <w:r>
        <w:rPr>
          <w:spacing w:val="-2"/>
        </w:rPr>
        <w:t>；逐步开展项目总包业务，同时积极寻求机会，通过收购兼并提升公司在勘探设计、产</w:t>
      </w:r>
      <w:r>
        <w:rPr>
          <w:spacing w:val="-47"/>
        </w:rPr>
        <w:t> </w:t>
      </w:r>
      <w:r>
        <w:rPr>
          <w:spacing w:val="-47"/>
        </w:rPr>
      </w:r>
      <w:r>
        <w:rPr/>
        <w:t>品种类、销售渠道、技术力量方面的实力。</w:t>
      </w:r>
    </w:p>
    <w:p>
      <w:pPr>
        <w:spacing w:after="0" w:line="309"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274"/>
        <w:jc w:val="left"/>
      </w:pPr>
      <w:r>
        <w:rPr>
          <w:rFonts w:ascii="宋体" w:hAnsi="宋体" w:cs="宋体" w:eastAsia="宋体" w:hint="default"/>
        </w:rPr>
        <w:t>2.</w:t>
      </w:r>
      <w:r>
        <w:rPr>
          <w:rFonts w:ascii="宋体" w:hAnsi="宋体" w:cs="宋体" w:eastAsia="宋体" w:hint="default"/>
          <w:spacing w:val="89"/>
        </w:rPr>
        <w:t> </w:t>
      </w:r>
      <w:r>
        <w:rPr/>
        <w:t>国外业务发展规划： 以新加坡作为国外业务的总部，在新家坡开展矿产资源的投资收购，矿产资源的物流贸易，并在印尼开展如下方面业务：</w:t>
      </w:r>
    </w:p>
    <w:p>
      <w:pPr>
        <w:pStyle w:val="BodyText"/>
        <w:spacing w:line="300" w:lineRule="auto" w:before="17"/>
        <w:ind w:right="111"/>
        <w:jc w:val="both"/>
      </w:pPr>
      <w:r>
        <w:rPr/>
        <w:t>（</w:t>
      </w:r>
      <w:r>
        <w:rPr>
          <w:rFonts w:ascii="Times New Roman" w:hAnsi="Times New Roman" w:cs="Times New Roman" w:eastAsia="Times New Roman" w:hint="default"/>
        </w:rPr>
        <w:t>1</w:t>
      </w:r>
      <w:r>
        <w:rPr/>
        <w:t>）取得一定量矿产资源，以煤矿、镍矿、锰矿为主，同时视条件在矿区就近修建码头或道路等公共设施，开展煤矿等矿</w:t>
      </w:r>
      <w:r>
        <w:rPr>
          <w:spacing w:val="-84"/>
        </w:rPr>
        <w:t> </w:t>
      </w:r>
      <w:r>
        <w:rPr>
          <w:spacing w:val="-84"/>
        </w:rPr>
      </w:r>
      <w:r>
        <w:rPr/>
        <w:t>产的开采、物流、销售等业务。公司前期已进行了部分煤矿资源的收购工作，正积极开展产业规划中其他资源的收购工作。</w:t>
      </w:r>
    </w:p>
    <w:p>
      <w:pPr>
        <w:pStyle w:val="BodyText"/>
        <w:spacing w:line="240" w:lineRule="auto" w:before="31"/>
        <w:ind w:right="0"/>
        <w:jc w:val="left"/>
      </w:pPr>
      <w:r>
        <w:rPr/>
        <w:t>（</w:t>
      </w:r>
      <w:r>
        <w:rPr>
          <w:rFonts w:ascii="Times New Roman" w:hAnsi="Times New Roman" w:cs="Times New Roman" w:eastAsia="Times New Roman" w:hint="default"/>
        </w:rPr>
        <w:t>2</w:t>
      </w:r>
      <w:r>
        <w:rPr/>
        <w:t>）电厂建设运营业务，开展参与</w:t>
      </w:r>
      <w:r>
        <w:rPr>
          <w:rFonts w:ascii="Times New Roman" w:hAnsi="Times New Roman" w:cs="Times New Roman" w:eastAsia="Times New Roman" w:hint="default"/>
        </w:rPr>
        <w:t>PLN</w:t>
      </w:r>
      <w:r>
        <w:rPr/>
        <w:t>招标电站及</w:t>
      </w:r>
      <w:r>
        <w:rPr>
          <w:rFonts w:ascii="Times New Roman" w:hAnsi="Times New Roman" w:cs="Times New Roman" w:eastAsia="Times New Roman" w:hint="default"/>
        </w:rPr>
        <w:t>IPP</w:t>
      </w:r>
      <w:r>
        <w:rPr/>
        <w:t>独立电站的建设运营，及工业园自备电厂的建设运营。</w:t>
      </w:r>
    </w:p>
    <w:p>
      <w:pPr>
        <w:pStyle w:val="BodyText"/>
        <w:spacing w:line="312" w:lineRule="auto" w:before="63"/>
        <w:ind w:right="100"/>
        <w:jc w:val="both"/>
      </w:pPr>
      <w:r>
        <w:rPr/>
        <w:t>（</w:t>
      </w:r>
      <w:r>
        <w:rPr>
          <w:rFonts w:ascii="Times New Roman" w:hAnsi="Times New Roman" w:cs="Times New Roman" w:eastAsia="Times New Roman" w:hint="default"/>
        </w:rPr>
        <w:t>3</w:t>
      </w:r>
      <w:r>
        <w:rPr/>
        <w:t>）开展循环经济工业园的一级开发建设，通过整合产业中矿产资源、电厂资源来建设工业园，提供工业配套设施，招商</w:t>
      </w:r>
      <w:r>
        <w:rPr>
          <w:spacing w:val="-85"/>
        </w:rPr>
        <w:t> </w:t>
      </w:r>
      <w:r>
        <w:rPr>
          <w:spacing w:val="-85"/>
        </w:rPr>
      </w:r>
      <w:r>
        <w:rPr>
          <w:spacing w:val="-2"/>
        </w:rPr>
        <w:t>冶炼等企业，建设循环经济工业园。印尼限矿政策的出台、基础设施尤其是电力供应的短缺、国内冶炼企业在印尼当地设厂</w:t>
      </w:r>
      <w:r>
        <w:rPr>
          <w:spacing w:val="-64"/>
        </w:rPr>
        <w:t> </w:t>
      </w:r>
      <w:r>
        <w:rPr>
          <w:spacing w:val="-64"/>
        </w:rPr>
      </w:r>
      <w:r>
        <w:rPr>
          <w:spacing w:val="-2"/>
        </w:rPr>
        <w:t>加工的强烈意愿为该规划提供了基础，公司已向中国商务部门、驻印尼使馆及印尼相关政府部门咨询过建设工业园的有关事</w:t>
      </w:r>
      <w:r>
        <w:rPr>
          <w:spacing w:val="-64"/>
        </w:rPr>
        <w:t> </w:t>
      </w:r>
      <w:r>
        <w:rPr>
          <w:spacing w:val="-64"/>
        </w:rPr>
      </w:r>
      <w:r>
        <w:rPr>
          <w:spacing w:val="-2"/>
        </w:rPr>
        <w:t>项，得到支持和认可。公司计划在</w:t>
      </w:r>
      <w:r>
        <w:rPr>
          <w:rFonts w:ascii="Times New Roman" w:hAnsi="Times New Roman" w:cs="Times New Roman" w:eastAsia="Times New Roman" w:hint="default"/>
          <w:spacing w:val="-2"/>
        </w:rPr>
        <w:t>3-6</w:t>
      </w:r>
      <w:r>
        <w:rPr>
          <w:spacing w:val="-2"/>
        </w:rPr>
        <w:t>年内完成</w:t>
      </w:r>
      <w:r>
        <w:rPr>
          <w:rFonts w:ascii="Times New Roman" w:hAnsi="Times New Roman" w:cs="Times New Roman" w:eastAsia="Times New Roman" w:hint="default"/>
          <w:spacing w:val="-2"/>
        </w:rPr>
        <w:t>3</w:t>
      </w:r>
      <w:r>
        <w:rPr>
          <w:spacing w:val="-2"/>
        </w:rPr>
        <w:t>个工业园的建设，每个工业园项目的投入产出比约为</w:t>
      </w:r>
      <w:r>
        <w:rPr>
          <w:rFonts w:ascii="Times New Roman" w:hAnsi="Times New Roman" w:cs="Times New Roman" w:eastAsia="Times New Roman" w:hint="default"/>
          <w:spacing w:val="-2"/>
        </w:rPr>
        <w:t>1:2</w:t>
      </w:r>
      <w:r>
        <w:rPr>
          <w:spacing w:val="-2"/>
        </w:rPr>
        <w:t>，投资回收期</w:t>
      </w:r>
      <w:r>
        <w:rPr>
          <w:rFonts w:ascii="Times New Roman" w:hAnsi="Times New Roman" w:cs="Times New Roman" w:eastAsia="Times New Roman" w:hint="default"/>
          <w:spacing w:val="-2"/>
        </w:rPr>
        <w:t>4-6</w:t>
      </w:r>
      <w:r>
        <w:rPr>
          <w:spacing w:val="-2"/>
        </w:rPr>
        <w:t>年。</w:t>
      </w:r>
    </w:p>
    <w:p>
      <w:pPr>
        <w:pStyle w:val="BodyText"/>
        <w:spacing w:line="316" w:lineRule="auto" w:before="3"/>
        <w:ind w:left="441" w:right="0" w:hanging="289"/>
        <w:jc w:val="left"/>
      </w:pPr>
      <w:r>
        <w:rPr/>
        <w:t>（二）相关行业情况 </w:t>
      </w:r>
      <w:r>
        <w:rPr>
          <w:spacing w:val="-1"/>
        </w:rPr>
        <w:t>公司目前业务涉及高压无功补偿及滤波成套设备制造业务，余热余压利用业务，以及未来在海外的煤炭开采、销售业务</w:t>
      </w:r>
    </w:p>
    <w:p>
      <w:pPr>
        <w:pStyle w:val="BodyText"/>
        <w:spacing w:line="240" w:lineRule="auto" w:before="19"/>
        <w:ind w:right="0"/>
        <w:jc w:val="left"/>
      </w:pPr>
      <w:r>
        <w:rPr/>
        <w:t>及电厂建设运营业务等，以下对公司目前及规划中所涉及到的行业情况进行介绍。</w:t>
      </w:r>
    </w:p>
    <w:p>
      <w:pPr>
        <w:pStyle w:val="BodyText"/>
        <w:spacing w:line="300" w:lineRule="auto" w:before="77"/>
        <w:ind w:left="513" w:right="0" w:hanging="361"/>
        <w:jc w:val="left"/>
      </w:pPr>
      <w:r>
        <w:rPr>
          <w:rFonts w:ascii="Times New Roman" w:hAnsi="Times New Roman" w:cs="Times New Roman" w:eastAsia="Times New Roman" w:hint="default"/>
        </w:rPr>
        <w:t>1</w:t>
      </w:r>
      <w:r>
        <w:rPr/>
        <w:t>、国内相关行业发展情况： </w:t>
      </w:r>
      <w:r>
        <w:rPr>
          <w:spacing w:val="-4"/>
        </w:rPr>
        <w:t>无功补偿及滤波装置是具备改善电网电能质量、节能减排及电网环境污染治理多重功能的产品，具有提高电网功率因数、</w:t>
      </w:r>
    </w:p>
    <w:p>
      <w:pPr>
        <w:pStyle w:val="BodyText"/>
        <w:spacing w:line="240" w:lineRule="auto" w:before="31"/>
        <w:ind w:right="0"/>
        <w:jc w:val="left"/>
      </w:pPr>
      <w:r>
        <w:rPr/>
        <w:t>降低线损、提高变电设备使用效率、稳定电网电压、减少谐波对系统的危害、保护用电设备安全的功能。</w:t>
      </w:r>
    </w:p>
    <w:p>
      <w:pPr>
        <w:pStyle w:val="BodyText"/>
        <w:spacing w:line="300" w:lineRule="auto" w:before="76"/>
        <w:ind w:left="513" w:right="0" w:hanging="361"/>
        <w:jc w:val="left"/>
      </w:pPr>
      <w:r>
        <w:rPr/>
        <w:t>（</w:t>
      </w:r>
      <w:r>
        <w:rPr>
          <w:rFonts w:ascii="Times New Roman" w:hAnsi="Times New Roman" w:cs="Times New Roman" w:eastAsia="Times New Roman" w:hint="default"/>
        </w:rPr>
        <w:t>1</w:t>
      </w:r>
      <w:r>
        <w:rPr/>
        <w:t>）在电网输配电建设方面，无功补偿及滤波装置具有稳定增长的市场。 </w:t>
      </w:r>
      <w:r>
        <w:rPr>
          <w:spacing w:val="-2"/>
        </w:rPr>
        <w:t>近年来，国家电力投资注重将电网投资保持在一个较高水平，同时注重提高电网的输配电效率和节能环保，优化电能质</w:t>
      </w:r>
    </w:p>
    <w:p>
      <w:pPr>
        <w:pStyle w:val="BodyText"/>
        <w:spacing w:line="300" w:lineRule="auto" w:before="31"/>
        <w:ind w:right="191"/>
        <w:jc w:val="both"/>
      </w:pPr>
      <w:r>
        <w:rPr/>
        <w:t>量。根据中国电力联合会发布的《电力工业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规划研究报告》，我国</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规划电网投资约</w:t>
      </w:r>
      <w:r>
        <w:rPr>
          <w:rFonts w:ascii="Times New Roman" w:hAnsi="Times New Roman" w:cs="Times New Roman" w:eastAsia="Times New Roman" w:hint="default"/>
        </w:rPr>
        <w:t>2.55</w:t>
      </w:r>
      <w:r>
        <w:rPr/>
        <w:t>万亿元，投资总额 超过</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期间投资总额的</w:t>
      </w:r>
      <w:r>
        <w:rPr>
          <w:rFonts w:ascii="Times New Roman" w:hAnsi="Times New Roman" w:cs="Times New Roman" w:eastAsia="Times New Roman" w:hint="default"/>
        </w:rPr>
        <w:t>68%</w:t>
      </w:r>
      <w:r>
        <w:rPr/>
        <w:t>。</w:t>
      </w:r>
    </w:p>
    <w:p>
      <w:pPr>
        <w:pStyle w:val="BodyText"/>
        <w:spacing w:line="300" w:lineRule="auto" w:before="13"/>
        <w:ind w:right="194" w:firstLine="360"/>
        <w:jc w:val="left"/>
      </w:pPr>
      <w:r>
        <w:rPr/>
        <w:t>在十二五期间，将构建坚强特高压网架，</w:t>
      </w:r>
      <w:r>
        <w:rPr>
          <w:spacing w:val="16"/>
        </w:rPr>
        <w:t> </w:t>
      </w:r>
      <w:r>
        <w:rPr>
          <w:rFonts w:ascii="Times New Roman" w:hAnsi="Times New Roman" w:cs="Times New Roman" w:eastAsia="Times New Roman" w:hint="default"/>
        </w:rPr>
        <w:t>2015</w:t>
      </w:r>
      <w:r>
        <w:rPr/>
        <w:t>年华北、华东、华中特高压电网形成</w:t>
      </w:r>
      <w:r>
        <w:rPr>
          <w:rFonts w:ascii="Times New Roman" w:hAnsi="Times New Roman" w:cs="Times New Roman" w:eastAsia="Times New Roman" w:hint="default"/>
        </w:rPr>
        <w:t>“</w:t>
      </w:r>
      <w:r>
        <w:rPr/>
        <w:t>三纵三横</w:t>
      </w:r>
      <w:r>
        <w:rPr>
          <w:rFonts w:ascii="Times New Roman" w:hAnsi="Times New Roman" w:cs="Times New Roman" w:eastAsia="Times New Roman" w:hint="default"/>
        </w:rPr>
        <w:t>”</w:t>
      </w:r>
      <w:r>
        <w:rPr/>
        <w:t>主网架，根据进度，目 前仅建成晋东南</w:t>
      </w:r>
      <w:r>
        <w:rPr>
          <w:rFonts w:ascii="Times New Roman" w:hAnsi="Times New Roman" w:cs="Times New Roman" w:eastAsia="Times New Roman" w:hint="default"/>
        </w:rPr>
        <w:t>-</w:t>
      </w:r>
      <w:r>
        <w:rPr/>
        <w:t>荆门，相当于半纵，未来市场空间巨大。</w:t>
      </w:r>
    </w:p>
    <w:p>
      <w:pPr>
        <w:pStyle w:val="BodyText"/>
        <w:spacing w:line="316" w:lineRule="auto" w:before="13"/>
        <w:ind w:right="193" w:firstLine="360"/>
        <w:jc w:val="both"/>
      </w:pPr>
      <w:r>
        <w:rPr>
          <w:spacing w:val="-2"/>
        </w:rPr>
        <w:t>十二五期间，将促进城乡电网协调发展，认真做好新一轮农网改造升级工程建设。坚持城乡电网一体化规划，推进城乡</w:t>
      </w:r>
      <w:r>
        <w:rPr/>
        <w:t> </w:t>
      </w:r>
      <w:r>
        <w:rPr>
          <w:spacing w:val="-2"/>
        </w:rPr>
        <w:t>电网一体化发展，优化配电网无功配置。合理配置无功补偿容量，合理安排无功设备的运行，改善配电网电压质量，保证电</w:t>
      </w:r>
      <w:r>
        <w:rPr>
          <w:spacing w:val="-67"/>
        </w:rPr>
        <w:t> </w:t>
      </w:r>
      <w:r>
        <w:rPr>
          <w:spacing w:val="-67"/>
        </w:rPr>
      </w:r>
      <w:r>
        <w:rPr/>
        <w:t>网安全稳定运行，减少电能损失。</w:t>
      </w:r>
    </w:p>
    <w:p>
      <w:pPr>
        <w:pStyle w:val="BodyText"/>
        <w:spacing w:line="309" w:lineRule="auto" w:before="19"/>
        <w:ind w:right="0" w:firstLine="360"/>
        <w:jc w:val="left"/>
      </w:pPr>
      <w:r>
        <w:rPr>
          <w:spacing w:val="-4"/>
        </w:rPr>
        <w:t>十二五期间，将推进电网智能化，我国智能电网发展将以坚强网架为基础，以通讯信息平台为支撑，以智能调控为手段，</w:t>
      </w:r>
      <w:r>
        <w:rPr/>
        <w:t> 包含电力系统的发电、输电、变电、配电、用电和调度六大环节，覆盖所有电压等级，实现</w:t>
      </w:r>
      <w:r>
        <w:rPr>
          <w:rFonts w:ascii="Times New Roman" w:hAnsi="Times New Roman" w:cs="Times New Roman" w:eastAsia="Times New Roman" w:hint="default"/>
        </w:rPr>
        <w:t>“</w:t>
      </w:r>
      <w:r>
        <w:rPr/>
        <w:t>电力流、信息流、业务流</w:t>
      </w:r>
      <w:r>
        <w:rPr>
          <w:rFonts w:ascii="Times New Roman" w:hAnsi="Times New Roman" w:cs="Times New Roman" w:eastAsia="Times New Roman" w:hint="default"/>
        </w:rPr>
        <w:t>”</w:t>
      </w:r>
      <w:r>
        <w:rPr/>
        <w:t>的高 度一体化。</w:t>
      </w:r>
    </w:p>
    <w:p>
      <w:pPr>
        <w:pStyle w:val="BodyText"/>
        <w:spacing w:line="300" w:lineRule="auto" w:before="24"/>
        <w:ind w:right="191" w:firstLine="360"/>
        <w:jc w:val="both"/>
      </w:pPr>
      <w:r>
        <w:rPr>
          <w:spacing w:val="-2"/>
        </w:rPr>
        <w:t>十二五期间电网投资整体增速将放缓，但投资具有结构性变化，</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期间特高压、配电网和智能化领域将成电网投</w:t>
      </w:r>
      <w:r>
        <w:rPr/>
        <w:t> </w:t>
      </w:r>
      <w:r>
        <w:rPr>
          <w:spacing w:val="-2"/>
        </w:rPr>
        <w:t>资重点。根据电监会发布的《</w:t>
      </w:r>
      <w:r>
        <w:rPr>
          <w:rFonts w:ascii="Times New Roman" w:hAnsi="Times New Roman" w:cs="Times New Roman" w:eastAsia="Times New Roman" w:hint="default"/>
          <w:spacing w:val="-2"/>
        </w:rPr>
        <w:t>2012</w:t>
      </w:r>
      <w:r>
        <w:rPr>
          <w:spacing w:val="-2"/>
        </w:rPr>
        <w:t>年供电监管报告》，国家电网公司、南方电网公司和主要地方供电企业配电网投资总体呈</w:t>
      </w:r>
      <w:r>
        <w:rPr>
          <w:spacing w:val="-62"/>
        </w:rPr>
        <w:t> </w:t>
      </w:r>
      <w:r>
        <w:rPr>
          <w:spacing w:val="-62"/>
        </w:rPr>
      </w:r>
      <w:r>
        <w:rPr/>
        <w:t>现逐年递增态势，而且已持续多年超过输电网。</w:t>
      </w:r>
    </w:p>
    <w:p>
      <w:pPr>
        <w:pStyle w:val="BodyText"/>
        <w:spacing w:line="300" w:lineRule="auto" w:before="31"/>
        <w:ind w:left="513" w:right="0" w:hanging="361"/>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）新能源、轨道交通、冶金煤炭等领域对无功补偿及滤波的需求巨大。 </w:t>
      </w:r>
      <w:r>
        <w:rPr>
          <w:spacing w:val="-2"/>
        </w:rPr>
        <w:t>根据国家的《风电发展</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规划》，到</w:t>
      </w:r>
      <w:r>
        <w:rPr>
          <w:rFonts w:ascii="Times New Roman" w:hAnsi="Times New Roman" w:cs="Times New Roman" w:eastAsia="Times New Roman" w:hint="default"/>
          <w:spacing w:val="-2"/>
        </w:rPr>
        <w:t>2015</w:t>
      </w:r>
      <w:r>
        <w:rPr>
          <w:spacing w:val="-2"/>
        </w:rPr>
        <w:t>年并网装机总容量达到</w:t>
      </w:r>
      <w:r>
        <w:rPr>
          <w:rFonts w:ascii="Times New Roman" w:hAnsi="Times New Roman" w:cs="Times New Roman" w:eastAsia="Times New Roman" w:hint="default"/>
          <w:spacing w:val="-2"/>
        </w:rPr>
        <w:t>1</w:t>
      </w:r>
      <w:r>
        <w:rPr>
          <w:spacing w:val="-2"/>
        </w:rPr>
        <w:t>亿千瓦，到</w:t>
      </w:r>
      <w:r>
        <w:rPr>
          <w:rFonts w:ascii="Times New Roman" w:hAnsi="Times New Roman" w:cs="Times New Roman" w:eastAsia="Times New Roman" w:hint="default"/>
          <w:spacing w:val="-2"/>
        </w:rPr>
        <w:t>2020</w:t>
      </w:r>
      <w:r>
        <w:rPr>
          <w:spacing w:val="-2"/>
        </w:rPr>
        <w:t>年装机容量达到</w:t>
      </w:r>
      <w:r>
        <w:rPr>
          <w:rFonts w:ascii="Times New Roman" w:hAnsi="Times New Roman" w:cs="Times New Roman" w:eastAsia="Times New Roman" w:hint="default"/>
          <w:spacing w:val="-2"/>
        </w:rPr>
        <w:t>2</w:t>
      </w:r>
      <w:r>
        <w:rPr>
          <w:spacing w:val="-2"/>
        </w:rPr>
        <w:t>亿千瓦。</w:t>
      </w:r>
      <w:r>
        <w:rPr>
          <w:rFonts w:ascii="Times New Roman" w:hAnsi="Times New Roman" w:cs="Times New Roman" w:eastAsia="Times New Roman" w:hint="default"/>
          <w:spacing w:val="-2"/>
        </w:rPr>
        <w:t>2012</w:t>
      </w:r>
    </w:p>
    <w:p>
      <w:pPr>
        <w:pStyle w:val="BodyText"/>
        <w:spacing w:line="240" w:lineRule="auto" w:before="13"/>
        <w:ind w:right="0"/>
        <w:jc w:val="left"/>
      </w:pPr>
      <w:r>
        <w:rPr/>
        <w:t>年，中国风电新增装机容量约</w:t>
      </w:r>
      <w:r>
        <w:rPr>
          <w:rFonts w:ascii="Times New Roman" w:hAnsi="Times New Roman" w:cs="Times New Roman" w:eastAsia="Times New Roman" w:hint="default"/>
        </w:rPr>
        <w:t>1400</w:t>
      </w:r>
      <w:r>
        <w:rPr/>
        <w:t>万千瓦左右，风电并网总量达到</w:t>
      </w:r>
      <w:r>
        <w:rPr>
          <w:rFonts w:ascii="Times New Roman" w:hAnsi="Times New Roman" w:cs="Times New Roman" w:eastAsia="Times New Roman" w:hint="default"/>
        </w:rPr>
        <w:t>6083</w:t>
      </w:r>
      <w:r>
        <w:rPr/>
        <w:t>万千瓦，在今年初召开的全国能源工作会议上，明确</w:t>
      </w:r>
    </w:p>
    <w:p>
      <w:pPr>
        <w:pStyle w:val="BodyText"/>
        <w:spacing w:line="300" w:lineRule="auto" w:before="63"/>
        <w:ind w:left="513" w:right="189" w:hanging="361"/>
        <w:jc w:val="left"/>
      </w:pPr>
      <w:r>
        <w:rPr>
          <w:rFonts w:ascii="Times New Roman" w:hAnsi="Times New Roman" w:cs="Times New Roman" w:eastAsia="Times New Roman" w:hint="default"/>
        </w:rPr>
        <w:t>2013</w:t>
      </w:r>
      <w:r>
        <w:rPr/>
        <w:t>年新增风电装机容量要达到</w:t>
      </w:r>
      <w:r>
        <w:rPr>
          <w:rFonts w:ascii="Times New Roman" w:hAnsi="Times New Roman" w:cs="Times New Roman" w:eastAsia="Times New Roman" w:hint="default"/>
        </w:rPr>
        <w:t>1800</w:t>
      </w:r>
      <w:r>
        <w:rPr/>
        <w:t>万千瓦，风电机组需要大量的无功补偿装置。 </w:t>
      </w:r>
      <w:r>
        <w:rPr>
          <w:spacing w:val="-1"/>
        </w:rPr>
        <w:t>根据铁道部发布的《国家铁路</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发展规划》，十二五</w:t>
      </w:r>
      <w:r>
        <w:rPr>
          <w:rFonts w:ascii="Times New Roman" w:hAnsi="Times New Roman" w:cs="Times New Roman" w:eastAsia="Times New Roman" w:hint="default"/>
          <w:spacing w:val="-1"/>
        </w:rPr>
        <w:t>”</w:t>
      </w:r>
      <w:r>
        <w:rPr>
          <w:spacing w:val="-1"/>
        </w:rPr>
        <w:t>期间（</w:t>
      </w:r>
      <w:r>
        <w:rPr>
          <w:rFonts w:ascii="Times New Roman" w:hAnsi="Times New Roman" w:cs="Times New Roman" w:eastAsia="Times New Roman" w:hint="default"/>
          <w:spacing w:val="-1"/>
        </w:rPr>
        <w:t>2011-2015</w:t>
      </w:r>
      <w:r>
        <w:rPr>
          <w:spacing w:val="-1"/>
        </w:rPr>
        <w:t>），中国国家铁路运营的总里程将从目前</w:t>
      </w:r>
    </w:p>
    <w:p>
      <w:pPr>
        <w:pStyle w:val="BodyText"/>
        <w:spacing w:line="300" w:lineRule="auto" w:before="13"/>
        <w:ind w:right="191"/>
        <w:jc w:val="both"/>
      </w:pPr>
      <w:r>
        <w:rPr>
          <w:spacing w:val="-2"/>
        </w:rPr>
        <w:t>的</w:t>
      </w:r>
      <w:r>
        <w:rPr>
          <w:rFonts w:ascii="Times New Roman" w:hAnsi="Times New Roman" w:cs="Times New Roman" w:eastAsia="Times New Roman" w:hint="default"/>
          <w:spacing w:val="-2"/>
        </w:rPr>
        <w:t>9.1</w:t>
      </w:r>
      <w:r>
        <w:rPr>
          <w:spacing w:val="-2"/>
        </w:rPr>
        <w:t>万公里增长到</w:t>
      </w:r>
      <w:r>
        <w:rPr>
          <w:rFonts w:ascii="Times New Roman" w:hAnsi="Times New Roman" w:cs="Times New Roman" w:eastAsia="Times New Roman" w:hint="default"/>
          <w:spacing w:val="-2"/>
        </w:rPr>
        <w:t>12</w:t>
      </w:r>
      <w:r>
        <w:rPr>
          <w:spacing w:val="-2"/>
        </w:rPr>
        <w:t>万公里左右，复线率和电化率分别达到</w:t>
      </w:r>
      <w:r>
        <w:rPr>
          <w:rFonts w:ascii="Times New Roman" w:hAnsi="Times New Roman" w:cs="Times New Roman" w:eastAsia="Times New Roman" w:hint="default"/>
          <w:spacing w:val="-2"/>
        </w:rPr>
        <w:t>50%</w:t>
      </w:r>
      <w:r>
        <w:rPr>
          <w:spacing w:val="-2"/>
        </w:rPr>
        <w:t>和</w:t>
      </w:r>
      <w:r>
        <w:rPr>
          <w:rFonts w:ascii="Times New Roman" w:hAnsi="Times New Roman" w:cs="Times New Roman" w:eastAsia="Times New Roman" w:hint="default"/>
          <w:spacing w:val="-2"/>
        </w:rPr>
        <w:t>60%</w:t>
      </w:r>
      <w:r>
        <w:rPr>
          <w:spacing w:val="-2"/>
        </w:rPr>
        <w:t>左右。同时，国内城市轨道交通建设呈现出前所未有</w:t>
      </w:r>
      <w:r>
        <w:rPr>
          <w:spacing w:val="-45"/>
        </w:rPr>
        <w:t> </w:t>
      </w:r>
      <w:r>
        <w:rPr>
          <w:spacing w:val="-45"/>
        </w:rPr>
      </w:r>
      <w:r>
        <w:rPr/>
        <w:t>的火爆局面，新一轮的轨道交通建设将在全国范围内逐渐展开。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月，国家发改委批复了全国多个城市的轨道交通建</w:t>
      </w:r>
      <w:r>
        <w:rPr>
          <w:spacing w:val="-85"/>
        </w:rPr>
        <w:t> </w:t>
      </w:r>
      <w:r>
        <w:rPr>
          <w:spacing w:val="-85"/>
        </w:rPr>
      </w:r>
      <w:r>
        <w:rPr>
          <w:spacing w:val="-2"/>
        </w:rPr>
        <w:t>设规划，总投资规模预计超过</w:t>
      </w:r>
      <w:r>
        <w:rPr>
          <w:rFonts w:ascii="Times New Roman" w:hAnsi="Times New Roman" w:cs="Times New Roman" w:eastAsia="Times New Roman" w:hint="default"/>
          <w:spacing w:val="-2"/>
        </w:rPr>
        <w:t>8000</w:t>
      </w:r>
      <w:r>
        <w:rPr>
          <w:spacing w:val="-2"/>
        </w:rPr>
        <w:t>亿。电气化铁路及城市轨道交通的大量建设将带动动态无功补偿、</w:t>
      </w:r>
      <w:r>
        <w:rPr>
          <w:rFonts w:ascii="Times New Roman" w:hAnsi="Times New Roman" w:cs="Times New Roman" w:eastAsia="Times New Roman" w:hint="default"/>
          <w:spacing w:val="-2"/>
        </w:rPr>
        <w:t>SVG</w:t>
      </w:r>
      <w:r>
        <w:rPr>
          <w:spacing w:val="-2"/>
        </w:rPr>
        <w:t>、有源滤波等产品</w:t>
      </w:r>
      <w:r>
        <w:rPr>
          <w:spacing w:val="-63"/>
        </w:rPr>
        <w:t> </w:t>
      </w:r>
      <w:r>
        <w:rPr>
          <w:spacing w:val="-63"/>
        </w:rPr>
      </w:r>
      <w:r>
        <w:rPr/>
        <w:t>的大量使用。</w:t>
      </w:r>
    </w:p>
    <w:p>
      <w:pPr>
        <w:pStyle w:val="BodyText"/>
        <w:spacing w:line="312" w:lineRule="auto" w:before="31"/>
        <w:ind w:right="94" w:firstLine="360"/>
        <w:jc w:val="left"/>
      </w:pPr>
      <w:r>
        <w:rPr/>
        <w:t>在煤炭工业等方面，根据</w:t>
      </w:r>
      <w:r>
        <w:rPr>
          <w:spacing w:val="-22"/>
        </w:rPr>
        <w:t> </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w:t>
      </w:r>
      <w:r>
        <w:rPr>
          <w:spacing w:val="-24"/>
        </w:rPr>
        <w:t> </w:t>
      </w:r>
      <w:r>
        <w:rPr>
          <w:rFonts w:ascii="Times New Roman" w:hAnsi="Times New Roman" w:cs="Times New Roman" w:eastAsia="Times New Roman" w:hint="default"/>
        </w:rPr>
        <w:t>2015</w:t>
      </w:r>
      <w:r>
        <w:rPr/>
        <w:t>年将把全国目前</w:t>
      </w:r>
      <w:r>
        <w:rPr>
          <w:rFonts w:ascii="Times New Roman" w:hAnsi="Times New Roman" w:cs="Times New Roman" w:eastAsia="Times New Roman" w:hint="default"/>
        </w:rPr>
        <w:t>8000</w:t>
      </w:r>
      <w:r>
        <w:rPr/>
        <w:t>家以上的煤矿企业数量控制在</w:t>
      </w:r>
      <w:r>
        <w:rPr>
          <w:rFonts w:ascii="Times New Roman" w:hAnsi="Times New Roman" w:cs="Times New Roman" w:eastAsia="Times New Roman" w:hint="default"/>
        </w:rPr>
        <w:t>4000</w:t>
      </w:r>
      <w:r>
        <w:rPr/>
        <w:t>家以内，</w:t>
      </w:r>
      <w:r>
        <w:rPr>
          <w:spacing w:val="-24"/>
        </w:rPr>
        <w:t> </w:t>
      </w:r>
      <w:r>
        <w:rPr/>
        <w:t>当前，</w:t>
      </w:r>
      <w:r>
        <w:rPr/>
        <w:t> </w:t>
      </w:r>
      <w:r>
        <w:rPr>
          <w:spacing w:val="-2"/>
        </w:rPr>
        <w:t>快速增长的经济对煤炭工业的发展提出了更高的要求。为此必须确保煤炭工业持续、稳定、健康的发展。近些年煤矿大量使</w:t>
      </w:r>
      <w:r>
        <w:rPr>
          <w:spacing w:val="-63"/>
        </w:rPr>
        <w:t> </w:t>
      </w:r>
      <w:r>
        <w:rPr>
          <w:spacing w:val="-63"/>
        </w:rPr>
      </w:r>
      <w:r>
        <w:rPr>
          <w:spacing w:val="-2"/>
        </w:rPr>
        <w:t>用大功率交变频机电设备，致使煤矿电网中高次谐波分量迅速增加供电质量下降直接威胁煤矿供电系统的安全，随着动态无</w:t>
      </w:r>
      <w:r>
        <w:rPr>
          <w:spacing w:val="-64"/>
        </w:rPr>
        <w:t> </w:t>
      </w:r>
      <w:r>
        <w:rPr>
          <w:spacing w:val="-64"/>
        </w:rPr>
      </w:r>
      <w:r>
        <w:rPr/>
        <w:t>功补偿技术发展的成熟，在煤矿的应用逐渐得以推广，市场容量巨大。</w:t>
      </w:r>
    </w:p>
    <w:p>
      <w:pPr>
        <w:pStyle w:val="BodyText"/>
        <w:spacing w:line="240" w:lineRule="auto" w:before="22"/>
        <w:ind w:right="0"/>
        <w:jc w:val="left"/>
      </w:pPr>
      <w:r>
        <w:rPr/>
        <w:t>（</w:t>
      </w:r>
      <w:r>
        <w:rPr>
          <w:rFonts w:ascii="Times New Roman" w:hAnsi="Times New Roman" w:cs="Times New Roman" w:eastAsia="Times New Roman" w:hint="default"/>
        </w:rPr>
        <w:t>3</w:t>
      </w:r>
      <w:r>
        <w:rPr/>
        <w:t>）余热余压利用方面，未来市场潜力巨大。</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2" w:lineRule="auto" w:before="44"/>
        <w:ind w:right="110" w:firstLine="360"/>
        <w:jc w:val="left"/>
      </w:pPr>
      <w:r>
        <w:rPr>
          <w:spacing w:val="-2"/>
        </w:rPr>
        <w:t>随着近年来我国经济的持续高速发展，能源供给和高耗能问题已经对我国经济的可持续发展造成威胁，国家对节能减排</w:t>
      </w:r>
      <w:r>
        <w:rPr/>
        <w:t> 工作提高到前所未有的高度，根据国务院发布的《十二五节能减排综合性工作方案》，十二五期间，将实施节能重点工程， 实施锅炉窑炉改造、电机系统节能、能量系统优化、余热余压利用、节约替代石油、建筑节能、绿色照明等节能改造工程， </w:t>
      </w:r>
      <w:r>
        <w:rPr>
          <w:spacing w:val="-2"/>
        </w:rPr>
        <w:t>以及节能技术产业化示范工程、节能产品惠民工程、合同能源管理推广工程和节能能力建设工程。到</w:t>
      </w:r>
      <w:r>
        <w:rPr>
          <w:rFonts w:ascii="Times New Roman" w:hAnsi="Times New Roman" w:cs="Times New Roman" w:eastAsia="Times New Roman" w:hint="default"/>
          <w:spacing w:val="-2"/>
        </w:rPr>
        <w:t>2015</w:t>
      </w:r>
      <w:r>
        <w:rPr>
          <w:spacing w:val="-2"/>
        </w:rPr>
        <w:t>年，工业锅炉、窑</w:t>
      </w:r>
      <w:r>
        <w:rPr>
          <w:spacing w:val="-64"/>
        </w:rPr>
        <w:t> </w:t>
      </w:r>
      <w:r>
        <w:rPr>
          <w:spacing w:val="-64"/>
        </w:rPr>
      </w:r>
      <w:r>
        <w:rPr/>
        <w:t>炉平均运行效率比</w:t>
      </w:r>
      <w:r>
        <w:rPr>
          <w:rFonts w:ascii="Times New Roman" w:hAnsi="Times New Roman" w:cs="Times New Roman" w:eastAsia="Times New Roman" w:hint="default"/>
        </w:rPr>
        <w:t>2010</w:t>
      </w:r>
      <w:r>
        <w:rPr/>
        <w:t>年分别提高</w:t>
      </w:r>
      <w:r>
        <w:rPr>
          <w:rFonts w:ascii="Times New Roman" w:hAnsi="Times New Roman" w:cs="Times New Roman" w:eastAsia="Times New Roman" w:hint="default"/>
        </w:rPr>
        <w:t>5</w:t>
      </w:r>
      <w:r>
        <w:rPr/>
        <w:t>个和</w:t>
      </w:r>
      <w:r>
        <w:rPr>
          <w:rFonts w:ascii="Times New Roman" w:hAnsi="Times New Roman" w:cs="Times New Roman" w:eastAsia="Times New Roman" w:hint="default"/>
        </w:rPr>
        <w:t>2</w:t>
      </w:r>
      <w:r>
        <w:rPr/>
        <w:t>个百分点，电机系统运行效率提高</w:t>
      </w:r>
      <w:r>
        <w:rPr>
          <w:rFonts w:ascii="Times New Roman" w:hAnsi="Times New Roman" w:cs="Times New Roman" w:eastAsia="Times New Roman" w:hint="default"/>
        </w:rPr>
        <w:t>2-3</w:t>
      </w:r>
      <w:r>
        <w:rPr/>
        <w:t>个百分点，新增余热余压发电能力</w:t>
      </w:r>
      <w:r>
        <w:rPr>
          <w:rFonts w:ascii="Times New Roman" w:hAnsi="Times New Roman" w:cs="Times New Roman" w:eastAsia="Times New Roman" w:hint="default"/>
        </w:rPr>
        <w:t>2000</w:t>
      </w:r>
      <w:r>
        <w:rPr/>
        <w:t>万千</w:t>
      </w:r>
      <w:r>
        <w:rPr>
          <w:spacing w:val="-57"/>
        </w:rPr>
        <w:t> </w:t>
      </w:r>
      <w:r>
        <w:rPr/>
        <w:t>瓦。</w:t>
      </w:r>
    </w:p>
    <w:p>
      <w:pPr>
        <w:pStyle w:val="BodyText"/>
        <w:spacing w:line="240" w:lineRule="auto" w:before="22"/>
        <w:ind w:right="0"/>
        <w:jc w:val="left"/>
      </w:pPr>
      <w:r>
        <w:rPr>
          <w:rFonts w:ascii="Times New Roman" w:hAnsi="Times New Roman" w:cs="Times New Roman" w:eastAsia="Times New Roman" w:hint="default"/>
        </w:rPr>
        <w:t>2</w:t>
      </w:r>
      <w:r>
        <w:rPr/>
        <w:t>、境外投资环境及投资地相关行业情况</w:t>
      </w:r>
    </w:p>
    <w:p>
      <w:pPr>
        <w:pStyle w:val="BodyText"/>
        <w:spacing w:line="300" w:lineRule="auto" w:before="63"/>
        <w:ind w:left="506" w:right="0" w:hanging="354"/>
        <w:jc w:val="left"/>
      </w:pPr>
      <w:r>
        <w:rPr/>
        <w:t>（</w:t>
      </w:r>
      <w:r>
        <w:rPr>
          <w:rFonts w:ascii="Times New Roman" w:hAnsi="Times New Roman" w:cs="Times New Roman" w:eastAsia="Times New Roman" w:hint="default"/>
        </w:rPr>
        <w:t>1</w:t>
      </w:r>
      <w:r>
        <w:rPr/>
        <w:t>）中国对境外投资的支持态度 </w:t>
      </w:r>
      <w:r>
        <w:rPr>
          <w:spacing w:val="-2"/>
        </w:rPr>
        <w:t>实施</w:t>
      </w:r>
      <w:r>
        <w:rPr>
          <w:rFonts w:ascii="Times New Roman" w:hAnsi="Times New Roman" w:cs="Times New Roman" w:eastAsia="Times New Roman" w:hint="default"/>
          <w:spacing w:val="-2"/>
        </w:rPr>
        <w:t>“</w:t>
      </w:r>
      <w:r>
        <w:rPr>
          <w:spacing w:val="-2"/>
        </w:rPr>
        <w:t>走出去</w:t>
      </w:r>
      <w:r>
        <w:rPr>
          <w:rFonts w:ascii="Times New Roman" w:hAnsi="Times New Roman" w:cs="Times New Roman" w:eastAsia="Times New Roman" w:hint="default"/>
          <w:spacing w:val="-2"/>
        </w:rPr>
        <w:t>”</w:t>
      </w:r>
      <w:r>
        <w:rPr>
          <w:spacing w:val="-2"/>
        </w:rPr>
        <w:t>战略，鼓励和支持企业开展境外投资，是我国对外开放阶段的重大战略举措。能源及矿产资源等国家急需</w:t>
      </w:r>
    </w:p>
    <w:p>
      <w:pPr>
        <w:pStyle w:val="BodyText"/>
        <w:spacing w:line="312" w:lineRule="auto" w:before="13"/>
        <w:ind w:right="94"/>
        <w:jc w:val="left"/>
      </w:pPr>
      <w:r>
        <w:rPr/>
        <w:t>的战略性资源更是国家政策支持的重点。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月，国家发改委发布的《</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利用外资和境外投资规划》中提到，十</w:t>
      </w:r>
      <w:r>
        <w:rPr>
          <w:spacing w:val="-67"/>
        </w:rPr>
        <w:t> </w:t>
      </w:r>
      <w:r>
        <w:rPr>
          <w:spacing w:val="-67"/>
        </w:rPr>
      </w:r>
      <w:r>
        <w:rPr/>
        <w:t>二五境外投资重点任务之一是积极参与境外资源开发项目，投资境外能源和矿产资源开发项目，为国民经济发展提供长期、 稳定、经济、安全的能源资源供给。</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月，国家十三个部门联合印发了《关于鼓励和引导民营企业积极开展境外投资</w:t>
      </w:r>
      <w:r>
        <w:rPr>
          <w:spacing w:val="-85"/>
        </w:rPr>
        <w:t> </w:t>
      </w:r>
      <w:r>
        <w:rPr>
          <w:spacing w:val="-85"/>
        </w:rPr>
      </w:r>
      <w:r>
        <w:rPr>
          <w:spacing w:val="-2"/>
        </w:rPr>
        <w:t>的实施意见》，支持国内有条件的民营企业通过多种方式到具备条件的国家和地区开展境外能源资源开发，加强民营企业境</w:t>
      </w:r>
      <w:r>
        <w:rPr>
          <w:spacing w:val="-66"/>
        </w:rPr>
        <w:t> </w:t>
      </w:r>
      <w:r>
        <w:rPr>
          <w:spacing w:val="-66"/>
        </w:rPr>
      </w:r>
      <w:r>
        <w:rPr>
          <w:spacing w:val="-2"/>
        </w:rPr>
        <w:t>外高新技术和先进制造业投资，促进国内战略性新兴产业发展，推动国内产业转型升级和结构调整。支持有实力的民营企业</w:t>
      </w:r>
      <w:r>
        <w:rPr>
          <w:spacing w:val="-63"/>
        </w:rPr>
        <w:t> </w:t>
      </w:r>
      <w:r>
        <w:rPr>
          <w:spacing w:val="-63"/>
        </w:rPr>
      </w:r>
      <w:r>
        <w:rPr/>
        <w:t>积极开展境外基础设施、农业和服务业投资合作。</w:t>
      </w:r>
    </w:p>
    <w:p>
      <w:pPr>
        <w:spacing w:line="240" w:lineRule="auto" w:before="7"/>
        <w:rPr>
          <w:rFonts w:ascii="宋体" w:hAnsi="宋体" w:cs="宋体" w:eastAsia="宋体" w:hint="default"/>
          <w:sz w:val="25"/>
          <w:szCs w:val="25"/>
        </w:rPr>
      </w:pPr>
    </w:p>
    <w:p>
      <w:pPr>
        <w:pStyle w:val="BodyText"/>
        <w:spacing w:line="314" w:lineRule="auto"/>
        <w:ind w:right="0"/>
        <w:jc w:val="left"/>
      </w:pPr>
      <w:r>
        <w:rPr/>
        <w:t>（</w:t>
      </w:r>
      <w:r>
        <w:rPr>
          <w:rFonts w:ascii="Times New Roman" w:hAnsi="Times New Roman" w:cs="Times New Roman" w:eastAsia="Times New Roman" w:hint="default"/>
        </w:rPr>
        <w:t>2</w:t>
      </w:r>
      <w:r>
        <w:rPr/>
        <w:t>）新加坡的法律与经济环境 </w:t>
      </w:r>
      <w:r>
        <w:rPr>
          <w:spacing w:val="-2"/>
        </w:rPr>
        <w:t>新加坡是亚洲乃至世界的金融中心，有着非常健全的资本市场和经济法律体制，新加坡经济高度市场和自由化，与全球多个</w:t>
      </w:r>
      <w:r>
        <w:rPr>
          <w:spacing w:val="-63"/>
        </w:rPr>
        <w:t> </w:t>
      </w:r>
      <w:r>
        <w:rPr>
          <w:spacing w:val="-63"/>
        </w:rPr>
      </w:r>
      <w:r>
        <w:rPr>
          <w:spacing w:val="-2"/>
        </w:rPr>
        <w:t>国家签署双边自由贸易协定。新加坡具备完备的法律体系，并严格执法，同包括中国在内的几十个国家签署双边投资保护协</w:t>
      </w:r>
      <w:r>
        <w:rPr>
          <w:spacing w:val="-63"/>
        </w:rPr>
        <w:t> </w:t>
      </w:r>
      <w:r>
        <w:rPr>
          <w:spacing w:val="-63"/>
        </w:rPr>
      </w:r>
      <w:r>
        <w:rPr>
          <w:spacing w:val="-2"/>
        </w:rPr>
        <w:t>定，以免外来投资受到战争以及征用资产、把资产国有化等非商业风险的影响。目前，印尼是新加坡最大贸易伙伴，新加坡</w:t>
      </w:r>
      <w:r>
        <w:rPr>
          <w:spacing w:val="-67"/>
        </w:rPr>
        <w:t> </w:t>
      </w:r>
      <w:r>
        <w:rPr>
          <w:spacing w:val="-67"/>
        </w:rPr>
      </w:r>
      <w:r>
        <w:rPr/>
        <w:t>则是印尼的最大投资国。</w:t>
      </w:r>
    </w:p>
    <w:p>
      <w:pPr>
        <w:pStyle w:val="BodyText"/>
        <w:spacing w:line="240" w:lineRule="auto" w:before="143"/>
        <w:ind w:right="0"/>
        <w:jc w:val="left"/>
      </w:pPr>
      <w:r>
        <w:rPr/>
        <w:t>（</w:t>
      </w:r>
      <w:r>
        <w:rPr>
          <w:rFonts w:ascii="Times New Roman" w:hAnsi="Times New Roman" w:cs="Times New Roman" w:eastAsia="Times New Roman" w:hint="default"/>
        </w:rPr>
        <w:t>3</w:t>
      </w:r>
      <w:r>
        <w:rPr/>
        <w:t>）印尼国家政治情况及相关行业发展情况</w:t>
      </w:r>
    </w:p>
    <w:p>
      <w:pPr>
        <w:pStyle w:val="BodyText"/>
        <w:spacing w:line="319" w:lineRule="auto" w:before="63"/>
        <w:ind w:left="513" w:right="0" w:hanging="361"/>
        <w:jc w:val="left"/>
      </w:pPr>
      <w:r>
        <w:rPr/>
        <w:t>①印尼国家政治及宏观经济情况 </w:t>
      </w:r>
      <w:r>
        <w:rPr>
          <w:spacing w:val="-2"/>
        </w:rPr>
        <w:t>印度尼西亚，实行总统内阁制度。现处于民主改革时期，民主改革已经历</w:t>
      </w:r>
      <w:r>
        <w:rPr>
          <w:rFonts w:ascii="Times New Roman" w:hAnsi="Times New Roman" w:cs="Times New Roman" w:eastAsia="Times New Roman" w:hint="default"/>
          <w:spacing w:val="-2"/>
        </w:rPr>
        <w:t>14</w:t>
      </w:r>
      <w:r>
        <w:rPr>
          <w:spacing w:val="-2"/>
        </w:rPr>
        <w:t>年，目前政局稳定，重视周边，积极发展与</w:t>
      </w:r>
    </w:p>
    <w:p>
      <w:pPr>
        <w:pStyle w:val="BodyText"/>
        <w:spacing w:line="233" w:lineRule="exact"/>
        <w:ind w:right="0"/>
        <w:jc w:val="left"/>
      </w:pPr>
      <w:r>
        <w:rPr/>
        <w:t>大国关系。</w:t>
      </w:r>
    </w:p>
    <w:p>
      <w:pPr>
        <w:pStyle w:val="BodyText"/>
        <w:spacing w:line="309" w:lineRule="auto" w:before="76"/>
        <w:ind w:right="190" w:firstLine="360"/>
        <w:jc w:val="both"/>
      </w:pPr>
      <w:r>
        <w:rPr>
          <w:spacing w:val="-1"/>
        </w:rPr>
        <w:t>近年来，印尼投资环境逐步改善，经济保持较快增长，</w:t>
      </w:r>
      <w:r>
        <w:rPr>
          <w:rFonts w:ascii="Times New Roman" w:hAnsi="Times New Roman" w:cs="Times New Roman" w:eastAsia="Times New Roman" w:hint="default"/>
          <w:spacing w:val="-1"/>
        </w:rPr>
        <w:t>2012</w:t>
      </w:r>
      <w:r>
        <w:rPr>
          <w:spacing w:val="-1"/>
        </w:rPr>
        <w:t>年全年</w:t>
      </w:r>
      <w:r>
        <w:rPr>
          <w:rFonts w:ascii="Times New Roman" w:hAnsi="Times New Roman" w:cs="Times New Roman" w:eastAsia="Times New Roman" w:hint="default"/>
          <w:spacing w:val="-1"/>
        </w:rPr>
        <w:t>GDP</w:t>
      </w:r>
      <w:r>
        <w:rPr>
          <w:spacing w:val="-1"/>
        </w:rPr>
        <w:t>增长</w:t>
      </w:r>
      <w:r>
        <w:rPr>
          <w:rFonts w:ascii="Times New Roman" w:hAnsi="Times New Roman" w:cs="Times New Roman" w:eastAsia="Times New Roman" w:hint="default"/>
          <w:spacing w:val="-1"/>
        </w:rPr>
        <w:t>6.23%</w:t>
      </w:r>
      <w:r>
        <w:rPr>
          <w:spacing w:val="-1"/>
        </w:rPr>
        <w:t>。印尼政治社会总体保持稳定，安全</w:t>
      </w:r>
      <w:r>
        <w:rPr/>
        <w:t> </w:t>
      </w:r>
      <w:r>
        <w:rPr>
          <w:spacing w:val="-2"/>
        </w:rPr>
        <w:t>环境逐步好转，对印尼投资合作的宏观环境趋好。政府将改善投资和商业环境列为优先发展的领域，并采取了一系列改革措</w:t>
      </w:r>
      <w:r>
        <w:rPr>
          <w:spacing w:val="-63"/>
        </w:rPr>
        <w:t> </w:t>
      </w:r>
      <w:r>
        <w:rPr>
          <w:spacing w:val="-63"/>
        </w:rPr>
      </w:r>
      <w:r>
        <w:rPr/>
        <w:t>施。</w:t>
      </w:r>
    </w:p>
    <w:p>
      <w:pPr>
        <w:pStyle w:val="BodyText"/>
        <w:spacing w:line="240" w:lineRule="auto" w:before="24"/>
        <w:ind w:left="573" w:right="0"/>
        <w:jc w:val="left"/>
      </w:pPr>
      <w:r>
        <w:rPr/>
        <w:t>印尼稳定的经济增长和在</w:t>
      </w:r>
      <w:r>
        <w:rPr>
          <w:rFonts w:ascii="Times New Roman" w:hAnsi="Times New Roman" w:cs="Times New Roman" w:eastAsia="Times New Roman" w:hint="default"/>
        </w:rPr>
        <w:t>2008</w:t>
      </w:r>
      <w:r>
        <w:rPr/>
        <w:t>年全球金融危机中的表现吸引了众多国内外投资者，惠誉和穆迪评级机构于</w:t>
      </w:r>
      <w:r>
        <w:rPr>
          <w:rFonts w:ascii="Times New Roman" w:hAnsi="Times New Roman" w:cs="Times New Roman" w:eastAsia="Times New Roman" w:hint="default"/>
        </w:rPr>
        <w:t>2011</w:t>
      </w:r>
      <w:r>
        <w:rPr/>
        <w:t>年底和</w:t>
      </w:r>
    </w:p>
    <w:p>
      <w:pPr>
        <w:pStyle w:val="BodyText"/>
        <w:spacing w:line="240" w:lineRule="auto" w:before="63"/>
        <w:ind w:right="0"/>
        <w:jc w:val="left"/>
      </w:pPr>
      <w:r>
        <w:rPr>
          <w:rFonts w:ascii="Times New Roman" w:hAnsi="Times New Roman" w:cs="Times New Roman" w:eastAsia="Times New Roman" w:hint="default"/>
        </w:rPr>
        <w:t>2012</w:t>
      </w:r>
      <w:r>
        <w:rPr/>
        <w:t>年初先后将印尼的主权信用级别调高至投资级</w:t>
      </w:r>
    </w:p>
    <w:p>
      <w:pPr>
        <w:pStyle w:val="BodyText"/>
        <w:spacing w:line="240" w:lineRule="auto" w:before="63"/>
        <w:ind w:right="0"/>
        <w:jc w:val="left"/>
      </w:pPr>
      <w:r>
        <w:rPr/>
        <w:t>②印尼国家资源情况</w:t>
      </w:r>
    </w:p>
    <w:p>
      <w:pPr>
        <w:pStyle w:val="BodyText"/>
        <w:spacing w:line="436" w:lineRule="exact" w:before="65"/>
        <w:ind w:left="513" w:right="0"/>
        <w:jc w:val="left"/>
      </w:pPr>
      <w:r>
        <w:rPr/>
        <w:t>根据印尼能源和矿产资源部发布的数据，印尼的锡矿、铜矿和煤矿的储存量分别排名全球第五、第七和第十五位。 </w:t>
      </w:r>
      <w:r>
        <w:rPr>
          <w:spacing w:val="-2"/>
        </w:rPr>
        <w:t>印尼煤炭资源非常丰富。据印尼能源矿产部统计，印尼煤炭资源储量为</w:t>
      </w:r>
      <w:r>
        <w:rPr>
          <w:rFonts w:ascii="Times New Roman" w:hAnsi="Times New Roman" w:cs="Times New Roman" w:eastAsia="Times New Roman" w:hint="default"/>
          <w:spacing w:val="-2"/>
        </w:rPr>
        <w:t>580</w:t>
      </w:r>
      <w:r>
        <w:rPr>
          <w:spacing w:val="-2"/>
        </w:rPr>
        <w:t>亿吨，已探明储量</w:t>
      </w:r>
      <w:r>
        <w:rPr>
          <w:rFonts w:ascii="Times New Roman" w:hAnsi="Times New Roman" w:cs="Times New Roman" w:eastAsia="Times New Roman" w:hint="default"/>
          <w:spacing w:val="-2"/>
        </w:rPr>
        <w:t>193</w:t>
      </w:r>
      <w:r>
        <w:rPr>
          <w:spacing w:val="-2"/>
        </w:rPr>
        <w:t>亿吨，其中</w:t>
      </w:r>
      <w:r>
        <w:rPr>
          <w:rFonts w:ascii="Times New Roman" w:hAnsi="Times New Roman" w:cs="Times New Roman" w:eastAsia="Times New Roman" w:hint="default"/>
          <w:spacing w:val="-2"/>
        </w:rPr>
        <w:t>54</w:t>
      </w:r>
      <w:r>
        <w:rPr>
          <w:spacing w:val="-2"/>
        </w:rPr>
        <w:t>亿吨为商</w:t>
      </w:r>
    </w:p>
    <w:p>
      <w:pPr>
        <w:pStyle w:val="BodyText"/>
        <w:spacing w:line="312" w:lineRule="auto" w:before="12"/>
        <w:ind w:right="94"/>
        <w:jc w:val="left"/>
      </w:pPr>
      <w:r>
        <w:rPr/>
        <w:t>业可开采储量。由于很多地区尚未探明储量，印尼政府估计煤炭资源总储量或达</w:t>
      </w:r>
      <w:r>
        <w:rPr>
          <w:rFonts w:ascii="Times New Roman" w:hAnsi="Times New Roman" w:cs="Times New Roman" w:eastAsia="Times New Roman" w:hint="default"/>
        </w:rPr>
        <w:t>900</w:t>
      </w:r>
      <w:r>
        <w:rPr/>
        <w:t>亿吨以上。印尼已探明煤炭储量主要分</w:t>
      </w:r>
      <w:r>
        <w:rPr>
          <w:spacing w:val="-84"/>
        </w:rPr>
        <w:t> </w:t>
      </w:r>
      <w:r>
        <w:rPr>
          <w:spacing w:val="-84"/>
        </w:rPr>
      </w:r>
      <w:r>
        <w:rPr>
          <w:spacing w:val="-2"/>
        </w:rPr>
        <w:t>布在苏门答腊和加里曼丹两岛，特别是集中在苏门答腊岛的中部和南部，以及加里曼丹岛的中部、东部和南部。从褐煤到无</w:t>
      </w:r>
      <w:r>
        <w:rPr>
          <w:spacing w:val="-64"/>
        </w:rPr>
        <w:t> </w:t>
      </w:r>
      <w:r>
        <w:rPr>
          <w:spacing w:val="-64"/>
        </w:rPr>
      </w:r>
      <w:r>
        <w:rPr/>
        <w:t>烟煤，印尼煤炭品种齐全。当地的火山活动更是提高了褐煤的品质。此外，印尼的煤矿多为露天矿，具有埋藏浅、煤层厚、</w:t>
      </w:r>
      <w:r>
        <w:rPr/>
        <w:t> 开采方便等产业优势。</w:t>
      </w:r>
    </w:p>
    <w:p>
      <w:pPr>
        <w:pStyle w:val="BodyText"/>
        <w:spacing w:line="300" w:lineRule="auto" w:before="149"/>
        <w:ind w:right="187" w:firstLine="360"/>
        <w:jc w:val="both"/>
      </w:pPr>
      <w:r>
        <w:rPr/>
        <w:t>印尼是全球最大的发电燃煤开采国，也是全球最大的动力煤出口国，占全球煤炭贸易量的比重超过</w:t>
      </w:r>
      <w:r>
        <w:rPr>
          <w:rFonts w:ascii="Times New Roman" w:hAnsi="Times New Roman" w:cs="Times New Roman" w:eastAsia="Times New Roman" w:hint="default"/>
        </w:rPr>
        <w:t>1/4</w:t>
      </w:r>
      <w:r>
        <w:rPr/>
        <w:t>，同时也是中国 </w:t>
      </w:r>
      <w:r>
        <w:rPr>
          <w:spacing w:val="-2"/>
        </w:rPr>
        <w:t>最大的进口来源国，印尼国内煤炭消费占总产量的比重总体约</w:t>
      </w:r>
      <w:r>
        <w:rPr>
          <w:rFonts w:ascii="Times New Roman" w:hAnsi="Times New Roman" w:cs="Times New Roman" w:eastAsia="Times New Roman" w:hint="default"/>
          <w:spacing w:val="-2"/>
        </w:rPr>
        <w:t>25%,</w:t>
      </w:r>
      <w:r>
        <w:rPr>
          <w:spacing w:val="-2"/>
        </w:rPr>
        <w:t>其中电力、水泥消费分别占</w:t>
      </w:r>
      <w:r>
        <w:rPr>
          <w:rFonts w:ascii="Times New Roman" w:hAnsi="Times New Roman" w:cs="Times New Roman" w:eastAsia="Times New Roman" w:hint="default"/>
          <w:spacing w:val="-2"/>
        </w:rPr>
        <w:t>71%</w:t>
      </w:r>
      <w:r>
        <w:rPr>
          <w:spacing w:val="-2"/>
        </w:rPr>
        <w:t>和</w:t>
      </w:r>
      <w:r>
        <w:rPr>
          <w:rFonts w:ascii="Times New Roman" w:hAnsi="Times New Roman" w:cs="Times New Roman" w:eastAsia="Times New Roman" w:hint="default"/>
          <w:spacing w:val="-2"/>
        </w:rPr>
        <w:t>13%</w:t>
      </w:r>
      <w:r>
        <w:rPr>
          <w:spacing w:val="-2"/>
        </w:rPr>
        <w:t>。根据规划</w:t>
      </w:r>
      <w:r>
        <w:rPr>
          <w:rFonts w:ascii="Times New Roman" w:hAnsi="Times New Roman" w:cs="Times New Roman" w:eastAsia="Times New Roman" w:hint="default"/>
          <w:spacing w:val="-2"/>
        </w:rPr>
        <w:t>,</w:t>
      </w:r>
      <w:r>
        <w:rPr>
          <w:spacing w:val="-2"/>
        </w:rPr>
        <w:t>至</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1"/>
        </w:rPr>
        <w:t>年电煤需求量将比</w:t>
      </w:r>
      <w:r>
        <w:rPr>
          <w:rFonts w:ascii="Times New Roman" w:hAnsi="Times New Roman" w:cs="Times New Roman" w:eastAsia="Times New Roman" w:hint="default"/>
          <w:spacing w:val="-1"/>
        </w:rPr>
        <w:t>2011</w:t>
      </w:r>
      <w:r>
        <w:rPr>
          <w:spacing w:val="-1"/>
        </w:rPr>
        <w:t>年增长</w:t>
      </w:r>
      <w:r>
        <w:rPr>
          <w:rFonts w:ascii="Times New Roman" w:hAnsi="Times New Roman" w:cs="Times New Roman" w:eastAsia="Times New Roman" w:hint="default"/>
          <w:spacing w:val="-1"/>
        </w:rPr>
        <w:t>2</w:t>
      </w:r>
      <w:r>
        <w:rPr>
          <w:spacing w:val="-1"/>
        </w:rPr>
        <w:t>倍达到</w:t>
      </w:r>
      <w:r>
        <w:rPr>
          <w:rFonts w:ascii="Times New Roman" w:hAnsi="Times New Roman" w:cs="Times New Roman" w:eastAsia="Times New Roman" w:hint="default"/>
          <w:spacing w:val="-1"/>
        </w:rPr>
        <w:t>1.25</w:t>
      </w:r>
      <w:r>
        <w:rPr>
          <w:spacing w:val="-1"/>
        </w:rPr>
        <w:t>亿吨</w:t>
      </w:r>
      <w:r>
        <w:rPr>
          <w:rFonts w:ascii="Times New Roman" w:hAnsi="Times New Roman" w:cs="Times New Roman" w:eastAsia="Times New Roman" w:hint="default"/>
          <w:spacing w:val="-1"/>
        </w:rPr>
        <w:t>,</w:t>
      </w:r>
      <w:r>
        <w:rPr>
          <w:spacing w:val="-1"/>
        </w:rPr>
        <w:t>年均需求复合增速高达</w:t>
      </w:r>
      <w:r>
        <w:rPr>
          <w:rFonts w:ascii="Times New Roman" w:hAnsi="Times New Roman" w:cs="Times New Roman" w:eastAsia="Times New Roman" w:hint="default"/>
          <w:spacing w:val="-1"/>
        </w:rPr>
        <w:t>10%</w:t>
      </w:r>
      <w:r>
        <w:rPr>
          <w:spacing w:val="-1"/>
        </w:rPr>
        <w:t>。其中</w:t>
      </w:r>
      <w:r>
        <w:rPr>
          <w:rFonts w:ascii="Times New Roman" w:hAnsi="Times New Roman" w:cs="Times New Roman" w:eastAsia="Times New Roman" w:hint="default"/>
          <w:spacing w:val="-1"/>
        </w:rPr>
        <w:t>12</w:t>
      </w:r>
      <w:r>
        <w:rPr>
          <w:spacing w:val="-1"/>
        </w:rPr>
        <w:t>和</w:t>
      </w:r>
      <w:r>
        <w:rPr>
          <w:rFonts w:ascii="Times New Roman" w:hAnsi="Times New Roman" w:cs="Times New Roman" w:eastAsia="Times New Roman" w:hint="default"/>
          <w:spacing w:val="-1"/>
        </w:rPr>
        <w:t>13</w:t>
      </w:r>
      <w:r>
        <w:rPr>
          <w:spacing w:val="-1"/>
        </w:rPr>
        <w:t>两年随着装机的陆续投产</w:t>
      </w:r>
      <w:r>
        <w:rPr>
          <w:rFonts w:ascii="Times New Roman" w:hAnsi="Times New Roman" w:cs="Times New Roman" w:eastAsia="Times New Roman" w:hint="default"/>
          <w:spacing w:val="-1"/>
        </w:rPr>
        <w:t>,</w:t>
      </w:r>
      <w:r>
        <w:rPr>
          <w:spacing w:val="-1"/>
        </w:rPr>
        <w:t>电煤的需</w:t>
      </w:r>
      <w:r>
        <w:rPr>
          <w:spacing w:val="-41"/>
        </w:rPr>
        <w:t> </w:t>
      </w:r>
      <w:r>
        <w:rPr/>
        <w:t>求增速将维持在</w:t>
      </w:r>
      <w:r>
        <w:rPr>
          <w:rFonts w:ascii="Times New Roman" w:hAnsi="Times New Roman" w:cs="Times New Roman" w:eastAsia="Times New Roman" w:hint="default"/>
        </w:rPr>
        <w:t>24%</w:t>
      </w:r>
      <w:r>
        <w:rPr/>
        <w:t>左右的高位。</w:t>
      </w:r>
    </w:p>
    <w:p>
      <w:pPr>
        <w:pStyle w:val="BodyText"/>
        <w:spacing w:line="240" w:lineRule="auto" w:before="140"/>
        <w:ind w:left="513" w:right="0"/>
        <w:jc w:val="left"/>
      </w:pPr>
      <w:r>
        <w:rPr/>
        <w:t>近年来印尼国家逐步开始重视可持续发展，通过各种方式限制出口，根据印度尼西亚能源和矿产资源部联合财政部出台</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2" w:lineRule="auto" w:before="44"/>
        <w:ind w:right="111"/>
        <w:jc w:val="both"/>
      </w:pPr>
      <w:r>
        <w:rPr/>
        <w:t>的规定，自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日起限制原矿出口，并对包括镍矿、铝土矿、铁矿在内的 </w:t>
      </w:r>
      <w:r>
        <w:rPr>
          <w:rFonts w:ascii="Times New Roman" w:hAnsi="Times New Roman" w:cs="Times New Roman" w:eastAsia="Times New Roman" w:hint="default"/>
        </w:rPr>
        <w:t>14</w:t>
      </w:r>
      <w:r>
        <w:rPr/>
        <w:t>种金属原矿出口征收</w:t>
      </w:r>
      <w:r>
        <w:rPr>
          <w:spacing w:val="-50"/>
        </w:rPr>
        <w:t> </w:t>
      </w:r>
      <w:r>
        <w:rPr>
          <w:rFonts w:ascii="Times New Roman" w:hAnsi="Times New Roman" w:cs="Times New Roman" w:eastAsia="Times New Roman" w:hint="default"/>
        </w:rPr>
        <w:t>20%</w:t>
      </w:r>
      <w:r>
        <w:rPr/>
        <w:t>的出口税。此 </w:t>
      </w:r>
      <w:r>
        <w:rPr>
          <w:spacing w:val="-2"/>
        </w:rPr>
        <w:t>项政策对于需要从印尼大量进口镍矿、锰矿等原矿的中国企业产生了重大冲击，许多企业已在考虑改变投资模式，从单纯做</w:t>
      </w:r>
      <w:r>
        <w:rPr>
          <w:spacing w:val="-63"/>
        </w:rPr>
        <w:t> </w:t>
      </w:r>
      <w:r>
        <w:rPr>
          <w:spacing w:val="-63"/>
        </w:rPr>
      </w:r>
      <w:r>
        <w:rPr>
          <w:spacing w:val="-2"/>
        </w:rPr>
        <w:t>贸易转为实体投资，采用合资经营方式，和当地政府在矿产资源丰富的地区联合修建工业园区，共同修建电力、码头、道路</w:t>
      </w:r>
      <w:r>
        <w:rPr>
          <w:spacing w:val="-65"/>
        </w:rPr>
        <w:t> </w:t>
      </w:r>
      <w:r>
        <w:rPr>
          <w:spacing w:val="-65"/>
        </w:rPr>
      </w:r>
      <w:r>
        <w:rPr/>
        <w:t>等基础配套设施，投资矿山，修建冶金厂，然后就地冶炼，印尼政府也一直希望外国投资者将印尼变为东南亚的生产基地。</w:t>
      </w:r>
    </w:p>
    <w:p>
      <w:pPr>
        <w:pStyle w:val="BodyText"/>
        <w:spacing w:line="240" w:lineRule="auto" w:before="22"/>
        <w:ind w:right="0"/>
        <w:jc w:val="both"/>
      </w:pPr>
      <w:r>
        <w:rPr/>
        <w:t>③印尼国家电力行业发展情况</w:t>
      </w:r>
    </w:p>
    <w:p>
      <w:pPr>
        <w:spacing w:line="240" w:lineRule="auto" w:before="7"/>
        <w:rPr>
          <w:rFonts w:ascii="宋体" w:hAnsi="宋体" w:cs="宋体" w:eastAsia="宋体" w:hint="default"/>
          <w:sz w:val="13"/>
          <w:szCs w:val="13"/>
        </w:rPr>
      </w:pPr>
    </w:p>
    <w:p>
      <w:pPr>
        <w:pStyle w:val="BodyText"/>
        <w:spacing w:line="300" w:lineRule="auto"/>
        <w:ind w:right="191" w:firstLine="425"/>
        <w:jc w:val="both"/>
      </w:pPr>
      <w:r>
        <w:rPr>
          <w:spacing w:val="-1"/>
        </w:rPr>
        <w:t>印度尼西亚是东盟地区最大的经济体，约有人口约</w:t>
      </w:r>
      <w:r>
        <w:rPr>
          <w:rFonts w:ascii="Times New Roman" w:hAnsi="Times New Roman" w:cs="Times New Roman" w:eastAsia="Times New Roman" w:hint="default"/>
          <w:spacing w:val="-1"/>
        </w:rPr>
        <w:t>2.7</w:t>
      </w:r>
      <w:r>
        <w:rPr>
          <w:spacing w:val="-1"/>
        </w:rPr>
        <w:t>亿，是世界第四大人口大国。印尼各类电力资源十份丰富，但电</w:t>
      </w:r>
      <w:r>
        <w:rPr/>
        <w:t> 力生产发展水平较低，当前，全国用电普及率仅为</w:t>
      </w:r>
      <w:r>
        <w:rPr>
          <w:rFonts w:ascii="Times New Roman" w:hAnsi="Times New Roman" w:cs="Times New Roman" w:eastAsia="Times New Roman" w:hint="default"/>
        </w:rPr>
        <w:t>65%</w:t>
      </w:r>
      <w:r>
        <w:rPr/>
        <w:t>，仍有</w:t>
      </w:r>
      <w:r>
        <w:rPr>
          <w:rFonts w:ascii="Times New Roman" w:hAnsi="Times New Roman" w:cs="Times New Roman" w:eastAsia="Times New Roman" w:hint="default"/>
        </w:rPr>
        <w:t>35%</w:t>
      </w:r>
      <w:r>
        <w:rPr/>
        <w:t>的人不能用上电，属于电力比较缺乏的国家。</w:t>
      </w:r>
    </w:p>
    <w:p>
      <w:pPr>
        <w:pStyle w:val="BodyText"/>
        <w:spacing w:line="300" w:lineRule="auto" w:before="13"/>
        <w:ind w:right="188" w:firstLine="396"/>
        <w:jc w:val="both"/>
      </w:pPr>
      <w:r>
        <w:rPr>
          <w:spacing w:val="-1"/>
        </w:rPr>
        <w:t>截至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日，印尼全国发电总装机容量约为</w:t>
      </w:r>
      <w:r>
        <w:rPr>
          <w:rFonts w:ascii="Times New Roman" w:hAnsi="Times New Roman" w:cs="Times New Roman" w:eastAsia="Times New Roman" w:hint="default"/>
          <w:spacing w:val="-1"/>
        </w:rPr>
        <w:t>3112</w:t>
      </w:r>
      <w:r>
        <w:rPr>
          <w:spacing w:val="-1"/>
        </w:rPr>
        <w:t>万千瓦（中国</w:t>
      </w:r>
      <w:r>
        <w:rPr>
          <w:rFonts w:ascii="Times New Roman" w:hAnsi="Times New Roman" w:cs="Times New Roman" w:eastAsia="Times New Roman" w:hint="default"/>
          <w:spacing w:val="-1"/>
        </w:rPr>
        <w:t>2012</w:t>
      </w:r>
      <w:r>
        <w:rPr>
          <w:spacing w:val="-1"/>
        </w:rPr>
        <w:t>年新增发电装机</w:t>
      </w:r>
      <w:r>
        <w:rPr>
          <w:rFonts w:ascii="Times New Roman" w:hAnsi="Times New Roman" w:cs="Times New Roman" w:eastAsia="Times New Roman" w:hint="default"/>
          <w:spacing w:val="-1"/>
        </w:rPr>
        <w:t>8000</w:t>
      </w:r>
      <w:r>
        <w:rPr>
          <w:spacing w:val="-1"/>
        </w:rPr>
        <w:t>万千瓦，至</w:t>
      </w:r>
      <w:r>
        <w:rPr>
          <w:rFonts w:ascii="Times New Roman" w:hAnsi="Times New Roman" w:cs="Times New Roman" w:eastAsia="Times New Roman" w:hint="default"/>
          <w:spacing w:val="-1"/>
        </w:rPr>
        <w:t>2012</w:t>
      </w:r>
      <w:r>
        <w:rPr>
          <w:spacing w:val="-1"/>
        </w:rPr>
        <w:t>年底发</w:t>
      </w:r>
      <w:r>
        <w:rPr/>
        <w:t> 电装机容量约至</w:t>
      </w:r>
      <w:r>
        <w:rPr>
          <w:rFonts w:ascii="Times New Roman" w:hAnsi="Times New Roman" w:cs="Times New Roman" w:eastAsia="Times New Roman" w:hint="default"/>
        </w:rPr>
        <w:t>11.4</w:t>
      </w:r>
      <w:r>
        <w:rPr/>
        <w:t>亿千瓦）。</w:t>
      </w:r>
    </w:p>
    <w:p>
      <w:pPr>
        <w:pStyle w:val="BodyText"/>
        <w:spacing w:line="309" w:lineRule="auto" w:before="111"/>
        <w:ind w:right="190" w:firstLine="324"/>
        <w:jc w:val="both"/>
      </w:pPr>
      <w:r>
        <w:rPr>
          <w:spacing w:val="-1"/>
        </w:rPr>
        <w:t>由于印尼是一个群岛国家，岛屿之间的电网连接不太方便，加上受亚洲金融危机影响，印尼电网建设相对落后，目前印</w:t>
      </w:r>
      <w:r>
        <w:rPr/>
        <w:t> </w:t>
      </w:r>
      <w:r>
        <w:rPr>
          <w:spacing w:val="-1"/>
        </w:rPr>
        <w:t>尼只有一个电网即爪哇</w:t>
      </w:r>
      <w:r>
        <w:rPr>
          <w:rFonts w:ascii="Times New Roman" w:hAnsi="Times New Roman" w:cs="Times New Roman" w:eastAsia="Times New Roman" w:hint="default"/>
          <w:spacing w:val="-1"/>
        </w:rPr>
        <w:t>-</w:t>
      </w:r>
      <w:r>
        <w:rPr>
          <w:spacing w:val="-1"/>
        </w:rPr>
        <w:t>巴厘</w:t>
      </w:r>
      <w:r>
        <w:rPr>
          <w:rFonts w:ascii="Times New Roman" w:hAnsi="Times New Roman" w:cs="Times New Roman" w:eastAsia="Times New Roman" w:hint="default"/>
          <w:spacing w:val="-1"/>
        </w:rPr>
        <w:t>-</w:t>
      </w:r>
      <w:r>
        <w:rPr>
          <w:spacing w:val="-1"/>
        </w:rPr>
        <w:t>马都拉电网；苏门答腊岛的有一部分电站也简单联接在一起但还未构成电网；其他地区的电站</w:t>
      </w:r>
      <w:r>
        <w:rPr>
          <w:spacing w:val="-57"/>
        </w:rPr>
        <w:t> </w:t>
      </w:r>
      <w:r>
        <w:rPr>
          <w:spacing w:val="-57"/>
        </w:rPr>
      </w:r>
      <w:r>
        <w:rPr/>
        <w:t>都是独立的，只能对周围地区供电。</w:t>
      </w:r>
    </w:p>
    <w:p>
      <w:pPr>
        <w:pStyle w:val="BodyText"/>
        <w:spacing w:line="316" w:lineRule="auto" w:before="125"/>
        <w:ind w:right="197" w:firstLine="432"/>
        <w:jc w:val="both"/>
      </w:pPr>
      <w:r>
        <w:rPr/>
        <w:t>近年来，印尼电力短缺已十分明显，影响了工业及基础建设的正常发展，电力短缺成为全国上下十分关心的问题，也 成为政府吸引外国投资的尴尬所在。</w:t>
      </w:r>
    </w:p>
    <w:p>
      <w:pPr>
        <w:pStyle w:val="BodyText"/>
        <w:spacing w:line="316" w:lineRule="auto" w:before="19"/>
        <w:ind w:right="6214"/>
        <w:jc w:val="left"/>
      </w:pPr>
      <w:r>
        <w:rPr/>
        <w:t>（三）公司拥有的竞争优势及可能面对的风险 </w:t>
      </w:r>
      <w:r>
        <w:rPr>
          <w:rFonts w:ascii="宋体" w:hAnsi="宋体" w:cs="宋体" w:eastAsia="宋体" w:hint="default"/>
        </w:rPr>
        <w:t>1</w:t>
      </w:r>
      <w:r>
        <w:rPr/>
        <w:t>、公司拥有的竞争优势</w:t>
      </w:r>
    </w:p>
    <w:p>
      <w:pPr>
        <w:pStyle w:val="BodyText"/>
        <w:spacing w:line="300" w:lineRule="auto" w:before="19"/>
        <w:ind w:right="193"/>
        <w:jc w:val="both"/>
      </w:pPr>
      <w:r>
        <w:rPr/>
        <w:t>（</w:t>
      </w:r>
      <w:r>
        <w:rPr>
          <w:rFonts w:ascii="Times New Roman" w:hAnsi="Times New Roman" w:cs="Times New Roman" w:eastAsia="Times New Roman" w:hint="default"/>
        </w:rPr>
        <w:t>1</w:t>
      </w:r>
      <w:r>
        <w:rPr/>
        <w:t>）客户资源优势：公司自成立以来，一直专注服务于电力客户与煤炭、冶炼等行业客户，通过市场的不断耕耘拓展，建</w:t>
      </w:r>
      <w:r>
        <w:rPr>
          <w:spacing w:val="-84"/>
        </w:rPr>
        <w:t> </w:t>
      </w:r>
      <w:r>
        <w:rPr>
          <w:spacing w:val="-84"/>
        </w:rPr>
      </w:r>
      <w:r>
        <w:rPr/>
        <w:t>立了良好的声誉和牢固的客户关系。</w:t>
      </w:r>
    </w:p>
    <w:p>
      <w:pPr>
        <w:pStyle w:val="BodyText"/>
        <w:spacing w:line="300" w:lineRule="auto" w:before="31"/>
        <w:ind w:right="192"/>
        <w:jc w:val="both"/>
      </w:pPr>
      <w:r>
        <w:rPr/>
        <w:t>（</w:t>
      </w:r>
      <w:r>
        <w:rPr>
          <w:rFonts w:ascii="Times New Roman" w:hAnsi="Times New Roman" w:cs="Times New Roman" w:eastAsia="Times New Roman" w:hint="default"/>
        </w:rPr>
        <w:t>2</w:t>
      </w:r>
      <w:r>
        <w:rPr/>
        <w:t>）技术与研发创新优势：公司一直致力于技术与研发的创新，以客户需求为导向，持续改进产品性能结构，引导和培育</w:t>
      </w:r>
      <w:r>
        <w:rPr>
          <w:spacing w:val="-83"/>
        </w:rPr>
        <w:t> </w:t>
      </w:r>
      <w:r>
        <w:rPr>
          <w:spacing w:val="-83"/>
        </w:rPr>
      </w:r>
      <w:r>
        <w:rPr/>
        <w:t>市场，不断推出产品。</w:t>
      </w:r>
    </w:p>
    <w:p>
      <w:pPr>
        <w:pStyle w:val="BodyText"/>
        <w:spacing w:line="309" w:lineRule="auto" w:before="31"/>
        <w:ind w:right="0"/>
        <w:jc w:val="left"/>
      </w:pPr>
      <w:r>
        <w:rPr>
          <w:spacing w:val="-2"/>
        </w:rPr>
        <w:t>（</w:t>
      </w:r>
      <w:r>
        <w:rPr>
          <w:rFonts w:ascii="Times New Roman" w:hAnsi="Times New Roman" w:cs="Times New Roman" w:eastAsia="Times New Roman" w:hint="default"/>
          <w:spacing w:val="-2"/>
        </w:rPr>
        <w:t>3</w:t>
      </w:r>
      <w:r>
        <w:rPr>
          <w:spacing w:val="-2"/>
        </w:rPr>
        <w:t>）客户服务优势：公司一贯坚持以客户需求为导向，为客户提供整体解决方案和一站式服务。公司采用定制化生产模式，</w:t>
      </w:r>
      <w:r>
        <w:rPr>
          <w:spacing w:val="-63"/>
        </w:rPr>
        <w:t> </w:t>
      </w:r>
      <w:r>
        <w:rPr>
          <w:spacing w:val="-63"/>
        </w:rPr>
      </w:r>
      <w:r>
        <w:rPr>
          <w:spacing w:val="-2"/>
        </w:rPr>
        <w:t>根据不同的客户需求，从项目的方案设计、产品的设计、制造、安装到项目的运营维护，为用户提供全面的服务。公司不局</w:t>
      </w:r>
      <w:r>
        <w:rPr>
          <w:spacing w:val="-68"/>
        </w:rPr>
        <w:t> </w:t>
      </w:r>
      <w:r>
        <w:rPr>
          <w:spacing w:val="-68"/>
        </w:rPr>
      </w:r>
      <w:r>
        <w:rPr/>
        <w:t>限于仅仅提供产品，更重要的是为用户的整个项目提供解决方案。</w:t>
      </w:r>
    </w:p>
    <w:p>
      <w:pPr>
        <w:pStyle w:val="BodyText"/>
        <w:spacing w:line="300" w:lineRule="auto" w:before="24"/>
        <w:ind w:right="193"/>
        <w:jc w:val="both"/>
      </w:pPr>
      <w:r>
        <w:rPr/>
        <w:t>（</w:t>
      </w:r>
      <w:r>
        <w:rPr>
          <w:rFonts w:ascii="Times New Roman" w:hAnsi="Times New Roman" w:cs="Times New Roman" w:eastAsia="Times New Roman" w:hint="default"/>
        </w:rPr>
        <w:t>5</w:t>
      </w:r>
      <w:r>
        <w:rPr/>
        <w:t>）管理优势：公司坚持管理创新和改进，逐步完善和健全了基于业务目标的高效的内部管理制度，并运用各种管理软件</w:t>
      </w:r>
      <w:r>
        <w:rPr>
          <w:spacing w:val="-84"/>
        </w:rPr>
        <w:t> </w:t>
      </w:r>
      <w:r>
        <w:rPr>
          <w:spacing w:val="-84"/>
        </w:rPr>
      </w:r>
      <w:r>
        <w:rPr/>
        <w:t>系统支持业务流程的高效运作，领用</w:t>
      </w:r>
      <w:r>
        <w:rPr>
          <w:rFonts w:ascii="Times New Roman" w:hAnsi="Times New Roman" w:cs="Times New Roman" w:eastAsia="Times New Roman" w:hint="default"/>
        </w:rPr>
        <w:t>ERP</w:t>
      </w:r>
      <w:r>
        <w:rPr/>
        <w:t>、</w:t>
      </w:r>
      <w:r>
        <w:rPr>
          <w:rFonts w:ascii="Times New Roman" w:hAnsi="Times New Roman" w:cs="Times New Roman" w:eastAsia="Times New Roman" w:hint="default"/>
        </w:rPr>
        <w:t>MEC</w:t>
      </w:r>
      <w:r>
        <w:rPr/>
        <w:t>、</w:t>
      </w:r>
      <w:r>
        <w:rPr>
          <w:rFonts w:ascii="Times New Roman" w:hAnsi="Times New Roman" w:cs="Times New Roman" w:eastAsia="Times New Roman" w:hint="default"/>
        </w:rPr>
        <w:t>OA</w:t>
      </w:r>
      <w:r>
        <w:rPr/>
        <w:t>等系统有效整合了公司的各种资源，推动了管理流程及制度的持续优</w:t>
      </w:r>
      <w:r>
        <w:rPr>
          <w:spacing w:val="-77"/>
        </w:rPr>
        <w:t> </w:t>
      </w:r>
      <w:r>
        <w:rPr>
          <w:spacing w:val="-77"/>
        </w:rPr>
      </w:r>
      <w:r>
        <w:rPr/>
        <w:t>化，既满足了客户需求，又有效控制了内部运营成本和运营风险。</w:t>
      </w:r>
    </w:p>
    <w:p>
      <w:pPr>
        <w:pStyle w:val="BodyText"/>
        <w:spacing w:line="240" w:lineRule="auto" w:before="31"/>
        <w:ind w:right="0"/>
        <w:jc w:val="both"/>
      </w:pPr>
      <w:r>
        <w:rPr>
          <w:rFonts w:ascii="Times New Roman" w:hAnsi="Times New Roman" w:cs="Times New Roman" w:eastAsia="Times New Roman" w:hint="default"/>
        </w:rPr>
        <w:t>2</w:t>
      </w:r>
      <w:r>
        <w:rPr/>
        <w:t>、可能面对的风险</w:t>
      </w:r>
    </w:p>
    <w:p>
      <w:pPr>
        <w:pStyle w:val="BodyText"/>
        <w:spacing w:line="240" w:lineRule="auto" w:before="63"/>
        <w:ind w:left="369" w:right="0"/>
        <w:jc w:val="left"/>
      </w:pPr>
      <w:r>
        <w:rPr/>
        <w:t>可能面对的风险具体内容详见第三节</w:t>
      </w:r>
      <w:r>
        <w:rPr>
          <w:spacing w:val="-18"/>
        </w:rPr>
        <w:t> </w:t>
      </w:r>
      <w:r>
        <w:rPr/>
        <w:t>重大风险提示。</w:t>
      </w:r>
    </w:p>
    <w:p>
      <w:pPr>
        <w:pStyle w:val="BodyText"/>
        <w:spacing w:line="300" w:lineRule="auto" w:before="76"/>
        <w:ind w:left="441" w:right="2625" w:hanging="28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)2013</w:t>
      </w:r>
      <w:r>
        <w:rPr/>
        <w:t>年公司经营计划</w:t>
      </w:r>
      <w:r>
        <w:rPr>
          <w:w w:val="99"/>
        </w:rPr>
        <w:t> </w:t>
      </w:r>
      <w:r>
        <w:rPr>
          <w:rFonts w:ascii="Times New Roman" w:hAnsi="Times New Roman" w:cs="Times New Roman" w:eastAsia="Times New Roman" w:hint="default"/>
        </w:rPr>
        <w:t>1</w:t>
      </w:r>
      <w:r>
        <w:rPr/>
        <w:t>、根据公司之前推出的股权激励行权目标：公司</w:t>
      </w:r>
      <w:r>
        <w:rPr>
          <w:rFonts w:ascii="Times New Roman" w:hAnsi="Times New Roman" w:cs="Times New Roman" w:eastAsia="Times New Roman" w:hint="default"/>
        </w:rPr>
        <w:t>2013</w:t>
      </w:r>
      <w:r>
        <w:rPr/>
        <w:t>净利润相比</w:t>
      </w:r>
      <w:r>
        <w:rPr>
          <w:rFonts w:ascii="Times New Roman" w:hAnsi="Times New Roman" w:cs="Times New Roman" w:eastAsia="Times New Roman" w:hint="default"/>
        </w:rPr>
        <w:t>2010</w:t>
      </w:r>
      <w:r>
        <w:rPr/>
        <w:t>年增长达到</w:t>
      </w:r>
      <w:r>
        <w:rPr>
          <w:rFonts w:ascii="Times New Roman" w:hAnsi="Times New Roman" w:cs="Times New Roman" w:eastAsia="Times New Roman" w:hint="default"/>
        </w:rPr>
        <w:t>50%</w:t>
      </w:r>
      <w:r>
        <w:rPr/>
        <w:t>。</w:t>
      </w:r>
    </w:p>
    <w:p>
      <w:pPr>
        <w:pStyle w:val="BodyText"/>
        <w:spacing w:line="300" w:lineRule="auto" w:before="13"/>
        <w:ind w:right="191" w:firstLine="353"/>
        <w:jc w:val="both"/>
      </w:pPr>
      <w:r>
        <w:rPr>
          <w:rFonts w:ascii="Times New Roman" w:hAnsi="Times New Roman" w:cs="Times New Roman" w:eastAsia="Times New Roman" w:hint="default"/>
        </w:rPr>
        <w:t>2012</w:t>
      </w:r>
      <w:r>
        <w:rPr/>
        <w:t>年下半年起，公司的未来产业规划产生较大变化，如果公司</w:t>
      </w:r>
      <w:r>
        <w:rPr>
          <w:rFonts w:ascii="Times New Roman" w:hAnsi="Times New Roman" w:cs="Times New Roman" w:eastAsia="Times New Roman" w:hint="default"/>
        </w:rPr>
        <w:t>2013</w:t>
      </w:r>
      <w:r>
        <w:rPr/>
        <w:t>年的部分产业规划可以顺利实施，将给公司</w:t>
      </w:r>
      <w:r>
        <w:rPr>
          <w:rFonts w:ascii="Times New Roman" w:hAnsi="Times New Roman" w:cs="Times New Roman" w:eastAsia="Times New Roman" w:hint="default"/>
        </w:rPr>
        <w:t>2013 </w:t>
      </w:r>
      <w:r>
        <w:rPr>
          <w:spacing w:val="-2"/>
        </w:rPr>
        <w:t>年的盈利带来巨大提升；反之，若产业规划不能顺利实施，因项目负债所带来的财务费用剧增等将对公司</w:t>
      </w:r>
      <w:r>
        <w:rPr>
          <w:rFonts w:ascii="Times New Roman" w:hAnsi="Times New Roman" w:cs="Times New Roman" w:eastAsia="Times New Roman" w:hint="default"/>
          <w:spacing w:val="-2"/>
        </w:rPr>
        <w:t>2013</w:t>
      </w:r>
      <w:r>
        <w:rPr>
          <w:spacing w:val="-2"/>
        </w:rPr>
        <w:t>年的盈利产生</w:t>
      </w:r>
      <w:r>
        <w:rPr>
          <w:spacing w:val="-62"/>
        </w:rPr>
        <w:t> </w:t>
      </w:r>
      <w:r>
        <w:rPr>
          <w:spacing w:val="-62"/>
        </w:rPr>
      </w:r>
      <w:r>
        <w:rPr/>
        <w:t>巨大不利影响。</w:t>
      </w:r>
    </w:p>
    <w:p>
      <w:pPr>
        <w:pStyle w:val="BodyText"/>
        <w:spacing w:line="300" w:lineRule="auto" w:before="31"/>
        <w:ind w:right="194" w:firstLine="353"/>
        <w:jc w:val="both"/>
      </w:pPr>
      <w:r>
        <w:rPr>
          <w:spacing w:val="-2"/>
        </w:rPr>
        <w:t>上述股权激励的行权目标并不代表公司对</w:t>
      </w:r>
      <w:r>
        <w:rPr>
          <w:rFonts w:ascii="Times New Roman" w:hAnsi="Times New Roman" w:cs="Times New Roman" w:eastAsia="Times New Roman" w:hint="default"/>
          <w:spacing w:val="-2"/>
        </w:rPr>
        <w:t>2013</w:t>
      </w:r>
      <w:r>
        <w:rPr>
          <w:spacing w:val="-2"/>
        </w:rPr>
        <w:t>年度的盈利预测，公司经营目标的实现受多种因素的影响，存在较大的不</w:t>
      </w:r>
      <w:r>
        <w:rPr/>
        <w:t> 确定性，请投资者特别注意。</w:t>
      </w:r>
    </w:p>
    <w:p>
      <w:pPr>
        <w:pStyle w:val="BodyText"/>
        <w:spacing w:line="240" w:lineRule="auto" w:before="31"/>
        <w:ind w:left="441" w:right="0"/>
        <w:jc w:val="left"/>
      </w:pPr>
      <w:r>
        <w:rPr>
          <w:rFonts w:ascii="Times New Roman" w:hAnsi="Times New Roman" w:cs="Times New Roman" w:eastAsia="Times New Roman" w:hint="default"/>
        </w:rPr>
        <w:t>2</w:t>
      </w:r>
      <w:r>
        <w:rPr/>
        <w:t>、加快推进海外投资项目的实施</w:t>
      </w:r>
    </w:p>
    <w:p>
      <w:pPr>
        <w:pStyle w:val="BodyText"/>
        <w:spacing w:line="300" w:lineRule="auto" w:before="63"/>
        <w:ind w:right="188" w:firstLine="353"/>
        <w:jc w:val="both"/>
      </w:pPr>
      <w:r>
        <w:rPr>
          <w:rFonts w:ascii="Times New Roman" w:hAnsi="Times New Roman" w:cs="Times New Roman" w:eastAsia="Times New Roman" w:hint="default"/>
          <w:spacing w:val="-2"/>
        </w:rPr>
        <w:t>2013</w:t>
      </w:r>
      <w:r>
        <w:rPr>
          <w:spacing w:val="-2"/>
        </w:rPr>
        <w:t>年公司将集中资源，加快推进海外煤矿资产的收购业务，争取在上半年全部完成正在进行的两个项目的收购及整合</w:t>
      </w:r>
      <w:r>
        <w:rPr/>
        <w:t> </w:t>
      </w:r>
      <w:r>
        <w:rPr>
          <w:spacing w:val="-2"/>
        </w:rPr>
        <w:t>工作，并及时制订下一步的生产计划及市场销售计划，在</w:t>
      </w:r>
      <w:r>
        <w:rPr>
          <w:rFonts w:ascii="Times New Roman" w:hAnsi="Times New Roman" w:cs="Times New Roman" w:eastAsia="Times New Roman" w:hint="default"/>
          <w:spacing w:val="-2"/>
        </w:rPr>
        <w:t>2013</w:t>
      </w:r>
      <w:r>
        <w:rPr>
          <w:spacing w:val="-2"/>
        </w:rPr>
        <w:t>年实现一定数量的煤炭生产及销售。同时在</w:t>
      </w:r>
      <w:r>
        <w:rPr>
          <w:rFonts w:ascii="Times New Roman" w:hAnsi="Times New Roman" w:cs="Times New Roman" w:eastAsia="Times New Roman" w:hint="default"/>
          <w:spacing w:val="-2"/>
        </w:rPr>
        <w:t>2013</w:t>
      </w:r>
      <w:r>
        <w:rPr>
          <w:spacing w:val="-2"/>
        </w:rPr>
        <w:t>年将启动在印</w:t>
      </w:r>
      <w:r>
        <w:rPr>
          <w:spacing w:val="-57"/>
        </w:rPr>
        <w:t> </w:t>
      </w:r>
      <w:r>
        <w:rPr>
          <w:spacing w:val="-57"/>
        </w:rPr>
      </w:r>
      <w:r>
        <w:rPr/>
        <w:t>尼的工业园项目，并适时在资源、营销渠道、资源开采方面进行收购扩张。</w:t>
      </w:r>
    </w:p>
    <w:p>
      <w:pPr>
        <w:pStyle w:val="BodyText"/>
        <w:spacing w:line="300" w:lineRule="auto" w:before="31"/>
        <w:ind w:left="506" w:right="0" w:hanging="137"/>
        <w:jc w:val="left"/>
      </w:pPr>
      <w:r>
        <w:rPr>
          <w:rFonts w:ascii="Times New Roman" w:hAnsi="Times New Roman" w:cs="Times New Roman" w:eastAsia="Times New Roman" w:hint="default"/>
        </w:rPr>
        <w:t>3</w:t>
      </w:r>
      <w:r>
        <w:rPr/>
        <w:t>、加强研发和创新工作 继续加大科技研发投入，</w:t>
      </w:r>
      <w:r>
        <w:rPr>
          <w:rFonts w:ascii="Times New Roman" w:hAnsi="Times New Roman" w:cs="Times New Roman" w:eastAsia="Times New Roman" w:hint="default"/>
        </w:rPr>
        <w:t>2013</w:t>
      </w:r>
      <w:r>
        <w:rPr/>
        <w:t>年主要方向为研发高低压</w:t>
      </w:r>
      <w:r>
        <w:rPr>
          <w:rFonts w:ascii="Times New Roman" w:hAnsi="Times New Roman" w:cs="Times New Roman" w:eastAsia="Times New Roman" w:hint="default"/>
        </w:rPr>
        <w:t>SVG,</w:t>
      </w:r>
      <w:r>
        <w:rPr/>
        <w:t>有源滤波，矿井防爆</w:t>
      </w:r>
      <w:r>
        <w:rPr>
          <w:rFonts w:ascii="Times New Roman" w:hAnsi="Times New Roman" w:cs="Times New Roman" w:eastAsia="Times New Roman" w:hint="default"/>
        </w:rPr>
        <w:t>SVG</w:t>
      </w:r>
      <w:r>
        <w:rPr/>
        <w:t>，</w:t>
      </w:r>
      <w:r>
        <w:rPr>
          <w:rFonts w:ascii="Times New Roman" w:hAnsi="Times New Roman" w:cs="Times New Roman" w:eastAsia="Times New Roman" w:hint="default"/>
        </w:rPr>
        <w:t>MCR</w:t>
      </w:r>
      <w:r>
        <w:rPr/>
        <w:t>动态补偿，智能电容器及</w:t>
      </w:r>
    </w:p>
    <w:p>
      <w:pPr>
        <w:pStyle w:val="BodyText"/>
        <w:spacing w:line="316" w:lineRule="auto" w:before="13"/>
        <w:ind w:right="190"/>
        <w:jc w:val="both"/>
      </w:pPr>
      <w:r>
        <w:rPr>
          <w:spacing w:val="-2"/>
        </w:rPr>
        <w:t>状态监测系列产品；参与国内相关行业标准的编制和修订工作，提高公司产品的试验与检测能力；优化调整研发管理流程及</w:t>
      </w:r>
      <w:r>
        <w:rPr>
          <w:spacing w:val="-63"/>
        </w:rPr>
        <w:t> </w:t>
      </w:r>
      <w:r>
        <w:rPr>
          <w:spacing w:val="-63"/>
        </w:rPr>
      </w:r>
      <w:r>
        <w:rPr/>
        <w:t>研发绩效考核，立足于客户与市场的需求，创造新的技术成果。</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369" w:right="0"/>
        <w:jc w:val="left"/>
      </w:pPr>
      <w:r>
        <w:rPr>
          <w:rFonts w:ascii="Times New Roman" w:hAnsi="Times New Roman" w:cs="Times New Roman" w:eastAsia="Times New Roman" w:hint="default"/>
        </w:rPr>
        <w:t>4</w:t>
      </w:r>
      <w:r>
        <w:rPr/>
        <w:t>、适时开拓海外市场</w:t>
      </w:r>
    </w:p>
    <w:p>
      <w:pPr>
        <w:pStyle w:val="BodyText"/>
        <w:spacing w:line="300" w:lineRule="auto" w:before="63"/>
        <w:ind w:right="0" w:firstLine="353"/>
        <w:jc w:val="left"/>
      </w:pPr>
      <w:r>
        <w:rPr>
          <w:rFonts w:ascii="Times New Roman" w:hAnsi="Times New Roman" w:cs="Times New Roman" w:eastAsia="Times New Roman" w:hint="default"/>
          <w:spacing w:val="-2"/>
        </w:rPr>
        <w:t>2013</w:t>
      </w:r>
      <w:r>
        <w:rPr>
          <w:spacing w:val="-2"/>
        </w:rPr>
        <w:t>年将在印尼开展投资业务的同时，调研印尼电力设备市场状况，适时考虑在印尼设厂，通过在本地生产、运输海外</w:t>
      </w:r>
      <w:r>
        <w:rPr/>
        <w:t> 完成最后组装的模式，以印尼为起点，开拓电力设备的海外直接销售市场。</w:t>
      </w:r>
    </w:p>
    <w:p>
      <w:pPr>
        <w:pStyle w:val="BodyText"/>
        <w:spacing w:line="300" w:lineRule="auto" w:before="31"/>
        <w:ind w:left="506" w:right="0" w:hanging="137"/>
        <w:jc w:val="left"/>
      </w:pPr>
      <w:r>
        <w:rPr>
          <w:rFonts w:ascii="Times New Roman" w:hAnsi="Times New Roman" w:cs="Times New Roman" w:eastAsia="Times New Roman" w:hint="default"/>
        </w:rPr>
        <w:t>5</w:t>
      </w:r>
      <w:r>
        <w:rPr/>
        <w:t>、加强绩效管理考核 </w:t>
      </w:r>
      <w:r>
        <w:rPr>
          <w:spacing w:val="-2"/>
        </w:rPr>
        <w:t>随着公司业务的扩张及海外项目的开展，公司各类人才增加，需要结合公司前期推出的股权激励，进一步调整绩效管理</w:t>
      </w:r>
    </w:p>
    <w:p>
      <w:pPr>
        <w:pStyle w:val="BodyText"/>
        <w:spacing w:line="240" w:lineRule="auto" w:before="31"/>
        <w:ind w:right="0"/>
        <w:jc w:val="both"/>
      </w:pPr>
      <w:r>
        <w:rPr/>
        <w:t>体系，调动关键管理人员的积极性与创造性，以提升公司的管理水平和盈利能力。</w:t>
      </w:r>
    </w:p>
    <w:p>
      <w:pPr>
        <w:pStyle w:val="BodyText"/>
        <w:spacing w:line="300" w:lineRule="auto" w:before="76"/>
        <w:ind w:left="506" w:right="0" w:hanging="137"/>
        <w:jc w:val="left"/>
        <w:rPr>
          <w:rFonts w:ascii="Times New Roman" w:hAnsi="Times New Roman" w:cs="Times New Roman" w:eastAsia="Times New Roman" w:hint="default"/>
        </w:rPr>
      </w:pPr>
      <w:r>
        <w:rPr>
          <w:rFonts w:ascii="Times New Roman" w:hAnsi="Times New Roman" w:cs="Times New Roman" w:eastAsia="Times New Roman" w:hint="default"/>
        </w:rPr>
        <w:t>6</w:t>
      </w:r>
      <w:r>
        <w:rPr/>
        <w:t>、管理的提升 </w:t>
      </w:r>
      <w:r>
        <w:rPr>
          <w:spacing w:val="-2"/>
        </w:rPr>
        <w:t>公司各项业务扩张使公司的组织架构趋于复杂，提升了对公司管理水平及风险控制能力的要求，在内部管理方面，</w:t>
      </w:r>
      <w:r>
        <w:rPr>
          <w:rFonts w:ascii="Times New Roman" w:hAnsi="Times New Roman" w:cs="Times New Roman" w:eastAsia="Times New Roman" w:hint="default"/>
          <w:spacing w:val="-2"/>
        </w:rPr>
        <w:t>2013</w:t>
      </w:r>
    </w:p>
    <w:p>
      <w:pPr>
        <w:pStyle w:val="BodyText"/>
        <w:spacing w:line="316" w:lineRule="auto" w:before="13"/>
        <w:ind w:right="151"/>
        <w:jc w:val="both"/>
      </w:pPr>
      <w:r>
        <w:rPr>
          <w:spacing w:val="-2"/>
        </w:rPr>
        <w:t>年公司将重点梳理组织架构，调整部分部门架构及职能。进一步充实内审人员及项目投资管理人员，加强对资产的管理、风</w:t>
      </w:r>
      <w:r>
        <w:rPr>
          <w:spacing w:val="-64"/>
        </w:rPr>
        <w:t> </w:t>
      </w:r>
      <w:r>
        <w:rPr>
          <w:spacing w:val="-64"/>
        </w:rPr>
      </w:r>
      <w:r>
        <w:rPr>
          <w:spacing w:val="-2"/>
        </w:rPr>
        <w:t>险的控制及对项目的跟踪掌控能力。加强人力资源的管理，培训提高现有管理人员的能力并不断吸收优秀的人才。加强公司</w:t>
      </w:r>
      <w:r>
        <w:rPr>
          <w:spacing w:val="-64"/>
        </w:rPr>
        <w:t> </w:t>
      </w:r>
      <w:r>
        <w:rPr>
          <w:spacing w:val="-64"/>
        </w:rPr>
      </w:r>
      <w:r>
        <w:rPr/>
        <w:t>销售的管理，整合销售的资源与渠道，适应公司的业务模式，不单纯局限于产品的销售业务。</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240" w:lineRule="auto" w:before="115"/>
        <w:ind w:right="0" w:firstLine="36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年</w:t>
      </w:r>
      <w:r>
        <w:rPr>
          <w:rFonts w:ascii="Times New Roman" w:hAnsi="Times New Roman" w:cs="Times New Roman" w:eastAsia="Times New Roman" w:hint="default"/>
          <w:spacing w:val="1"/>
        </w:rPr>
        <w:t>7</w:t>
      </w:r>
      <w:r>
        <w:rPr>
          <w:spacing w:val="-3"/>
        </w:rPr>
        <w:t>月</w:t>
      </w:r>
      <w:r>
        <w:rPr>
          <w:rFonts w:ascii="Times New Roman" w:hAnsi="Times New Roman" w:cs="Times New Roman" w:eastAsia="Times New Roman" w:hint="default"/>
          <w:spacing w:val="1"/>
        </w:rPr>
        <w:t>26</w:t>
      </w:r>
      <w:r>
        <w:rPr>
          <w:spacing w:val="-3"/>
        </w:rPr>
        <w:t>日</w:t>
      </w:r>
      <w:r>
        <w:rPr>
          <w:rFonts w:ascii="Times New Roman" w:hAnsi="Times New Roman" w:cs="Times New Roman" w:eastAsia="Times New Roman" w:hint="default"/>
        </w:rPr>
        <w:t>,</w:t>
      </w:r>
      <w:r>
        <w:rPr/>
        <w:t>公司</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年</w:t>
      </w:r>
      <w:r>
        <w:rPr>
          <w:spacing w:val="-3"/>
        </w:rPr>
        <w:t>第</w:t>
      </w:r>
      <w:r>
        <w:rPr/>
        <w:t>一次临时股东大会以现场记名投票及网络投票相结合的方式</w:t>
      </w:r>
      <w:r>
        <w:rPr>
          <w:rFonts w:ascii="Times New Roman" w:hAnsi="Times New Roman" w:cs="Times New Roman" w:eastAsia="Times New Roman" w:hint="default"/>
        </w:rPr>
        <w:t>,</w:t>
      </w:r>
      <w:r>
        <w:rPr/>
        <w:t>审议通</w:t>
      </w:r>
      <w:r>
        <w:rPr>
          <w:spacing w:val="-82"/>
        </w:rPr>
        <w:t>过</w:t>
      </w:r>
      <w:r>
        <w:rPr/>
        <w:t>《关于修订公司章程</w:t>
      </w:r>
    </w:p>
    <w:p>
      <w:pPr>
        <w:pStyle w:val="BodyText"/>
        <w:spacing w:line="308" w:lineRule="exact" w:before="27"/>
        <w:ind w:right="148"/>
        <w:jc w:val="both"/>
        <w:rPr>
          <w:rFonts w:ascii="Microsoft JhengHei" w:hAnsi="Microsoft JhengHei" w:cs="Microsoft JhengHei" w:eastAsia="Microsoft JhengHei" w:hint="default"/>
        </w:rPr>
      </w:pPr>
      <w:r>
        <w:rPr>
          <w:spacing w:val="-2"/>
        </w:rPr>
        <w:t>的议案》</w:t>
      </w:r>
      <w:r>
        <w:rPr>
          <w:rFonts w:ascii="Times New Roman" w:hAnsi="Times New Roman" w:cs="Times New Roman" w:eastAsia="Times New Roman" w:hint="default"/>
          <w:spacing w:val="-2"/>
        </w:rPr>
        <w:t>,</w:t>
      </w:r>
      <w:r>
        <w:rPr>
          <w:spacing w:val="-2"/>
        </w:rPr>
        <w:t>根据公司现金分红政策的变化</w:t>
      </w:r>
      <w:r>
        <w:rPr>
          <w:rFonts w:ascii="Times New Roman" w:hAnsi="Times New Roman" w:cs="Times New Roman" w:eastAsia="Times New Roman" w:hint="default"/>
          <w:spacing w:val="-2"/>
        </w:rPr>
        <w:t>,</w:t>
      </w:r>
      <w:r>
        <w:rPr>
          <w:spacing w:val="-2"/>
        </w:rPr>
        <w:t>修订公司章程第一百五十五条第二款为</w:t>
      </w:r>
      <w:r>
        <w:rPr>
          <w:rFonts w:ascii="Times New Roman" w:hAnsi="Times New Roman" w:cs="Times New Roman" w:eastAsia="Times New Roman" w:hint="default"/>
          <w:spacing w:val="-2"/>
        </w:rPr>
        <w:t>:</w:t>
      </w:r>
      <w:r>
        <w:rPr>
          <w:spacing w:val="-2"/>
        </w:rPr>
        <w:t>公司实施积极的利润分配政策</w:t>
      </w:r>
      <w:r>
        <w:rPr>
          <w:rFonts w:ascii="Times New Roman" w:hAnsi="Times New Roman" w:cs="Times New Roman" w:eastAsia="Times New Roman" w:hint="default"/>
          <w:spacing w:val="-2"/>
        </w:rPr>
        <w:t>,</w:t>
      </w:r>
      <w:r>
        <w:rPr>
          <w:spacing w:val="-2"/>
        </w:rPr>
        <w:t>重视对投资者</w:t>
      </w:r>
      <w:r>
        <w:rPr>
          <w:spacing w:val="-62"/>
        </w:rPr>
        <w:t> </w:t>
      </w:r>
      <w:r>
        <w:rPr/>
        <w:t>的合理投资回报</w:t>
      </w:r>
      <w:r>
        <w:rPr>
          <w:rFonts w:ascii="Times New Roman" w:hAnsi="Times New Roman" w:cs="Times New Roman" w:eastAsia="Times New Roman" w:hint="default"/>
        </w:rPr>
        <w:t>,</w:t>
      </w:r>
      <w:r>
        <w:rPr/>
        <w:t>确保利润分配的连续性和稳定性</w:t>
      </w:r>
      <w:r>
        <w:rPr>
          <w:rFonts w:ascii="Times New Roman" w:hAnsi="Times New Roman" w:cs="Times New Roman" w:eastAsia="Times New Roman" w:hint="default"/>
        </w:rPr>
        <w:t>,</w:t>
      </w:r>
      <w:r>
        <w:rPr/>
        <w:t>利润分配不得超过累计可分配利润的范围</w:t>
      </w:r>
      <w:r>
        <w:rPr>
          <w:rFonts w:ascii="Times New Roman" w:hAnsi="Times New Roman" w:cs="Times New Roman" w:eastAsia="Times New Roman" w:hint="default"/>
        </w:rPr>
        <w:t>,</w:t>
      </w:r>
      <w:r>
        <w:rPr/>
        <w:t>不得损害公司持续经营能力</w:t>
      </w:r>
      <w:r>
        <w:rPr>
          <w:rFonts w:ascii="Microsoft JhengHei" w:hAnsi="Microsoft JhengHei" w:cs="Microsoft JhengHei" w:eastAsia="Microsoft JhengHei" w:hint="default"/>
        </w:rPr>
        <w:t>｡公</w:t>
      </w:r>
      <w:r>
        <w:rPr>
          <w:rFonts w:ascii="Microsoft JhengHei" w:hAnsi="Microsoft JhengHei" w:cs="Microsoft JhengHei" w:eastAsia="Microsoft JhengHei" w:hint="default"/>
          <w:spacing w:val="-1"/>
        </w:rPr>
        <w:t> </w:t>
      </w:r>
      <w:r>
        <w:rPr>
          <w:rFonts w:ascii="Microsoft JhengHei" w:hAnsi="Microsoft JhengHei" w:cs="Microsoft JhengHei" w:eastAsia="Microsoft JhengHei" w:hint="default"/>
        </w:rPr>
        <w:t>司董事会､监事会和股东大会对利润分配政策的决策和论证过程中应当充分考虑独立董事和公众投资者的意见｡</w:t>
      </w:r>
    </w:p>
    <w:p>
      <w:pPr>
        <w:pStyle w:val="BodyText"/>
        <w:spacing w:line="340" w:lineRule="auto" w:before="90"/>
        <w:ind w:right="7204" w:firstLine="360"/>
        <w:jc w:val="left"/>
        <w:rPr>
          <w:rFonts w:ascii="Times New Roman" w:hAnsi="Times New Roman" w:cs="Times New Roman" w:eastAsia="Times New Roman" w:hint="default"/>
        </w:rPr>
      </w:pPr>
      <w:r>
        <w:rPr/>
        <w:t>公司利润分配具体政策如下</w:t>
      </w:r>
      <w:r>
        <w:rPr>
          <w:rFonts w:ascii="Times New Roman" w:hAnsi="Times New Roman" w:cs="Times New Roman" w:eastAsia="Times New Roman" w:hint="default"/>
        </w:rPr>
        <w:t>: 1</w:t>
      </w:r>
      <w:r>
        <w:rPr/>
        <w:t>、利润分配的形式</w:t>
      </w:r>
      <w:r>
        <w:rPr>
          <w:rFonts w:ascii="Times New Roman" w:hAnsi="Times New Roman" w:cs="Times New Roman" w:eastAsia="Times New Roman" w:hint="default"/>
        </w:rPr>
        <w:t>:</w:t>
      </w:r>
    </w:p>
    <w:p>
      <w:pPr>
        <w:pStyle w:val="BodyText"/>
        <w:spacing w:line="271" w:lineRule="exact"/>
        <w:ind w:left="513" w:right="0"/>
        <w:jc w:val="left"/>
      </w:pPr>
      <w:r>
        <w:rPr>
          <w:spacing w:val="2"/>
        </w:rPr>
        <w:t>公司采取现金</w:t>
      </w:r>
      <w:r>
        <w:rPr>
          <w:rFonts w:ascii="Microsoft JhengHei" w:hAnsi="Microsoft JhengHei" w:cs="Microsoft JhengHei" w:eastAsia="Microsoft JhengHei" w:hint="default"/>
          <w:spacing w:val="2"/>
        </w:rPr>
        <w:t>､股票或二者相结合的方式分配股利</w:t>
      </w:r>
      <w:r>
        <w:rPr>
          <w:rFonts w:ascii="Times New Roman" w:hAnsi="Times New Roman" w:cs="Times New Roman" w:eastAsia="Times New Roman" w:hint="default"/>
          <w:spacing w:val="2"/>
        </w:rPr>
        <w:t>,</w:t>
      </w:r>
      <w:r>
        <w:rPr>
          <w:spacing w:val="2"/>
        </w:rPr>
        <w:t>但以现金分红为主</w:t>
      </w:r>
      <w:r>
        <w:rPr>
          <w:rFonts w:ascii="Times New Roman" w:hAnsi="Times New Roman" w:cs="Times New Roman" w:eastAsia="Times New Roman" w:hint="default"/>
          <w:spacing w:val="2"/>
        </w:rPr>
        <w:t>;</w:t>
      </w:r>
      <w:r>
        <w:rPr>
          <w:spacing w:val="2"/>
        </w:rPr>
        <w:t>一般进行年度分红</w:t>
      </w:r>
      <w:r>
        <w:rPr>
          <w:rFonts w:ascii="Times New Roman" w:hAnsi="Times New Roman" w:cs="Times New Roman" w:eastAsia="Times New Roman" w:hint="default"/>
          <w:spacing w:val="2"/>
        </w:rPr>
        <w:t>,</w:t>
      </w:r>
      <w:r>
        <w:rPr>
          <w:spacing w:val="2"/>
        </w:rPr>
        <w:t>公司董事会也可以根据公司</w:t>
      </w:r>
      <w:r>
        <w:rPr/>
      </w:r>
    </w:p>
    <w:p>
      <w:pPr>
        <w:pStyle w:val="BodyText"/>
        <w:spacing w:line="240" w:lineRule="auto" w:before="58"/>
        <w:ind w:right="0"/>
        <w:jc w:val="both"/>
      </w:pPr>
      <w:r>
        <w:rPr/>
        <w:t>的盈利状况及资金状况提议进行中期现金分红。</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、现金分红的具体条件和比例</w:t>
      </w:r>
      <w:r>
        <w:rPr>
          <w:rFonts w:ascii="Times New Roman" w:hAnsi="Times New Roman" w:cs="Times New Roman" w:eastAsia="Times New Roman" w:hint="default"/>
        </w:rPr>
        <w:t>:</w:t>
      </w:r>
    </w:p>
    <w:p>
      <w:pPr>
        <w:pStyle w:val="BodyText"/>
        <w:spacing w:line="300" w:lineRule="auto" w:before="103"/>
        <w:ind w:right="0" w:firstLine="360"/>
        <w:jc w:val="left"/>
      </w:pPr>
      <w:r>
        <w:rPr>
          <w:spacing w:val="2"/>
        </w:rPr>
        <w:t>公司该年度实现的可分配利润为正</w:t>
      </w:r>
      <w:r>
        <w:rPr>
          <w:rFonts w:ascii="Times New Roman" w:hAnsi="Times New Roman" w:cs="Times New Roman" w:eastAsia="Times New Roman" w:hint="default"/>
          <w:spacing w:val="2"/>
        </w:rPr>
        <w:t>,</w:t>
      </w:r>
      <w:r>
        <w:rPr>
          <w:spacing w:val="2"/>
        </w:rPr>
        <w:t>经营活动产生的现金流量净额为正</w:t>
      </w:r>
      <w:r>
        <w:rPr>
          <w:rFonts w:ascii="Times New Roman" w:hAnsi="Times New Roman" w:cs="Times New Roman" w:eastAsia="Times New Roman" w:hint="default"/>
          <w:spacing w:val="2"/>
        </w:rPr>
        <w:t>,</w:t>
      </w:r>
      <w:r>
        <w:rPr>
          <w:spacing w:val="2"/>
        </w:rPr>
        <w:t>且无重大投资计划或现金支出事项发生</w:t>
      </w:r>
      <w:r>
        <w:rPr>
          <w:rFonts w:ascii="Times New Roman" w:hAnsi="Times New Roman" w:cs="Times New Roman" w:eastAsia="Times New Roman" w:hint="default"/>
          <w:spacing w:val="2"/>
        </w:rPr>
        <w:t>,</w:t>
      </w:r>
      <w:r>
        <w:rPr>
          <w:spacing w:val="2"/>
        </w:rPr>
        <w:t>应当采 </w:t>
      </w:r>
      <w:r>
        <w:rPr/>
        <w:t>取现金方式分配股利</w:t>
      </w:r>
      <w:r>
        <w:rPr>
          <w:rFonts w:ascii="Times New Roman" w:hAnsi="Times New Roman" w:cs="Times New Roman" w:eastAsia="Times New Roman" w:hint="default"/>
        </w:rPr>
        <w:t>,</w:t>
      </w:r>
      <w:r>
        <w:rPr/>
        <w:t>以现金方式分配的利润不少于当年实现的可分配利润的</w:t>
      </w:r>
      <w:r>
        <w:rPr>
          <w:rFonts w:ascii="Times New Roman" w:hAnsi="Times New Roman" w:cs="Times New Roman" w:eastAsia="Times New Roman" w:hint="default"/>
        </w:rPr>
        <w:t>15%</w:t>
      </w:r>
      <w:r>
        <w:rPr/>
        <w:t>。</w:t>
      </w:r>
    </w:p>
    <w:p>
      <w:pPr>
        <w:pStyle w:val="BodyText"/>
        <w:spacing w:line="312" w:lineRule="exact" w:before="7"/>
        <w:ind w:right="0" w:firstLine="360"/>
        <w:jc w:val="left"/>
        <w:rPr>
          <w:rFonts w:ascii="Microsoft JhengHei" w:hAnsi="Microsoft JhengHei" w:cs="Microsoft JhengHei" w:eastAsia="Microsoft JhengHei" w:hint="default"/>
        </w:rPr>
      </w:pPr>
      <w:r>
        <w:rPr/>
        <w:t>重大投资计划或现金支出事项是指</w:t>
      </w:r>
      <w:r>
        <w:rPr>
          <w:rFonts w:ascii="Times New Roman" w:hAnsi="Times New Roman" w:cs="Times New Roman" w:eastAsia="Times New Roman" w:hint="default"/>
        </w:rPr>
        <w:t>:</w:t>
      </w:r>
      <w:r>
        <w:rPr/>
        <w:t>公司未来十二个月内拟对外投资</w:t>
      </w:r>
      <w:r>
        <w:rPr>
          <w:rFonts w:ascii="Microsoft JhengHei" w:hAnsi="Microsoft JhengHei" w:cs="Microsoft JhengHei" w:eastAsia="Microsoft JhengHei" w:hint="default"/>
        </w:rPr>
        <w:t>､收购资产或进行固定资产投资等交易涉及的累计 支出达到或者超过最近一期经审计净资产</w:t>
      </w:r>
      <w:r>
        <w:rPr>
          <w:rFonts w:ascii="Times New Roman" w:hAnsi="Times New Roman" w:cs="Times New Roman" w:eastAsia="Times New Roman" w:hint="default"/>
        </w:rPr>
        <w:t>30%</w:t>
      </w:r>
      <w:r>
        <w:rPr/>
        <w:t>以上的事项</w:t>
      </w:r>
      <w:r>
        <w:rPr>
          <w:rFonts w:ascii="Microsoft JhengHei" w:hAnsi="Microsoft JhengHei" w:cs="Microsoft JhengHei" w:eastAsia="Microsoft JhengHei" w:hint="default"/>
        </w:rPr>
        <w:t>｡</w:t>
      </w:r>
    </w:p>
    <w:p>
      <w:pPr>
        <w:pStyle w:val="BodyText"/>
        <w:spacing w:line="240" w:lineRule="auto" w:before="23"/>
        <w:ind w:right="0"/>
        <w:jc w:val="both"/>
        <w:rPr>
          <w:rFonts w:ascii="Times New Roman" w:hAnsi="Times New Roman" w:cs="Times New Roman" w:eastAsia="Times New Roman" w:hint="default"/>
        </w:rPr>
      </w:pPr>
      <w:r>
        <w:rPr>
          <w:rFonts w:ascii="Times New Roman" w:hAnsi="Times New Roman" w:cs="Times New Roman" w:eastAsia="Times New Roman" w:hint="default"/>
          <w:w w:val="105"/>
        </w:rPr>
        <w:t>3</w:t>
      </w:r>
      <w:r>
        <w:rPr>
          <w:rFonts w:ascii="Microsoft JhengHei" w:hAnsi="Microsoft JhengHei" w:cs="Microsoft JhengHei" w:eastAsia="Microsoft JhengHei" w:hint="default"/>
          <w:w w:val="105"/>
        </w:rPr>
        <w:t>､</w:t>
      </w:r>
      <w:r>
        <w:rPr>
          <w:rFonts w:ascii="Microsoft JhengHei" w:hAnsi="Microsoft JhengHei" w:cs="Microsoft JhengHei" w:eastAsia="Microsoft JhengHei" w:hint="default"/>
          <w:spacing w:val="23"/>
          <w:w w:val="105"/>
        </w:rPr>
        <w:t> </w:t>
      </w:r>
      <w:r>
        <w:rPr>
          <w:w w:val="105"/>
        </w:rPr>
        <w:t>股票股利分配的条件</w:t>
      </w:r>
      <w:r>
        <w:rPr>
          <w:rFonts w:ascii="Times New Roman" w:hAnsi="Times New Roman" w:cs="Times New Roman" w:eastAsia="Times New Roman" w:hint="default"/>
          <w:w w:val="105"/>
        </w:rPr>
        <w:t>:</w:t>
      </w:r>
    </w:p>
    <w:p>
      <w:pPr>
        <w:pStyle w:val="BodyText"/>
        <w:spacing w:line="240" w:lineRule="auto" w:before="39"/>
        <w:ind w:right="0" w:firstLine="271"/>
        <w:jc w:val="left"/>
        <w:rPr>
          <w:rFonts w:ascii="Microsoft JhengHei" w:hAnsi="Microsoft JhengHei" w:cs="Microsoft JhengHei" w:eastAsia="Microsoft JhengHei" w:hint="default"/>
        </w:rPr>
      </w:pPr>
      <w:r>
        <w:rPr>
          <w:spacing w:val="2"/>
        </w:rPr>
        <w:t>公司经营情况良好</w:t>
      </w:r>
      <w:r>
        <w:rPr>
          <w:rFonts w:ascii="Times New Roman" w:hAnsi="Times New Roman" w:cs="Times New Roman" w:eastAsia="Times New Roman" w:hint="default"/>
          <w:spacing w:val="2"/>
        </w:rPr>
        <w:t>,</w:t>
      </w:r>
      <w:r>
        <w:rPr>
          <w:spacing w:val="2"/>
        </w:rPr>
        <w:t>并且董事会认为公司股票价格与公司股本规模不匹配</w:t>
      </w:r>
      <w:r>
        <w:rPr>
          <w:rFonts w:ascii="Microsoft JhengHei" w:hAnsi="Microsoft JhengHei" w:cs="Microsoft JhengHei" w:eastAsia="Microsoft JhengHei" w:hint="default"/>
          <w:spacing w:val="2"/>
        </w:rPr>
        <w:t>､发放股票股利有利于公</w:t>
      </w:r>
      <w:r>
        <w:rPr>
          <w:spacing w:val="2"/>
        </w:rPr>
        <w:t>司全体股东整体利益</w:t>
      </w:r>
      <w:r>
        <w:rPr/>
        <w:t> 时</w:t>
      </w:r>
      <w:r>
        <w:rPr>
          <w:rFonts w:ascii="Times New Roman" w:hAnsi="Times New Roman" w:cs="Times New Roman" w:eastAsia="Times New Roman" w:hint="default"/>
        </w:rPr>
        <w:t>,</w:t>
      </w:r>
      <w:r>
        <w:rPr/>
        <w:t>可以在满足上述现金分红的条件下</w:t>
      </w:r>
      <w:r>
        <w:rPr>
          <w:rFonts w:ascii="Times New Roman" w:hAnsi="Times New Roman" w:cs="Times New Roman" w:eastAsia="Times New Roman" w:hint="default"/>
        </w:rPr>
        <w:t>,</w:t>
      </w:r>
      <w:r>
        <w:rPr/>
        <w:t>提出股票股利分配预案</w:t>
      </w:r>
      <w:r>
        <w:rPr>
          <w:rFonts w:ascii="Times New Roman" w:hAnsi="Times New Roman" w:cs="Times New Roman" w:eastAsia="Times New Roman" w:hint="default"/>
        </w:rPr>
        <w:t>,</w:t>
      </w:r>
      <w:r>
        <w:rPr/>
        <w:t>并经股东大会审议通过后实施</w:t>
      </w:r>
      <w:r>
        <w:rPr>
          <w:rFonts w:ascii="Microsoft JhengHei" w:hAnsi="Microsoft JhengHei" w:cs="Microsoft JhengHei" w:eastAsia="Microsoft JhengHei" w:hint="default"/>
        </w:rPr>
        <w:t>｡</w:t>
      </w:r>
    </w:p>
    <w:p>
      <w:pPr>
        <w:pStyle w:val="BodyText"/>
        <w:spacing w:line="240" w:lineRule="auto" w:before="37"/>
        <w:ind w:right="0"/>
        <w:jc w:val="both"/>
      </w:pPr>
      <w:r>
        <w:rPr>
          <w:rFonts w:ascii="Times New Roman" w:hAnsi="Times New Roman" w:cs="Times New Roman" w:eastAsia="Times New Roman" w:hint="default"/>
          <w:w w:val="105"/>
        </w:rPr>
        <w:t>4</w:t>
      </w:r>
      <w:r>
        <w:rPr>
          <w:rFonts w:ascii="Microsoft JhengHei" w:hAnsi="Microsoft JhengHei" w:cs="Microsoft JhengHei" w:eastAsia="Microsoft JhengHei" w:hint="default"/>
          <w:w w:val="105"/>
        </w:rPr>
        <w:t>､</w:t>
      </w:r>
      <w:r>
        <w:rPr>
          <w:rFonts w:ascii="Microsoft JhengHei" w:hAnsi="Microsoft JhengHei" w:cs="Microsoft JhengHei" w:eastAsia="Microsoft JhengHei" w:hint="default"/>
          <w:spacing w:val="-20"/>
          <w:w w:val="105"/>
        </w:rPr>
        <w:t> </w:t>
      </w:r>
      <w:r>
        <w:rPr>
          <w:w w:val="105"/>
        </w:rPr>
        <w:t>利润分配方案的决策程序和机制</w:t>
      </w:r>
    </w:p>
    <w:p>
      <w:pPr>
        <w:pStyle w:val="BodyText"/>
        <w:spacing w:line="240" w:lineRule="auto" w:before="39"/>
        <w:ind w:right="152" w:firstLine="271"/>
        <w:jc w:val="both"/>
        <w:rPr>
          <w:rFonts w:ascii="Microsoft JhengHei" w:hAnsi="Microsoft JhengHei" w:cs="Microsoft JhengHei" w:eastAsia="Microsoft JhengHei" w:hint="default"/>
        </w:rPr>
      </w:pPr>
      <w:r>
        <w:rPr>
          <w:spacing w:val="2"/>
        </w:rPr>
        <w:t>公司每年的利润分配方案由公司董事会结合公司章程的规定</w:t>
      </w:r>
      <w:r>
        <w:rPr>
          <w:rFonts w:ascii="Microsoft JhengHei" w:hAnsi="Microsoft JhengHei" w:cs="Microsoft JhengHei" w:eastAsia="Microsoft JhengHei" w:hint="default"/>
          <w:spacing w:val="2"/>
        </w:rPr>
        <w:t>､盈利情况､资金供给和需求情况提出拟定方案</w:t>
      </w:r>
      <w:r>
        <w:rPr>
          <w:rFonts w:ascii="Times New Roman" w:hAnsi="Times New Roman" w:cs="Times New Roman" w:eastAsia="Times New Roman" w:hint="default"/>
          <w:spacing w:val="2"/>
        </w:rPr>
        <w:t>,</w:t>
      </w:r>
      <w:r>
        <w:rPr>
          <w:spacing w:val="2"/>
        </w:rPr>
        <w:t>独立董事</w:t>
      </w:r>
      <w:r>
        <w:rPr/>
        <w:t> 应对利润分配预案发表明确的独立意见</w:t>
      </w:r>
      <w:r>
        <w:rPr>
          <w:rFonts w:ascii="Times New Roman" w:hAnsi="Times New Roman" w:cs="Times New Roman" w:eastAsia="Times New Roman" w:hint="default"/>
        </w:rPr>
        <w:t>,</w:t>
      </w:r>
      <w:r>
        <w:rPr/>
        <w:t>利润分配方案需经董事会过半数以上表决通过</w:t>
      </w:r>
      <w:r>
        <w:rPr>
          <w:rFonts w:ascii="Times New Roman" w:hAnsi="Times New Roman" w:cs="Times New Roman" w:eastAsia="Times New Roman" w:hint="default"/>
        </w:rPr>
        <w:t>,</w:t>
      </w:r>
      <w:r>
        <w:rPr/>
        <w:t>方可提交股东大会审议</w:t>
      </w:r>
      <w:r>
        <w:rPr>
          <w:rFonts w:ascii="Microsoft JhengHei" w:hAnsi="Microsoft JhengHei" w:cs="Microsoft JhengHei" w:eastAsia="Microsoft JhengHei" w:hint="default"/>
        </w:rPr>
        <w:t>｡公司董事会</w:t>
      </w:r>
      <w:r>
        <w:rPr>
          <w:rFonts w:ascii="Microsoft JhengHei" w:hAnsi="Microsoft JhengHei" w:cs="Microsoft JhengHei" w:eastAsia="Microsoft JhengHei" w:hint="default"/>
          <w:spacing w:val="1"/>
        </w:rPr>
        <w:t> </w:t>
      </w:r>
      <w:r>
        <w:rPr>
          <w:rFonts w:ascii="Microsoft JhengHei" w:hAnsi="Microsoft JhengHei" w:cs="Microsoft JhengHei" w:eastAsia="Microsoft JhengHei" w:hint="default"/>
          <w:spacing w:val="1"/>
        </w:rPr>
      </w:r>
      <w:r>
        <w:rPr>
          <w:rFonts w:ascii="Microsoft JhengHei" w:hAnsi="Microsoft JhengHei" w:cs="Microsoft JhengHei" w:eastAsia="Microsoft JhengHei" w:hint="default"/>
        </w:rPr>
        <w:t>须在股东大会批准后二个月内完成股利</w:t>
      </w:r>
      <w:r>
        <w:rPr>
          <w:rFonts w:ascii="Times New Roman" w:hAnsi="Times New Roman" w:cs="Times New Roman" w:eastAsia="Times New Roman" w:hint="default"/>
        </w:rPr>
        <w:t>(</w:t>
      </w:r>
      <w:r>
        <w:rPr/>
        <w:t>股份</w:t>
      </w:r>
      <w:r>
        <w:rPr>
          <w:rFonts w:ascii="Times New Roman" w:hAnsi="Times New Roman" w:cs="Times New Roman" w:eastAsia="Times New Roman" w:hint="default"/>
        </w:rPr>
        <w:t>)</w:t>
      </w:r>
      <w:r>
        <w:rPr/>
        <w:t>的派发事项</w:t>
      </w:r>
      <w:r>
        <w:rPr>
          <w:rFonts w:ascii="Microsoft JhengHei" w:hAnsi="Microsoft JhengHei" w:cs="Microsoft JhengHei" w:eastAsia="Microsoft JhengHei" w:hint="default"/>
        </w:rPr>
        <w:t>｡</w:t>
      </w:r>
    </w:p>
    <w:p>
      <w:pPr>
        <w:spacing w:after="0" w:line="240" w:lineRule="auto"/>
        <w:jc w:val="both"/>
        <w:rPr>
          <w:rFonts w:ascii="Microsoft JhengHei" w:hAnsi="Microsoft JhengHei" w:cs="Microsoft JhengHei" w:eastAsia="Microsoft JhengHei" w:hint="default"/>
        </w:rPr>
        <w:sectPr>
          <w:pgSz w:w="11910" w:h="16840"/>
          <w:pgMar w:header="745" w:footer="980" w:top="1060" w:bottom="1160" w:left="980" w:right="980"/>
        </w:sectPr>
      </w:pPr>
    </w:p>
    <w:p>
      <w:pPr>
        <w:spacing w:line="240" w:lineRule="auto" w:before="1"/>
        <w:rPr>
          <w:rFonts w:ascii="Microsoft JhengHei" w:hAnsi="Microsoft JhengHei" w:cs="Microsoft JhengHei" w:eastAsia="Microsoft JhengHei" w:hint="default"/>
          <w:sz w:val="19"/>
          <w:szCs w:val="19"/>
        </w:rPr>
      </w:pPr>
    </w:p>
    <w:p>
      <w:pPr>
        <w:pStyle w:val="BodyText"/>
        <w:spacing w:line="300" w:lineRule="exact"/>
        <w:ind w:right="0"/>
        <w:jc w:val="left"/>
      </w:pPr>
      <w:r>
        <w:rPr>
          <w:rFonts w:ascii="Times New Roman" w:hAnsi="Times New Roman" w:cs="Times New Roman" w:eastAsia="Times New Roman" w:hint="default"/>
          <w:w w:val="105"/>
        </w:rPr>
        <w:t>5</w:t>
      </w:r>
      <w:r>
        <w:rPr>
          <w:rFonts w:ascii="Microsoft JhengHei" w:hAnsi="Microsoft JhengHei" w:cs="Microsoft JhengHei" w:eastAsia="Microsoft JhengHei" w:hint="default"/>
          <w:w w:val="105"/>
        </w:rPr>
        <w:t>､</w:t>
      </w:r>
      <w:r>
        <w:rPr>
          <w:rFonts w:ascii="Microsoft JhengHei" w:hAnsi="Microsoft JhengHei" w:cs="Microsoft JhengHei" w:eastAsia="Microsoft JhengHei" w:hint="default"/>
          <w:spacing w:val="7"/>
          <w:w w:val="105"/>
        </w:rPr>
        <w:t> </w:t>
      </w:r>
      <w:r>
        <w:rPr>
          <w:w w:val="105"/>
        </w:rPr>
        <w:t>有关利润分配的信息披露</w:t>
      </w:r>
    </w:p>
    <w:p>
      <w:pPr>
        <w:pStyle w:val="BodyText"/>
        <w:spacing w:line="308" w:lineRule="exact" w:before="61"/>
        <w:ind w:right="151" w:firstLine="271"/>
        <w:jc w:val="both"/>
        <w:rPr>
          <w:rFonts w:ascii="Microsoft JhengHei" w:hAnsi="Microsoft JhengHei" w:cs="Microsoft JhengHei" w:eastAsia="Microsoft JhengHei" w:hint="default"/>
        </w:rPr>
      </w:pPr>
      <w:r>
        <w:rPr/>
        <w:t>公司应在定期报告中披露利润分配方案</w:t>
      </w:r>
      <w:r>
        <w:rPr>
          <w:rFonts w:ascii="Microsoft JhengHei" w:hAnsi="Microsoft JhengHei" w:cs="Microsoft JhengHei" w:eastAsia="Microsoft JhengHei" w:hint="default"/>
        </w:rPr>
        <w:t>､公积金转增股本方案以及报告期实施的</w:t>
      </w:r>
      <w:r>
        <w:rPr/>
        <w:t>利润分配方案</w:t>
      </w:r>
      <w:r>
        <w:rPr>
          <w:rFonts w:ascii="Microsoft JhengHei" w:hAnsi="Microsoft JhengHei" w:cs="Microsoft JhengHei" w:eastAsia="Microsoft JhengHei" w:hint="default"/>
        </w:rPr>
        <w:t>､公积金转增股本方案的</w:t>
      </w:r>
      <w:r>
        <w:rPr>
          <w:rFonts w:ascii="Microsoft JhengHei" w:hAnsi="Microsoft JhengHei" w:cs="Microsoft JhengHei" w:eastAsia="Microsoft JhengHei" w:hint="default"/>
          <w:w w:val="104"/>
        </w:rPr>
        <w:t> </w:t>
      </w:r>
      <w:r>
        <w:rPr>
          <w:rFonts w:ascii="Microsoft JhengHei" w:hAnsi="Microsoft JhengHei" w:cs="Microsoft JhengHei" w:eastAsia="Microsoft JhengHei" w:hint="default"/>
        </w:rPr>
        <w:t>执行情况｡</w:t>
      </w:r>
    </w:p>
    <w:p>
      <w:pPr>
        <w:pStyle w:val="BodyText"/>
        <w:spacing w:line="240" w:lineRule="auto" w:before="88"/>
        <w:ind w:right="155" w:firstLine="271"/>
        <w:jc w:val="both"/>
        <w:rPr>
          <w:rFonts w:ascii="Microsoft JhengHei" w:hAnsi="Microsoft JhengHei" w:cs="Microsoft JhengHei" w:eastAsia="Microsoft JhengHei" w:hint="default"/>
        </w:rPr>
      </w:pPr>
      <w:r>
        <w:rPr>
          <w:spacing w:val="2"/>
        </w:rPr>
        <w:t>在公司上一会计年度盈利的情况下</w:t>
      </w:r>
      <w:r>
        <w:rPr>
          <w:rFonts w:ascii="Times New Roman" w:hAnsi="Times New Roman" w:cs="Times New Roman" w:eastAsia="Times New Roman" w:hint="default"/>
          <w:spacing w:val="2"/>
        </w:rPr>
        <w:t>,</w:t>
      </w:r>
      <w:r>
        <w:rPr>
          <w:spacing w:val="2"/>
        </w:rPr>
        <w:t>公司董事会未制订现金利润分配方案或者按低于本章程规定的现金分红比例进行现</w:t>
      </w:r>
      <w:r>
        <w:rPr/>
        <w:t> 金分红的</w:t>
      </w:r>
      <w:r>
        <w:rPr>
          <w:rFonts w:ascii="Times New Roman" w:hAnsi="Times New Roman" w:cs="Times New Roman" w:eastAsia="Times New Roman" w:hint="default"/>
        </w:rPr>
        <w:t>,</w:t>
      </w:r>
      <w:r>
        <w:rPr/>
        <w:t>应当在定期报告中详细说明不分配或按低于本章程规定的现金分红比例进行分配的原因</w:t>
      </w:r>
      <w:r>
        <w:rPr>
          <w:rFonts w:ascii="Microsoft JhengHei" w:hAnsi="Microsoft JhengHei" w:cs="Microsoft JhengHei" w:eastAsia="Microsoft JhengHei" w:hint="default"/>
        </w:rPr>
        <w:t>､未用于分红的未分配利 润留存公司的用途和使用计划</w:t>
      </w:r>
      <w:r>
        <w:rPr>
          <w:rFonts w:ascii="Times New Roman" w:hAnsi="Times New Roman" w:cs="Times New Roman" w:eastAsia="Times New Roman" w:hint="default"/>
        </w:rPr>
        <w:t>,</w:t>
      </w:r>
      <w:r>
        <w:rPr/>
        <w:t>独立董事应当对此发表独立意见</w:t>
      </w:r>
      <w:r>
        <w:rPr>
          <w:rFonts w:ascii="Microsoft JhengHei" w:hAnsi="Microsoft JhengHei" w:cs="Microsoft JhengHei" w:eastAsia="Microsoft JhengHei" w:hint="default"/>
        </w:rPr>
        <w:t>｡</w:t>
      </w:r>
    </w:p>
    <w:p>
      <w:pPr>
        <w:pStyle w:val="BodyText"/>
        <w:spacing w:line="271" w:lineRule="auto" w:before="39"/>
        <w:ind w:left="424" w:right="0" w:hanging="272"/>
        <w:jc w:val="left"/>
      </w:pPr>
      <w:r>
        <w:rPr>
          <w:rFonts w:ascii="Times New Roman" w:hAnsi="Times New Roman" w:cs="Times New Roman" w:eastAsia="Times New Roman" w:hint="default"/>
          <w:w w:val="120"/>
        </w:rPr>
        <w:t>6</w:t>
      </w:r>
      <w:r>
        <w:rPr>
          <w:rFonts w:ascii="Microsoft JhengHei" w:hAnsi="Microsoft JhengHei" w:cs="Microsoft JhengHei" w:eastAsia="Microsoft JhengHei" w:hint="default"/>
          <w:w w:val="120"/>
        </w:rPr>
        <w:t>､</w:t>
      </w:r>
      <w:r>
        <w:rPr>
          <w:rFonts w:ascii="Microsoft JhengHei" w:hAnsi="Microsoft JhengHei" w:cs="Microsoft JhengHei" w:eastAsia="Microsoft JhengHei" w:hint="default"/>
          <w:spacing w:val="15"/>
          <w:w w:val="120"/>
        </w:rPr>
        <w:t> </w:t>
      </w:r>
      <w:r>
        <w:rPr>
          <w:w w:val="115"/>
        </w:rPr>
        <w:t>公司利润分配政策的调整原则</w:t>
      </w:r>
      <w:r>
        <w:rPr/>
        <w:t> 公司根据生产经营情况</w:t>
      </w:r>
      <w:r>
        <w:rPr>
          <w:rFonts w:ascii="Microsoft JhengHei" w:hAnsi="Microsoft JhengHei" w:cs="Microsoft JhengHei" w:eastAsia="Microsoft JhengHei" w:hint="default"/>
        </w:rPr>
        <w:t>､投资规划和长期发展的需要</w:t>
      </w:r>
      <w:r>
        <w:rPr>
          <w:rFonts w:ascii="Times New Roman" w:hAnsi="Times New Roman" w:cs="Times New Roman" w:eastAsia="Times New Roman" w:hint="default"/>
        </w:rPr>
        <w:t>,</w:t>
      </w:r>
      <w:r>
        <w:rPr/>
        <w:t>确需调整利润分配政策的</w:t>
      </w:r>
      <w:r>
        <w:rPr>
          <w:rFonts w:ascii="Times New Roman" w:hAnsi="Times New Roman" w:cs="Times New Roman" w:eastAsia="Times New Roman" w:hint="default"/>
        </w:rPr>
        <w:t>,</w:t>
      </w:r>
      <w:r>
        <w:rPr/>
        <w:t>应由公司董事会根据实际情况提出利润</w:t>
      </w:r>
    </w:p>
    <w:p>
      <w:pPr>
        <w:pStyle w:val="BodyText"/>
        <w:spacing w:line="281" w:lineRule="exact"/>
        <w:ind w:right="0"/>
        <w:jc w:val="left"/>
      </w:pPr>
      <w:r>
        <w:rPr/>
        <w:t>分配政策调整议案</w:t>
      </w:r>
      <w:r>
        <w:rPr>
          <w:rFonts w:ascii="Times New Roman" w:hAnsi="Times New Roman" w:cs="Times New Roman" w:eastAsia="Times New Roman" w:hint="default"/>
        </w:rPr>
        <w:t>,</w:t>
      </w:r>
      <w:r>
        <w:rPr/>
        <w:t>并提交股东大会审议</w:t>
      </w:r>
      <w:r>
        <w:rPr>
          <w:rFonts w:ascii="Microsoft JhengHei" w:hAnsi="Microsoft JhengHei" w:cs="Microsoft JhengHei" w:eastAsia="Microsoft JhengHei" w:hint="default"/>
        </w:rPr>
        <w:t>｡其中</w:t>
      </w:r>
      <w:r>
        <w:rPr>
          <w:rFonts w:ascii="Times New Roman" w:hAnsi="Times New Roman" w:cs="Times New Roman" w:eastAsia="Times New Roman" w:hint="default"/>
        </w:rPr>
        <w:t>,</w:t>
      </w:r>
      <w:r>
        <w:rPr/>
        <w:t>对现金分红政策进行调整或变更的</w:t>
      </w:r>
      <w:r>
        <w:rPr>
          <w:rFonts w:ascii="Times New Roman" w:hAnsi="Times New Roman" w:cs="Times New Roman" w:eastAsia="Times New Roman" w:hint="default"/>
        </w:rPr>
        <w:t>,</w:t>
      </w:r>
      <w:r>
        <w:rPr/>
        <w:t>应在议案中详细论证和说明原因</w:t>
      </w:r>
      <w:r>
        <w:rPr>
          <w:rFonts w:ascii="Times New Roman" w:hAnsi="Times New Roman" w:cs="Times New Roman" w:eastAsia="Times New Roman" w:hint="default"/>
        </w:rPr>
        <w:t>,</w:t>
      </w:r>
      <w:r>
        <w:rPr/>
        <w:t>独立董事</w:t>
      </w:r>
    </w:p>
    <w:p>
      <w:pPr>
        <w:pStyle w:val="BodyText"/>
        <w:spacing w:line="240" w:lineRule="auto" w:before="60"/>
        <w:ind w:right="148"/>
        <w:jc w:val="both"/>
        <w:rPr>
          <w:rFonts w:ascii="Microsoft JhengHei" w:hAnsi="Microsoft JhengHei" w:cs="Microsoft JhengHei" w:eastAsia="Microsoft JhengHei" w:hint="default"/>
        </w:rPr>
      </w:pPr>
      <w:r>
        <w:rPr>
          <w:spacing w:val="2"/>
        </w:rPr>
        <w:t>应当对此发表独立意见</w:t>
      </w:r>
      <w:r>
        <w:rPr>
          <w:rFonts w:ascii="Times New Roman" w:hAnsi="Times New Roman" w:cs="Times New Roman" w:eastAsia="Times New Roman" w:hint="default"/>
          <w:spacing w:val="2"/>
        </w:rPr>
        <w:t>,</w:t>
      </w:r>
      <w:r>
        <w:rPr>
          <w:spacing w:val="2"/>
        </w:rPr>
        <w:t>并经出席股东大会的股东所持表决权的</w:t>
      </w:r>
      <w:r>
        <w:rPr>
          <w:rFonts w:ascii="Times New Roman" w:hAnsi="Times New Roman" w:cs="Times New Roman" w:eastAsia="Times New Roman" w:hint="default"/>
          <w:spacing w:val="2"/>
        </w:rPr>
        <w:t>2/3</w:t>
      </w:r>
      <w:r>
        <w:rPr>
          <w:spacing w:val="2"/>
        </w:rPr>
        <w:t>以上通过</w:t>
      </w:r>
      <w:r>
        <w:rPr>
          <w:rFonts w:ascii="Times New Roman" w:hAnsi="Times New Roman" w:cs="Times New Roman" w:eastAsia="Times New Roman" w:hint="default"/>
          <w:spacing w:val="2"/>
        </w:rPr>
        <w:t>;</w:t>
      </w:r>
      <w:r>
        <w:rPr>
          <w:spacing w:val="2"/>
        </w:rPr>
        <w:t>调整后的利润分配政策应以保护股东权益为出</w:t>
      </w:r>
      <w:r>
        <w:rPr/>
        <w:t> 发点</w:t>
      </w:r>
      <w:r>
        <w:rPr>
          <w:rFonts w:ascii="Times New Roman" w:hAnsi="Times New Roman" w:cs="Times New Roman" w:eastAsia="Times New Roman" w:hint="default"/>
        </w:rPr>
        <w:t>,</w:t>
      </w:r>
      <w:r>
        <w:rPr/>
        <w:t>且不得违反中国证监会和证券交易所的有关规定</w:t>
      </w:r>
      <w:r>
        <w:rPr>
          <w:rFonts w:ascii="Microsoft JhengHei" w:hAnsi="Microsoft JhengHei" w:cs="Microsoft JhengHei" w:eastAsia="Microsoft JhengHei" w:hint="default"/>
        </w:rPr>
        <w:t>｡有关利润分配政策的调整</w:t>
      </w:r>
      <w:r>
        <w:rPr>
          <w:rFonts w:ascii="Times New Roman" w:hAnsi="Times New Roman" w:cs="Times New Roman" w:eastAsia="Times New Roman" w:hint="default"/>
        </w:rPr>
        <w:t>,</w:t>
      </w:r>
      <w:r>
        <w:rPr/>
        <w:t>应取得公司二分之一以上独立董事</w:t>
      </w:r>
      <w:r>
        <w:rPr>
          <w:rFonts w:ascii="Microsoft JhengHei" w:hAnsi="Microsoft JhengHei" w:cs="Microsoft JhengHei" w:eastAsia="Microsoft JhengHei" w:hint="default"/>
        </w:rPr>
        <w:t>､二分</w:t>
      </w:r>
      <w:r>
        <w:rPr>
          <w:rFonts w:ascii="Microsoft JhengHei" w:hAnsi="Microsoft JhengHei" w:cs="Microsoft JhengHei" w:eastAsia="Microsoft JhengHei" w:hint="default"/>
          <w:spacing w:val="2"/>
        </w:rPr>
        <w:t> </w:t>
      </w:r>
      <w:r>
        <w:rPr>
          <w:rFonts w:ascii="Microsoft JhengHei" w:hAnsi="Microsoft JhengHei" w:cs="Microsoft JhengHei" w:eastAsia="Microsoft JhengHei" w:hint="default"/>
        </w:rPr>
        <w:t>之一以上监事的同意</w:t>
      </w:r>
      <w:r>
        <w:rPr>
          <w:rFonts w:ascii="Times New Roman" w:hAnsi="Times New Roman" w:cs="Times New Roman" w:eastAsia="Times New Roman" w:hint="default"/>
        </w:rPr>
        <w:t>,</w:t>
      </w:r>
      <w:r>
        <w:rPr/>
        <w:t>方可提交股东大会审议</w:t>
      </w:r>
      <w:r>
        <w:rPr>
          <w:rFonts w:ascii="Times New Roman" w:hAnsi="Times New Roman" w:cs="Times New Roman" w:eastAsia="Times New Roman" w:hint="default"/>
        </w:rPr>
        <w:t>,</w:t>
      </w:r>
      <w:r>
        <w:rPr/>
        <w:t>公司应当提供网络投票等方式以方便社会公众股股东参与股东大会表决</w:t>
      </w:r>
      <w:r>
        <w:rPr>
          <w:rFonts w:ascii="Microsoft JhengHei" w:hAnsi="Microsoft JhengHei" w:cs="Microsoft JhengHei" w:eastAsia="Microsoft JhengHei" w:hint="default"/>
        </w:rPr>
        <w:t>｡</w:t>
      </w:r>
    </w:p>
    <w:p>
      <w:pPr>
        <w:pStyle w:val="BodyText"/>
        <w:spacing w:line="240" w:lineRule="auto" w:before="37"/>
        <w:ind w:right="152" w:firstLine="271"/>
        <w:jc w:val="both"/>
        <w:rPr>
          <w:rFonts w:ascii="Microsoft JhengHei" w:hAnsi="Microsoft JhengHei" w:cs="Microsoft JhengHei" w:eastAsia="Microsoft JhengHei" w:hint="default"/>
        </w:rPr>
      </w:pPr>
      <w:r>
        <w:rPr>
          <w:spacing w:val="2"/>
        </w:rPr>
        <w:t>公司利润分配政策的论证</w:t>
      </w:r>
      <w:r>
        <w:rPr>
          <w:rFonts w:ascii="Microsoft JhengHei" w:hAnsi="Microsoft JhengHei" w:cs="Microsoft JhengHei" w:eastAsia="Microsoft JhengHei" w:hint="default"/>
          <w:spacing w:val="2"/>
        </w:rPr>
        <w:t>､制订和修改过程中应当充分听取独立董事和社会公众股东的意见</w:t>
      </w:r>
      <w:r>
        <w:rPr>
          <w:rFonts w:ascii="Times New Roman" w:hAnsi="Times New Roman" w:cs="Times New Roman" w:eastAsia="Times New Roman" w:hint="default"/>
          <w:spacing w:val="2"/>
        </w:rPr>
        <w:t>,</w:t>
      </w:r>
      <w:r>
        <w:rPr>
          <w:spacing w:val="2"/>
        </w:rPr>
        <w:t>公司应当通过投资者电话 </w:t>
      </w:r>
      <w:r>
        <w:rPr/>
        <w:t>咨询</w:t>
      </w:r>
      <w:r>
        <w:rPr>
          <w:rFonts w:ascii="Microsoft JhengHei" w:hAnsi="Microsoft JhengHei" w:cs="Microsoft JhengHei" w:eastAsia="Microsoft JhengHei" w:hint="default"/>
        </w:rPr>
        <w:t>､现场调研､投</w:t>
      </w:r>
      <w:r>
        <w:rPr/>
        <w:t>资者互动平台等方式听取有关投资者关于公司利润分配政策的意见</w:t>
      </w:r>
      <w:r>
        <w:rPr>
          <w:rFonts w:ascii="Microsoft JhengHei" w:hAnsi="Microsoft JhengHei" w:cs="Microsoft JhengHei" w:eastAsia="Microsoft JhengHei" w:hint="default"/>
        </w:rPr>
        <w:t>｡</w:t>
      </w:r>
    </w:p>
    <w:p>
      <w:pPr>
        <w:pStyle w:val="BodyText"/>
        <w:spacing w:line="240" w:lineRule="auto" w:before="101"/>
        <w:ind w:right="0"/>
        <w:jc w:val="left"/>
      </w:pPr>
      <w:r>
        <w:rPr/>
        <w:t>公司报告期利润分配预案及资本公积金转增股本预案与公司章程和分红管理办法等的相关规定一致</w:t>
      </w:r>
    </w:p>
    <w:p>
      <w:pPr>
        <w:pStyle w:val="BodyText"/>
        <w:spacing w:line="357" w:lineRule="auto" w:before="117"/>
        <w:ind w:right="3294"/>
        <w:jc w:val="left"/>
      </w:pPr>
      <w:r>
        <w:rPr/>
        <w:t>√ 是 □ 否 □</w:t>
      </w:r>
      <w:r>
        <w:rPr>
          <w:spacing w:val="2"/>
        </w:rPr>
        <w:t> </w:t>
      </w:r>
      <w:r>
        <w:rPr/>
        <w:t>不适用</w:t>
      </w:r>
      <w:r>
        <w:rPr/>
        <w:t>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55,336,037.27</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pStyle w:val="BodyText"/>
        <w:spacing w:line="240" w:lineRule="auto" w:before="70"/>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3"/>
        <w:ind w:right="136" w:firstLine="362"/>
        <w:jc w:val="left"/>
      </w:pPr>
      <w:r>
        <w:rPr>
          <w:rFonts w:ascii="Times New Roman" w:hAnsi="Times New Roman" w:cs="Times New Roman" w:eastAsia="Times New Roman" w:hint="default"/>
        </w:rPr>
        <w:t>2010</w:t>
      </w:r>
      <w:r>
        <w:rPr/>
        <w:t>年度利润分配方案为：公司</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年度拟不进行现金利润分配，亦不实施资本公积金转增股本，可供股东分配的利 润</w:t>
      </w:r>
      <w:r>
        <w:rPr>
          <w:rFonts w:ascii="Times New Roman" w:hAnsi="Times New Roman" w:cs="Times New Roman" w:eastAsia="Times New Roman" w:hint="default"/>
        </w:rPr>
        <w:t>31,091,891.15</w:t>
      </w:r>
      <w:r>
        <w:rPr/>
        <w:t>元结转下一年度。</w:t>
      </w:r>
    </w:p>
    <w:p>
      <w:pPr>
        <w:pStyle w:val="BodyText"/>
        <w:spacing w:line="264" w:lineRule="auto" w:before="13"/>
        <w:ind w:right="189" w:firstLine="36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日经公司股东大会审议通过</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w:t>
      </w:r>
      <w:r>
        <w:rPr/>
        <w:t>以公司</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7,000</w:t>
      </w:r>
      <w:r>
        <w:rPr/>
        <w:t>万股为基数</w:t>
      </w:r>
      <w:r>
        <w:rPr>
          <w:rFonts w:ascii="Times New Roman" w:hAnsi="Times New Roman" w:cs="Times New Roman" w:eastAsia="Times New Roman" w:hint="default"/>
        </w:rPr>
        <w:t>,</w:t>
      </w:r>
      <w:r>
        <w:rPr/>
        <w:t>向全体股东每</w:t>
      </w:r>
      <w:r>
        <w:rPr>
          <w:rFonts w:ascii="Times New Roman" w:hAnsi="Times New Roman" w:cs="Times New Roman" w:eastAsia="Times New Roman" w:hint="default"/>
        </w:rPr>
        <w:t>10 </w:t>
      </w:r>
      <w:r>
        <w:rPr/>
        <w:t>股派发现金股利人民币</w:t>
      </w:r>
      <w:r>
        <w:rPr>
          <w:rFonts w:ascii="Times New Roman" w:hAnsi="Times New Roman" w:cs="Times New Roman" w:eastAsia="Times New Roman" w:hint="default"/>
        </w:rPr>
        <w:t>2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1,400</w:t>
      </w:r>
      <w:r>
        <w:rPr/>
        <w:t>万元</w:t>
      </w:r>
      <w:r>
        <w:rPr>
          <w:rFonts w:ascii="Times New Roman" w:hAnsi="Times New Roman" w:cs="Times New Roman" w:eastAsia="Times New Roman" w:hint="default"/>
        </w:rPr>
        <w:t>,</w:t>
      </w:r>
      <w:r>
        <w:rPr/>
        <w:t>剩余未分配利润结转下一年度</w:t>
      </w:r>
      <w:r>
        <w:rPr>
          <w:rFonts w:ascii="Microsoft JhengHei" w:hAnsi="Microsoft JhengHei" w:cs="Microsoft JhengHei" w:eastAsia="Microsoft JhengHei" w:hint="default"/>
        </w:rPr>
        <w:t>｡</w:t>
      </w:r>
      <w:r>
        <w:rPr/>
        <w:t>同时</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7,000</w:t>
      </w:r>
      <w:r>
        <w:rPr>
          <w:rFonts w:ascii="Times New Roman" w:hAnsi="Times New Roman" w:cs="Times New Roman" w:eastAsia="Times New Roman" w:hint="default"/>
          <w:spacing w:val="8"/>
        </w:rPr>
        <w:t> </w:t>
      </w:r>
      <w:r>
        <w:rPr/>
        <w:t>万 股为基数</w:t>
      </w:r>
      <w:r>
        <w:rPr>
          <w:rFonts w:ascii="Times New Roman" w:hAnsi="Times New Roman" w:cs="Times New Roman" w:eastAsia="Times New Roman" w:hint="default"/>
        </w:rPr>
        <w:t>,</w:t>
      </w:r>
      <w:r>
        <w:rPr/>
        <w:t>以资本公积金每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7,000</w:t>
      </w:r>
      <w:r>
        <w:rPr>
          <w:rFonts w:ascii="Times New Roman" w:hAnsi="Times New Roman" w:cs="Times New Roman" w:eastAsia="Times New Roman" w:hint="default"/>
          <w:spacing w:val="5"/>
        </w:rPr>
        <w:t> </w:t>
      </w:r>
      <w:r>
        <w:rPr/>
        <w:t>万股</w:t>
      </w:r>
      <w:r>
        <w:rPr>
          <w:rFonts w:ascii="Times New Roman" w:hAnsi="Times New Roman" w:cs="Times New Roman" w:eastAsia="Times New Roman" w:hint="default"/>
        </w:rPr>
        <w:t>.</w:t>
      </w:r>
    </w:p>
    <w:p>
      <w:pPr>
        <w:pStyle w:val="BodyText"/>
        <w:spacing w:line="240" w:lineRule="auto" w:before="84"/>
        <w:ind w:right="0"/>
        <w:jc w:val="left"/>
      </w:pPr>
      <w:r>
        <w:rPr/>
        <w:t>公司近三年现金分红情况表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55,341,821.14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50.5946%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49,890,964.92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28.0612%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41,204,344.33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公司报告期内盈利且母公司未分配利润为正但未提出现金红利分配预案</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50" w:firstLine="420"/>
        <w:jc w:val="both"/>
      </w:pPr>
      <w:r>
        <w:rPr>
          <w:spacing w:val="-1"/>
        </w:rPr>
        <w:t>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日第一届董事会第十二次会议审议通过了《内幕信息流转管理和知情人登记制度》，对公司内幕信</w:t>
      </w:r>
      <w:r>
        <w:rPr/>
        <w:t> </w:t>
      </w:r>
      <w:r>
        <w:rPr>
          <w:spacing w:val="-2"/>
        </w:rPr>
        <w:t>息的流转进行了严格的规定，制定了备案登记等措施，同时，审议通过了《外部信息使用人管理制度》，规范公司信息外报</w:t>
      </w:r>
      <w:r>
        <w:rPr>
          <w:spacing w:val="-68"/>
        </w:rPr>
        <w:t> </w:t>
      </w:r>
      <w:r>
        <w:rPr>
          <w:spacing w:val="-68"/>
        </w:rPr>
      </w:r>
      <w:r>
        <w:rPr/>
        <w:t>流程。</w:t>
      </w:r>
    </w:p>
    <w:p>
      <w:pPr>
        <w:pStyle w:val="BodyText"/>
        <w:spacing w:line="240" w:lineRule="auto" w:before="62"/>
        <w:ind w:left="369" w:right="0"/>
        <w:jc w:val="left"/>
      </w:pPr>
      <w:r>
        <w:rPr/>
        <w:t>内幕信息知情人管理制度的执行情况：</w:t>
      </w:r>
    </w:p>
    <w:p>
      <w:pPr>
        <w:pStyle w:val="BodyText"/>
        <w:spacing w:line="340" w:lineRule="auto" w:before="117"/>
        <w:ind w:left="573" w:right="0" w:hanging="421"/>
        <w:jc w:val="left"/>
      </w:pPr>
      <w:r>
        <w:rPr>
          <w:rFonts w:ascii="Times New Roman" w:hAnsi="Times New Roman" w:cs="Times New Roman" w:eastAsia="Times New Roman" w:hint="default"/>
        </w:rPr>
        <w:t>1</w:t>
      </w:r>
      <w:r>
        <w:rPr/>
        <w:t>、定期报告披露期间的信息保密工作 报告期内，公司严格执行内幕信息保密制度，严格规范信息传递流程，在定期报告披露期间，对于未公开信息，公司</w:t>
      </w:r>
    </w:p>
    <w:p>
      <w:pPr>
        <w:pStyle w:val="BodyText"/>
        <w:spacing w:line="316" w:lineRule="auto" w:before="1"/>
        <w:ind w:right="0"/>
        <w:jc w:val="left"/>
      </w:pPr>
      <w:r>
        <w:rPr>
          <w:spacing w:val="-2"/>
        </w:rPr>
        <w:t>董事会办公室都会严格控制知情人范围并组织相关内幕信息知情人填写《内幕信息知情人登记表》，如实、完整记录上述信</w:t>
      </w:r>
      <w:r>
        <w:rPr>
          <w:spacing w:val="-66"/>
        </w:rPr>
        <w:t> </w:t>
      </w:r>
      <w:r>
        <w:rPr>
          <w:spacing w:val="-66"/>
        </w:rPr>
      </w:r>
      <w:r>
        <w:rPr/>
        <w:t>息在公开前的所有内幕信息知情人名单，以及知情人知悉内幕信息的时间。</w:t>
      </w:r>
    </w:p>
    <w:p>
      <w:pPr>
        <w:pStyle w:val="BodyText"/>
        <w:spacing w:line="340" w:lineRule="auto" w:before="58"/>
        <w:ind w:left="441" w:right="0" w:hanging="289"/>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在定期报告及重大事项披露期间，公司尽量避免接待投资者的调研，努力做好定期报告及重大事项披露期间的信息保密</w:t>
      </w:r>
    </w:p>
    <w:p>
      <w:pPr>
        <w:pStyle w:val="BodyText"/>
        <w:spacing w:line="316" w:lineRule="auto" w:before="1"/>
        <w:ind w:right="150"/>
        <w:jc w:val="both"/>
      </w:pPr>
      <w:r>
        <w:rPr>
          <w:spacing w:val="-2"/>
        </w:rPr>
        <w:t>工作。在日常接待投资者调研时，公司董事会办公室负责履行相关的信息保密工作程序。在进行调研前，先对调研人员的个</w:t>
      </w:r>
      <w:r>
        <w:rPr>
          <w:spacing w:val="-65"/>
        </w:rPr>
        <w:t> </w:t>
      </w:r>
      <w:r>
        <w:rPr>
          <w:spacing w:val="-65"/>
        </w:rPr>
      </w:r>
      <w:r>
        <w:rPr>
          <w:spacing w:val="-2"/>
        </w:rPr>
        <w:t>人信息进行备案，同时要求调研人员签署投资者（机构）调研保密承诺书，并承诺在对外出具报告前经公司董事会办公室认</w:t>
      </w:r>
      <w:r>
        <w:rPr>
          <w:spacing w:val="-63"/>
        </w:rPr>
        <w:t> </w:t>
      </w:r>
      <w:r>
        <w:rPr>
          <w:spacing w:val="-63"/>
        </w:rPr>
      </w:r>
      <w:r>
        <w:rPr/>
        <w:t>可。在调研过程中，董事会办公室人员认真做好相关会议记录，并将按照相关法规规定向深交所报备。</w:t>
      </w:r>
    </w:p>
    <w:p>
      <w:pPr>
        <w:pStyle w:val="BodyText"/>
        <w:spacing w:line="338" w:lineRule="auto" w:before="59"/>
        <w:ind w:left="441" w:right="0" w:hanging="289"/>
        <w:jc w:val="left"/>
      </w:pPr>
      <w:r>
        <w:rPr>
          <w:rFonts w:ascii="Times New Roman" w:hAnsi="Times New Roman" w:cs="Times New Roman" w:eastAsia="Times New Roman" w:hint="default"/>
        </w:rPr>
        <w:t>3</w:t>
      </w:r>
      <w:r>
        <w:rPr/>
        <w:t>、其他重大事项的内幕信息保密工作 </w:t>
      </w:r>
      <w:r>
        <w:rPr>
          <w:spacing w:val="-1"/>
        </w:rPr>
        <w:t>在其他重大事项未披露前，公司及相关信息披露义务人采取保密措施，对未披露信息知情者做登记备案，以保证信息处</w:t>
      </w:r>
    </w:p>
    <w:p>
      <w:pPr>
        <w:pStyle w:val="BodyText"/>
        <w:spacing w:line="240" w:lineRule="auto" w:before="2"/>
        <w:ind w:right="0"/>
        <w:jc w:val="left"/>
      </w:pPr>
      <w:r>
        <w:rPr/>
        <w:t>于可控范围。</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东兴证券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安信证券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兴业基金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万家基金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东兴证券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华创证券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民生证券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华泰证券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齐鲁证券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天弘基金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财达证券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英大证券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上海璟琦投资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财达证券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华泰联合证券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中银基金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公司经营情况及产品介绍</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7"/>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0" w:lineRule="auto"/>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会计师事务所对资金占用的专项审核意见 无</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三、资产交易事项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414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6" w:lineRule="auto" w:before="76"/>
              <w:ind w:left="23" w:right="-20"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 w:hanging="41"/>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6"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290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62" w:lineRule="auto"/>
              <w:ind w:left="24" w:right="30"/>
              <w:jc w:val="left"/>
              <w:rPr>
                <w:rFonts w:ascii="Times New Roman" w:hAnsi="Times New Roman" w:cs="Times New Roman" w:eastAsia="Times New Roman" w:hint="default"/>
                <w:sz w:val="18"/>
                <w:szCs w:val="18"/>
              </w:rPr>
            </w:pPr>
            <w:r>
              <w:rPr>
                <w:rFonts w:ascii="Times New Roman"/>
                <w:sz w:val="18"/>
              </w:rPr>
              <w:t>Irwan Baramuli</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Integra</w:t>
            </w:r>
          </w:p>
          <w:p>
            <w:pPr>
              <w:pStyle w:val="TableParagraph"/>
              <w:spacing w:line="312" w:lineRule="exact" w:before="24"/>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Prima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7"/>
                <w:sz w:val="18"/>
                <w:szCs w:val="18"/>
              </w:rPr>
              <w:t>Coal</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PT</w:t>
            </w:r>
            <w:r>
              <w:rPr>
                <w:rFonts w:ascii="Times New Roman" w:hAnsi="Times New Roman" w:cs="Times New Roman" w:eastAsia="Times New Roman" w:hint="default"/>
                <w:sz w:val="18"/>
                <w:szCs w:val="18"/>
              </w:rPr>
              <w:t> Kutai Nyala Resource s76%</w:t>
            </w:r>
            <w:r>
              <w:rPr>
                <w:rFonts w:ascii="宋体" w:hAnsi="宋体" w:cs="宋体" w:eastAsia="宋体" w:hint="default"/>
                <w:sz w:val="18"/>
                <w:szCs w:val="18"/>
              </w:rPr>
              <w:t>股 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收益法 预估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4" w:right="278"/>
              <w:jc w:val="left"/>
              <w:rPr>
                <w:rFonts w:ascii="Times New Roman" w:hAnsi="Times New Roman" w:cs="Times New Roman" w:eastAsia="Times New Roman" w:hint="default"/>
                <w:sz w:val="18"/>
                <w:szCs w:val="18"/>
              </w:rPr>
            </w:pPr>
            <w:r>
              <w:rPr>
                <w:rFonts w:ascii="Times New Roman"/>
                <w:spacing w:val="-6"/>
                <w:sz w:val="18"/>
              </w:rPr>
              <w:t>TAN</w:t>
            </w:r>
            <w:r>
              <w:rPr>
                <w:rFonts w:ascii="Times New Roman"/>
                <w:w w:val="99"/>
                <w:sz w:val="18"/>
              </w:rPr>
              <w:t> </w:t>
            </w:r>
            <w:r>
              <w:rPr>
                <w:rFonts w:ascii="Times New Roman"/>
                <w:sz w:val="18"/>
              </w:rPr>
              <w:t>SIOK</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43"/>
              <w:jc w:val="left"/>
              <w:rPr>
                <w:rFonts w:ascii="Times New Roman" w:hAnsi="Times New Roman" w:cs="Times New Roman" w:eastAsia="Times New Roman" w:hint="default"/>
                <w:sz w:val="18"/>
                <w:szCs w:val="18"/>
              </w:rPr>
            </w:pPr>
            <w:r>
              <w:rPr>
                <w:rFonts w:ascii="Times New Roman"/>
                <w:sz w:val="18"/>
              </w:rPr>
              <w:t>SHUN</w:t>
            </w:r>
            <w:r>
              <w:rPr>
                <w:rFonts w:ascii="Times New Roman"/>
                <w:w w:val="99"/>
                <w:sz w:val="18"/>
              </w:rPr>
              <w:t> </w:t>
            </w:r>
            <w:r>
              <w:rPr>
                <w:rFonts w:ascii="Times New Roman"/>
                <w:sz w:val="18"/>
              </w:rPr>
              <w:t>INTERN</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收益法 预估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348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SING</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5"/>
              <w:jc w:val="left"/>
              <w:rPr>
                <w:rFonts w:ascii="Times New Roman" w:hAnsi="Times New Roman" w:cs="Times New Roman" w:eastAsia="Times New Roman" w:hint="default"/>
                <w:sz w:val="18"/>
                <w:szCs w:val="18"/>
              </w:rPr>
            </w:pPr>
            <w:r>
              <w:rPr>
                <w:rFonts w:ascii="Times New Roman"/>
                <w:spacing w:val="-4"/>
                <w:sz w:val="18"/>
              </w:rPr>
              <w:t>ATIONA</w:t>
            </w:r>
            <w:r>
              <w:rPr>
                <w:rFonts w:ascii="Times New Roman"/>
                <w:spacing w:val="-43"/>
                <w:sz w:val="18"/>
              </w:rPr>
              <w:t> </w:t>
            </w:r>
            <w:r>
              <w:rPr>
                <w:rFonts w:ascii="Times New Roman"/>
                <w:spacing w:val="-43"/>
                <w:sz w:val="18"/>
              </w:rPr>
            </w:r>
            <w:r>
              <w:rPr>
                <w:rFonts w:ascii="Times New Roman"/>
                <w:sz w:val="18"/>
              </w:rPr>
              <w:t>L</w:t>
            </w:r>
          </w:p>
          <w:p>
            <w:pPr>
              <w:pStyle w:val="TableParagraph"/>
              <w:spacing w:line="326" w:lineRule="auto" w:before="3"/>
              <w:ind w:left="23"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HOLDI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NG</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PT IRONM</w:t>
            </w:r>
          </w:p>
          <w:p>
            <w:pPr>
              <w:pStyle w:val="TableParagraph"/>
              <w:spacing w:line="362" w:lineRule="auto" w:before="33"/>
              <w:ind w:left="23" w:right="30"/>
              <w:jc w:val="left"/>
              <w:rPr>
                <w:rFonts w:ascii="Times New Roman" w:hAnsi="Times New Roman" w:cs="Times New Roman" w:eastAsia="Times New Roman" w:hint="default"/>
                <w:sz w:val="18"/>
                <w:szCs w:val="18"/>
              </w:rPr>
            </w:pPr>
            <w:r>
              <w:rPr>
                <w:rFonts w:ascii="Times New Roman"/>
                <w:sz w:val="18"/>
              </w:rPr>
              <w:t>AN</w:t>
            </w:r>
            <w:r>
              <w:rPr>
                <w:rFonts w:ascii="Times New Roman"/>
                <w:w w:val="99"/>
                <w:sz w:val="18"/>
              </w:rPr>
              <w:t> </w:t>
            </w:r>
            <w:r>
              <w:rPr>
                <w:rFonts w:ascii="Times New Roman"/>
                <w:spacing w:val="-4"/>
                <w:sz w:val="18"/>
              </w:rPr>
              <w:t>ROYAL</w:t>
            </w:r>
            <w:r>
              <w:rPr>
                <w:rFonts w:ascii="Times New Roman"/>
                <w:w w:val="99"/>
                <w:sz w:val="18"/>
              </w:rPr>
              <w:t> </w:t>
            </w:r>
            <w:r>
              <w:rPr>
                <w:rFonts w:ascii="Times New Roman"/>
                <w:sz w:val="18"/>
              </w:rPr>
              <w:t>E</w:t>
            </w:r>
            <w:r>
              <w:rPr>
                <w:rFonts w:ascii="Times New Roman"/>
                <w:sz w:val="18"/>
              </w:rPr>
              <w:t> INDON</w:t>
            </w:r>
            <w:r>
              <w:rPr>
                <w:rFonts w:ascii="Times New Roman"/>
                <w:w w:val="99"/>
                <w:sz w:val="18"/>
              </w:rPr>
              <w:t> </w:t>
            </w:r>
            <w:r>
              <w:rPr>
                <w:rFonts w:ascii="Times New Roman"/>
                <w:sz w:val="18"/>
              </w:rPr>
              <w:t>ESIA100</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49"/>
        <w:ind w:right="0"/>
        <w:jc w:val="both"/>
      </w:pPr>
      <w:r>
        <w:rPr/>
        <w:t>收购资产情况说明</w:t>
      </w:r>
    </w:p>
    <w:p>
      <w:pPr>
        <w:pStyle w:val="BodyText"/>
        <w:spacing w:line="300" w:lineRule="auto" w:before="115"/>
        <w:ind w:right="0"/>
        <w:jc w:val="left"/>
      </w:pPr>
      <w:r>
        <w:rPr/>
        <w:t>有关收购资产的情况请参见公司分别于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12 </w:t>
      </w:r>
      <w:r>
        <w:rPr>
          <w:spacing w:val="-5"/>
        </w:rPr>
        <w:t>日、</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23 </w:t>
      </w:r>
      <w:r>
        <w:rPr/>
        <w:t>日在巨潮咨询网上发布的项目资产收购的相关 公告。</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4"/>
        <w:spacing w:line="256" w:lineRule="auto" w:before="120"/>
        <w:ind w:right="0"/>
        <w:jc w:val="left"/>
        <w:rPr>
          <w:b w:val="0"/>
          <w:bCs w:val="0"/>
        </w:rPr>
      </w:pPr>
      <w:r>
        <w:rPr>
          <w:rFonts w:ascii="Times New Roman" w:hAnsi="Times New Roman" w:cs="Times New Roman" w:eastAsia="Times New Roman" w:hint="default"/>
        </w:rPr>
        <w:t>3</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jc w:val="left"/>
      </w:pPr>
      <w:r>
        <w:rPr>
          <w:spacing w:val="-5"/>
        </w:rPr>
        <w:t>因报告期内，该两部分资产尚未完成收购，因此对报告期经营成果没有影响，项目的具体进展详见第四节</w:t>
      </w:r>
      <w:r>
        <w:rPr>
          <w:rFonts w:ascii="Times New Roman" w:hAnsi="Times New Roman" w:cs="Times New Roman" w:eastAsia="Times New Roman" w:hint="default"/>
          <w:spacing w:val="-5"/>
        </w:rPr>
        <w:t>“</w:t>
      </w:r>
      <w:r>
        <w:rPr>
          <w:spacing w:val="-5"/>
        </w:rPr>
        <w:t>董事会报告</w:t>
      </w:r>
      <w:r>
        <w:rPr>
          <w:rFonts w:ascii="Times New Roman" w:hAnsi="Times New Roman" w:cs="Times New Roman" w:eastAsia="Times New Roman" w:hint="default"/>
          <w:spacing w:val="-5"/>
        </w:rPr>
        <w:t>”</w:t>
      </w:r>
      <w:r>
        <w:rPr>
          <w:spacing w:val="-5"/>
        </w:rPr>
        <w:t>中“管</w:t>
      </w:r>
      <w:r>
        <w:rPr>
          <w:spacing w:val="-51"/>
        </w:rPr>
        <w:t> </w:t>
      </w:r>
      <w:r>
        <w:rPr>
          <w:spacing w:val="-51"/>
        </w:rPr>
      </w:r>
      <w:r>
        <w:rPr/>
        <w:t>理层讨论与分析”中关于</w:t>
      </w:r>
      <w:r>
        <w:rPr>
          <w:rFonts w:ascii="宋体" w:hAnsi="宋体" w:cs="宋体" w:eastAsia="宋体" w:hint="default"/>
        </w:rPr>
        <w:t>2012</w:t>
      </w:r>
      <w:r>
        <w:rPr/>
        <w:t>年完成重点工作情况。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2"/>
        <w:spacing w:line="240" w:lineRule="auto"/>
        <w:ind w:right="0"/>
        <w:jc w:val="both"/>
        <w:rPr>
          <w:b w:val="0"/>
          <w:bCs w:val="0"/>
        </w:rPr>
      </w:pPr>
      <w:r>
        <w:rPr/>
        <w:t>四、公司股权激励的实施情况及其影响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firstLine="216"/>
        <w:jc w:val="left"/>
        <w:rPr>
          <w:rFonts w:ascii="Microsoft JhengHei" w:hAnsi="Microsoft JhengHei" w:cs="Microsoft JhengHei" w:eastAsia="Microsoft JhengHei" w:hint="default"/>
        </w:rPr>
      </w:pPr>
      <w:r>
        <w:rPr/>
        <w:t>报告期内公司已完成《青岛市恒顺电气股份有限公司股权激励计划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以下简称 </w:t>
      </w:r>
      <w:r>
        <w:rPr>
          <w:rFonts w:ascii="Times New Roman" w:hAnsi="Times New Roman" w:cs="Times New Roman" w:eastAsia="Times New Roman" w:hint="default"/>
        </w:rPr>
        <w:t>“</w:t>
      </w:r>
      <w:r>
        <w:rPr/>
        <w:t>《股权激励计划》</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rFonts w:ascii="Times New Roman" w:hAnsi="Times New Roman" w:cs="Times New Roman" w:eastAsia="Times New Roman" w:hint="default"/>
        </w:rPr>
        <w:t>)</w:t>
      </w:r>
      <w:r>
        <w:rPr/>
        <w:t>所涉授予 </w:t>
      </w:r>
      <w:r>
        <w:rPr>
          <w:rFonts w:ascii="Times New Roman" w:hAnsi="Times New Roman" w:cs="Times New Roman" w:eastAsia="Times New Roman" w:hint="default"/>
        </w:rPr>
        <w:t>410</w:t>
      </w:r>
      <w:r>
        <w:rPr/>
        <w:t>万份期权的登记工作</w:t>
      </w:r>
      <w:r>
        <w:rPr>
          <w:rFonts w:ascii="Times New Roman" w:hAnsi="Times New Roman" w:cs="Times New Roman" w:eastAsia="Times New Roman" w:hint="default"/>
        </w:rPr>
        <w:t>,</w:t>
      </w:r>
      <w:r>
        <w:rPr/>
        <w:t>期权简称 </w:t>
      </w:r>
      <w:r>
        <w:rPr>
          <w:rFonts w:ascii="Times New Roman" w:hAnsi="Times New Roman" w:cs="Times New Roman" w:eastAsia="Times New Roman" w:hint="default"/>
        </w:rPr>
        <w:t>:</w:t>
      </w:r>
      <w:r>
        <w:rPr/>
        <w:t>恒顺</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:036023</w:t>
      </w:r>
      <w:r>
        <w:rPr>
          <w:rFonts w:ascii="Times New Roman" w:hAnsi="Times New Roman" w:cs="Times New Roman" w:eastAsia="Times New Roman" w:hint="default"/>
          <w:spacing w:val="3"/>
        </w:rPr>
        <w:t> </w:t>
      </w:r>
      <w:r>
        <w:rPr>
          <w:rFonts w:ascii="Microsoft JhengHei" w:hAnsi="Microsoft JhengHei" w:cs="Microsoft JhengHei" w:eastAsia="Microsoft JhengHei" w:hint="default"/>
        </w:rPr>
        <w:t>｡</w:t>
      </w:r>
    </w:p>
    <w:p>
      <w:pPr>
        <w:spacing w:line="240" w:lineRule="auto" w:before="11"/>
        <w:rPr>
          <w:rFonts w:ascii="Microsoft JhengHei" w:hAnsi="Microsoft JhengHei" w:cs="Microsoft JhengHei" w:eastAsia="Microsoft JhengHei" w:hint="default"/>
          <w:sz w:val="19"/>
          <w:szCs w:val="19"/>
        </w:rPr>
      </w:pPr>
    </w:p>
    <w:p>
      <w:pPr>
        <w:pStyle w:val="BodyText"/>
        <w:spacing w:line="240" w:lineRule="auto"/>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履行程序及执行情况</w:t>
      </w:r>
    </w:p>
    <w:p>
      <w:pPr>
        <w:spacing w:line="240" w:lineRule="auto" w:before="3"/>
        <w:rPr>
          <w:rFonts w:ascii="宋体" w:hAnsi="宋体" w:cs="宋体" w:eastAsia="宋体" w:hint="default"/>
          <w:sz w:val="22"/>
          <w:szCs w:val="22"/>
        </w:rPr>
      </w:pPr>
    </w:p>
    <w:p>
      <w:pPr>
        <w:pStyle w:val="BodyText"/>
        <w:spacing w:line="285" w:lineRule="auto"/>
        <w:ind w:right="0"/>
        <w:jc w:val="left"/>
      </w:pPr>
      <w:r>
        <w:rPr>
          <w:rFonts w:ascii="Times New Roman" w:hAnsi="Times New Roman" w:cs="Times New Roman" w:eastAsia="Times New Roman" w:hint="default"/>
        </w:rPr>
        <w:t>1</w:t>
      </w:r>
      <w:r>
        <w:rPr>
          <w:rFonts w:ascii="Microsoft JhengHei" w:hAnsi="Microsoft JhengHei" w:cs="Microsoft JhengHei" w:eastAsia="Microsoft JhengHei" w:hint="default"/>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w:t>
      </w:r>
      <w:r>
        <w:rPr/>
        <w:t>公司第一届董事会第十一次会议审议通过了《青岛市恒顺电气股份有限公司股权激励计划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spacing w:val="59"/>
        </w:rPr>
        <w:t> </w:t>
      </w:r>
      <w:r>
        <w:rPr/>
        <w:t>独立董事对此股权激励计划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发表了独立意见。</w:t>
      </w:r>
    </w:p>
    <w:p>
      <w:pPr>
        <w:spacing w:line="240" w:lineRule="auto" w:before="3"/>
        <w:rPr>
          <w:rFonts w:ascii="宋体" w:hAnsi="宋体" w:cs="宋体" w:eastAsia="宋体" w:hint="default"/>
          <w:sz w:val="19"/>
          <w:szCs w:val="19"/>
        </w:rPr>
      </w:pPr>
    </w:p>
    <w:p>
      <w:pPr>
        <w:pStyle w:val="BodyText"/>
        <w:spacing w:line="264" w:lineRule="auto"/>
        <w:ind w:right="151"/>
        <w:jc w:val="both"/>
      </w:pPr>
      <w:r>
        <w:rPr>
          <w:rFonts w:ascii="Times New Roman" w:hAnsi="Times New Roman" w:cs="Times New Roman" w:eastAsia="Times New Roman" w:hint="default"/>
        </w:rPr>
        <w:t>2</w:t>
      </w:r>
      <w:r>
        <w:rPr>
          <w:rFonts w:ascii="Microsoft JhengHei" w:hAnsi="Microsoft JhengHei" w:cs="Microsoft JhengHei" w:eastAsia="Microsoft JhengHei" w:hint="default"/>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w:t>
      </w:r>
      <w:r>
        <w:rPr/>
        <w:t>公司第一届监事会第五次会议审议通过了《青岛市恒顺电气股份有限公司股权激励计划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并对激</w:t>
      </w:r>
      <w:r>
        <w:rPr>
          <w:spacing w:val="60"/>
        </w:rPr>
        <w:t> </w:t>
      </w:r>
      <w:r>
        <w:rPr/>
        <w:t>励对象名单进行了核查</w:t>
      </w:r>
      <w:r>
        <w:rPr>
          <w:rFonts w:ascii="Times New Roman" w:hAnsi="Times New Roman" w:cs="Times New Roman" w:eastAsia="Times New Roman" w:hint="default"/>
        </w:rPr>
        <w:t>,</w:t>
      </w:r>
      <w:r>
        <w:rPr/>
        <w:t>认为激励对象符合公司股权激励计划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规定的激励对象范围</w:t>
      </w:r>
      <w:r>
        <w:rPr>
          <w:rFonts w:ascii="Times New Roman" w:hAnsi="Times New Roman" w:cs="Times New Roman" w:eastAsia="Times New Roman" w:hint="default"/>
        </w:rPr>
        <w:t>,</w:t>
      </w:r>
      <w:r>
        <w:rPr/>
        <w:t>其作为公司股权激励计划激励对象</w:t>
      </w:r>
      <w:r>
        <w:rPr>
          <w:spacing w:val="-29"/>
        </w:rPr>
        <w:t> </w:t>
      </w:r>
      <w:r>
        <w:rPr>
          <w:spacing w:val="-29"/>
        </w:rPr>
      </w:r>
      <w:r>
        <w:rPr/>
        <w:t>的主体资格合法</w:t>
      </w:r>
      <w:r>
        <w:rPr>
          <w:rFonts w:ascii="Microsoft JhengHei" w:hAnsi="Microsoft JhengHei" w:cs="Microsoft JhengHei" w:eastAsia="Microsoft JhengHei" w:hint="default"/>
        </w:rPr>
        <w:t>､</w:t>
      </w:r>
      <w:r>
        <w:rPr/>
        <w:t>有效。</w:t>
      </w:r>
    </w:p>
    <w:p>
      <w:pPr>
        <w:spacing w:line="240" w:lineRule="auto" w:before="3"/>
        <w:rPr>
          <w:rFonts w:ascii="宋体" w:hAnsi="宋体" w:cs="宋体" w:eastAsia="宋体" w:hint="default"/>
          <w:sz w:val="20"/>
          <w:szCs w:val="20"/>
        </w:rPr>
      </w:pPr>
    </w:p>
    <w:p>
      <w:pPr>
        <w:pStyle w:val="BodyText"/>
        <w:spacing w:line="285" w:lineRule="auto"/>
        <w:ind w:right="0" w:firstLine="360"/>
        <w:jc w:val="left"/>
      </w:pPr>
      <w:r>
        <w:rPr>
          <w:rFonts w:ascii="Times New Roman" w:hAnsi="Times New Roman" w:cs="Times New Roman" w:eastAsia="Times New Roman" w:hint="default"/>
          <w:spacing w:val="-1"/>
        </w:rPr>
        <w:t>3</w:t>
      </w:r>
      <w:r>
        <w:rPr>
          <w:rFonts w:ascii="Microsoft JhengHei" w:hAnsi="Microsoft JhengHei" w:cs="Microsoft JhengHei" w:eastAsia="Microsoft JhengHei" w:hint="default"/>
          <w:spacing w:val="-1"/>
        </w:rPr>
        <w:t>､根据中国证监会的反馈意见</w:t>
      </w:r>
      <w:r>
        <w:rPr>
          <w:rFonts w:ascii="Times New Roman" w:hAnsi="Times New Roman" w:cs="Times New Roman" w:eastAsia="Times New Roman" w:hint="default"/>
          <w:spacing w:val="-1"/>
        </w:rPr>
        <w:t>,</w:t>
      </w:r>
      <w:r>
        <w:rPr>
          <w:spacing w:val="-1"/>
        </w:rPr>
        <w:t>公司形成了《青岛市恒顺电气股份有限公司股权激励计划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并报中国证监会审</w:t>
      </w:r>
      <w:r>
        <w:rPr/>
        <w:t> 核无异议。</w:t>
      </w:r>
    </w:p>
    <w:p>
      <w:pPr>
        <w:pStyle w:val="BodyText"/>
        <w:spacing w:line="240" w:lineRule="auto" w:before="21"/>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4</w:t>
      </w:r>
      <w:r>
        <w:rPr>
          <w:rFonts w:ascii="Microsoft JhengHei" w:hAnsi="Microsoft JhengHei" w:cs="Microsoft JhengHei" w:eastAsia="Microsoft JhengHei" w:hint="default"/>
          <w:w w:val="200"/>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11</w:t>
      </w:r>
      <w:r>
        <w:rPr>
          <w:spacing w:val="-3"/>
        </w:rPr>
        <w:t>年</w:t>
      </w:r>
      <w:r>
        <w:rPr>
          <w:rFonts w:ascii="Times New Roman" w:hAnsi="Times New Roman" w:cs="Times New Roman" w:eastAsia="Times New Roman" w:hint="default"/>
          <w:spacing w:val="1"/>
        </w:rPr>
        <w:t>11</w:t>
      </w:r>
      <w:r>
        <w:rPr>
          <w:spacing w:val="-3"/>
        </w:rPr>
        <w:t>月</w:t>
      </w:r>
      <w:r>
        <w:rPr>
          <w:rFonts w:ascii="Times New Roman" w:hAnsi="Times New Roman" w:cs="Times New Roman" w:eastAsia="Times New Roman" w:hint="default"/>
          <w:spacing w:val="1"/>
        </w:rPr>
        <w:t>14</w:t>
      </w:r>
      <w:r>
        <w:rPr>
          <w:spacing w:val="-3"/>
        </w:rPr>
        <w:t>日</w:t>
      </w:r>
      <w:r>
        <w:rPr>
          <w:rFonts w:ascii="Times New Roman" w:hAnsi="Times New Roman" w:cs="Times New Roman" w:eastAsia="Times New Roman" w:hint="default"/>
        </w:rPr>
        <w:t>,</w:t>
      </w:r>
      <w:r>
        <w:rPr/>
        <w:t>公司第</w:t>
      </w:r>
      <w:r>
        <w:rPr>
          <w:spacing w:val="-3"/>
        </w:rPr>
        <w:t>一</w:t>
      </w:r>
      <w:r>
        <w:rPr/>
        <w:t>届董事会第十六次会议审议通过</w:t>
      </w:r>
      <w:r>
        <w:rPr>
          <w:spacing w:val="-80"/>
        </w:rPr>
        <w:t>了</w:t>
      </w:r>
      <w:r>
        <w:rPr/>
        <w:t>《青岛市恒顺电气股份有限公司股权激励计</w:t>
      </w:r>
      <w:r>
        <w:rPr>
          <w:spacing w:val="1"/>
        </w:rPr>
        <w:t>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spacing w:val="-80"/>
        </w:rPr>
        <w:t>》</w:t>
      </w:r>
      <w:r>
        <w:rPr>
          <w:rFonts w:ascii="Times New Roman" w:hAnsi="Times New Roman" w:cs="Times New Roman" w:eastAsia="Times New Roman" w:hint="default"/>
        </w:rPr>
        <w:t>;</w:t>
      </w:r>
    </w:p>
    <w:p>
      <w:pPr>
        <w:pStyle w:val="BodyText"/>
        <w:spacing w:line="240" w:lineRule="auto" w:before="60"/>
        <w:ind w:right="0"/>
        <w:jc w:val="both"/>
      </w:pPr>
      <w:r>
        <w:rPr/>
        <w:t>公司独立董事对此正式稿发表了独立意见。</w:t>
      </w:r>
    </w:p>
    <w:p>
      <w:pPr>
        <w:spacing w:after="0" w:line="240" w:lineRule="auto"/>
        <w:jc w:val="both"/>
        <w:sectPr>
          <w:pgSz w:w="11910" w:h="16840"/>
          <w:pgMar w:header="745" w:footer="980" w:top="1060" w:bottom="1160" w:left="980" w:right="980"/>
        </w:sectPr>
      </w:pPr>
    </w:p>
    <w:p>
      <w:pPr>
        <w:spacing w:line="240" w:lineRule="auto" w:before="5"/>
        <w:rPr>
          <w:rFonts w:ascii="宋体" w:hAnsi="宋体" w:cs="宋体" w:eastAsia="宋体" w:hint="default"/>
          <w:sz w:val="25"/>
          <w:szCs w:val="25"/>
        </w:rPr>
      </w:pPr>
    </w:p>
    <w:p>
      <w:pPr>
        <w:pStyle w:val="BodyText"/>
        <w:spacing w:line="300" w:lineRule="exact"/>
        <w:ind w:left="513" w:right="0"/>
        <w:jc w:val="left"/>
      </w:pPr>
      <w:r>
        <w:rPr>
          <w:rFonts w:ascii="Times New Roman" w:hAnsi="Times New Roman" w:cs="Times New Roman" w:eastAsia="Times New Roman" w:hint="default"/>
        </w:rPr>
        <w:t>5</w:t>
      </w:r>
      <w:r>
        <w:rPr>
          <w:rFonts w:ascii="Microsoft JhengHei" w:hAnsi="Microsoft JhengHei" w:cs="Microsoft JhengHei" w:eastAsia="Microsoft JhengHei" w:hint="default"/>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01</w:t>
      </w:r>
      <w:r>
        <w:rPr/>
        <w:t>日</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2011</w:t>
      </w:r>
      <w:r>
        <w:rPr/>
        <w:t>年第二次临时股东大会逐项审议通过了《青岛市恒顺电气股份有限公司股权激励计划</w:t>
      </w:r>
      <w:r>
        <w:rPr>
          <w:rFonts w:ascii="Times New Roman" w:hAnsi="Times New Roman" w:cs="Times New Roman" w:eastAsia="Times New Roman" w:hint="default"/>
        </w:rPr>
        <w:t>(</w:t>
      </w:r>
      <w:r>
        <w:rPr/>
        <w:t>正</w:t>
      </w:r>
    </w:p>
    <w:p>
      <w:pPr>
        <w:pStyle w:val="BodyText"/>
        <w:spacing w:line="300" w:lineRule="auto" w:before="61"/>
        <w:ind w:right="0"/>
        <w:jc w:val="left"/>
      </w:pPr>
      <w:r>
        <w:rPr>
          <w:spacing w:val="-1"/>
        </w:rPr>
        <w:t>式稿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并审议通过了《关于提请股东大会授权董事会办理股权激励计划相关事宜的议案》及《青岛市恒顺电气股份有限公</w:t>
      </w:r>
      <w:r>
        <w:rPr>
          <w:spacing w:val="-50"/>
        </w:rPr>
        <w:t> </w:t>
      </w:r>
      <w:r>
        <w:rPr>
          <w:spacing w:val="-50"/>
        </w:rPr>
      </w:r>
      <w:r>
        <w:rPr/>
        <w:t>司股权激励计划实施考核管理办法》。</w:t>
      </w:r>
    </w:p>
    <w:p>
      <w:pPr>
        <w:pStyle w:val="BodyText"/>
        <w:spacing w:line="240" w:lineRule="auto" w:before="10"/>
        <w:ind w:right="0" w:firstLine="360"/>
        <w:jc w:val="left"/>
        <w:rPr>
          <w:rFonts w:ascii="Microsoft JhengHei" w:hAnsi="Microsoft JhengHei" w:cs="Microsoft JhengHei" w:eastAsia="Microsoft JhengHei" w:hint="default"/>
        </w:rPr>
      </w:pPr>
      <w:r>
        <w:rPr>
          <w:rFonts w:ascii="Times New Roman" w:hAnsi="Times New Roman" w:cs="Times New Roman" w:eastAsia="Times New Roman" w:hint="default"/>
          <w:spacing w:val="-1"/>
        </w:rPr>
        <w:t>6</w:t>
      </w:r>
      <w:r>
        <w:rPr>
          <w:rFonts w:ascii="Microsoft JhengHei" w:hAnsi="Microsoft JhengHei" w:cs="Microsoft JhengHei" w:eastAsia="Microsoft JhengHei" w:hint="default"/>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w:t>
      </w:r>
      <w:r>
        <w:rPr>
          <w:spacing w:val="-1"/>
        </w:rPr>
        <w:t>公司第一届董事会第十八次会议审议通过了《关于公司股权激励计划授予相关事项的议案》</w:t>
      </w:r>
      <w:r>
        <w:rPr>
          <w:rFonts w:ascii="Times New Roman" w:hAnsi="Times New Roman" w:cs="Times New Roman" w:eastAsia="Times New Roman" w:hint="default"/>
          <w:spacing w:val="-1"/>
        </w:rPr>
        <w:t>;</w:t>
      </w:r>
      <w:r>
        <w:rPr>
          <w:spacing w:val="-1"/>
        </w:rPr>
        <w:t>公司独</w:t>
      </w:r>
      <w:r>
        <w:rPr/>
        <w:t> 立董事对此发表了独立意见</w:t>
      </w:r>
      <w:r>
        <w:rPr>
          <w:rFonts w:ascii="Microsoft JhengHei" w:hAnsi="Microsoft JhengHei" w:cs="Microsoft JhengHei" w:eastAsia="Microsoft JhengHei" w:hint="default"/>
        </w:rPr>
        <w:t>｡</w:t>
      </w:r>
    </w:p>
    <w:p>
      <w:pPr>
        <w:pStyle w:val="BodyText"/>
        <w:spacing w:line="300" w:lineRule="auto" w:before="99"/>
        <w:ind w:right="144" w:firstLine="36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08</w:t>
      </w:r>
      <w:r>
        <w:rPr/>
        <w:t>日第一届董事会第二十三次会议审议通过了《关于调整公司股权激励计划股票期权数量及行权价格的 议案》，经过本次调整，公司股票期权激励计划期权数量调整为</w:t>
      </w:r>
      <w:r>
        <w:rPr>
          <w:rFonts w:ascii="Times New Roman" w:hAnsi="Times New Roman" w:cs="Times New Roman" w:eastAsia="Times New Roman" w:hint="default"/>
        </w:rPr>
        <w:t>820</w:t>
      </w:r>
      <w:r>
        <w:rPr/>
        <w:t>万份，股票期权行权价格为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29"/>
        </w:rPr>
        <w:t> </w:t>
      </w:r>
      <w:r>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0"/>
        <w:jc w:val="left"/>
      </w:pPr>
      <w:r>
        <w:rPr/>
        <w:t>股权激励事项临时报告披露网站查询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青岛市恒顺电气股份有限公司股权激励 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青岛市恒顺电气股份有限公司股权激励 计划</w:t>
            </w:r>
            <w:r>
              <w:rPr>
                <w:rFonts w:ascii="Times New Roman" w:hAnsi="Times New Roman" w:cs="Times New Roman" w:eastAsia="Times New Roman" w:hint="default"/>
                <w:sz w:val="18"/>
                <w:szCs w:val="18"/>
              </w:rPr>
              <w:t>(</w:t>
            </w:r>
            <w:r>
              <w:rPr>
                <w:rFonts w:ascii="宋体" w:hAnsi="宋体" w:cs="宋体" w:eastAsia="宋体" w:hint="default"/>
                <w:sz w:val="18"/>
                <w:szCs w:val="18"/>
              </w:rPr>
              <w:t>正式稿</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青岛市恒顺电气股份有限公司第一届董 事会第十八次会议决议公告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2011-036</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青岛市恒顺电气股份有限公司第一届董 事会第十八次会议决议公告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2012-035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86"/>
        <w:gridCol w:w="1265"/>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2"/>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青岛清源环保 实业有限公司； </w:t>
            </w:r>
            <w:r>
              <w:rPr>
                <w:rFonts w:ascii="宋体" w:hAnsi="宋体" w:cs="宋体" w:eastAsia="宋体" w:hint="default"/>
                <w:spacing w:val="-7"/>
                <w:sz w:val="18"/>
                <w:szCs w:val="18"/>
              </w:rPr>
              <w:t>贾全臣；荣信电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力电子股份有 </w:t>
            </w:r>
            <w:r>
              <w:rPr>
                <w:rFonts w:ascii="宋体" w:hAnsi="宋体" w:cs="宋体" w:eastAsia="宋体" w:hint="default"/>
                <w:spacing w:val="-7"/>
                <w:sz w:val="18"/>
                <w:szCs w:val="18"/>
              </w:rPr>
              <w:t>限公司；青岛福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日集团有限公</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65"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49"/>
              <w:ind w:left="-1" w:right="111"/>
              <w:jc w:val="both"/>
              <w:rPr>
                <w:rFonts w:ascii="宋体" w:hAnsi="宋体" w:cs="宋体" w:eastAsia="宋体" w:hint="default"/>
                <w:sz w:val="18"/>
                <w:szCs w:val="18"/>
              </w:rPr>
            </w:pPr>
            <w:r>
              <w:rPr>
                <w:rFonts w:ascii="宋体" w:hAnsi="宋体" w:cs="宋体" w:eastAsia="宋体" w:hint="default"/>
                <w:sz w:val="18"/>
                <w:szCs w:val="18"/>
              </w:rPr>
              <w:t>本公司控股股 东青岛清源环 保实业有限公 司承诺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自公司 股票上市之日 起三十六个月 内</w:t>
            </w:r>
            <w:r>
              <w:rPr>
                <w:rFonts w:ascii="Times New Roman" w:hAnsi="Times New Roman" w:cs="Times New Roman" w:eastAsia="Times New Roman" w:hint="default"/>
                <w:sz w:val="18"/>
                <w:szCs w:val="18"/>
              </w:rPr>
              <w:t>,</w:t>
            </w:r>
            <w:r>
              <w:rPr>
                <w:rFonts w:ascii="宋体" w:hAnsi="宋体" w:cs="宋体" w:eastAsia="宋体" w:hint="default"/>
                <w:sz w:val="18"/>
                <w:szCs w:val="18"/>
              </w:rPr>
              <w:t>不转让或者 委托他人管理 其直接或者间 接持有的公司 公开发行股票 前已发行的股 份</w:t>
            </w:r>
            <w:r>
              <w:rPr>
                <w:rFonts w:ascii="Times New Roman" w:hAnsi="Times New Roman" w:cs="Times New Roman" w:eastAsia="Times New Roman" w:hint="default"/>
                <w:sz w:val="18"/>
                <w:szCs w:val="18"/>
              </w:rPr>
              <w:t>,</w:t>
            </w:r>
            <w:r>
              <w:rPr>
                <w:rFonts w:ascii="宋体" w:hAnsi="宋体" w:cs="宋体" w:eastAsia="宋体" w:hint="default"/>
                <w:sz w:val="18"/>
                <w:szCs w:val="18"/>
              </w:rPr>
              <w:t>也不由公司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三十六个月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未发现 违反承诺的情 况</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回购其直接或</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者间接持有的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股票前已发行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的股份。实际控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制人贾全臣承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自公司股票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上市之日起三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十六个月内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转让或者委托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他人管理其直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接或者间接持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发行股票前已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不由公司回购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其直接或者间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前已发行的股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份；本人在公司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超过所持有公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司股份总数的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不转让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所持有的公司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股份。荣信电力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电子股份有限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司股票上市之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w:t>
            </w:r>
            <w:r>
              <w:rPr>
                <w:rFonts w:ascii="Times New Roman" w:hAnsi="Times New Roman" w:cs="Times New Roman" w:eastAsia="Times New Roman" w:hint="default"/>
                <w:sz w:val="18"/>
                <w:szCs w:val="18"/>
              </w:rPr>
              <w:t>,</w:t>
            </w:r>
            <w:r>
              <w:rPr>
                <w:rFonts w:ascii="宋体" w:hAnsi="宋体" w:cs="宋体" w:eastAsia="宋体" w:hint="default"/>
                <w:sz w:val="18"/>
                <w:szCs w:val="18"/>
              </w:rPr>
              <w:t>不转让或者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委托他人管理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有的该公司公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已发行的股份</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也不由该公司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回购直接或间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接持有的该公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司公开发行股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票前已发行的</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20"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w:t>
            </w:r>
            <w:r>
              <w:rPr>
                <w:rFonts w:ascii="宋体" w:hAnsi="宋体" w:cs="宋体" w:eastAsia="宋体" w:hint="default"/>
                <w:sz w:val="18"/>
                <w:szCs w:val="18"/>
              </w:rPr>
              <w:t>自发行人</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股票上市之日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起二十四个月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w:t>
            </w:r>
            <w:r>
              <w:rPr>
                <w:rFonts w:ascii="Times New Roman" w:hAnsi="Times New Roman" w:cs="Times New Roman" w:eastAsia="Times New Roman" w:hint="default"/>
                <w:sz w:val="18"/>
                <w:szCs w:val="18"/>
              </w:rPr>
              <w:t>,</w:t>
            </w:r>
            <w:r>
              <w:rPr>
                <w:rFonts w:ascii="宋体" w:hAnsi="宋体" w:cs="宋体" w:eastAsia="宋体" w:hint="default"/>
                <w:sz w:val="18"/>
                <w:szCs w:val="18"/>
              </w:rPr>
              <w:t>转让股份不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超过所持股份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五十</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发行人增资完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成工商变更登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记手续之日</w:t>
            </w:r>
            <w:r>
              <w:rPr>
                <w:rFonts w:ascii="Times New Roman" w:hAnsi="Times New Roman" w:cs="Times New Roman" w:eastAsia="Times New Roman" w:hint="default"/>
                <w:sz w:val="18"/>
                <w:szCs w:val="18"/>
              </w:rPr>
              <w:t>)</w:t>
            </w:r>
            <w:r>
              <w:rPr>
                <w:rFonts w:ascii="宋体" w:hAnsi="宋体" w:cs="宋体" w:eastAsia="宋体" w:hint="default"/>
                <w:sz w:val="18"/>
                <w:szCs w:val="18"/>
              </w:rPr>
              <w:t>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三十六个月内</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不转让或者委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直接和间接持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有的股份。青岛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福日集团有限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司股票上市之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w:t>
            </w:r>
            <w:r>
              <w:rPr>
                <w:rFonts w:ascii="Times New Roman" w:hAnsi="Times New Roman" w:cs="Times New Roman" w:eastAsia="Times New Roman" w:hint="default"/>
                <w:sz w:val="18"/>
                <w:szCs w:val="18"/>
              </w:rPr>
              <w:t>,</w:t>
            </w:r>
            <w:r>
              <w:rPr>
                <w:rFonts w:ascii="宋体" w:hAnsi="宋体" w:cs="宋体" w:eastAsia="宋体" w:hint="default"/>
                <w:sz w:val="18"/>
                <w:szCs w:val="18"/>
              </w:rPr>
              <w:t>不转让或者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委托他人管理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有的该公司公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已发行的股份</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也不由该公司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回购直接或间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接持有的该公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司公开发行股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票前已发行的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w:t>
            </w:r>
            <w:r>
              <w:rPr>
                <w:rFonts w:ascii="宋体" w:hAnsi="宋体" w:cs="宋体" w:eastAsia="宋体" w:hint="default"/>
                <w:sz w:val="18"/>
                <w:szCs w:val="18"/>
              </w:rPr>
              <w:t>自发行人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股票上市之日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起二十四个月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w:t>
            </w:r>
            <w:r>
              <w:rPr>
                <w:rFonts w:ascii="Times New Roman" w:hAnsi="Times New Roman" w:cs="Times New Roman" w:eastAsia="Times New Roman" w:hint="default"/>
                <w:sz w:val="18"/>
                <w:szCs w:val="18"/>
              </w:rPr>
              <w:t>,</w:t>
            </w:r>
            <w:r>
              <w:rPr>
                <w:rFonts w:ascii="宋体" w:hAnsi="宋体" w:cs="宋体" w:eastAsia="宋体" w:hint="default"/>
                <w:sz w:val="18"/>
                <w:szCs w:val="18"/>
              </w:rPr>
              <w:t>转让股份不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超过所持股份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五十</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发行人增资完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成工商变更登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记手续之日</w:t>
            </w:r>
            <w:r>
              <w:rPr>
                <w:rFonts w:ascii="Times New Roman" w:hAnsi="Times New Roman" w:cs="Times New Roman" w:eastAsia="Times New Roman" w:hint="default"/>
                <w:sz w:val="18"/>
                <w:szCs w:val="18"/>
              </w:rPr>
              <w:t>)</w:t>
            </w:r>
            <w:r>
              <w:rPr>
                <w:rFonts w:ascii="宋体" w:hAnsi="宋体" w:cs="宋体" w:eastAsia="宋体" w:hint="default"/>
                <w:sz w:val="18"/>
                <w:szCs w:val="18"/>
              </w:rPr>
              <w:t>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三十六个月内</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4"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不转让或者委</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托他人管理其 直接和间接持 有的股份。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无未完成履行的承诺</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三十六个月</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锁定股份</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日，未发现违反承诺的情况</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六、聘任、解聘会计师事务所情况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山东汇德会计师事务所</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谭正嘉、韩文金</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t>□ 是 √</w:t>
      </w:r>
      <w:r>
        <w:rPr>
          <w:spacing w:val="3"/>
        </w:rPr>
        <w:t> </w:t>
      </w:r>
      <w:r>
        <w:rPr/>
        <w:t>否</w:t>
      </w:r>
    </w:p>
    <w:p>
      <w:pPr>
        <w:spacing w:line="240" w:lineRule="auto" w:before="1"/>
        <w:rPr>
          <w:rFonts w:ascii="宋体" w:hAnsi="宋体" w:cs="宋体" w:eastAsia="宋体" w:hint="default"/>
          <w:sz w:val="25"/>
          <w:szCs w:val="25"/>
        </w:rPr>
      </w:pPr>
    </w:p>
    <w:p>
      <w:pPr>
        <w:pStyle w:val="Heading2"/>
        <w:spacing w:line="240" w:lineRule="auto"/>
        <w:ind w:right="136"/>
        <w:jc w:val="left"/>
        <w:rPr>
          <w:b w:val="0"/>
          <w:bCs w:val="0"/>
        </w:rPr>
      </w:pPr>
      <w:r>
        <w:rPr/>
        <w:t>七、上市公司及其董事、监事、高级管理人员、公司股东、实际控制人和收购人处罚及整改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554"/>
        <w:jc w:val="left"/>
      </w:pPr>
      <w:r>
        <w:rPr/>
        <w:t>□ 适用 √</w:t>
      </w:r>
      <w:r>
        <w:rPr>
          <w:spacing w:val="3"/>
        </w:rPr>
        <w:t> </w:t>
      </w:r>
      <w:r>
        <w:rPr/>
        <w:t>不适用</w:t>
      </w:r>
      <w:r>
        <w:rPr/>
        <w:t> 上市公司及其子公司是否被列入环保部门公布的污染严重企业名单</w:t>
      </w:r>
    </w:p>
    <w:p>
      <w:pPr>
        <w:pStyle w:val="BodyText"/>
        <w:spacing w:line="360" w:lineRule="auto" w:before="29"/>
        <w:ind w:right="5634"/>
        <w:jc w:val="left"/>
      </w:pPr>
      <w:r>
        <w:rPr/>
        <w:t>□ 是 √</w:t>
      </w:r>
      <w:r>
        <w:rPr>
          <w:spacing w:val="3"/>
        </w:rPr>
        <w:t> </w:t>
      </w:r>
      <w:r>
        <w:rPr/>
        <w:t>否</w:t>
      </w:r>
      <w:r>
        <w:rPr/>
        <w:t> 上市公司及其子公司是否存在其他重大社会安全问题</w:t>
      </w:r>
    </w:p>
    <w:p>
      <w:pPr>
        <w:pStyle w:val="BodyText"/>
        <w:spacing w:line="360" w:lineRule="auto" w:before="25"/>
        <w:ind w:right="7794"/>
        <w:jc w:val="left"/>
      </w:pPr>
      <w:r>
        <w:rPr/>
        <w:t>□ 是 √</w:t>
      </w:r>
      <w:r>
        <w:rPr>
          <w:spacing w:val="3"/>
        </w:rPr>
        <w:t> </w:t>
      </w:r>
      <w:r>
        <w:rPr/>
        <w:t>否</w:t>
      </w:r>
      <w:r>
        <w:rPr/>
        <w:t> 报告期内是否被行政处罚</w:t>
      </w:r>
    </w:p>
    <w:p>
      <w:pPr>
        <w:pStyle w:val="BodyText"/>
        <w:spacing w:line="240" w:lineRule="auto" w:before="27"/>
        <w:ind w:right="0"/>
        <w:jc w:val="left"/>
      </w:pPr>
      <w:r>
        <w:rPr/>
        <w:t>□ 是 √</w:t>
      </w:r>
      <w:r>
        <w:rPr>
          <w:spacing w:val="3"/>
        </w:rPr>
        <w:t> </w:t>
      </w:r>
      <w:r>
        <w:rPr/>
        <w:t>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计划增持股份数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计划增持股份比</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实际增持股份数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股份增持计划初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589,500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0.0421%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589,500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0.0421%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49"/>
        <w:ind w:right="0"/>
        <w:jc w:val="left"/>
      </w:pPr>
      <w:r>
        <w:rPr/>
        <w:t>其他情况说明</w:t>
      </w:r>
    </w:p>
    <w:p>
      <w:pPr>
        <w:pStyle w:val="Heading3"/>
        <w:spacing w:line="240" w:lineRule="auto" w:before="68"/>
        <w:ind w:right="0"/>
        <w:jc w:val="left"/>
      </w:pPr>
      <w:r>
        <w:rPr/>
        <w:t>贾全臣先生已于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日完成承诺的增持计划。</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九、</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22" w:right="23" w:hanging="1"/>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681" w:right="51"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51.57%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51.57%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63%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-8,000,000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51.57%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8,400,000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12%</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-8,400,000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48.43%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48.43%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股份变动的原因</w:t>
      </w:r>
    </w:p>
    <w:p>
      <w:pPr>
        <w:pStyle w:val="BodyText"/>
        <w:spacing w:line="264" w:lineRule="auto" w:before="117"/>
        <w:ind w:right="295"/>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日经公司股东大会审议通过</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w:t>
      </w:r>
      <w:r>
        <w:rPr/>
        <w:t>以公司</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7,000</w:t>
      </w:r>
      <w:r>
        <w:rPr/>
        <w:t>万股为基数</w:t>
      </w:r>
      <w:r>
        <w:rPr>
          <w:rFonts w:ascii="Times New Roman" w:hAnsi="Times New Roman" w:cs="Times New Roman" w:eastAsia="Times New Roman" w:hint="default"/>
        </w:rPr>
        <w:t>,</w:t>
      </w:r>
      <w:r>
        <w:rPr/>
        <w:t>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股 派发现金股利人民币</w:t>
      </w:r>
      <w:r>
        <w:rPr>
          <w:rFonts w:ascii="Times New Roman" w:hAnsi="Times New Roman" w:cs="Times New Roman" w:eastAsia="Times New Roman" w:hint="default"/>
        </w:rPr>
        <w:t>2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1,400</w:t>
      </w:r>
      <w:r>
        <w:rPr/>
        <w:t>万元</w:t>
      </w:r>
      <w:r>
        <w:rPr>
          <w:rFonts w:ascii="Times New Roman" w:hAnsi="Times New Roman" w:cs="Times New Roman" w:eastAsia="Times New Roman" w:hint="default"/>
        </w:rPr>
        <w:t>,</w:t>
      </w:r>
      <w:r>
        <w:rPr/>
        <w:t>剩余未分配利润结转下一年度</w:t>
      </w:r>
      <w:r>
        <w:rPr>
          <w:rFonts w:ascii="Microsoft JhengHei" w:hAnsi="Microsoft JhengHei" w:cs="Microsoft JhengHei" w:eastAsia="Microsoft JhengHei" w:hint="default"/>
        </w:rPr>
        <w:t>｡</w:t>
      </w:r>
      <w:r>
        <w:rPr/>
        <w:t>同时</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7,000</w:t>
      </w:r>
      <w:r>
        <w:rPr>
          <w:rFonts w:ascii="Times New Roman" w:hAnsi="Times New Roman" w:cs="Times New Roman" w:eastAsia="Times New Roman" w:hint="default"/>
          <w:spacing w:val="6"/>
        </w:rPr>
        <w:t> </w:t>
      </w:r>
      <w:r>
        <w:rPr/>
        <w:t>万股 为基数</w:t>
      </w:r>
      <w:r>
        <w:rPr>
          <w:rFonts w:ascii="Times New Roman" w:hAnsi="Times New Roman" w:cs="Times New Roman" w:eastAsia="Times New Roman" w:hint="default"/>
        </w:rPr>
        <w:t>,</w:t>
      </w:r>
      <w:r>
        <w:rPr/>
        <w:t>以资本公积金每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7,000</w:t>
      </w:r>
      <w:r>
        <w:rPr>
          <w:rFonts w:ascii="Times New Roman" w:hAnsi="Times New Roman" w:cs="Times New Roman" w:eastAsia="Times New Roman" w:hint="default"/>
          <w:spacing w:val="5"/>
        </w:rPr>
        <w:t> </w:t>
      </w:r>
      <w:r>
        <w:rPr/>
        <w:t>万股</w:t>
      </w:r>
      <w:r>
        <w:rPr>
          <w:rFonts w:ascii="Times New Roman" w:hAnsi="Times New Roman" w:cs="Times New Roman" w:eastAsia="Times New Roman" w:hint="default"/>
        </w:rPr>
        <w:t>.</w:t>
      </w:r>
    </w:p>
    <w:p>
      <w:pPr>
        <w:pStyle w:val="BodyText"/>
        <w:spacing w:line="240" w:lineRule="auto" w:before="83"/>
        <w:ind w:right="0"/>
        <w:jc w:val="both"/>
      </w:pPr>
      <w:r>
        <w:rPr/>
        <w:t>股份变动的批准情况</w:t>
      </w:r>
    </w:p>
    <w:p>
      <w:pPr>
        <w:spacing w:after="0" w:line="24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194"/>
        <w:jc w:val="left"/>
      </w:pPr>
      <w:r>
        <w:rPr/>
        <w:t>□ 适用 √</w:t>
      </w:r>
      <w:r>
        <w:rPr>
          <w:spacing w:val="3"/>
        </w:rPr>
        <w:t> </w:t>
      </w:r>
      <w:r>
        <w:rPr/>
        <w:t>不适用</w:t>
      </w:r>
      <w:r>
        <w:rPr/>
        <w:t> 股份变动的过户情况</w:t>
      </w:r>
    </w:p>
    <w:p>
      <w:pPr>
        <w:pStyle w:val="BodyText"/>
        <w:spacing w:line="240" w:lineRule="auto" w:before="25"/>
        <w:ind w:right="0"/>
        <w:jc w:val="left"/>
      </w:pPr>
      <w:r>
        <w:rPr/>
        <w:t>股份变动对最近一年和最近一期基本每股收益和稀释每股收益、归属于公司普通股股东的每股净资产等财务指标的影响</w:t>
      </w:r>
    </w:p>
    <w:p>
      <w:pPr>
        <w:pStyle w:val="BodyText"/>
        <w:spacing w:line="360" w:lineRule="auto" w:before="117"/>
        <w:ind w:right="5854"/>
        <w:jc w:val="left"/>
      </w:pPr>
      <w:r>
        <w:rPr/>
        <w:t>□ 适用 √</w:t>
      </w:r>
      <w:r>
        <w:rPr>
          <w:spacing w:val="3"/>
        </w:rPr>
        <w:t> </w:t>
      </w:r>
      <w:r>
        <w:rPr/>
        <w:t>不适用</w:t>
      </w:r>
      <w:r>
        <w:rPr/>
        <w:t> 公司认为必要或证券监管机构要求披露的其他内容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青岛清源环保实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2014-4-26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新疆奕飞股权投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2012-4-26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荣信电力电子股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2013-3-31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马东卫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2012-4-26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龙晓荣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2012-4-26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青岛福日集团有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2013-3-31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上海兴烨创业投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2013-6-29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72,200,000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t>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7,000</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t>万股。现公司股份总数为</w:t>
      </w:r>
      <w:r>
        <w:rPr>
          <w:rFonts w:ascii="Times New Roman" w:hAnsi="Times New Roman" w:cs="Times New Roman" w:eastAsia="Times New Roman" w:hint="default"/>
        </w:rPr>
        <w:t>14</w:t>
      </w:r>
      <w:r>
        <w:rPr/>
        <w:t>，</w:t>
      </w:r>
      <w:r>
        <w:rPr>
          <w:rFonts w:ascii="Times New Roman" w:hAnsi="Times New Roman" w:cs="Times New Roman" w:eastAsia="Times New Roman" w:hint="default"/>
        </w:rPr>
        <w:t>000</w:t>
      </w:r>
      <w:r>
        <w:rPr/>
        <w:t>万股。 本次股份变动不影响公司资产和负债的结构。</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352"/>
        <w:gridCol w:w="1363"/>
        <w:gridCol w:w="1380"/>
        <w:gridCol w:w="1362"/>
        <w:gridCol w:w="1368"/>
        <w:gridCol w:w="1363"/>
        <w:gridCol w:w="1374"/>
      </w:tblGrid>
      <w:tr>
        <w:trPr>
          <w:trHeight w:val="408" w:hRule="exact"/>
        </w:trPr>
        <w:tc>
          <w:tcPr>
            <w:tcW w:w="2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6,963</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8,382</w:t>
            </w:r>
          </w:p>
        </w:tc>
      </w:tr>
      <w:tr>
        <w:trPr>
          <w:trHeight w:val="391" w:hRule="exact"/>
        </w:trPr>
        <w:tc>
          <w:tcPr>
            <w:tcW w:w="956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2"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青岛清源环保实</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33.71%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47,200,000</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525" w:right="0"/>
              <w:jc w:val="left"/>
              <w:rPr>
                <w:rFonts w:ascii="Times New Roman" w:hAnsi="Times New Roman" w:cs="Times New Roman" w:eastAsia="Times New Roman" w:hint="default"/>
                <w:sz w:val="18"/>
                <w:szCs w:val="18"/>
              </w:rPr>
            </w:pPr>
            <w:r>
              <w:rPr>
                <w:rFonts w:ascii="Times New Roman"/>
                <w:sz w:val="18"/>
              </w:rPr>
              <w:t>47,200,000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36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91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7"/>
              <w:ind w:left="24" w:right="69"/>
              <w:jc w:val="left"/>
              <w:rPr>
                <w:rFonts w:ascii="宋体" w:hAnsi="宋体" w:cs="宋体" w:eastAsia="宋体" w:hint="default"/>
                <w:sz w:val="18"/>
                <w:szCs w:val="18"/>
              </w:rPr>
            </w:pPr>
            <w:r>
              <w:rPr>
                <w:rFonts w:ascii="宋体" w:hAnsi="宋体" w:cs="宋体" w:eastAsia="宋体" w:hint="default"/>
                <w:sz w:val="18"/>
                <w:szCs w:val="18"/>
              </w:rPr>
              <w:t>荣信电力电子股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6"/>
              <w:jc w:val="right"/>
              <w:rPr>
                <w:rFonts w:ascii="Times New Roman" w:hAnsi="Times New Roman" w:cs="Times New Roman" w:eastAsia="Times New Roman" w:hint="default"/>
                <w:sz w:val="18"/>
                <w:szCs w:val="18"/>
              </w:rPr>
            </w:pPr>
            <w:r>
              <w:rPr>
                <w:rFonts w:ascii="Times New Roman"/>
                <w:sz w:val="18"/>
              </w:rPr>
              <w:t>10.71%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青岛福日集团有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6,669,198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6,159,000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阮健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中国对外经济贸 易信托有限公司</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3,678,350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陆晋阳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严韩庆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上海兴烨创业投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闫惠</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6,669,198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6,669,198</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郭强</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6,159,000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6,159,000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阮健</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5,900,000</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3,678,350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陆晋阳</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严韩庆</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华润深国投信托有限公司－润金</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号集合资金信托计划</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2,395,301</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2,173,566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2,173,566</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龙晓荣</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1337"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名限售条件股东间不存在关联关系或属于《上市公司股东持股变动信息披露管理</w:t>
            </w:r>
          </w:p>
          <w:p>
            <w:pPr>
              <w:pStyle w:val="TableParagraph"/>
              <w:spacing w:line="309"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办法》规定的一致行动人；公司前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名无限售条件股东间除闫惠与郭强属于《上市公 </w:t>
            </w:r>
            <w:r>
              <w:rPr>
                <w:rFonts w:ascii="宋体" w:hAnsi="宋体" w:cs="宋体" w:eastAsia="宋体" w:hint="default"/>
                <w:spacing w:val="-2"/>
                <w:sz w:val="18"/>
                <w:szCs w:val="18"/>
              </w:rPr>
              <w:t>司股东持股变动信息披露管理办法》一致行动人之外，其他未知是否存在关联关系，也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未知是否属于一致行动人。</w:t>
            </w:r>
          </w:p>
        </w:tc>
      </w:tr>
      <w:tr>
        <w:trPr>
          <w:trHeight w:val="986"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股东闫惠通过广发证券股份有限公司客户信用交易担保证券账户持有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6,669,198 </w:t>
            </w:r>
            <w:r>
              <w:rPr>
                <w:rFonts w:ascii="宋体" w:hAnsi="宋体" w:cs="宋体" w:eastAsia="宋体" w:hint="default"/>
                <w:sz w:val="18"/>
                <w:szCs w:val="18"/>
              </w:rPr>
              <w:t>股，实</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6,669,198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股；股东郭强通过广发证券股份有限公司客户信用交易担保证券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6,159,000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股，实际合计持有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6,159,000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股；股东阮建通过中信证券股份有限公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422"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15pt;height:21.15pt;mso-position-horizontal-relative:char;mso-position-vertical-relative:line" coordorigin="0,0" coordsize="9583,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2720;top:14;width:2;height:392" coordorigin="2720,14" coordsize="2,392">
              <v:shape style="position:absolute;left:2720;top:14;width:2;height:392" coordorigin="2720,14" coordsize="0,392" path="m2720,14l2720,406e" filled="false" stroked="true" strokeweight="1.2pt" strokecolor="#d2d2d2">
                <v:path arrowok="t"/>
              </v:shape>
            </v:group>
            <v:group style="position:absolute;left:34;top:14;width:2675;height:392" coordorigin="34,14" coordsize="2675,392">
              <v:shape style="position:absolute;left:34;top:14;width:2675;height:392" coordorigin="34,14" coordsize="2675,392" path="m34,406l2708,406,2708,14,34,14,34,406xe" filled="true" fillcolor="#d2d2d2" stroked="false">
                <v:path arrowok="t"/>
                <v:fill type="solid"/>
              </v:shape>
            </v:group>
            <v:group style="position:absolute;left:10;top:10;width:2723;height:2" coordorigin="10,10" coordsize="2723,2">
              <v:shape style="position:absolute;left:10;top:10;width:2723;height:2" coordorigin="10,10" coordsize="2723,0" path="m10,10l2732,10e" filled="false" stroked="true" strokeweight=".48pt" strokecolor="#000000">
                <v:path arrowok="t"/>
              </v:shape>
            </v:group>
            <v:group style="position:absolute;left:2742;top:10;width:6832;height:2" coordorigin="2742,10" coordsize="6832,2">
              <v:shape style="position:absolute;left:2742;top:10;width:6832;height:2" coordorigin="2742,10" coordsize="6832,0" path="m2742,10l9573,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2723;height:2" coordorigin="10,413" coordsize="2723,2">
              <v:shape style="position:absolute;left:10;top:413;width:2723;height:2" coordorigin="10,413" coordsize="2723,0" path="m10,413l2732,413e" filled="false" stroked="true" strokeweight=".48pt" strokecolor="#000000">
                <v:path arrowok="t"/>
              </v:shape>
            </v:group>
            <v:group style="position:absolute;left:2737;top:5;width:2;height:414" coordorigin="2737,5" coordsize="2,414">
              <v:shape style="position:absolute;left:2737;top:5;width:2;height:414" coordorigin="2737,5" coordsize="0,414" path="m2737,5l2737,418e" filled="false" stroked="true" strokeweight=".48pt" strokecolor="#000000">
                <v:path arrowok="t"/>
              </v:shape>
            </v:group>
            <v:group style="position:absolute;left:2742;top:413;width:6832;height:2" coordorigin="2742,413" coordsize="6832,2">
              <v:shape style="position:absolute;left:2742;top:413;width:6832;height:2" coordorigin="2742,413" coordsize="6832,0" path="m2742,413l9573,413e" filled="false" stroked="true" strokeweight=".48pt" strokecolor="#000000">
                <v:path arrowok="t"/>
              </v:shape>
            </v:group>
            <v:group style="position:absolute;left:9578;top:5;width:2;height:414" coordorigin="9578,5" coordsize="2,414">
              <v:shape style="position:absolute;left:9578;top:5;width:2;height:414" coordorigin="9578,5" coordsize="0,414" path="m9578,5l9578,418e" filled="false" stroked="true" strokeweight=".48pt" strokecolor="#000000">
                <v:path arrowok="t"/>
              </v:shape>
              <v:shape style="position:absolute;left:2737;top:10;width:6841;height:404"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6"/>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49" w:firstLine="413"/>
        <w:jc w:val="both"/>
      </w:pPr>
      <w:r>
        <w:rPr/>
        <w:t>公司的控股股东为青岛清源环保实业有限公司，成立于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日，注册资本</w:t>
      </w:r>
      <w:r>
        <w:rPr>
          <w:rFonts w:ascii="Times New Roman" w:hAnsi="Times New Roman" w:cs="Times New Roman" w:eastAsia="Times New Roman" w:hint="default"/>
        </w:rPr>
        <w:t>6,000</w:t>
      </w:r>
      <w:r>
        <w:rPr>
          <w:rFonts w:ascii="Times New Roman" w:hAnsi="Times New Roman" w:cs="Times New Roman" w:eastAsia="Times New Roman" w:hint="default"/>
          <w:spacing w:val="36"/>
        </w:rPr>
        <w:t> </w:t>
      </w:r>
      <w:r>
        <w:rPr/>
        <w:t>万元，法定代表人贾全臣，主 </w:t>
      </w:r>
      <w:r>
        <w:rPr>
          <w:spacing w:val="-2"/>
        </w:rPr>
        <w:t>营业务为批发、零售：通用机械、专用设备、电气机械、五金交电、家用电器、计算机设备、通用设备、电子产品；机械设</w:t>
      </w:r>
      <w:r>
        <w:rPr>
          <w:spacing w:val="-74"/>
        </w:rPr>
        <w:t> </w:t>
      </w:r>
      <w:r>
        <w:rPr>
          <w:spacing w:val="-74"/>
        </w:rPr>
      </w:r>
      <w:r>
        <w:rPr>
          <w:spacing w:val="-2"/>
        </w:rPr>
        <w:t>备租赁；计算机系统的设计、集成、安装；环境污染防治专用设备的研发、制造、销售；工程技术与规划管理；企业管理咨</w:t>
      </w:r>
      <w:r>
        <w:rPr>
          <w:spacing w:val="-65"/>
        </w:rPr>
        <w:t> </w:t>
      </w:r>
      <w:r>
        <w:rPr>
          <w:spacing w:val="-65"/>
        </w:rPr>
      </w:r>
      <w:r>
        <w:rPr/>
        <w:t>询，投资咨询。青岛清源环保实业有限公司持有公司股份</w:t>
      </w:r>
      <w:r>
        <w:rPr>
          <w:rFonts w:ascii="Times New Roman" w:hAnsi="Times New Roman" w:cs="Times New Roman" w:eastAsia="Times New Roman" w:hint="default"/>
        </w:rPr>
        <w:t>4,720</w:t>
      </w:r>
      <w:r>
        <w:rPr/>
        <w:t>万股，占股本总额的 </w:t>
      </w:r>
      <w:r>
        <w:rPr>
          <w:rFonts w:ascii="Times New Roman" w:hAnsi="Times New Roman" w:cs="Times New Roman" w:eastAsia="Times New Roman" w:hint="default"/>
        </w:rPr>
        <w:t>33.71%</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日经青岛</w:t>
      </w:r>
      <w:r>
        <w:rPr>
          <w:spacing w:val="-62"/>
        </w:rPr>
        <w:t> </w:t>
      </w:r>
      <w:r>
        <w:rPr>
          <w:spacing w:val="-1"/>
        </w:rPr>
        <w:t>市工商局城阳分局批准由</w:t>
      </w:r>
      <w:r>
        <w:rPr>
          <w:rFonts w:ascii="Times New Roman" w:hAnsi="Times New Roman" w:cs="Times New Roman" w:eastAsia="Times New Roman" w:hint="default"/>
          <w:spacing w:val="-1"/>
        </w:rPr>
        <w:t>“</w:t>
      </w:r>
      <w:r>
        <w:rPr>
          <w:spacing w:val="-1"/>
        </w:rPr>
        <w:t>青岛清源投资有限责任公司</w:t>
      </w:r>
      <w:r>
        <w:rPr>
          <w:rFonts w:ascii="Times New Roman" w:hAnsi="Times New Roman" w:cs="Times New Roman" w:eastAsia="Times New Roman" w:hint="default"/>
          <w:spacing w:val="-1"/>
        </w:rPr>
        <w:t>”</w:t>
      </w:r>
      <w:r>
        <w:rPr>
          <w:spacing w:val="-1"/>
        </w:rPr>
        <w:t>更名为</w:t>
      </w:r>
      <w:r>
        <w:rPr>
          <w:rFonts w:ascii="Times New Roman" w:hAnsi="Times New Roman" w:cs="Times New Roman" w:eastAsia="Times New Roman" w:hint="default"/>
          <w:spacing w:val="-1"/>
        </w:rPr>
        <w:t>“</w:t>
      </w:r>
      <w:r>
        <w:rPr>
          <w:spacing w:val="-1"/>
        </w:rPr>
        <w:t>青岛清源环保实业有限公司</w:t>
      </w:r>
      <w:r>
        <w:rPr>
          <w:rFonts w:ascii="Times New Roman" w:hAnsi="Times New Roman" w:cs="Times New Roman" w:eastAsia="Times New Roman" w:hint="default"/>
          <w:spacing w:val="-1"/>
        </w:rPr>
        <w:t>”</w:t>
      </w:r>
      <w:r>
        <w:rPr>
          <w:spacing w:val="-1"/>
        </w:rPr>
        <w:t>，变更后，控股股东所持公司股</w:t>
      </w:r>
      <w:r>
        <w:rPr>
          <w:spacing w:val="-78"/>
        </w:rPr>
        <w:t> </w:t>
      </w:r>
      <w:r>
        <w:rPr>
          <w:spacing w:val="-78"/>
        </w:rPr>
      </w:r>
      <w:r>
        <w:rPr/>
        <w:t>份不变，公司实际控制人未发生变化。</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2004" w:firstLine="420"/>
        <w:jc w:val="left"/>
      </w:pPr>
      <w:r>
        <w:rPr/>
        <w:t>公司的实际控制人为贾全臣先生，对控股股东青岛清源环保实业有限公司的出资比例为</w:t>
      </w:r>
      <w:r>
        <w:rPr>
          <w:rFonts w:ascii="Times New Roman" w:hAnsi="Times New Roman" w:cs="Times New Roman" w:eastAsia="Times New Roman" w:hint="default"/>
        </w:rPr>
        <w:t>40%</w:t>
      </w:r>
      <w:r>
        <w:rPr/>
        <w:t>。 公司与实际控制人之间的产权及控制关系的方框图</w:t>
      </w:r>
    </w:p>
    <w:p>
      <w:pPr>
        <w:spacing w:line="240" w:lineRule="auto" w:before="10"/>
        <w:rPr>
          <w:rFonts w:ascii="宋体" w:hAnsi="宋体" w:cs="宋体" w:eastAsia="宋体" w:hint="default"/>
          <w:sz w:val="25"/>
          <w:szCs w:val="25"/>
        </w:rPr>
      </w:pPr>
    </w:p>
    <w:p>
      <w:pPr>
        <w:spacing w:line="2835" w:lineRule="exact"/>
        <w:ind w:left="3292"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2132095" cy="1800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132095" cy="180022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5"/>
        <w:rPr>
          <w:rFonts w:ascii="宋体" w:hAnsi="宋体" w:cs="宋体" w:eastAsia="宋体" w:hint="default"/>
          <w:sz w:val="21"/>
          <w:szCs w:val="21"/>
        </w:rPr>
      </w:pPr>
    </w:p>
    <w:p>
      <w:pPr>
        <w:pStyle w:val="Heading3"/>
        <w:spacing w:line="240" w:lineRule="auto"/>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82"/>
        <w:gridCol w:w="1095"/>
        <w:gridCol w:w="888"/>
        <w:gridCol w:w="1800"/>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964"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荣信电力电子股份有限公 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118887313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504000000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高压动态无功补偿装 </w:t>
            </w:r>
            <w:r>
              <w:rPr>
                <w:rFonts w:ascii="宋体" w:hAnsi="宋体" w:cs="宋体" w:eastAsia="宋体" w:hint="default"/>
                <w:spacing w:val="-9"/>
                <w:w w:val="99"/>
                <w:sz w:val="18"/>
                <w:szCs w:val="18"/>
              </w:rPr>
              <w:t>置（</w:t>
            </w:r>
            <w:r>
              <w:rPr>
                <w:rFonts w:ascii="Times New Roman" w:hAnsi="Times New Roman" w:cs="Times New Roman" w:eastAsia="Times New Roman" w:hint="default"/>
                <w:spacing w:val="-9"/>
                <w:w w:val="99"/>
                <w:sz w:val="18"/>
                <w:szCs w:val="18"/>
              </w:rPr>
              <w:t>SVC</w:t>
            </w:r>
            <w:r>
              <w:rPr>
                <w:rFonts w:ascii="宋体" w:hAnsi="宋体" w:cs="宋体" w:eastAsia="宋体" w:hint="default"/>
                <w:spacing w:val="-9"/>
                <w:w w:val="99"/>
                <w:sz w:val="18"/>
                <w:szCs w:val="18"/>
              </w:rPr>
              <w:t>）、智能瓦斯</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pacing w:val="-6"/>
                <w:sz w:val="18"/>
                <w:szCs w:val="18"/>
              </w:rPr>
              <w:t>排放装置、电力滤波装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置、高压变频装置及其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他电力电子装置的设 计、制造</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青岛清源环保实业有限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荣信电力电子股份有限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上海兴烨创业投资有限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08.553009pt;margin-top:97.415596pt;width:56.7pt;height:15.6pt;mso-position-horizontal-relative:page;mso-position-vertical-relative:paragraph;z-index:-839872"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476.983002pt;margin-top:99.461601pt;width:57.75pt;height:31.25pt;mso-position-horizontal-relative:page;mso-position-vertical-relative:paragraph;z-index:-839848" type="#_x0000_t202" filled="false" stroked="false">
            <v:textbox inset="0,0,0,0">
              <w:txbxContent>
                <w:p>
                  <w:pPr>
                    <w:pStyle w:val="BodyText"/>
                    <w:spacing w:line="203" w:lineRule="exact"/>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7"/>
        <w:gridCol w:w="615"/>
        <w:gridCol w:w="684"/>
        <w:gridCol w:w="70"/>
        <w:gridCol w:w="614"/>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56"/>
              <w:jc w:val="righ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4"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贾全臣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589,500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589,500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107"/>
              <w:jc w:val="left"/>
              <w:rPr>
                <w:rFonts w:ascii="宋体" w:hAnsi="宋体" w:cs="宋体" w:eastAsia="宋体" w:hint="default"/>
                <w:sz w:val="18"/>
                <w:szCs w:val="18"/>
              </w:rPr>
            </w:pPr>
            <w:r>
              <w:rPr>
                <w:rFonts w:ascii="宋体" w:hAnsi="宋体" w:cs="宋体" w:eastAsia="宋体" w:hint="default"/>
                <w:sz w:val="18"/>
                <w:szCs w:val="18"/>
              </w:rPr>
              <w:t>增持计 划</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7"/>
              <w:jc w:val="right"/>
              <w:rPr>
                <w:rFonts w:ascii="宋体" w:hAnsi="宋体" w:cs="宋体" w:eastAsia="宋体" w:hint="default"/>
                <w:sz w:val="18"/>
                <w:szCs w:val="18"/>
              </w:rPr>
            </w:pPr>
            <w:r>
              <w:rPr>
                <w:rFonts w:ascii="宋体" w:hAnsi="宋体" w:cs="宋体" w:eastAsia="宋体" w:hint="default"/>
                <w:sz w:val="18"/>
                <w:szCs w:val="18"/>
              </w:rPr>
              <w:t>应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陈旭光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7"/>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3" w:right="55"/>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800,000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叶迎春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7"/>
              <w:jc w:val="right"/>
              <w:rPr>
                <w:rFonts w:ascii="宋体" w:hAnsi="宋体" w:cs="宋体" w:eastAsia="宋体" w:hint="default"/>
                <w:sz w:val="18"/>
                <w:szCs w:val="18"/>
              </w:rPr>
            </w:pPr>
            <w:r>
              <w:rPr>
                <w:rFonts w:ascii="宋体" w:hAnsi="宋体" w:cs="宋体" w:eastAsia="宋体" w:hint="default"/>
                <w:sz w:val="18"/>
                <w:szCs w:val="18"/>
              </w:rPr>
              <w:t>姚 </w:t>
            </w:r>
            <w:r>
              <w:rPr>
                <w:rFonts w:ascii="宋体" w:hAnsi="宋体" w:cs="宋体" w:eastAsia="宋体" w:hint="default"/>
                <w:spacing w:val="2"/>
                <w:sz w:val="18"/>
                <w:szCs w:val="18"/>
              </w:rPr>
              <w:t> </w:t>
            </w:r>
            <w:r>
              <w:rPr>
                <w:rFonts w:ascii="宋体" w:hAnsi="宋体" w:cs="宋体" w:eastAsia="宋体" w:hint="default"/>
                <w:sz w:val="18"/>
                <w:szCs w:val="18"/>
              </w:rPr>
              <w:t>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王天文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贾玉兰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曲少波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张振波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黄淑华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朱利民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汪树伟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8"/>
              <w:jc w:val="right"/>
              <w:rPr>
                <w:rFonts w:ascii="宋体" w:hAnsi="宋体" w:cs="宋体" w:eastAsia="宋体" w:hint="default"/>
                <w:sz w:val="18"/>
                <w:szCs w:val="18"/>
              </w:rPr>
            </w:pPr>
            <w:r>
              <w:rPr>
                <w:rFonts w:ascii="宋体" w:hAnsi="宋体" w:cs="宋体" w:eastAsia="宋体" w:hint="default"/>
                <w:sz w:val="18"/>
                <w:szCs w:val="18"/>
              </w:rPr>
              <w:t>王艳强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财务总 监</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589,500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589,500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5"/>
        <w:spacing w:line="256" w:lineRule="auto" w:before="83"/>
        <w:ind w:right="103" w:firstLine="420"/>
        <w:jc w:val="both"/>
      </w:pPr>
      <w:r>
        <w:rPr>
          <w:rFonts w:ascii="Times New Roman" w:hAnsi="Times New Roman" w:cs="Times New Roman" w:eastAsia="Times New Roman" w:hint="default"/>
        </w:rPr>
        <w:t>1</w:t>
      </w:r>
      <w:r>
        <w:rPr/>
        <w:t>、贾全臣，男，</w:t>
      </w:r>
      <w:r>
        <w:rPr>
          <w:rFonts w:ascii="Times New Roman" w:hAnsi="Times New Roman" w:cs="Times New Roman" w:eastAsia="Times New Roman" w:hint="default"/>
        </w:rPr>
        <w:t>1956</w:t>
      </w:r>
      <w:r>
        <w:rPr/>
        <w:t>年出生，中国国籍，无境外永久居留权，本科毕业于西安交通大学电气绝缘技</w:t>
      </w:r>
      <w:r>
        <w:rPr>
          <w:w w:val="100"/>
        </w:rPr>
        <w:t> </w:t>
      </w:r>
      <w:r>
        <w:rPr>
          <w:spacing w:val="-4"/>
        </w:rPr>
        <w:t>术专业，南开大学工商管理学硕士（</w:t>
      </w:r>
      <w:r>
        <w:rPr>
          <w:rFonts w:ascii="Times New Roman" w:hAnsi="Times New Roman" w:cs="Times New Roman" w:eastAsia="Times New Roman" w:hint="default"/>
          <w:spacing w:val="-4"/>
        </w:rPr>
        <w:t>EMBA</w:t>
      </w:r>
      <w:r>
        <w:rPr>
          <w:spacing w:val="-4"/>
        </w:rPr>
        <w:t>），硕士学位。</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-2007</w:t>
      </w:r>
      <w:r>
        <w:rPr>
          <w:spacing w:val="-4"/>
        </w:rPr>
        <w:t>年任恒顺有限总经理，</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年</w:t>
      </w:r>
      <w:r>
        <w:rPr>
          <w:rFonts w:ascii="Times New Roman" w:hAnsi="Times New Roman" w:cs="Times New Roman" w:eastAsia="Times New Roman" w:hint="default"/>
          <w:spacing w:val="-2"/>
        </w:rPr>
        <w:t>4</w:t>
      </w:r>
      <w:r>
        <w:rPr>
          <w:spacing w:val="-2"/>
        </w:rPr>
        <w:t>月任恒顺有限董事长、总经理。现任本公司董事长、总经理，兼任清源环保实业和天源置业执行董事。</w:t>
      </w:r>
    </w:p>
    <w:p>
      <w:pPr>
        <w:pStyle w:val="Heading5"/>
        <w:spacing w:line="240" w:lineRule="auto" w:before="5"/>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2</w:t>
      </w:r>
      <w:r>
        <w:rPr>
          <w:spacing w:val="-6"/>
        </w:rPr>
        <w:t>、应明，男，</w:t>
      </w:r>
      <w:r>
        <w:rPr>
          <w:rFonts w:ascii="Times New Roman" w:hAnsi="Times New Roman" w:cs="Times New Roman" w:eastAsia="Times New Roman" w:hint="default"/>
          <w:spacing w:val="-6"/>
        </w:rPr>
        <w:t>1969</w:t>
      </w:r>
      <w:r>
        <w:rPr>
          <w:spacing w:val="-6"/>
        </w:rPr>
        <w:t>年出生，中国国籍，无境外永久居留权，毕业于广西大学，本科学历。</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-2009</w:t>
      </w:r>
    </w:p>
    <w:p>
      <w:pPr>
        <w:pStyle w:val="Heading5"/>
        <w:spacing w:line="240" w:lineRule="auto"/>
        <w:ind w:right="0"/>
        <w:jc w:val="left"/>
      </w:pPr>
      <w:r>
        <w:rPr/>
        <w:t>年未在任何公司担任任何职务，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月任广西恒顺电器执行董事。现任本公司董事。</w:t>
      </w:r>
    </w:p>
    <w:p>
      <w:pPr>
        <w:pStyle w:val="Heading5"/>
        <w:spacing w:line="256" w:lineRule="auto"/>
        <w:ind w:right="206" w:firstLine="420"/>
        <w:jc w:val="both"/>
      </w:pPr>
      <w:r>
        <w:rPr>
          <w:rFonts w:ascii="Times New Roman" w:hAnsi="Times New Roman" w:cs="Times New Roman" w:eastAsia="Times New Roman" w:hint="default"/>
          <w:spacing w:val="-9"/>
        </w:rPr>
        <w:t>3</w:t>
      </w:r>
      <w:r>
        <w:rPr>
          <w:spacing w:val="-9"/>
        </w:rPr>
        <w:t>、陈旭光，男，</w:t>
      </w:r>
      <w:r>
        <w:rPr>
          <w:rFonts w:ascii="Times New Roman" w:hAnsi="Times New Roman" w:cs="Times New Roman" w:eastAsia="Times New Roman" w:hint="default"/>
          <w:spacing w:val="-9"/>
        </w:rPr>
        <w:t>1975</w:t>
      </w:r>
      <w:r>
        <w:rPr>
          <w:spacing w:val="-9"/>
        </w:rPr>
        <w:t>年出生，中国国籍，无境外永久居留权，毕业于清华大学，本科学历。</w:t>
      </w: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-2008</w:t>
      </w:r>
      <w:r>
        <w:rPr>
          <w:rFonts w:ascii="Times New Roman" w:hAnsi="Times New Roman" w:cs="Times New Roman" w:eastAsia="Times New Roman" w:hint="default"/>
          <w:w w:val="100"/>
        </w:rPr>
        <w:t> </w:t>
      </w:r>
      <w:r>
        <w:rPr>
          <w:spacing w:val="-2"/>
        </w:rPr>
        <w:t>年任辽宁阳光实业集团国际发展部部长，</w:t>
      </w:r>
      <w:r>
        <w:rPr>
          <w:rFonts w:ascii="Times New Roman" w:hAnsi="Times New Roman" w:cs="Times New Roman" w:eastAsia="Times New Roman" w:hint="default"/>
          <w:spacing w:val="-2"/>
        </w:rPr>
        <w:t>2008</w:t>
      </w:r>
      <w:r>
        <w:rPr>
          <w:spacing w:val="-2"/>
        </w:rPr>
        <w:t>年至今历任荣信股份市场部部长、战略投资部部长。现任本</w:t>
      </w:r>
      <w:r>
        <w:rPr>
          <w:spacing w:val="-38"/>
        </w:rPr>
        <w:t> </w:t>
      </w:r>
      <w:r>
        <w:rPr>
          <w:spacing w:val="-38"/>
        </w:rPr>
      </w:r>
      <w:r>
        <w:rPr/>
        <w:t>公司董事。</w:t>
      </w:r>
    </w:p>
    <w:p>
      <w:pPr>
        <w:pStyle w:val="Heading5"/>
        <w:spacing w:line="240" w:lineRule="auto" w:before="22"/>
        <w:ind w:left="573" w:right="0"/>
        <w:jc w:val="left"/>
      </w:pPr>
      <w:r>
        <w:rPr>
          <w:rFonts w:ascii="Times New Roman" w:hAnsi="Times New Roman" w:cs="Times New Roman" w:eastAsia="Times New Roman" w:hint="default"/>
          <w:spacing w:val="-2"/>
        </w:rPr>
        <w:t>4</w:t>
      </w:r>
      <w:r>
        <w:rPr>
          <w:spacing w:val="-2"/>
        </w:rPr>
        <w:t>、李华，女，</w:t>
      </w:r>
      <w:r>
        <w:rPr>
          <w:rFonts w:ascii="Times New Roman" w:hAnsi="Times New Roman" w:cs="Times New Roman" w:eastAsia="Times New Roman" w:hint="default"/>
          <w:spacing w:val="-2"/>
        </w:rPr>
        <w:t>1963</w:t>
      </w:r>
      <w:r>
        <w:rPr>
          <w:spacing w:val="-2"/>
        </w:rPr>
        <w:t>年出生，中国国籍，无境外永久居留权，毕业于湘潭电缆厂职工大学，大专学历。</w:t>
      </w:r>
    </w:p>
    <w:p>
      <w:pPr>
        <w:pStyle w:val="Heading5"/>
        <w:spacing w:line="240" w:lineRule="auto"/>
        <w:ind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月历任恒顺有限财务部经理、物资部经理、总经理助理。现任本公司副总经理、董事。</w:t>
      </w:r>
    </w:p>
    <w:p>
      <w:pPr>
        <w:pStyle w:val="Heading5"/>
        <w:spacing w:line="256" w:lineRule="auto"/>
        <w:ind w:right="213" w:firstLine="420"/>
        <w:jc w:val="left"/>
      </w:pPr>
      <w:r>
        <w:rPr>
          <w:rFonts w:ascii="Times New Roman" w:hAnsi="Times New Roman" w:cs="Times New Roman" w:eastAsia="Times New Roman" w:hint="default"/>
        </w:rPr>
        <w:t>5</w:t>
      </w:r>
      <w:r>
        <w:rPr/>
        <w:t>、叶迎春，男，</w:t>
      </w:r>
      <w:r>
        <w:rPr>
          <w:rFonts w:ascii="Times New Roman" w:hAnsi="Times New Roman" w:cs="Times New Roman" w:eastAsia="Times New Roman" w:hint="default"/>
        </w:rPr>
        <w:t>1944</w:t>
      </w:r>
      <w:r>
        <w:rPr/>
        <w:t>年出生，中国国籍，无境外永久居留权，毕业于华北电力大学（原北京电力学</w:t>
      </w:r>
      <w:r>
        <w:rPr>
          <w:w w:val="100"/>
        </w:rPr>
        <w:t> </w:t>
      </w:r>
      <w:r>
        <w:rPr/>
        <w:t>院），本科学历。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-2004</w:t>
      </w:r>
      <w:r>
        <w:rPr/>
        <w:t>年任中电技总经理、董事长。现任本公司独立董事。</w:t>
      </w:r>
    </w:p>
    <w:p>
      <w:pPr>
        <w:pStyle w:val="Heading5"/>
        <w:spacing w:line="264" w:lineRule="auto" w:before="5"/>
        <w:ind w:right="0" w:firstLine="420"/>
        <w:jc w:val="left"/>
      </w:pPr>
      <w:r>
        <w:rPr>
          <w:rFonts w:ascii="Times New Roman" w:hAnsi="Times New Roman" w:cs="Times New Roman" w:eastAsia="Times New Roman" w:hint="default"/>
          <w:spacing w:val="-2"/>
        </w:rPr>
        <w:t>6</w:t>
      </w:r>
      <w:r>
        <w:rPr>
          <w:spacing w:val="-2"/>
        </w:rPr>
        <w:t>、姚刚，男，</w:t>
      </w:r>
      <w:r>
        <w:rPr>
          <w:rFonts w:ascii="Times New Roman" w:hAnsi="Times New Roman" w:cs="Times New Roman" w:eastAsia="Times New Roman" w:hint="default"/>
          <w:spacing w:val="-2"/>
        </w:rPr>
        <w:t>1973</w:t>
      </w:r>
      <w:r>
        <w:rPr>
          <w:spacing w:val="-2"/>
        </w:rPr>
        <w:t>年出生，中国国籍，无境外永久居留权，本科毕业于湖南商学院，中南大学硕士，</w:t>
      </w:r>
      <w:r>
        <w:rPr>
          <w:w w:val="100"/>
        </w:rPr>
        <w:t> </w:t>
      </w:r>
      <w:r>
        <w:rPr>
          <w:spacing w:val="-2"/>
        </w:rPr>
        <w:t>财政部科学研究所会计学博士研究生，中国注册会计师，中国内部控制标准委员会咨询专家，财政部会计</w:t>
      </w:r>
      <w:r>
        <w:rPr>
          <w:spacing w:val="-44"/>
        </w:rPr>
        <w:t> </w:t>
      </w:r>
      <w:r>
        <w:rPr>
          <w:spacing w:val="-44"/>
        </w:rPr>
      </w:r>
      <w:r>
        <w:rPr>
          <w:spacing w:val="-4"/>
        </w:rPr>
        <w:t>领军（后备）人才，英格兰及威尔士特许会计师（</w:t>
      </w:r>
      <w:r>
        <w:rPr>
          <w:rFonts w:ascii="Times New Roman" w:hAnsi="Times New Roman" w:cs="Times New Roman" w:eastAsia="Times New Roman" w:hint="default"/>
          <w:spacing w:val="-4"/>
        </w:rPr>
        <w:t>ACA</w:t>
      </w:r>
      <w:r>
        <w:rPr>
          <w:spacing w:val="-4"/>
        </w:rPr>
        <w:t>）学员，英国独立董事协会（</w:t>
      </w:r>
      <w:r>
        <w:rPr>
          <w:rFonts w:ascii="Times New Roman" w:hAnsi="Times New Roman" w:cs="Times New Roman" w:eastAsia="Times New Roman" w:hint="default"/>
          <w:spacing w:val="-4"/>
        </w:rPr>
        <w:t>NEDA</w:t>
      </w:r>
      <w:r>
        <w:rPr>
          <w:spacing w:val="-4"/>
        </w:rPr>
        <w:t>）会员、</w:t>
      </w:r>
      <w:r>
        <w:rPr>
          <w:rFonts w:ascii="Times New Roman" w:hAnsi="Times New Roman" w:cs="Times New Roman" w:eastAsia="Times New Roman" w:hint="default"/>
          <w:spacing w:val="-4"/>
        </w:rPr>
        <w:t>Baker</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rPr>
        <w:t>Tilly </w:t>
      </w:r>
      <w:r>
        <w:rPr>
          <w:rFonts w:ascii="Times New Roman" w:hAnsi="Times New Roman" w:cs="Times New Roman" w:eastAsia="Times New Roman" w:hint="default"/>
          <w:spacing w:val="-3"/>
        </w:rPr>
        <w:t>International</w:t>
      </w:r>
      <w:r>
        <w:rPr>
          <w:spacing w:val="-3"/>
        </w:rPr>
        <w:t>亚太区公司融资委员会联席主席。</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日历任天职国际会计师事务所有</w:t>
      </w:r>
      <w:r>
        <w:rPr>
          <w:spacing w:val="-30"/>
        </w:rPr>
        <w:t> </w:t>
      </w:r>
      <w:r>
        <w:rPr>
          <w:spacing w:val="-30"/>
        </w:rPr>
      </w:r>
      <w:r>
        <w:rPr/>
        <w:t>限公司审计员、项目经理、部门主任、主管集团国际业务和咨询业务首席合伙人、总所管理咨询部主任。</w:t>
      </w:r>
      <w:r>
        <w:rPr>
          <w:w w:val="100"/>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日至今任立信国际会计师事务所有限公司合伙人，现任本公司独立董事。</w:t>
      </w:r>
    </w:p>
    <w:p>
      <w:pPr>
        <w:pStyle w:val="Heading5"/>
        <w:spacing w:line="289" w:lineRule="exact" w:before="0"/>
        <w:ind w:left="573" w:right="0"/>
        <w:jc w:val="left"/>
      </w:pPr>
      <w:r>
        <w:rPr>
          <w:rFonts w:ascii="Times New Roman" w:hAnsi="Times New Roman" w:cs="Times New Roman" w:eastAsia="Times New Roman" w:hint="default"/>
        </w:rPr>
        <w:t>7</w:t>
      </w:r>
      <w:r>
        <w:rPr/>
        <w:t>、王天文，男，</w:t>
      </w:r>
      <w:r>
        <w:rPr>
          <w:rFonts w:ascii="Times New Roman" w:hAnsi="Times New Roman" w:cs="Times New Roman" w:eastAsia="Times New Roman" w:hint="default"/>
        </w:rPr>
        <w:t>1968</w:t>
      </w:r>
      <w:r>
        <w:rPr/>
        <w:t>年出生，中国国籍，无境外永久居留权，毕业于哈尔滨理工大学，本科学历。</w:t>
      </w:r>
    </w:p>
    <w:p>
      <w:pPr>
        <w:pStyle w:val="Heading5"/>
        <w:spacing w:line="240" w:lineRule="auto"/>
        <w:ind w:right="0"/>
        <w:jc w:val="left"/>
      </w:pPr>
      <w:r>
        <w:rPr>
          <w:rFonts w:ascii="Times New Roman" w:hAnsi="Times New Roman" w:cs="Times New Roman" w:eastAsia="Times New Roman" w:hint="default"/>
        </w:rPr>
        <w:t>1995</w:t>
      </w:r>
      <w:r>
        <w:rPr/>
        <w:t>年至今，任青岛维康科技有限公司总经理。现任本公司独立董事。</w:t>
      </w:r>
    </w:p>
    <w:p>
      <w:pPr>
        <w:pStyle w:val="Heading5"/>
        <w:spacing w:line="240" w:lineRule="auto"/>
        <w:ind w:left="573" w:right="0"/>
        <w:jc w:val="left"/>
      </w:pPr>
      <w:r>
        <w:rPr>
          <w:rFonts w:ascii="Times New Roman" w:hAnsi="Times New Roman" w:cs="Times New Roman" w:eastAsia="Times New Roman" w:hint="default"/>
          <w:spacing w:val="-2"/>
        </w:rPr>
        <w:t>8</w:t>
      </w:r>
      <w:r>
        <w:rPr>
          <w:spacing w:val="-2"/>
        </w:rPr>
        <w:t>、贾玉兰，女，</w:t>
      </w:r>
      <w:r>
        <w:rPr>
          <w:rFonts w:ascii="Times New Roman" w:hAnsi="Times New Roman" w:cs="Times New Roman" w:eastAsia="Times New Roman" w:hint="default"/>
          <w:spacing w:val="-2"/>
        </w:rPr>
        <w:t>1963</w:t>
      </w:r>
      <w:r>
        <w:rPr>
          <w:spacing w:val="-2"/>
        </w:rPr>
        <w:t>年出生，中国国籍，享有新西兰永久居留权，毕业于天津医科大学，本科学历。</w:t>
      </w:r>
    </w:p>
    <w:p>
      <w:pPr>
        <w:pStyle w:val="Heading5"/>
        <w:spacing w:line="256" w:lineRule="auto"/>
        <w:ind w:right="0"/>
        <w:jc w:val="left"/>
      </w:pPr>
      <w:r>
        <w:rPr>
          <w:rFonts w:ascii="Times New Roman" w:hAnsi="Times New Roman" w:cs="Times New Roman" w:eastAsia="Times New Roman" w:hint="default"/>
        </w:rPr>
        <w:t>1985</w:t>
      </w:r>
      <w:r>
        <w:rPr/>
        <w:t>年</w:t>
      </w:r>
      <w:r>
        <w:rPr>
          <w:rFonts w:ascii="Times New Roman" w:hAnsi="Times New Roman" w:cs="Times New Roman" w:eastAsia="Times New Roman" w:hint="default"/>
        </w:rPr>
        <w:t>-2005</w:t>
      </w:r>
      <w:r>
        <w:rPr/>
        <w:t>年任天津传染病医院临床医师，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-2007</w:t>
      </w:r>
      <w:r>
        <w:rPr/>
        <w:t>年在新西兰学习，</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月任恒顺有限</w:t>
      </w:r>
      <w:r>
        <w:rPr>
          <w:spacing w:val="-25"/>
        </w:rPr>
        <w:t> </w:t>
      </w:r>
      <w:r>
        <w:rPr>
          <w:spacing w:val="-25"/>
        </w:rPr>
      </w:r>
      <w:r>
        <w:rPr/>
        <w:t>董事。现任本公司监事会主席。</w:t>
      </w:r>
    </w:p>
    <w:p>
      <w:pPr>
        <w:pStyle w:val="Heading5"/>
        <w:spacing w:line="240" w:lineRule="auto" w:before="22"/>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9</w:t>
      </w:r>
      <w:r>
        <w:rPr>
          <w:spacing w:val="-4"/>
        </w:rPr>
        <w:t>、曲少波，男，</w:t>
      </w:r>
      <w:r>
        <w:rPr>
          <w:rFonts w:ascii="Times New Roman" w:hAnsi="Times New Roman" w:cs="Times New Roman" w:eastAsia="Times New Roman" w:hint="default"/>
          <w:spacing w:val="-4"/>
        </w:rPr>
        <w:t>1971</w:t>
      </w:r>
      <w:r>
        <w:rPr>
          <w:spacing w:val="-4"/>
        </w:rPr>
        <w:t>年出生，中国国籍，无境外永久居留权，毕业于北京工商大学，本科学历。</w:t>
      </w:r>
      <w:r>
        <w:rPr>
          <w:rFonts w:ascii="Times New Roman" w:hAnsi="Times New Roman" w:cs="Times New Roman" w:eastAsia="Times New Roman" w:hint="default"/>
          <w:spacing w:val="-4"/>
        </w:rPr>
        <w:t>2000</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92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0"/>
        <w:jc w:val="left"/>
      </w:pPr>
      <w:r>
        <w:rPr/>
        <w:t>年至今历任青岛福日财务经理、审计部部长、财务部长、集团财务中心总经理。现任本公司监事。</w:t>
      </w:r>
    </w:p>
    <w:p>
      <w:pPr>
        <w:pStyle w:val="Heading5"/>
        <w:spacing w:line="264" w:lineRule="auto" w:before="37"/>
        <w:ind w:right="207" w:firstLine="420"/>
        <w:jc w:val="both"/>
      </w:pPr>
      <w:r>
        <w:rPr>
          <w:rFonts w:ascii="Times New Roman" w:hAnsi="Times New Roman" w:cs="Times New Roman" w:eastAsia="Times New Roman" w:hint="default"/>
          <w:spacing w:val="-7"/>
        </w:rPr>
        <w:t>10</w:t>
      </w:r>
      <w:r>
        <w:rPr>
          <w:spacing w:val="-7"/>
        </w:rPr>
        <w:t>、张振波，男，</w:t>
      </w:r>
      <w:r>
        <w:rPr>
          <w:rFonts w:ascii="Times New Roman" w:hAnsi="Times New Roman" w:cs="Times New Roman" w:eastAsia="Times New Roman" w:hint="default"/>
          <w:spacing w:val="-7"/>
        </w:rPr>
        <w:t>1975</w:t>
      </w:r>
      <w:r>
        <w:rPr>
          <w:spacing w:val="-7"/>
        </w:rPr>
        <w:t>年出生，中国国籍，无境外永久居留权，毕业于青岛农业大学，本科学历。</w:t>
      </w:r>
      <w:r>
        <w:rPr>
          <w:rFonts w:ascii="Times New Roman" w:hAnsi="Times New Roman" w:cs="Times New Roman" w:eastAsia="Times New Roman" w:hint="default"/>
          <w:spacing w:val="-7"/>
        </w:rPr>
        <w:t>1998</w:t>
      </w:r>
      <w:r>
        <w:rPr>
          <w:rFonts w:ascii="Times New Roman" w:hAnsi="Times New Roman" w:cs="Times New Roman" w:eastAsia="Times New Roman" w:hint="default"/>
          <w:w w:val="100"/>
        </w:rPr>
        <w:t> </w:t>
      </w:r>
      <w:r>
        <w:rPr>
          <w:spacing w:val="-2"/>
        </w:rPr>
        <w:t>年至今历任恒顺有限技术员、电容器部经理、电容器车间主任、生产部经理。现任本公司生产部经理、职</w:t>
      </w:r>
      <w:r>
        <w:rPr>
          <w:spacing w:val="-43"/>
        </w:rPr>
        <w:t> </w:t>
      </w:r>
      <w:r>
        <w:rPr>
          <w:spacing w:val="-43"/>
        </w:rPr>
      </w:r>
      <w:r>
        <w:rPr/>
        <w:t>工监事。</w:t>
      </w:r>
    </w:p>
    <w:p>
      <w:pPr>
        <w:pStyle w:val="Heading5"/>
        <w:spacing w:line="240" w:lineRule="auto" w:before="16"/>
        <w:ind w:left="489" w:right="0"/>
        <w:jc w:val="left"/>
      </w:pPr>
      <w:r>
        <w:rPr>
          <w:rFonts w:ascii="Times New Roman" w:hAnsi="Times New Roman" w:cs="Times New Roman" w:eastAsia="Times New Roman" w:hint="default"/>
          <w:spacing w:val="-3"/>
        </w:rPr>
        <w:t>11</w:t>
      </w:r>
      <w:r>
        <w:rPr>
          <w:spacing w:val="-3"/>
        </w:rPr>
        <w:t>、黄淑华，女，</w:t>
      </w:r>
      <w:r>
        <w:rPr>
          <w:rFonts w:ascii="Times New Roman" w:hAnsi="Times New Roman" w:cs="Times New Roman" w:eastAsia="Times New Roman" w:hint="default"/>
          <w:spacing w:val="-3"/>
        </w:rPr>
        <w:t>1951</w:t>
      </w:r>
      <w:r>
        <w:rPr>
          <w:spacing w:val="-3"/>
        </w:rPr>
        <w:t>年出生，中国国籍，无境外永久居留权，毕业于北京经济函授学院，大专学历。</w:t>
      </w:r>
    </w:p>
    <w:p>
      <w:pPr>
        <w:pStyle w:val="Heading5"/>
        <w:spacing w:line="240" w:lineRule="auto"/>
        <w:ind w:right="0"/>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月历任恒顺有限部门经理、副总工程师。现任本公司副总经理。</w:t>
      </w:r>
    </w:p>
    <w:p>
      <w:pPr>
        <w:pStyle w:val="Heading5"/>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7"/>
        </w:rPr>
        <w:t>12</w:t>
      </w:r>
      <w:r>
        <w:rPr>
          <w:spacing w:val="-7"/>
        </w:rPr>
        <w:t>、朱利民，女，</w:t>
      </w:r>
      <w:r>
        <w:rPr>
          <w:rFonts w:ascii="Times New Roman" w:hAnsi="Times New Roman" w:cs="Times New Roman" w:eastAsia="Times New Roman" w:hint="default"/>
          <w:spacing w:val="-7"/>
        </w:rPr>
        <w:t>1956</w:t>
      </w:r>
      <w:r>
        <w:rPr>
          <w:spacing w:val="-7"/>
        </w:rPr>
        <w:t>年出生，中国国籍，无境外永久居留权，毕业于西安交通大学，本科学历。</w:t>
      </w:r>
      <w:r>
        <w:rPr>
          <w:rFonts w:ascii="Times New Roman" w:hAnsi="Times New Roman" w:cs="Times New Roman" w:eastAsia="Times New Roman" w:hint="default"/>
          <w:spacing w:val="-7"/>
        </w:rPr>
        <w:t>1998</w:t>
      </w:r>
      <w:r>
        <w:rPr>
          <w:rFonts w:ascii="Times New Roman" w:hAnsi="Times New Roman" w:cs="Times New Roman" w:eastAsia="Times New Roman" w:hint="default"/>
        </w:rPr>
      </w:r>
    </w:p>
    <w:p>
      <w:pPr>
        <w:pStyle w:val="Heading5"/>
        <w:spacing w:line="240" w:lineRule="auto"/>
        <w:ind w:right="0"/>
        <w:jc w:val="left"/>
      </w:pP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月任恒顺有限销售部经理。现任本公司副总经理。</w:t>
      </w:r>
    </w:p>
    <w:p>
      <w:pPr>
        <w:pStyle w:val="Heading5"/>
        <w:spacing w:line="256" w:lineRule="auto"/>
        <w:ind w:right="209" w:firstLine="420"/>
        <w:jc w:val="both"/>
      </w:pPr>
      <w:r>
        <w:rPr>
          <w:rFonts w:ascii="Times New Roman" w:hAnsi="Times New Roman" w:cs="Times New Roman" w:eastAsia="Times New Roman" w:hint="default"/>
          <w:spacing w:val="-2"/>
        </w:rPr>
        <w:t>13</w:t>
      </w:r>
      <w:r>
        <w:rPr>
          <w:spacing w:val="-2"/>
        </w:rPr>
        <w:t>、汪树伟，女，</w:t>
      </w:r>
      <w:r>
        <w:rPr>
          <w:rFonts w:ascii="Times New Roman" w:hAnsi="Times New Roman" w:cs="Times New Roman" w:eastAsia="Times New Roman" w:hint="default"/>
          <w:spacing w:val="-2"/>
        </w:rPr>
        <w:t>1959</w:t>
      </w:r>
      <w:r>
        <w:rPr>
          <w:spacing w:val="-2"/>
        </w:rPr>
        <w:t>年出生，中国国籍，无境外永久居留权，毕业于黑龙江广播电视大学，大专学</w:t>
      </w:r>
      <w:r>
        <w:rPr>
          <w:w w:val="100"/>
        </w:rPr>
        <w:t> </w:t>
      </w:r>
      <w:r>
        <w:rPr/>
        <w:t>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月任恒顺有限销售部副经理。现任本公司副总经理。</w:t>
      </w:r>
    </w:p>
    <w:p>
      <w:pPr>
        <w:pStyle w:val="Heading5"/>
        <w:spacing w:line="240" w:lineRule="auto" w:before="5"/>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7"/>
        </w:rPr>
        <w:t>14</w:t>
      </w:r>
      <w:r>
        <w:rPr>
          <w:spacing w:val="-7"/>
        </w:rPr>
        <w:t>、王艳强，男，</w:t>
      </w:r>
      <w:r>
        <w:rPr>
          <w:rFonts w:ascii="Times New Roman" w:hAnsi="Times New Roman" w:cs="Times New Roman" w:eastAsia="Times New Roman" w:hint="default"/>
          <w:spacing w:val="-7"/>
        </w:rPr>
        <w:t>1983</w:t>
      </w:r>
      <w:r>
        <w:rPr>
          <w:spacing w:val="-7"/>
        </w:rPr>
        <w:t>年出生，中国国籍，无境外永久居留权，毕业于西安交通大学，本科学历。</w:t>
      </w:r>
      <w:r>
        <w:rPr>
          <w:rFonts w:ascii="Times New Roman" w:hAnsi="Times New Roman" w:cs="Times New Roman" w:eastAsia="Times New Roman" w:hint="default"/>
          <w:spacing w:val="-7"/>
        </w:rPr>
        <w:t>2004</w:t>
      </w:r>
    </w:p>
    <w:p>
      <w:pPr>
        <w:pStyle w:val="Heading5"/>
        <w:spacing w:line="240" w:lineRule="auto"/>
        <w:ind w:right="0"/>
        <w:jc w:val="left"/>
      </w:pP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月历任恒顺有限会计、财务部经理助理、财务部副经理。现任本公司财务总监、董事会秘书。</w:t>
      </w:r>
    </w:p>
    <w:p>
      <w:pPr>
        <w:pStyle w:val="BodyText"/>
        <w:spacing w:line="240" w:lineRule="auto" w:before="83"/>
        <w:ind w:right="0"/>
        <w:jc w:val="left"/>
      </w:pPr>
      <w:r>
        <w:rPr/>
        <w:t>在股东单位任职情况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广西天源置业有限公司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青岛清源环保实业有限公司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陈旭光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战略投资部 部长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曲少波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立信国际会计师事务所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1339"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公司承担职务的董事、监事、高级管理人员报酬由公司支付，董事、监事不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另外支付津贴。独立董事津贴依据股东大会决议支付，独立董事会务费据实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报销。</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依据公司盈利水平及各董事、监事、高级管理人员的分工及履行情况决定。</w:t>
            </w:r>
          </w:p>
        </w:tc>
      </w:tr>
      <w:tr>
        <w:trPr>
          <w:trHeight w:val="36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公司现有董事、监事、高级管理人员共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人，</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年实际支付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1,138,576.00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595"/>
        <w:gridCol w:w="5975"/>
      </w:tblGrid>
      <w:tr>
        <w:trPr>
          <w:trHeight w:val="334" w:hRule="exact"/>
        </w:trPr>
        <w:tc>
          <w:tcPr>
            <w:tcW w:w="3595" w:type="dxa"/>
            <w:tcBorders>
              <w:top w:val="single" w:sz="6" w:space="0" w:color="000000"/>
              <w:left w:val="nil" w:sz="6" w:space="0" w:color="auto"/>
              <w:bottom w:val="single" w:sz="4" w:space="0" w:color="000000"/>
              <w:right w:val="nil" w:sz="6" w:space="0" w:color="auto"/>
            </w:tcBorders>
          </w:tcPr>
          <w:p>
            <w:pPr/>
          </w:p>
        </w:tc>
        <w:tc>
          <w:tcPr>
            <w:tcW w:w="5975" w:type="dxa"/>
            <w:tcBorders>
              <w:top w:val="single" w:sz="6" w:space="0" w:color="000000"/>
              <w:left w:val="nil" w:sz="6" w:space="0" w:color="auto"/>
              <w:bottom w:val="single" w:sz="4" w:space="0" w:color="000000"/>
              <w:right w:val="nil" w:sz="6" w:space="0" w:color="auto"/>
            </w:tcBorders>
          </w:tcPr>
          <w:p>
            <w:pPr/>
          </w:p>
        </w:tc>
      </w:tr>
      <w:tr>
        <w:trPr>
          <w:trHeight w:val="36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240" w:lineRule="auto" w:before="49"/>
        <w:ind w:left="112" w:right="0"/>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224,350.00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224,350.00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陈旭光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119,480.00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119,480.00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叶迎春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138,535.00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138,535.00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曲少波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111,550.00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黄淑华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123,550.00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104,350.00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汪树伟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104,250.00</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王艳强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董事会秘书、 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111,070.00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1,138,576.00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778,535.00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1,917,111.00</w:t>
            </w:r>
          </w:p>
        </w:tc>
      </w:tr>
    </w:tbl>
    <w:p>
      <w:pPr>
        <w:pStyle w:val="BodyText"/>
        <w:spacing w:line="240" w:lineRule="auto" w:before="49"/>
        <w:ind w:left="112" w:right="0"/>
        <w:jc w:val="left"/>
      </w:pPr>
      <w:r>
        <w:rPr/>
        <w:t>公司董事、监事、高级管理人员报告期内被授予的股权激励情况</w:t>
      </w:r>
    </w:p>
    <w:p>
      <w:pPr>
        <w:pStyle w:val="BodyText"/>
        <w:spacing w:line="240" w:lineRule="auto" w:before="117"/>
        <w:ind w:left="112"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left="112"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left="112"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2" w:right="0"/>
        <w:jc w:val="left"/>
      </w:pPr>
      <w:r>
        <w:rPr/>
        <w:t>报告期内，公司核心技术团队或关键技术人员无变动。</w:t>
      </w:r>
    </w:p>
    <w:p>
      <w:pPr>
        <w:spacing w:line="240" w:lineRule="auto" w:before="3"/>
        <w:rPr>
          <w:rFonts w:ascii="宋体" w:hAnsi="宋体" w:cs="宋体" w:eastAsia="宋体" w:hint="default"/>
          <w:sz w:val="25"/>
          <w:szCs w:val="25"/>
        </w:rPr>
      </w:pPr>
    </w:p>
    <w:p>
      <w:pPr>
        <w:pStyle w:val="Heading2"/>
        <w:spacing w:line="240" w:lineRule="auto"/>
        <w:ind w:left="112" w:right="0"/>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left="449"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Times New Roman" w:hAnsi="Times New Roman" w:cs="Times New Roman" w:eastAsia="Times New Roman" w:hint="default"/>
        </w:rPr>
        <w:t>261</w:t>
      </w:r>
      <w:r>
        <w:rPr/>
        <w:t>人，其中各类人员构成情况如下：</w:t>
      </w:r>
    </w:p>
    <w:p>
      <w:pPr>
        <w:pStyle w:val="Heading5"/>
        <w:spacing w:line="240" w:lineRule="auto"/>
        <w:ind w:left="112" w:right="0"/>
        <w:jc w:val="left"/>
      </w:pPr>
      <w:r>
        <w:rPr/>
        <w:t>（一）</w:t>
      </w:r>
      <w:r>
        <w:rPr>
          <w:spacing w:val="-18"/>
        </w:rPr>
        <w:t> </w:t>
      </w:r>
      <w:r>
        <w:rPr/>
        <w:t>专业结构</w:t>
      </w:r>
    </w:p>
    <w:p>
      <w:pPr>
        <w:spacing w:after="0" w:line="240" w:lineRule="auto"/>
        <w:jc w:val="left"/>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3440"/>
        <w:gridCol w:w="3408"/>
        <w:gridCol w:w="2996"/>
      </w:tblGrid>
      <w:tr>
        <w:trPr>
          <w:trHeight w:val="341" w:hRule="exact"/>
        </w:trPr>
        <w:tc>
          <w:tcPr>
            <w:tcW w:w="3440" w:type="dxa"/>
            <w:tcBorders>
              <w:top w:val="nil" w:sz="6" w:space="0" w:color="auto"/>
              <w:left w:val="nil" w:sz="6" w:space="0" w:color="auto"/>
              <w:bottom w:val="single" w:sz="8" w:space="0" w:color="000000"/>
              <w:right w:val="single" w:sz="8" w:space="0" w:color="000000"/>
            </w:tcBorders>
            <w:shd w:val="clear" w:color="auto" w:fill="C0C0C0"/>
          </w:tcPr>
          <w:p>
            <w:pPr>
              <w:pStyle w:val="TableParagraph"/>
              <w:tabs>
                <w:tab w:pos="467"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08"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tabs>
                <w:tab w:pos="470" w:val="left" w:leader="none"/>
              </w:tabs>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人</w:t>
              <w:tab/>
              <w:t>数</w:t>
            </w:r>
          </w:p>
        </w:tc>
        <w:tc>
          <w:tcPr>
            <w:tcW w:w="2996"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r>
      <w:tr>
        <w:trPr>
          <w:trHeight w:val="343" w:hRule="exact"/>
        </w:trPr>
        <w:tc>
          <w:tcPr>
            <w:tcW w:w="3440" w:type="dxa"/>
            <w:tcBorders>
              <w:top w:val="single" w:sz="13" w:space="0" w:color="000000"/>
              <w:left w:val="nil" w:sz="6" w:space="0" w:color="auto"/>
              <w:bottom w:val="single" w:sz="8" w:space="0" w:color="000000"/>
              <w:right w:val="single" w:sz="8" w:space="0" w:color="000000"/>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技术开发人员</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44</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16.86%</w:t>
            </w:r>
          </w:p>
        </w:tc>
      </w:tr>
      <w:tr>
        <w:trPr>
          <w:trHeight w:val="341" w:hRule="exact"/>
        </w:trPr>
        <w:tc>
          <w:tcPr>
            <w:tcW w:w="3440"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管理及销售人员</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54</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20.69%</w:t>
            </w:r>
          </w:p>
        </w:tc>
      </w:tr>
      <w:tr>
        <w:trPr>
          <w:trHeight w:val="343" w:hRule="exact"/>
        </w:trPr>
        <w:tc>
          <w:tcPr>
            <w:tcW w:w="3440"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生产技术操作人员</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163</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62.45%</w:t>
            </w:r>
          </w:p>
        </w:tc>
      </w:tr>
      <w:tr>
        <w:trPr>
          <w:trHeight w:val="343" w:hRule="exact"/>
        </w:trPr>
        <w:tc>
          <w:tcPr>
            <w:tcW w:w="3440"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261</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1"/>
        <w:rPr>
          <w:rFonts w:ascii="宋体" w:hAnsi="宋体" w:cs="宋体" w:eastAsia="宋体" w:hint="default"/>
          <w:sz w:val="20"/>
          <w:szCs w:val="20"/>
        </w:rPr>
      </w:pPr>
    </w:p>
    <w:p>
      <w:pPr>
        <w:pStyle w:val="Heading5"/>
        <w:spacing w:line="240" w:lineRule="auto" w:before="36"/>
        <w:ind w:right="0"/>
        <w:jc w:val="left"/>
      </w:pPr>
      <w:r>
        <w:rPr/>
        <w:t>（二）受教育程度</w:t>
      </w:r>
    </w:p>
    <w:p>
      <w:pPr>
        <w:spacing w:line="240" w:lineRule="auto" w:before="10"/>
        <w:rPr>
          <w:rFonts w:ascii="宋体" w:hAnsi="宋体" w:cs="宋体" w:eastAsia="宋体" w:hint="default"/>
          <w:sz w:val="3"/>
          <w:szCs w:val="3"/>
        </w:rPr>
      </w:pPr>
    </w:p>
    <w:tbl>
      <w:tblPr>
        <w:tblW w:w="0" w:type="auto"/>
        <w:jc w:val="left"/>
        <w:tblInd w:w="155" w:type="dxa"/>
        <w:tblLayout w:type="fixed"/>
        <w:tblCellMar>
          <w:top w:w="0" w:type="dxa"/>
          <w:left w:w="0" w:type="dxa"/>
          <w:bottom w:w="0" w:type="dxa"/>
          <w:right w:w="0" w:type="dxa"/>
        </w:tblCellMar>
        <w:tblLook w:val="01E0"/>
      </w:tblPr>
      <w:tblGrid>
        <w:gridCol w:w="3440"/>
        <w:gridCol w:w="3408"/>
        <w:gridCol w:w="2996"/>
      </w:tblGrid>
      <w:tr>
        <w:trPr>
          <w:trHeight w:val="341" w:hRule="exact"/>
        </w:trPr>
        <w:tc>
          <w:tcPr>
            <w:tcW w:w="3440" w:type="dxa"/>
            <w:tcBorders>
              <w:top w:val="nil" w:sz="6" w:space="0" w:color="auto"/>
              <w:left w:val="nil" w:sz="6" w:space="0" w:color="auto"/>
              <w:bottom w:val="single" w:sz="8" w:space="0" w:color="000000"/>
              <w:right w:val="single" w:sz="8" w:space="0" w:color="000000"/>
            </w:tcBorders>
            <w:shd w:val="clear" w:color="auto" w:fill="C0C0C0"/>
          </w:tcPr>
          <w:p>
            <w:pPr>
              <w:pStyle w:val="TableParagraph"/>
              <w:tabs>
                <w:tab w:pos="549" w:val="left" w:leader="none"/>
              </w:tabs>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08"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tabs>
                <w:tab w:pos="552"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人</w:t>
              <w:tab/>
              <w:t>数</w:t>
            </w:r>
          </w:p>
        </w:tc>
        <w:tc>
          <w:tcPr>
            <w:tcW w:w="2996"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r>
      <w:tr>
        <w:trPr>
          <w:trHeight w:val="343" w:hRule="exact"/>
        </w:trPr>
        <w:tc>
          <w:tcPr>
            <w:tcW w:w="3440" w:type="dxa"/>
            <w:tcBorders>
              <w:top w:val="single" w:sz="12" w:space="0" w:color="000000"/>
              <w:left w:val="nil" w:sz="6" w:space="0" w:color="auto"/>
              <w:bottom w:val="single" w:sz="8" w:space="0" w:color="000000"/>
              <w:right w:val="single" w:sz="8"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4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9"/>
              <w:ind w:left="4" w:right="0"/>
              <w:jc w:val="center"/>
              <w:rPr>
                <w:rFonts w:ascii="Times New Roman" w:hAnsi="Times New Roman" w:cs="Times New Roman" w:eastAsia="Times New Roman" w:hint="default"/>
                <w:sz w:val="21"/>
                <w:szCs w:val="21"/>
              </w:rPr>
            </w:pPr>
            <w:r>
              <w:rPr>
                <w:rFonts w:ascii="Times New Roman"/>
                <w:sz w:val="21"/>
              </w:rPr>
              <w:t>64</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24.52%</w:t>
            </w:r>
          </w:p>
        </w:tc>
      </w:tr>
      <w:tr>
        <w:trPr>
          <w:trHeight w:val="341" w:hRule="exact"/>
        </w:trPr>
        <w:tc>
          <w:tcPr>
            <w:tcW w:w="3440"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25</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9.58%</w:t>
            </w:r>
          </w:p>
        </w:tc>
      </w:tr>
      <w:tr>
        <w:trPr>
          <w:trHeight w:val="343" w:hRule="exact"/>
        </w:trPr>
        <w:tc>
          <w:tcPr>
            <w:tcW w:w="3440"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172</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65.90%</w:t>
            </w:r>
          </w:p>
        </w:tc>
      </w:tr>
      <w:tr>
        <w:trPr>
          <w:trHeight w:val="341" w:hRule="exact"/>
        </w:trPr>
        <w:tc>
          <w:tcPr>
            <w:tcW w:w="3440" w:type="dxa"/>
            <w:tcBorders>
              <w:top w:val="single" w:sz="8" w:space="0" w:color="000000"/>
              <w:left w:val="nil" w:sz="6" w:space="0" w:color="auto"/>
              <w:bottom w:val="single" w:sz="8" w:space="0" w:color="000000"/>
              <w:right w:val="single" w:sz="8"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4" w:right="0"/>
              <w:jc w:val="center"/>
              <w:rPr>
                <w:rFonts w:ascii="Times New Roman" w:hAnsi="Times New Roman" w:cs="Times New Roman" w:eastAsia="Times New Roman" w:hint="default"/>
                <w:sz w:val="21"/>
                <w:szCs w:val="21"/>
              </w:rPr>
            </w:pPr>
            <w:r>
              <w:rPr>
                <w:rFonts w:ascii="Times New Roman"/>
                <w:sz w:val="21"/>
              </w:rPr>
              <w:t>261</w:t>
            </w:r>
          </w:p>
        </w:tc>
        <w:tc>
          <w:tcPr>
            <w:tcW w:w="2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23"/>
          <w:szCs w:val="23"/>
        </w:rPr>
      </w:pPr>
    </w:p>
    <w:p>
      <w:pPr>
        <w:pStyle w:val="Heading5"/>
        <w:spacing w:line="240" w:lineRule="auto" w:before="36"/>
        <w:ind w:right="0"/>
        <w:jc w:val="left"/>
      </w:pPr>
      <w:r>
        <w:rPr>
          <w:rFonts w:ascii="宋体" w:hAnsi="宋体" w:cs="宋体" w:eastAsia="宋体" w:hint="default"/>
        </w:rPr>
        <w:t>3.</w:t>
      </w:r>
      <w:r>
        <w:rPr>
          <w:rFonts w:ascii="宋体" w:hAnsi="宋体" w:cs="宋体" w:eastAsia="宋体" w:hint="default"/>
          <w:spacing w:val="42"/>
        </w:rPr>
        <w:t> </w:t>
      </w:r>
      <w:r>
        <w:rPr/>
        <w:t>截至报告期末，公司没有需承担费用的离退休人员。</w:t>
      </w:r>
    </w:p>
    <w:p>
      <w:pPr>
        <w:spacing w:after="0" w:line="240" w:lineRule="auto"/>
        <w:jc w:val="left"/>
        <w:sectPr>
          <w:pgSz w:w="11910" w:h="16840"/>
          <w:pgMar w:header="745" w:footer="980" w:top="1060" w:bottom="1160" w:left="9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07"/>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Heading5"/>
        <w:spacing w:line="273" w:lineRule="auto" w:before="0"/>
        <w:ind w:left="270" w:right="206" w:firstLine="480"/>
        <w:jc w:val="both"/>
      </w:pPr>
      <w:r>
        <w:rPr>
          <w:spacing w:val="-2"/>
        </w:rPr>
        <w:t>报告期内，公司根据《公司法》、《证券法》、《上市公司治理准则》、《深圳证券交易所创业板</w:t>
      </w:r>
      <w:r>
        <w:rPr>
          <w:w w:val="100"/>
        </w:rPr>
        <w:t> </w:t>
      </w:r>
      <w:r>
        <w:rPr/>
        <w:t>股票上市规则》、《深圳证券交易所创业板上市公司规范运作指引》等法律法规的要求，结合本公司的</w:t>
      </w:r>
      <w:r>
        <w:rPr>
          <w:spacing w:val="-35"/>
        </w:rPr>
        <w:t> </w:t>
      </w:r>
      <w:r>
        <w:rPr>
          <w:spacing w:val="-35"/>
        </w:rPr>
      </w:r>
      <w:r>
        <w:rPr/>
        <w:t>具体情况健全和完善了《公司章程》和各内部控制制度，发挥了董事会各专门委员会的职能和作用，完</w:t>
      </w:r>
      <w:r>
        <w:rPr>
          <w:spacing w:val="-36"/>
        </w:rPr>
        <w:t> </w:t>
      </w:r>
      <w:r>
        <w:rPr>
          <w:spacing w:val="-36"/>
        </w:rPr>
      </w:r>
      <w:r>
        <w:rPr/>
        <w:t>善了董事会的职能和专业化程度，保障了董事会决策的科学性和程序性，不断完善本公司法人治理结构</w:t>
      </w:r>
      <w:r>
        <w:rPr>
          <w:spacing w:val="-36"/>
        </w:rPr>
        <w:t> </w:t>
      </w:r>
      <w:r>
        <w:rPr>
          <w:spacing w:val="-36"/>
        </w:rPr>
      </w:r>
      <w:r>
        <w:rPr/>
        <w:t>和内控制度，进一步规范公司运作，提高公司治理水平。截至报告期末，本公司治理实际情况基本符合</w:t>
      </w:r>
      <w:r>
        <w:rPr>
          <w:spacing w:val="-36"/>
        </w:rPr>
        <w:t> </w:t>
      </w:r>
      <w:r>
        <w:rPr>
          <w:spacing w:val="-36"/>
        </w:rPr>
      </w:r>
      <w:r>
        <w:rPr/>
        <w:t>中国证监会发布的有关上市公司治理的规范性文件的要求。</w:t>
      </w:r>
    </w:p>
    <w:p>
      <w:pPr>
        <w:pStyle w:val="Heading5"/>
        <w:spacing w:line="273" w:lineRule="auto" w:before="56"/>
        <w:ind w:right="211" w:firstLine="338"/>
        <w:jc w:val="both"/>
      </w:pPr>
      <w:r>
        <w:rPr/>
        <w:t>（一）关于股东与股东大会本公司严格按照《公司法》、《上市公司股东大会规范意见》、《公司章</w:t>
      </w:r>
      <w:r>
        <w:rPr>
          <w:w w:val="100"/>
        </w:rPr>
        <w:t> </w:t>
      </w:r>
      <w:r>
        <w:rPr>
          <w:spacing w:val="-2"/>
        </w:rPr>
        <w:t>程》和《股东大会议事规则》等法律、法规及制度的要求，规范股东大会召集、召开、表决程序，确保所</w:t>
      </w:r>
      <w:r>
        <w:rPr>
          <w:spacing w:val="-47"/>
        </w:rPr>
        <w:t> </w:t>
      </w:r>
      <w:r>
        <w:rPr>
          <w:spacing w:val="-47"/>
        </w:rPr>
      </w:r>
      <w:r>
        <w:rPr>
          <w:spacing w:val="-2"/>
        </w:rPr>
        <w:t>有股东享有平等地位，平等权利，并承担相应的义务，让中小投资者充分行使自己的权利；通过聘请律师</w:t>
      </w:r>
      <w:r>
        <w:rPr>
          <w:spacing w:val="-50"/>
        </w:rPr>
        <w:t> </w:t>
      </w:r>
      <w:r>
        <w:rPr>
          <w:spacing w:val="-50"/>
        </w:rPr>
      </w:r>
      <w:r>
        <w:rPr/>
        <w:t>出席见证保证了会议的召集、召开和表决程序的合法性。</w:t>
      </w:r>
    </w:p>
    <w:p>
      <w:pPr>
        <w:pStyle w:val="Heading5"/>
        <w:spacing w:line="273" w:lineRule="auto" w:before="55"/>
        <w:ind w:right="0" w:firstLine="336"/>
        <w:jc w:val="left"/>
      </w:pPr>
      <w:r>
        <w:rPr/>
        <w:t>（二）关于控股股东与上市公司的关系本公司按照《公司法》、《证券法》、《公司章程》及证券监</w:t>
      </w:r>
      <w:r>
        <w:rPr>
          <w:w w:val="100"/>
        </w:rPr>
        <w:t> </w:t>
      </w:r>
      <w:r>
        <w:rPr>
          <w:spacing w:val="-2"/>
        </w:rPr>
        <w:t>管部门的有关规定正确处理与控股股东的关系。本公司控股股东依法行使其权利并承担相应义务，没有超</w:t>
      </w:r>
      <w:r>
        <w:rPr>
          <w:spacing w:val="-44"/>
        </w:rPr>
        <w:t> </w:t>
      </w:r>
      <w:r>
        <w:rPr>
          <w:spacing w:val="-44"/>
        </w:rPr>
      </w:r>
      <w:r>
        <w:rPr>
          <w:spacing w:val="-5"/>
        </w:rPr>
        <w:t>越股东大会授权范围行使职权、直接或间接干预本公司的决策和生产经营活动。本公司具有自主经营能力， </w:t>
      </w:r>
      <w:r>
        <w:rPr>
          <w:spacing w:val="-5"/>
        </w:rPr>
      </w:r>
      <w:r>
        <w:rPr/>
        <w:t>公司董事会、监事会和内部机构能够独立运作。</w:t>
      </w:r>
    </w:p>
    <w:p>
      <w:pPr>
        <w:pStyle w:val="Heading5"/>
        <w:spacing w:line="268" w:lineRule="auto" w:before="55"/>
        <w:ind w:right="206" w:firstLine="336"/>
        <w:jc w:val="both"/>
      </w:pPr>
      <w:r>
        <w:rPr>
          <w:spacing w:val="-5"/>
        </w:rPr>
        <w:t>（三）关于董事与董事会本公司董事的选聘程序公开、公平、公正，董事会严格按照《公司法》和《公</w:t>
      </w:r>
      <w:r>
        <w:rPr>
          <w:w w:val="100"/>
        </w:rPr>
        <w:t> </w:t>
      </w:r>
      <w:r>
        <w:rPr>
          <w:spacing w:val="-2"/>
        </w:rPr>
        <w:t>司章程》和《董事会议事规则》等法律法规开展工作，董事会组成人员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人，董事产生</w:t>
      </w:r>
      <w:r>
        <w:rPr>
          <w:spacing w:val="-43"/>
        </w:rPr>
        <w:t> </w:t>
      </w:r>
      <w:r>
        <w:rPr>
          <w:spacing w:val="-43"/>
        </w:rPr>
      </w:r>
      <w:r>
        <w:rPr>
          <w:spacing w:val="-2"/>
        </w:rPr>
        <w:t>程序合法有效。本公司董事积极学习，熟悉有关法律、法规，并按照相关规定依法履行董事职责。独立董</w:t>
      </w:r>
      <w:r>
        <w:rPr>
          <w:spacing w:val="-43"/>
        </w:rPr>
        <w:t> </w:t>
      </w:r>
      <w:r>
        <w:rPr>
          <w:spacing w:val="-43"/>
        </w:rPr>
      </w:r>
      <w:r>
        <w:rPr>
          <w:spacing w:val="-2"/>
        </w:rPr>
        <w:t>事按照《公司章程》等法律、法规不受影响的独立履行职责，出席公司董事会、股东大会，对本公司重大</w:t>
      </w:r>
      <w:r>
        <w:rPr>
          <w:spacing w:val="-42"/>
        </w:rPr>
        <w:t> </w:t>
      </w:r>
      <w:r>
        <w:rPr>
          <w:spacing w:val="-42"/>
        </w:rPr>
      </w:r>
      <w:r>
        <w:rPr>
          <w:spacing w:val="-2"/>
        </w:rPr>
        <w:t>投资、董事、高级管理人员的任免发表自己的独立意见，保证了公司的规范运作。董事会下薪酬与审计专</w:t>
      </w:r>
      <w:r>
        <w:rPr>
          <w:spacing w:val="-47"/>
        </w:rPr>
        <w:t> </w:t>
      </w:r>
      <w:r>
        <w:rPr>
          <w:spacing w:val="-47"/>
        </w:rPr>
      </w:r>
      <w:r>
        <w:rPr/>
        <w:t>业委员会，各专业委员会根据各自职责对本公司发展提出相关的专业意见和建议。</w:t>
      </w:r>
    </w:p>
    <w:p>
      <w:pPr>
        <w:pStyle w:val="Heading5"/>
        <w:spacing w:line="273" w:lineRule="auto" w:before="60"/>
        <w:ind w:right="209" w:firstLine="427"/>
        <w:jc w:val="both"/>
      </w:pPr>
      <w:r>
        <w:rPr>
          <w:spacing w:val="-3"/>
        </w:rPr>
        <w:t>（四）监事和监事会本公司监事会严格按照《公司法》、《公司章程》和《监事会议事规则》的有关</w:t>
      </w:r>
      <w:r>
        <w:rPr>
          <w:w w:val="100"/>
        </w:rPr>
        <w:t> </w:t>
      </w:r>
      <w:r>
        <w:rPr/>
        <w:t>规定开展工作，监事的推荐、选举和产生程序符合相关法律、法规的要求。</w:t>
      </w:r>
    </w:p>
    <w:p>
      <w:pPr>
        <w:pStyle w:val="Heading5"/>
        <w:spacing w:line="273" w:lineRule="auto" w:before="55"/>
        <w:ind w:right="175" w:firstLine="427"/>
        <w:jc w:val="both"/>
      </w:pPr>
      <w:r>
        <w:rPr>
          <w:spacing w:val="-2"/>
        </w:rPr>
        <w:t>公司监事会认真履行自己的职责，对公司财务以及董事、高级管理人员行使职权的合规性进行监督，</w:t>
      </w:r>
      <w:r>
        <w:rPr>
          <w:w w:val="100"/>
        </w:rPr>
        <w:t> </w:t>
      </w:r>
      <w:r>
        <w:rPr/>
        <w:t>维护公司及股东的合法权益。</w:t>
      </w:r>
    </w:p>
    <w:p>
      <w:pPr>
        <w:pStyle w:val="Heading5"/>
        <w:spacing w:line="273" w:lineRule="auto" w:before="53"/>
        <w:ind w:right="185" w:firstLine="338"/>
        <w:jc w:val="both"/>
      </w:pPr>
      <w:r>
        <w:rPr/>
        <w:t>（五）关于信息披露与透明度本公司制定了《信息披露管理制度》，指定董事会秘书负责信息披露工</w:t>
      </w:r>
      <w:r>
        <w:rPr>
          <w:w w:val="100"/>
        </w:rPr>
        <w:t> </w:t>
      </w:r>
      <w:r>
        <w:rPr>
          <w:spacing w:val="-2"/>
        </w:rPr>
        <w:t>作、接待股东来访和咨询。本公司指定《证券时报》、《上海证券报》、《中国证券报》、《证券日报》</w:t>
      </w:r>
      <w:r>
        <w:rPr>
          <w:spacing w:val="-21"/>
        </w:rPr>
        <w:t> </w:t>
      </w:r>
      <w:r>
        <w:rPr>
          <w:spacing w:val="-21"/>
        </w:rPr>
      </w:r>
      <w:r>
        <w:rPr>
          <w:spacing w:val="-2"/>
        </w:rPr>
        <w:t>及巨潮资讯网作为本公司信息披露的报纸和网站。本公司严格按照有关法律法规及制定的《信息披露管理</w:t>
      </w:r>
      <w:r>
        <w:rPr>
          <w:spacing w:val="-43"/>
        </w:rPr>
        <w:t> </w:t>
      </w:r>
      <w:r>
        <w:rPr>
          <w:spacing w:val="-43"/>
        </w:rPr>
      </w:r>
      <w:r>
        <w:rPr/>
        <w:t>制度》的要求，真实、准确、完整、及时的披露有关信息，并确保所有股东有平等的机会获得信息。</w:t>
      </w:r>
    </w:p>
    <w:p>
      <w:pPr>
        <w:pStyle w:val="Heading5"/>
        <w:spacing w:line="271" w:lineRule="auto" w:before="56"/>
        <w:ind w:right="213" w:firstLine="336"/>
        <w:jc w:val="both"/>
      </w:pPr>
      <w:r>
        <w:rPr/>
        <w:t>（六）关于相关利益者本公司能够充分尊重和维护相关利益者的合法权益，实现股东、员工、社会等</w:t>
      </w:r>
      <w:r>
        <w:rPr>
          <w:w w:val="100"/>
        </w:rPr>
        <w:t> </w:t>
      </w:r>
      <w:r>
        <w:rPr/>
        <w:t>各方利益的协调平衡，共同推动公司持续、健康的发展。</w:t>
      </w:r>
    </w:p>
    <w:p>
      <w:pPr>
        <w:pStyle w:val="Heading5"/>
        <w:spacing w:line="307" w:lineRule="auto" w:before="50"/>
        <w:ind w:left="491" w:right="0"/>
        <w:jc w:val="left"/>
      </w:pPr>
      <w:r>
        <w:rPr/>
        <w:t>（七）绩效评价与激励约束机制</w:t>
      </w:r>
      <w:r>
        <w:rPr>
          <w:w w:val="100"/>
        </w:rPr>
        <w:t> </w:t>
      </w:r>
      <w:r>
        <w:rPr/>
        <w:t>公司已建立企业绩效评价激励体系，管理者的收入与企业经营业绩和目标挂钩，高级管理人员的聘任</w:t>
      </w:r>
    </w:p>
    <w:p>
      <w:pPr>
        <w:pStyle w:val="Heading5"/>
        <w:spacing w:line="253" w:lineRule="exact" w:before="0"/>
        <w:ind w:right="0"/>
        <w:jc w:val="both"/>
      </w:pPr>
      <w:r>
        <w:rPr/>
        <w:t>公开、透明，符合有关法律、法规的要求。公司董事会设立了薪酬与考核委员会，制定高级管理人员的薪</w:t>
      </w:r>
    </w:p>
    <w:p>
      <w:pPr>
        <w:pStyle w:val="Heading5"/>
        <w:spacing w:line="273" w:lineRule="auto" w:before="37"/>
        <w:ind w:right="206"/>
        <w:jc w:val="both"/>
      </w:pPr>
      <w:r>
        <w:rPr>
          <w:spacing w:val="-2"/>
        </w:rPr>
        <w:t>酬方案，根据公司实际经营指标完成情况以及高级管理人员的工作业绩，对高级管理人员进行年度绩效考</w:t>
      </w:r>
      <w:r>
        <w:rPr>
          <w:spacing w:val="-44"/>
        </w:rPr>
        <w:t> </w:t>
      </w:r>
      <w:r>
        <w:rPr>
          <w:spacing w:val="-44"/>
        </w:rPr>
      </w:r>
      <w:r>
        <w:rPr>
          <w:spacing w:val="-2"/>
        </w:rPr>
        <w:t>核，并监督薪酬制度执行情况。报告期内，本公司高级管理人员经考核，均认真履行了工作职责，工作业</w:t>
      </w:r>
      <w:r>
        <w:rPr>
          <w:spacing w:val="-43"/>
        </w:rPr>
        <w:t> </w:t>
      </w:r>
      <w:r>
        <w:rPr>
          <w:spacing w:val="-43"/>
        </w:rPr>
      </w:r>
      <w:r>
        <w:rPr/>
        <w:t>绩良好，较好地完成了各自经营管理任务。</w:t>
      </w:r>
    </w:p>
    <w:p>
      <w:pPr>
        <w:spacing w:after="0" w:line="273"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316" w:lineRule="auto" w:before="36"/>
        <w:ind w:left="580" w:right="0"/>
        <w:jc w:val="left"/>
      </w:pPr>
      <w:r>
        <w:rPr/>
        <w:t>（八）内部审计制度的建立和执行情况</w:t>
      </w:r>
      <w:r>
        <w:rPr>
          <w:w w:val="100"/>
        </w:rPr>
        <w:t> </w:t>
      </w:r>
      <w:r>
        <w:rPr>
          <w:spacing w:val="-3"/>
        </w:rPr>
        <w:t>董事会下设审计委员会，主要负责公司内部、外部审计的沟通、监督、会议组织和核查工作。审计委</w:t>
      </w:r>
    </w:p>
    <w:p>
      <w:pPr>
        <w:pStyle w:val="Heading5"/>
        <w:spacing w:line="242" w:lineRule="exact" w:before="0"/>
        <w:ind w:right="0"/>
        <w:jc w:val="left"/>
      </w:pPr>
      <w:r>
        <w:rPr/>
        <w:t>员会下设审计部为日常办事机构，公司上市后，审计部积极运作，按照上市公司的要求完善了部门职能和</w:t>
      </w:r>
    </w:p>
    <w:p>
      <w:pPr>
        <w:pStyle w:val="Heading5"/>
        <w:spacing w:line="273" w:lineRule="auto" w:before="37"/>
        <w:ind w:right="0"/>
        <w:jc w:val="left"/>
      </w:pPr>
      <w:r>
        <w:rPr>
          <w:spacing w:val="-2"/>
        </w:rPr>
        <w:t>人员安排，审计部对公司内部控制制度的建立和实施、公司财务信息的真实性和完整性等情况进行检查监</w:t>
      </w:r>
      <w:r>
        <w:rPr>
          <w:spacing w:val="-43"/>
        </w:rPr>
        <w:t> </w:t>
      </w:r>
      <w:r>
        <w:rPr>
          <w:spacing w:val="-43"/>
        </w:rPr>
      </w:r>
      <w:r>
        <w:rPr/>
        <w:t>督。</w:t>
      </w:r>
    </w:p>
    <w:p>
      <w:pPr>
        <w:pStyle w:val="Heading5"/>
        <w:spacing w:line="273" w:lineRule="auto" w:before="55"/>
        <w:ind w:right="149" w:firstLine="336"/>
        <w:jc w:val="both"/>
      </w:pPr>
      <w:r>
        <w:rPr/>
        <w:t>（九）独立董事工作制度为进一步完善公司的治理结构，促进公司的规范运作，根据中国证监会《关</w:t>
      </w:r>
      <w:r>
        <w:rPr>
          <w:w w:val="100"/>
        </w:rPr>
        <w:t> </w:t>
      </w:r>
      <w:r>
        <w:rPr>
          <w:spacing w:val="-2"/>
        </w:rPr>
        <w:t>于在上市公司建立独立董事制度的指导意见》和《上市公司治理准则》的规定，公司第一届董事会第十二</w:t>
      </w:r>
      <w:r>
        <w:rPr>
          <w:spacing w:val="-47"/>
        </w:rPr>
        <w:t> </w:t>
      </w:r>
      <w:r>
        <w:rPr>
          <w:spacing w:val="-47"/>
        </w:rPr>
      </w:r>
      <w:r>
        <w:rPr/>
        <w:t>次会议制订了《独立董事制度》《独立董事年报工作制度》，进一步加强了独立董事工作。</w:t>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公司治理与《公司法》和中国证监会相关规定的要求是否存在差异</w:t>
      </w:r>
    </w:p>
    <w:p>
      <w:pPr>
        <w:pStyle w:val="BodyText"/>
        <w:spacing w:line="240" w:lineRule="auto" w:before="117"/>
        <w:ind w:right="0"/>
        <w:jc w:val="left"/>
      </w:pPr>
      <w:r>
        <w:rPr/>
        <w:t>□ 是 √</w:t>
      </w:r>
      <w:r>
        <w:rPr>
          <w:spacing w:val="3"/>
        </w:rPr>
        <w:t> </w:t>
      </w:r>
      <w:r>
        <w:rPr/>
        <w:t>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青岛市恒顺电气股份有限公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青岛市恒顺电气股份有限公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司第一届董事会第二十一次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司第一届董事会第二十二次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司第一届董事会第二十三次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司第一届董事会第二十四次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司第一届董事会第二十五次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司第一届董事会第二十六次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司第一届董事会第二十七次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司第一届董事会第二十八次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青岛市恒顺电气股份有限公 司第一届董事会第二十九次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542"/>
        <w:jc w:val="left"/>
      </w:pPr>
      <w:r>
        <w:rPr/>
        <w:t>公司于</w:t>
      </w:r>
      <w:r>
        <w:rPr>
          <w:spacing w:val="-44"/>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3"/>
        </w:rPr>
        <w:t> </w:t>
      </w:r>
      <w:r>
        <w:rPr>
          <w:spacing w:val="-3"/>
        </w:rPr>
        <w:t>日第一届董事会第十二次会议审议通过并建立了《信息披露重大差错责任追究制度》，为了进</w:t>
      </w:r>
      <w:r>
        <w:rPr/>
        <w:t> 一步完善信息披露管理制度，强化信息披露责任意识，建立内部责任追究机制，促进董事、监事和高级管理人员勤勉尽责。 报告期内公司未发生重大会计差错更正、重大遗漏信息补充以及业绩预告修正等情况。</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60" w:lineRule="auto" w:before="117"/>
        <w:ind w:right="6394"/>
        <w:jc w:val="left"/>
      </w:pPr>
      <w:r>
        <w:rPr/>
        <w:t>□ 是 √</w:t>
      </w:r>
      <w:r>
        <w:rPr>
          <w:spacing w:val="3"/>
        </w:rPr>
        <w:t> </w:t>
      </w:r>
      <w:r>
        <w:rPr/>
        <w:t>否</w:t>
      </w:r>
      <w:r>
        <w:rPr/>
        <w:t> 公司监事会对报告期内的监督事项无异议。</w:t>
      </w:r>
    </w:p>
    <w:p>
      <w:pPr>
        <w:spacing w:after="0" w:line="36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5" w:right="381"/>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山东汇德会计师事务所</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）汇所审字第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right="-20"/>
        <w:jc w:val="left"/>
      </w:pPr>
      <w:r>
        <w:rPr/>
        <w:t>青岛市恒顺电气股份有限公司全体股东：</w:t>
      </w:r>
    </w:p>
    <w:p>
      <w:pPr>
        <w:pStyle w:val="BodyText"/>
        <w:spacing w:line="240" w:lineRule="auto" w:before="49"/>
        <w:ind w:left="136" w:right="3852"/>
        <w:jc w:val="center"/>
      </w:pPr>
      <w:r>
        <w:rPr/>
        <w:br w:type="column"/>
      </w:r>
      <w:r>
        <w:rPr/>
        <w:t>审计报告正文</w:t>
      </w:r>
    </w:p>
    <w:p>
      <w:pPr>
        <w:pStyle w:val="BodyText"/>
        <w:spacing w:line="240" w:lineRule="auto" w:before="118"/>
        <w:ind w:left="136" w:right="3911"/>
        <w:jc w:val="center"/>
      </w:pPr>
      <w:r>
        <w:rPr/>
        <w:t>（</w:t>
      </w:r>
      <w:r>
        <w:rPr>
          <w:rFonts w:ascii="Times New Roman" w:hAnsi="Times New Roman" w:cs="Times New Roman" w:eastAsia="Times New Roman" w:hint="default"/>
        </w:rPr>
        <w:t>2013</w:t>
      </w:r>
      <w:r>
        <w:rPr/>
        <w:t>）汇所审字第</w:t>
      </w:r>
      <w:r>
        <w:rPr>
          <w:rFonts w:ascii="Times New Roman" w:hAnsi="Times New Roman" w:cs="Times New Roman" w:eastAsia="Times New Roman" w:hint="default"/>
        </w:rPr>
        <w:t>1-027</w:t>
      </w:r>
      <w:r>
        <w:rPr/>
        <w:t>号</w:t>
      </w:r>
    </w:p>
    <w:p>
      <w:pPr>
        <w:spacing w:after="0" w:line="240" w:lineRule="auto"/>
        <w:jc w:val="center"/>
        <w:sectPr>
          <w:type w:val="continuous"/>
          <w:pgSz w:w="11910" w:h="16840"/>
          <w:pgMar w:top="1060" w:bottom="1160" w:left="980" w:right="940"/>
          <w:cols w:num="2" w:equalWidth="0">
            <w:col w:w="3393" w:space="284"/>
            <w:col w:w="6313"/>
          </w:cols>
        </w:sectPr>
      </w:pPr>
    </w:p>
    <w:p>
      <w:pPr>
        <w:spacing w:line="240" w:lineRule="auto" w:before="8"/>
        <w:rPr>
          <w:rFonts w:ascii="宋体" w:hAnsi="宋体" w:cs="宋体" w:eastAsia="宋体" w:hint="default"/>
          <w:sz w:val="11"/>
          <w:szCs w:val="11"/>
        </w:rPr>
      </w:pPr>
    </w:p>
    <w:p>
      <w:pPr>
        <w:pStyle w:val="BodyText"/>
        <w:spacing w:line="300" w:lineRule="auto" w:before="44"/>
        <w:ind w:right="94" w:firstLine="360"/>
        <w:jc w:val="left"/>
      </w:pPr>
      <w:r>
        <w:rPr>
          <w:spacing w:val="-2"/>
        </w:rPr>
        <w:t>我们审计了后附的青岛市恒顺电气股份有限公司（以下简称贵公司）财务报表，包括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日的合并和母公司资</w:t>
      </w:r>
      <w:r>
        <w:rPr/>
        <w:t> 产负债表，</w:t>
      </w:r>
      <w:r>
        <w:rPr>
          <w:rFonts w:ascii="Times New Roman" w:hAnsi="Times New Roman" w:cs="Times New Roman" w:eastAsia="Times New Roman" w:hint="default"/>
        </w:rPr>
        <w:t>2012</w:t>
      </w:r>
      <w:r>
        <w:rPr/>
        <w:t>年度的合并和母公司利润表、合并和母公司现金流量表、合并和母公司股东权益变动表以及财务报表附注。</w:t>
      </w:r>
    </w:p>
    <w:p>
      <w:pPr>
        <w:spacing w:line="369" w:lineRule="auto" w:before="63"/>
        <w:ind w:left="513" w:right="186"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编制和公允列报财务报表是贵公司管理层的责任，这种责任包括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）按照企业会计准则的规定编制财务报表，并使其</w:t>
      </w:r>
    </w:p>
    <w:p>
      <w:pPr>
        <w:pStyle w:val="BodyText"/>
        <w:spacing w:line="204" w:lineRule="exact"/>
        <w:ind w:right="0"/>
        <w:jc w:val="left"/>
      </w:pPr>
      <w:r>
        <w:rPr/>
        <w:t>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69" w:lineRule="auto" w:before="113"/>
        <w:ind w:left="513" w:right="0"/>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15" w:lineRule="exact"/>
        <w:ind w:right="0"/>
        <w:jc w:val="left"/>
      </w:pPr>
      <w:r>
        <w:rPr/>
        <w:t>工作。中国注册会计师审计准则要求我们遵守中国注册会计师职业道德守则，计划和执行审计工作以对财务报表是否不存在</w:t>
      </w:r>
    </w:p>
    <w:p>
      <w:pPr>
        <w:pStyle w:val="BodyText"/>
        <w:spacing w:line="367" w:lineRule="auto" w:before="77"/>
        <w:ind w:left="513" w:right="93" w:hanging="361"/>
        <w:jc w:val="left"/>
      </w:pPr>
      <w:r>
        <w:rPr/>
        <w:t>重大错报获取合理保证。 审计工作涉及实施审计程序，以获取有关财务报表金额和披露的审计证据。选择的审计程序取决于注册会计师的判断，</w:t>
      </w:r>
    </w:p>
    <w:p>
      <w:pPr>
        <w:pStyle w:val="BodyText"/>
        <w:spacing w:line="217" w:lineRule="exact"/>
        <w:ind w:right="0"/>
        <w:jc w:val="left"/>
      </w:pPr>
      <w:r>
        <w:rPr/>
        <w:t>包括对由于舞弊或错误导致的财务报表重大错报风险的评估。在进行风险评估时，注册会计师考虑与财务报表编制和公允列</w:t>
      </w:r>
    </w:p>
    <w:p>
      <w:pPr>
        <w:pStyle w:val="BodyText"/>
        <w:spacing w:line="316" w:lineRule="auto" w:before="76"/>
        <w:ind w:right="0"/>
        <w:jc w:val="left"/>
      </w:pPr>
      <w:r>
        <w:rPr>
          <w:spacing w:val="-2"/>
        </w:rPr>
        <w:t>报相关的内部控制，以设计恰当的审计程序，但目的并非对内部控制的有效性发表意见。审计工作还包括评价管理层选用会</w:t>
      </w:r>
      <w:r>
        <w:rPr>
          <w:spacing w:val="-61"/>
        </w:rPr>
        <w:t> </w:t>
      </w:r>
      <w:r>
        <w:rPr>
          <w:spacing w:val="-61"/>
        </w:rPr>
      </w:r>
      <w:r>
        <w:rPr/>
        <w:t>计政策的恰当性和作出会计估计的合理性，以及评价财务报表的总体列报。</w:t>
      </w:r>
    </w:p>
    <w:p>
      <w:pPr>
        <w:pStyle w:val="BodyText"/>
        <w:spacing w:line="369" w:lineRule="auto" w:before="69"/>
        <w:ind w:left="513" w:right="0"/>
        <w:jc w:val="left"/>
      </w:pPr>
      <w:r>
        <w:rPr/>
        <w:t>我们相信，我们获取的审计证据是充分、适当的，为发表审计意见提供了基础。 </w:t>
      </w: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日的合并和</w:t>
      </w:r>
    </w:p>
    <w:p>
      <w:pPr>
        <w:pStyle w:val="BodyText"/>
        <w:spacing w:line="204" w:lineRule="exact"/>
        <w:ind w:right="0"/>
        <w:jc w:val="left"/>
      </w:pPr>
      <w:r>
        <w:rPr/>
        <w:t>母公司财务状况以及</w:t>
      </w:r>
      <w:r>
        <w:rPr>
          <w:rFonts w:ascii="Times New Roman" w:hAnsi="Times New Roman" w:cs="Times New Roman" w:eastAsia="Times New Roman" w:hint="default"/>
        </w:rPr>
        <w:t>2012</w:t>
      </w:r>
      <w:r>
        <w:rPr/>
        <w:t>年度合并和母公司的经营成果和现金流量。</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编制单位：青岛市恒顺电气股份有限公司</w:t>
      </w:r>
    </w:p>
    <w:p>
      <w:pPr>
        <w:pStyle w:val="BodyText"/>
        <w:spacing w:line="240" w:lineRule="auto" w:before="117"/>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409,660,022.83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411,764,550.65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24,321,607.70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24,049,110.00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84,136,094.53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97,085,550.53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6,609,361.60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10,667,422.99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5,240,754.42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5,367,470.95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32,403,220.31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24,576,311.38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134,042,830.84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696,413,892.23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573,510,416.50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89,416,307.74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245,987,010.90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173,885,507.77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3,529,914.58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5,581,914.58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6,176,086.94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6,355,868.78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579,529.78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539,357.78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7,378,915.67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1,604,923.49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98,011,500.00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353,067,765.61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285,979,072.40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1,049,481,657.84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859,489,488.90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12,923,098.08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39,315,649.02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39,001,946.36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623,972.00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940,625.50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1,391,506.50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1,852,515.56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4,510,727.73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6,144,724.77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488,083.10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323,263.33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184,058.48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218,293,996.83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191,244,333.13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133,277,777.77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11,259,112.88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6,788,459.51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7,846,401.27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151,325,350.16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39,846,401.27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369,619,346.99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231,090,734.40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413,434,079.48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473,177,932.77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12,708,989.51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9,127,315.61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113,853,653.36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76,093,506.12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-134,411.50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679,862,310.85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628,398,754.50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679,862,310.85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628,398,754.50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1,049,481,657.84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859,489,488.90</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编制单位：青岛市恒顺电气股份有限公司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351,819,775.86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406,976,219.63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24,321,607.70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24,049,110.00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84,136,094.53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97,085,550.53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6,609,361.60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10,667,422.99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3,864,428.74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55,366,862.95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32,403,220.31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24,576,311.38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31,360.00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503,185,848.74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618,721,477.48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89,416,307.74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210,843,867.00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167,449,253.11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173,653,834.88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3,529,914.58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5,581,914.58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6,176,086.94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6,355,868.78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579,529.78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539,357.78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7,378,915.67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1,604,923.49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485,373,874.82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240,735,899.51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988,559,723.56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859,457,376.99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12,923,098.08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39,315,649.02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39,001,946.36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623,972.00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940,625.50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1,331,106.50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1,852,515.56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4,493,043.54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6,146,863.57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438,977.78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323,263.33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217,982,748.84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191,188,312.40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11,259,112.88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6,788,459.51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7,846,401.27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111,047,572.39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39,846,401.27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329,030,321.23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231,034,713.67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412,442,307.35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473,152,307.35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12,708,989.51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9,127,315.61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94,378,105.47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76,143,040.36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659,529,402.33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628,422,663.32</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988,559,723.56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859,457,376.99</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编制单位：青岛市恒顺电气股份有限公司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247,263,192.79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222,423,508.17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247,263,192.79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222,423,508.17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2.083008pt;margin-top:536.950012pt;width:196.65pt;height:19.6pt;mso-position-horizontal-relative:page;mso-position-vertical-relative:page;z-index:-83980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688.779968pt;width:196.65pt;height:19.6pt;mso-position-horizontal-relative:page;mso-position-vertical-relative:page;z-index:-83977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536.409973pt;width:163.35pt;height:20.65pt;mso-position-horizontal-relative:page;mso-position-vertical-relative:page;z-index:-839752" coordorigin="4107,10728" coordsize="3267,413">
            <v:group style="position:absolute;left:4118;top:10739;width:2;height:392" coordorigin="4118,10739" coordsize="2,392">
              <v:shape style="position:absolute;left:4118;top:10739;width:2;height:392" coordorigin="4118,10739" coordsize="0,392" path="m4118,10739l4118,11130e" filled="false" stroked="true" strokeweight="1.08pt" strokecolor="#ffffff">
                <v:path arrowok="t"/>
              </v:shape>
            </v:group>
            <v:group style="position:absolute;left:4129;top:10739;width:3246;height:392" coordorigin="4129,10739" coordsize="3246,392">
              <v:shape style="position:absolute;left:4129;top:10739;width:3246;height:392" coordorigin="4129,10739" coordsize="3246,392" path="m4129,11130l7374,11130,7374,10739,4129,10739,4129,11130xe" filled="true" fillcolor="#ffffff" stroked="false">
                <v:path arrowok="t"/>
                <v:fill type="solid"/>
              </v:shape>
            </v:group>
            <w10:wrap type="none"/>
          </v:group>
        </w:pict>
      </w:r>
      <w:r>
        <w:rPr/>
        <w:pict>
          <v:group style="position:absolute;margin-left:205.369995pt;margin-top:688.23999pt;width:163.35pt;height:20.65pt;mso-position-horizontal-relative:page;mso-position-vertical-relative:page;z-index:-839728" coordorigin="4107,13765" coordsize="3267,413">
            <v:group style="position:absolute;left:4118;top:13776;width:2;height:392" coordorigin="4118,13776" coordsize="2,392">
              <v:shape style="position:absolute;left:4118;top:13776;width:2;height:392" coordorigin="4118,13776" coordsize="0,392" path="m4118,13776l4118,14167e" filled="false" stroked="true" strokeweight="1.08pt" strokecolor="#ffffff">
                <v:path arrowok="t"/>
              </v:shape>
            </v:group>
            <v:group style="position:absolute;left:4129;top:13776;width:3246;height:392" coordorigin="4129,13776" coordsize="3246,392">
              <v:shape style="position:absolute;left:4129;top:13776;width:3246;height:392" coordorigin="4129,13776" coordsize="3246,392" path="m4129,14167l7374,14167,7374,13776,4129,13776,4129,1416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1151"/>
        <w:gridCol w:w="215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185,880,394.23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170,521,633.65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136,316,572.24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131,251,900.71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1,842,564.48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1,803,749.51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12,655,078.10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10,921,678.16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28,377,320.41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20,315,186.47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6,054,472.48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3,231,492.61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634,386.52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2,997,626.19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51" w:type="dxa"/>
            <w:tcBorders>
              <w:top w:val="single" w:sz="4" w:space="0" w:color="000000"/>
              <w:left w:val="single" w:sz="4" w:space="0" w:color="000000"/>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61,382,798.56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51,901,874.52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1,391,277.12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5,748,911.56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36,309.27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2,710.43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36,309.27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62,771,365.25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57,614,476.81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7,429,544.11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7,723,511.89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51" w:type="dxa"/>
            <w:tcBorders>
              <w:top w:val="single" w:sz="4" w:space="0" w:color="000000"/>
              <w:left w:val="single" w:sz="4" w:space="0" w:color="000000"/>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55,341,821.14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49,890,964.92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55,341,821.14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49,890,964.92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2.083008pt;margin-top:646.419983pt;width:196.65pt;height:19.7pt;mso-position-horizontal-relative:page;mso-position-vertical-relative:page;z-index:-83970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645.820007pt;width:163.5pt;height:20.9pt;mso-position-horizontal-relative:page;mso-position-vertical-relative:page;z-index:-839680" coordorigin="4105,12916" coordsize="3270,418">
            <v:group style="position:absolute;left:4117;top:12928;width:2;height:394" coordorigin="4117,12928" coordsize="2,394">
              <v:shape style="position:absolute;left:4117;top:12928;width:2;height:394" coordorigin="4117,12928" coordsize="0,394" path="m4117,12928l4117,13322e" filled="false" stroked="true" strokeweight="1.2pt" strokecolor="#ffffff">
                <v:path arrowok="t"/>
              </v:shape>
            </v:group>
            <v:group style="position:absolute;left:4129;top:12928;width:3246;height:394" coordorigin="4129,12928" coordsize="3246,394">
              <v:shape style="position:absolute;left:4129;top:12928;width:3246;height:394" coordorigin="4129,12928" coordsize="3246,394" path="m4129,13322l7374,13322,7374,12928,4129,12928,4129,1332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831,735.21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56,173,556.35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49,890,964.92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56,173,556.35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49,890,964.92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7" w:val="left" w:leader="none"/>
          <w:tab w:pos="7899" w:val="left" w:leader="none"/>
        </w:tabs>
        <w:spacing w:line="240" w:lineRule="auto" w:before="139"/>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编制单位：青岛市恒顺电气股份有限公司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1165"/>
        <w:gridCol w:w="2149"/>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204,058,092.79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222,423,508.17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8" w:right="0"/>
              <w:jc w:val="left"/>
              <w:rPr>
                <w:rFonts w:ascii="Times New Roman" w:hAnsi="Times New Roman" w:cs="Times New Roman" w:eastAsia="Times New Roman" w:hint="default"/>
                <w:sz w:val="18"/>
                <w:szCs w:val="18"/>
              </w:rPr>
            </w:pPr>
            <w:r>
              <w:rPr>
                <w:rFonts w:ascii="Times New Roman"/>
                <w:sz w:val="18"/>
              </w:rPr>
              <w:t>116,714,272.24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131,251,900.71</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1,842,564.48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1,803,749.51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11,788,971.67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10,921,678.16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27,394,352.23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20,146,877.52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3,898,235.41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3,239,015.82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561,980.33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2,997,594.19</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90" w:right="0"/>
              <w:jc w:val="left"/>
              <w:rPr>
                <w:rFonts w:ascii="Times New Roman" w:hAnsi="Times New Roman" w:cs="Times New Roman" w:eastAsia="Times New Roman" w:hint="default"/>
                <w:sz w:val="18"/>
                <w:szCs w:val="18"/>
              </w:rPr>
            </w:pPr>
            <w:r>
              <w:rPr>
                <w:rFonts w:ascii="Times New Roman"/>
                <w:sz w:val="18"/>
              </w:rPr>
              <w:t>41,857,716.43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52,062,692.26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1,391,277.12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5,748,911.56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2,710.43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36,309.27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43,246,283.12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57,775,294.55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72.083008pt;margin-top:92.659981pt;width:196.65pt;height:19.6pt;mso-position-horizontal-relative:page;mso-position-vertical-relative:page;z-index:-83965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92.059982pt;width:163.5pt;height:20.8pt;mso-position-horizontal-relative:page;mso-position-vertical-relative:page;z-index:-839632" coordorigin="4105,1841" coordsize="3270,416">
            <v:group style="position:absolute;left:4117;top:1853;width:2;height:392" coordorigin="4117,1853" coordsize="2,392">
              <v:shape style="position:absolute;left:4117;top:1853;width:2;height:392" coordorigin="4117,1853" coordsize="0,392" path="m4117,1853l4117,2244e" filled="false" stroked="true" strokeweight="1.2pt" strokecolor="#ffffff">
                <v:path arrowok="t"/>
              </v:shape>
            </v:group>
            <v:group style="position:absolute;left:4129;top:1853;width:3246;height:392" coordorigin="4129,1853" coordsize="3246,392">
              <v:shape style="position:absolute;left:4129;top:1853;width:3246;height:392" coordorigin="4129,1853" coordsize="3246,392" path="m4129,2244l7374,2244,7374,1853,4129,1853,4129,224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165"/>
        <w:gridCol w:w="2149"/>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7,429,544.11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7,718,462.09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90" w:right="0"/>
              <w:jc w:val="left"/>
              <w:rPr>
                <w:rFonts w:ascii="Times New Roman" w:hAnsi="Times New Roman" w:cs="Times New Roman" w:eastAsia="Times New Roman" w:hint="default"/>
                <w:sz w:val="18"/>
                <w:szCs w:val="18"/>
              </w:rPr>
            </w:pPr>
            <w:r>
              <w:rPr>
                <w:rFonts w:ascii="Times New Roman"/>
                <w:sz w:val="18"/>
              </w:rPr>
              <w:t>35,816,739.01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50,056,832.46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35,816,739.01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50,056,832.46</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编制单位：青岛市恒顺电气股份有限公司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206,937,632.55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207,218,469.53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8,056,054.71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10,271,011.18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214,993,687.26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217,489,480.71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110,881,173.40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136,914,035.88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15,946,709.35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16,385,967.00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22,585,272.14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24,667,250.58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20,979,171.37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18,716,423.82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170,392,326.26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196,683,677.28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44,601,361.00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20,805,803.43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8,553,148.58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138,276,361.10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134,002,220.84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142,555,369.42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138,276,361.10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-142,554,569.42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-138,183,361.10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403,303,219.82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14,569,695.76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28,083,834.00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284,569,695.76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586,387,053.82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148,722,222.23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26,260,832.38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6,650,584.82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18,872,206.72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29,259,795.04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193,855,261.33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126,910,379.86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90,714,434.43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459,476,673.96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831,735.21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-6,407,038.78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342,099,116.29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402,750,501.61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60,651,385.32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396,343,462.83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402,750,501.61</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编制单位：青岛市恒顺电气股份有限公司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163,732,532.55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207,218,469.53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6,935,136.26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10,260,303.24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170,667,668.81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217,478,772.77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110,858,973.40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136,914,035.88</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15,267,535.06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16,374,101.66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22,531,630.85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24,666,830.58</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17,633,561.97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18,590,197.00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166,291,701.28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196,545,165.12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4,375,967.53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20,933,607.65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8,542,298.58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40,264,861.10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157,843,867.00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166,386,165.58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140,264,861.10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-116,385,365.58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-140,171,861.10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403,303,219.82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14,569,695.76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28,083,834.00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234,569,695.76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586,387,053.82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24,147,045.72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6,650,584.82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18,872,206.72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29,259,795.04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182,019,252.44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126,910,379.86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52,550,443.32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459,476,673.96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-59,458,954.73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340,238,420.51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397,962,170.59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57,723,750.08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338,503,215.86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397,962,170.59</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7" w:lineRule="auto" w:before="44"/>
        <w:ind w:right="-20"/>
        <w:jc w:val="left"/>
      </w:pPr>
      <w:r>
        <w:rPr/>
        <w:t>编制单位：青岛市恒顺电气股份有限公司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393" w:space="5527"/>
            <w:col w:w="103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67"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473,177,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932.77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9,127,3</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15.61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76,093,5</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06.12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628,398,75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4.50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473,177,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932.77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4"/>
              <w:ind w:left="92" w:right="0"/>
              <w:jc w:val="center"/>
              <w:rPr>
                <w:rFonts w:ascii="Times New Roman" w:hAnsi="Times New Roman" w:cs="Times New Roman" w:eastAsia="Times New Roman" w:hint="default"/>
                <w:sz w:val="18"/>
                <w:szCs w:val="18"/>
              </w:rPr>
            </w:pPr>
            <w:r>
              <w:rPr>
                <w:rFonts w:ascii="Times New Roman"/>
                <w:sz w:val="18"/>
              </w:rPr>
              <w:t>9,127,3</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15.61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76,093,5</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06.12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628,398,75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4.50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-59,743,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853.29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3,581,6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73.90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37,760,1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47.24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-134,41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1.50</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51,463,556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55,341,8</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21.14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55,341,821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966,146.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-134,41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1.50</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831,735.21</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966,146.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55,341,8</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21.14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-134,41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1.50</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56,173,556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.35</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9,290,00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9,290,000.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9,290,00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9,290,000.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3,581,6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73.90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-17,581,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673.90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3,581,6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73.90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-3,581,6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73.90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413,434,</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079.48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12,708,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989.51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113,853,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653.36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-134,41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1.50</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679,862,31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0.85</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52,500,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86,600,5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12.95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4,121,6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32.36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31,208,2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24.45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174,430,36</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9.76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52,500,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86,600,5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12.95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4,121,6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32.36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31,208,2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24.45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174,430,36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9.76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386,577,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419.82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5,005,6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83.25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44,885,2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81.67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453,968,38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4.74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49,890,9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64.92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49,890,964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49,890,9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64.92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49,890,964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386,577,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419.82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404,077,41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9.82</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385,803,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219.82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403,303,21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774,200.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774,200.00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5,005,6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83.25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-5,005,6</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83.25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5,005,6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83.25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-5,005,6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83.25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473,177,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932.77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9,127,3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15.61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76,093,5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06.12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628,398,75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4.50</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60" w:lineRule="auto" w:before="44"/>
        <w:ind w:right="-20"/>
        <w:jc w:val="left"/>
      </w:pPr>
      <w:r>
        <w:rPr/>
        <w:t>编制单位：青岛市恒顺电气股份有限公司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393" w:space="552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473,152,30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7.35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9,127,315.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76,143,040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628,422,66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3.32</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583.335632pt;width:84.8pt;height:22.15pt;mso-position-horizontal-relative:page;mso-position-vertical-relative:page;z-index:-839608" type="#_x0000_t202" filled="false" stroked="false">
            <v:textbox inset="0,0,0,0">
              <w:txbxContent>
                <w:p>
                  <w:pPr>
                    <w:pStyle w:val="BodyText"/>
                    <w:spacing w:line="180" w:lineRule="exact"/>
                    <w:ind w:left="0" w:right="0"/>
                    <w:jc w:val="left"/>
                  </w:pPr>
                  <w:r>
                    <w:rPr/>
                    <w:t>（或股本）</w:t>
                  </w:r>
                </w:p>
              </w:txbxContent>
            </v:textbox>
            <w10:wrap type="none"/>
          </v:shape>
        </w:pict>
      </w:r>
      <w:r>
        <w:rPr/>
        <w:pict>
          <v:shape style="position:absolute;margin-left:138.600006pt;margin-top:605.955994pt;width:84.8pt;height:19.6pt;mso-position-horizontal-relative:page;mso-position-vertical-relative:page;z-index:-83958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569.709961pt;width:42.65pt;height:56.45pt;mso-position-horizontal-relative:page;mso-position-vertical-relative:page;z-index:-839560" coordorigin="3615,11394" coordsize="853,1129">
            <v:group style="position:absolute;left:3627;top:11406;width:2;height:704" coordorigin="3627,11406" coordsize="2,704">
              <v:shape style="position:absolute;left:3627;top:11406;width:2;height:704" coordorigin="3627,11406" coordsize="0,704" path="m3627,11406l3627,12109e" filled="false" stroked="true" strokeweight="1.2pt" strokecolor="#ffffff">
                <v:path arrowok="t"/>
              </v:shape>
            </v:group>
            <v:group style="position:absolute;left:3639;top:11406;width:829;height:351" coordorigin="3639,11406" coordsize="829,351">
              <v:shape style="position:absolute;left:3639;top:11406;width:829;height:351" coordorigin="3639,11406" coordsize="829,351" path="m3639,11757l4467,11757,4467,11406,3639,11406,3639,11757xe" filled="true" fillcolor="#ffffff" stroked="false">
                <v:path arrowok="t"/>
                <v:fill type="solid"/>
              </v:shape>
            </v:group>
            <v:group style="position:absolute;left:3639;top:11757;width:829;height:353" coordorigin="3639,11757" coordsize="829,353">
              <v:shape style="position:absolute;left:3639;top:11757;width:829;height:353" coordorigin="3639,11757" coordsize="829,353" path="m3639,12109l4467,12109,4467,11757,3639,11757,3639,12109xe" filled="true" fillcolor="#ffffff" stroked="false">
                <v:path arrowok="t"/>
                <v:fill type="solid"/>
              </v:shape>
            </v:group>
            <v:group style="position:absolute;left:3627;top:12119;width:2;height:392" coordorigin="3627,12119" coordsize="2,392">
              <v:shape style="position:absolute;left:3627;top:12119;width:2;height:392" coordorigin="3627,12119" coordsize="0,392" path="m3627,12119l3627,12511e" filled="false" stroked="true" strokeweight="1.2pt" strokecolor="#ffffff">
                <v:path arrowok="t"/>
              </v:shape>
            </v:group>
            <v:group style="position:absolute;left:3639;top:12119;width:829;height:392" coordorigin="3639,12119" coordsize="829,392">
              <v:shape style="position:absolute;left:3639;top:12119;width:829;height:392" coordorigin="3639,12119" coordsize="829,392" path="m3639,12511l4467,12511,4467,12119,3639,12119,3639,125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473,152,30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9,127,315.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76,143,040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628,422,66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3.32</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-60,710,00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3,581,673.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18,235,065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31,106,739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3,581,673.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-17,581,67</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3.90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3,581,673.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-3,581,673.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140,000,00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412,442,30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12,708,989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94,378,105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659,529,40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9.554001pt;margin-top:722.139954pt;width:84.8pt;height:19.6pt;mso-position-horizontal-relative:page;mso-position-vertical-relative:page;z-index:-83953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742.175964pt;width:84.8pt;height:19.6pt;mso-position-horizontal-relative:page;mso-position-vertical-relative:page;z-index:-83951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722.139954pt;width:41.45pt;height:39.6pt;mso-position-horizontal-relative:page;mso-position-vertical-relative:page;z-index:-839488" coordorigin="3658,14443" coordsize="829,792">
            <v:group style="position:absolute;left:3658;top:14443;width:829;height:392" coordorigin="3658,14443" coordsize="829,392">
              <v:shape style="position:absolute;left:3658;top:14443;width:829;height:392" coordorigin="3658,14443" coordsize="829,392" path="m3658,14834l4486,14834,4486,14443,3658,14443,3658,14834xe" filled="true" fillcolor="#ffffff" stroked="false">
                <v:path arrowok="t"/>
                <v:fill type="solid"/>
              </v:shape>
            </v:group>
            <v:group style="position:absolute;left:3658;top:14844;width:829;height:392" coordorigin="3658,14844" coordsize="829,392">
              <v:shape style="position:absolute;left:3658;top:14844;width:829;height:392" coordorigin="3658,14844" coordsize="829,392" path="m3658,15235l4486,15235,4486,14844,3658,14844,3658,1523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3"/>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0" w:right="0"/>
              <w:jc w:val="left"/>
              <w:rPr>
                <w:rFonts w:ascii="Times New Roman" w:hAnsi="Times New Roman" w:cs="Times New Roman" w:eastAsia="Times New Roman" w:hint="default"/>
                <w:sz w:val="18"/>
                <w:szCs w:val="18"/>
              </w:rPr>
            </w:pPr>
            <w:r>
              <w:rPr>
                <w:rFonts w:ascii="Times New Roman"/>
                <w:sz w:val="18"/>
              </w:rPr>
              <w:t>7.35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4" w:right="0"/>
              <w:jc w:val="left"/>
              <w:rPr>
                <w:rFonts w:ascii="Times New Roman" w:hAnsi="Times New Roman" w:cs="Times New Roman" w:eastAsia="Times New Roman" w:hint="default"/>
                <w:sz w:val="18"/>
                <w:szCs w:val="18"/>
              </w:rPr>
            </w:pPr>
            <w:r>
              <w:rPr>
                <w:rFonts w:ascii="Times New Roman"/>
                <w:sz w:val="18"/>
              </w:rPr>
              <w:t>2.33</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4"/>
        <w:gridCol w:w="884"/>
        <w:gridCol w:w="886"/>
        <w:gridCol w:w="886"/>
        <w:gridCol w:w="884"/>
        <w:gridCol w:w="886"/>
        <w:gridCol w:w="884"/>
        <w:gridCol w:w="883"/>
        <w:gridCol w:w="883"/>
      </w:tblGrid>
      <w:tr>
        <w:trPr>
          <w:trHeight w:val="402"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86,574,887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31,091,891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174,288,41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1.04</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86,574,887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31,091,891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174,288,41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1.04</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386,577,41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9.82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5,005,683.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45,051,149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454,134,25</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2.28</w:t>
            </w: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50,056,832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50,056,832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50,056,832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50,056,832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4"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386,577,41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9.82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404,077,41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9.82</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385,803,21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9.82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403,303,21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9.82</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774,200.00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774,200.00</w:t>
            </w: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-5,005,683.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3"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5,005,683.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-5,005,683.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473,152,30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9,127,315.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76,143,040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628,422,66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3.32</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法定代表人：贾全臣</w:t>
        <w:tab/>
      </w:r>
      <w:r>
        <w:rPr>
          <w:spacing w:val="-1"/>
        </w:rPr>
        <w:t>主管会计工作负责人：王艳强</w:t>
        <w:tab/>
      </w:r>
      <w:r>
        <w:rPr/>
        <w:t>会计机构负责人：刘涛</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0"/>
        <w:jc w:val="left"/>
      </w:pPr>
      <w:r>
        <w:rPr>
          <w:spacing w:val="-3"/>
        </w:rPr>
        <w:t>青岛市恒顺电气股份有限公司（以下简称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）是由青岛恒顺电器有限公司整体变更方式设立的股份有限公司。</w:t>
      </w:r>
      <w:r>
        <w:rPr>
          <w:spacing w:val="-50"/>
        </w:rPr>
        <w:t> </w:t>
      </w:r>
      <w:r>
        <w:rPr>
          <w:spacing w:val="-50"/>
        </w:rPr>
      </w:r>
      <w:r>
        <w:rPr/>
        <w:t>经中国证券监督管理委员会证监许可〔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500</w:t>
      </w:r>
      <w:r>
        <w:rPr/>
        <w:t>号文核准，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)1,750</w:t>
      </w:r>
      <w:r>
        <w:rPr/>
        <w:t>万股，发 </w:t>
      </w:r>
      <w:r>
        <w:rPr>
          <w:spacing w:val="-2"/>
        </w:rPr>
        <w:t>行后公司注册资本变更为</w:t>
      </w:r>
      <w:r>
        <w:rPr>
          <w:rFonts w:ascii="Times New Roman" w:hAnsi="Times New Roman" w:cs="Times New Roman" w:eastAsia="Times New Roman" w:hint="default"/>
          <w:spacing w:val="-2"/>
        </w:rPr>
        <w:t>7,000.00</w:t>
      </w:r>
      <w:r>
        <w:rPr>
          <w:spacing w:val="-2"/>
        </w:rPr>
        <w:t>万元人民币，并于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日在青岛市工商行政管理局办理了工商变更登记手续，取得</w:t>
      </w:r>
      <w:r>
        <w:rPr>
          <w:spacing w:val="-54"/>
        </w:rPr>
        <w:t> </w:t>
      </w:r>
      <w:r>
        <w:rPr>
          <w:spacing w:val="-54"/>
        </w:rPr>
      </w:r>
      <w:r>
        <w:rPr/>
        <w:t>注册号为</w:t>
      </w:r>
      <w:r>
        <w:rPr>
          <w:rFonts w:ascii="Times New Roman" w:hAnsi="Times New Roman" w:cs="Times New Roman" w:eastAsia="Times New Roman" w:hint="default"/>
        </w:rPr>
        <w:t>370214018001595</w:t>
      </w:r>
      <w:r>
        <w:rPr/>
        <w:t>的《企业法人营业执照》。公司股票已于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日在深圳证券交易所挂牌交易。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日经公司股东大会审议通过</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w:t>
      </w:r>
      <w:r>
        <w:rPr/>
        <w:t>以公司</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7,000</w:t>
      </w:r>
      <w:r>
        <w:rPr/>
        <w:t>万股为基数</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以资本公积金每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rFonts w:ascii="Times New Roman" w:hAnsi="Times New Roman" w:cs="Times New Roman" w:eastAsia="Times New Roman" w:hint="default"/>
          <w:spacing w:val="27"/>
        </w:rPr>
        <w:t> </w:t>
      </w:r>
      <w:r>
        <w:rPr/>
        <w:t>万股</w:t>
      </w:r>
      <w:r>
        <w:rPr>
          <w:rFonts w:ascii="Times New Roman" w:hAnsi="Times New Roman" w:cs="Times New Roman" w:eastAsia="Times New Roman" w:hint="default"/>
        </w:rPr>
        <w:t>,</w:t>
      </w:r>
      <w:r>
        <w:rPr/>
        <w:t>转增股本后公司注册资本人民币</w:t>
      </w:r>
      <w:r>
        <w:rPr>
          <w:rFonts w:ascii="Times New Roman" w:hAnsi="Times New Roman" w:cs="Times New Roman" w:eastAsia="Times New Roman" w:hint="default"/>
        </w:rPr>
        <w:t>14,000.00</w:t>
      </w:r>
      <w:r>
        <w:rPr/>
        <w:t>万元，股份总数</w:t>
      </w:r>
      <w:r>
        <w:rPr>
          <w:rFonts w:ascii="Times New Roman" w:hAnsi="Times New Roman" w:cs="Times New Roman" w:eastAsia="Times New Roman" w:hint="default"/>
        </w:rPr>
        <w:t>14,000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 </w:t>
      </w:r>
      <w:r>
        <w:rPr>
          <w:spacing w:val="-2"/>
        </w:rPr>
        <w:t>公司经营范围：电力系统发供电设备设计、制造、安装、调试，批发、零售：电力材料，货物及技术进出口（以上范围需经</w:t>
      </w:r>
      <w:r>
        <w:rPr>
          <w:spacing w:val="-68"/>
        </w:rPr>
        <w:t> </w:t>
      </w:r>
      <w:r>
        <w:rPr>
          <w:spacing w:val="-68"/>
        </w:rPr>
      </w:r>
      <w:r>
        <w:rPr/>
        <w:t>许可经营的，须凭许可证经营）。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576"/>
        <w:jc w:val="left"/>
      </w:pPr>
      <w:r>
        <w:rPr/>
        <w:t>公司以持续经营为基础，根据实际发生的交易和事项，按照《企业会计准则</w:t>
      </w:r>
      <w:r>
        <w:rPr>
          <w:rFonts w:ascii="Times New Roman" w:hAnsi="Times New Roman" w:cs="Times New Roman" w:eastAsia="Times New Roman" w:hint="default"/>
        </w:rPr>
        <w:t>——</w:t>
      </w:r>
      <w:r>
        <w:rPr/>
        <w:t>基本准则》和其他各项会计准则的 规定进行确认和计量，在此基础上编制财务报表。</w:t>
      </w:r>
    </w:p>
    <w:p>
      <w:pPr>
        <w:pStyle w:val="BodyText"/>
        <w:spacing w:line="300" w:lineRule="auto" w:before="31"/>
        <w:ind w:right="0" w:firstLine="576"/>
        <w:jc w:val="left"/>
      </w:pPr>
      <w:r>
        <w:rPr/>
        <w:t>本申报财务报表附注的披露同时也遵照了中国证监会</w:t>
      </w:r>
      <w:r>
        <w:rPr>
          <w:rFonts w:ascii="Times New Roman" w:hAnsi="Times New Roman" w:cs="Times New Roman" w:eastAsia="Times New Roman" w:hint="default"/>
        </w:rPr>
        <w:t>“</w:t>
      </w:r>
      <w:r>
        <w:rPr/>
        <w:t>证监会公告</w:t>
      </w:r>
      <w:r>
        <w:rPr>
          <w:rFonts w:ascii="Times New Roman" w:hAnsi="Times New Roman" w:cs="Times New Roman" w:eastAsia="Times New Roman" w:hint="default"/>
        </w:rPr>
        <w:t>[2010]1</w:t>
      </w:r>
      <w:r>
        <w:rPr/>
        <w:t>号</w:t>
      </w:r>
      <w:r>
        <w:rPr>
          <w:rFonts w:ascii="Times New Roman" w:hAnsi="Times New Roman" w:cs="Times New Roman" w:eastAsia="Times New Roman" w:hint="default"/>
        </w:rPr>
        <w:t>”</w:t>
      </w:r>
      <w:r>
        <w:rPr/>
        <w:t>文件《公开发行证券的公司信息披露编 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年修订）的规定。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4"/>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288"/>
        <w:jc w:val="both"/>
      </w:pPr>
      <w:r>
        <w:rPr>
          <w:spacing w:val="-1"/>
        </w:rPr>
        <w:t>公司编制的财务报表符合企业会计准则体系的要求，采用的会计政策和会计估计符合公司的实际情况，真实、完整地反</w:t>
      </w:r>
      <w:r>
        <w:rPr/>
        <w:t> </w:t>
      </w:r>
      <w:r>
        <w:rPr>
          <w:spacing w:val="-2"/>
        </w:rPr>
        <w:t>映了公司的财务状况、经营成果和现金流量等有关信息。公司董事会全体成员和公司管理层愿就财务报表的合法性、公允性</w:t>
      </w:r>
      <w:r>
        <w:rPr>
          <w:spacing w:val="-63"/>
        </w:rPr>
        <w:t> </w:t>
      </w:r>
      <w:r>
        <w:rPr>
          <w:spacing w:val="-63"/>
        </w:rPr>
      </w:r>
      <w:r>
        <w:rPr/>
        <w:t>和完整性承担个别及连带法律责任。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453" w:right="0"/>
        <w:jc w:val="left"/>
        <w:rPr>
          <w:rFonts w:ascii="Microsoft JhengHei" w:hAnsi="Microsoft JhengHei" w:cs="Microsoft JhengHei" w:eastAsia="Microsoft JhengHei" w:hint="default"/>
        </w:rPr>
      </w:pPr>
      <w:r>
        <w:rPr/>
        <w:t>公司以公历年度作为会计年度</w:t>
      </w:r>
      <w:r>
        <w:rPr>
          <w:rFonts w:ascii="Times New Roman" w:hAnsi="Times New Roman" w:cs="Times New Roman" w:eastAsia="Times New Roman" w:hint="default"/>
        </w:rPr>
        <w:t>,</w:t>
      </w:r>
      <w:r>
        <w:rPr/>
        <w:t>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Microsoft JhengHei" w:hAnsi="Microsoft JhengHei" w:cs="Microsoft JhengHei" w:eastAsia="Microsoft JhengHei" w:hint="default"/>
        </w:rPr>
        <w:t>｡</w:t>
      </w:r>
    </w:p>
    <w:p>
      <w:pPr>
        <w:spacing w:after="0" w:line="240" w:lineRule="auto"/>
        <w:jc w:val="left"/>
        <w:rPr>
          <w:rFonts w:ascii="Microsoft JhengHei" w:hAnsi="Microsoft JhengHei" w:cs="Microsoft JhengHei" w:eastAsia="Microsoft JhengHei" w:hint="default"/>
        </w:rPr>
        <w:sectPr>
          <w:pgSz w:w="11910" w:h="16840"/>
          <w:pgMar w:header="745" w:footer="980" w:top="1060" w:bottom="1160" w:left="980" w:right="940"/>
        </w:sectPr>
      </w:pPr>
    </w:p>
    <w:p>
      <w:pPr>
        <w:spacing w:line="240" w:lineRule="auto" w:before="0"/>
        <w:rPr>
          <w:rFonts w:ascii="Microsoft JhengHei" w:hAnsi="Microsoft JhengHei" w:cs="Microsoft JhengHei" w:eastAsia="Microsoft JhengHei" w:hint="default"/>
          <w:sz w:val="20"/>
          <w:szCs w:val="20"/>
        </w:rPr>
      </w:pPr>
    </w:p>
    <w:p>
      <w:pPr>
        <w:spacing w:line="240" w:lineRule="auto" w:before="0"/>
        <w:rPr>
          <w:rFonts w:ascii="Microsoft JhengHei" w:hAnsi="Microsoft JhengHei" w:cs="Microsoft JhengHei" w:eastAsia="Microsoft JhengHei" w:hint="default"/>
          <w:sz w:val="20"/>
          <w:szCs w:val="20"/>
        </w:rPr>
      </w:pPr>
    </w:p>
    <w:p>
      <w:pPr>
        <w:spacing w:line="240" w:lineRule="auto" w:before="14"/>
        <w:rPr>
          <w:rFonts w:ascii="Microsoft JhengHei" w:hAnsi="Microsoft JhengHei" w:cs="Microsoft JhengHei" w:eastAsia="Microsoft JhengHei" w:hint="default"/>
          <w:sz w:val="13"/>
          <w:szCs w:val="13"/>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453" w:right="0"/>
        <w:jc w:val="left"/>
        <w:rPr>
          <w:rFonts w:ascii="Microsoft JhengHei" w:hAnsi="Microsoft JhengHei" w:cs="Microsoft JhengHei" w:eastAsia="Microsoft JhengHei" w:hint="default"/>
        </w:rPr>
      </w:pPr>
      <w:r>
        <w:rPr/>
        <w:t>公司以人民币为记账本位币</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0"/>
        <w:rPr>
          <w:rFonts w:ascii="Microsoft JhengHei" w:hAnsi="Microsoft JhengHei" w:cs="Microsoft JhengHei" w:eastAsia="Microsoft JhengHei" w:hint="default"/>
          <w:sz w:val="18"/>
          <w:szCs w:val="18"/>
        </w:rPr>
      </w:pPr>
    </w:p>
    <w:p>
      <w:pPr>
        <w:spacing w:line="240" w:lineRule="auto" w:before="16"/>
        <w:rPr>
          <w:rFonts w:ascii="Microsoft JhengHei" w:hAnsi="Microsoft JhengHei" w:cs="Microsoft JhengHei" w:eastAsia="Microsoft JhengHei"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3" w:firstLine="444"/>
        <w:jc w:val="both"/>
      </w:pPr>
      <w:r>
        <w:rPr/>
        <w:t>同一控制下的企业合并中，合并方以支付现金、转让非现金资产或承担债务方式作为合并对价的，在合并日按照取得 </w:t>
      </w:r>
      <w:r>
        <w:rPr>
          <w:spacing w:val="-2"/>
        </w:rPr>
        <w:t>被合并方所有者权益账面价值的份额作为长期股权投资的初始投资成本。长期股权投资初始投资成本与支付的现金、转让的</w:t>
      </w:r>
      <w:r>
        <w:rPr>
          <w:spacing w:val="-64"/>
        </w:rPr>
        <w:t> </w:t>
      </w:r>
      <w:r>
        <w:rPr>
          <w:spacing w:val="-64"/>
        </w:rPr>
      </w:r>
      <w:r>
        <w:rPr/>
        <w:t>非现金资产以及所承担债务账面价值之间的差额，调整资本公积；资本公积不足冲减的，调整留存收益。</w:t>
      </w:r>
    </w:p>
    <w:p>
      <w:pPr>
        <w:pStyle w:val="BodyText"/>
        <w:spacing w:line="316" w:lineRule="auto" w:before="19"/>
        <w:ind w:right="150" w:firstLine="420"/>
        <w:jc w:val="both"/>
      </w:pPr>
      <w:r>
        <w:rPr/>
        <w:t>合并方以发行权益性证券作为合并对价的，在合并日按照取得被合并方所有者权益账面价值的份额作为长期股权投资 </w:t>
      </w:r>
      <w:r>
        <w:rPr>
          <w:spacing w:val="-2"/>
        </w:rPr>
        <w:t>的初始投资成本。按照发行股份的面值总额作为股本，长期股权投资初始投资成本与所发行股份面值总额之间的差额，调整</w:t>
      </w:r>
      <w:r>
        <w:rPr>
          <w:spacing w:val="-63"/>
        </w:rPr>
        <w:t> </w:t>
      </w:r>
      <w:r>
        <w:rPr>
          <w:spacing w:val="-63"/>
        </w:rPr>
      </w:r>
      <w:r>
        <w:rPr/>
        <w:t>资本公积；资本公积不足冲减的，调整留存收益。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1" w:firstLine="504"/>
        <w:jc w:val="both"/>
      </w:pPr>
      <w:r>
        <w:rPr>
          <w:spacing w:val="-1"/>
        </w:rPr>
        <w:t>非同一控制下的企业合并中，购买方在购买日按照《企业会计准则第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企业合并》确定的合并成本作为长期股</w:t>
      </w:r>
      <w:r>
        <w:rPr/>
        <w:t> 权投资的初始投资成本。</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2"/>
        <w:rPr>
          <w:rFonts w:ascii="宋体" w:hAnsi="宋体" w:cs="宋体" w:eastAsia="宋体" w:hint="default"/>
          <w:b/>
          <w:bCs/>
          <w:sz w:val="22"/>
          <w:szCs w:val="22"/>
        </w:rPr>
      </w:pPr>
    </w:p>
    <w:p>
      <w:pPr>
        <w:pStyle w:val="BodyText"/>
        <w:spacing w:line="300" w:lineRule="auto" w:before="44"/>
        <w:ind w:left="573" w:right="893"/>
        <w:jc w:val="left"/>
      </w:pPr>
      <w:r>
        <w:rPr/>
        <w:t>（</w:t>
      </w:r>
      <w:r>
        <w:rPr>
          <w:rFonts w:ascii="Times New Roman" w:hAnsi="Times New Roman" w:cs="Times New Roman" w:eastAsia="Times New Roman" w:hint="default"/>
        </w:rPr>
        <w:t>1</w:t>
      </w:r>
      <w:r>
        <w:rPr/>
        <w:t>）合并报表编制的依据、合并范围的确定原则 公司合并会计报表系根据《企业会计准则第</w:t>
      </w:r>
      <w:r>
        <w:rPr>
          <w:rFonts w:ascii="Times New Roman" w:hAnsi="Times New Roman" w:cs="Times New Roman" w:eastAsia="Times New Roman" w:hint="default"/>
        </w:rPr>
        <w:t>33</w:t>
      </w:r>
      <w:r>
        <w:rPr/>
        <w:t>号－合并财务报表》规定编制。 公司合并财务报表的合并范围以控制为基础加以确定。纳入公司合并会计报表编制范围的子公司条件如下：</w:t>
      </w:r>
    </w:p>
    <w:p>
      <w:pPr>
        <w:pStyle w:val="BodyText"/>
        <w:spacing w:line="240" w:lineRule="auto" w:before="31"/>
        <w:ind w:left="573" w:right="0"/>
        <w:jc w:val="left"/>
      </w:pPr>
      <w:r>
        <w:rPr/>
        <w:t>①母公司直接或间接拥有其半数以上权益性资本的被投资企业；</w:t>
      </w:r>
    </w:p>
    <w:p>
      <w:pPr>
        <w:pStyle w:val="BodyText"/>
        <w:spacing w:line="240" w:lineRule="auto" w:before="76"/>
        <w:ind w:left="573" w:right="0"/>
        <w:jc w:val="left"/>
      </w:pPr>
      <w:r>
        <w:rPr/>
        <w:t>②通过与被投资企业其他投资者达成协议，持有被投资企业半数以上表决权；</w:t>
      </w:r>
    </w:p>
    <w:p>
      <w:pPr>
        <w:pStyle w:val="BodyText"/>
        <w:spacing w:line="240" w:lineRule="auto" w:before="77"/>
        <w:ind w:left="573" w:right="0"/>
        <w:jc w:val="left"/>
      </w:pPr>
      <w:r>
        <w:rPr/>
        <w:t>③根据章程或协议，有权控制企业的财务和经营政策，有权任免董事会等类似权力机构半数以上成员；</w:t>
      </w:r>
    </w:p>
    <w:p>
      <w:pPr>
        <w:pStyle w:val="BodyText"/>
        <w:spacing w:line="240" w:lineRule="auto" w:before="76"/>
        <w:ind w:left="573" w:right="0"/>
        <w:jc w:val="left"/>
      </w:pPr>
      <w:r>
        <w:rPr/>
        <w:t>④</w:t>
      </w:r>
      <w:r>
        <w:rPr>
          <w:spacing w:val="-18"/>
        </w:rPr>
        <w:t> </w:t>
      </w:r>
      <w:r>
        <w:rPr/>
        <w:t>在公司董事会或类似权力机构会议上有半数以上投票权。</w:t>
      </w:r>
    </w:p>
    <w:p>
      <w:pPr>
        <w:pStyle w:val="BodyText"/>
        <w:spacing w:line="300" w:lineRule="auto" w:before="76"/>
        <w:ind w:left="573" w:right="0"/>
        <w:jc w:val="left"/>
      </w:pPr>
      <w:r>
        <w:rPr/>
        <w:t>（</w:t>
      </w:r>
      <w:r>
        <w:rPr>
          <w:rFonts w:ascii="Times New Roman" w:hAnsi="Times New Roman" w:cs="Times New Roman" w:eastAsia="Times New Roman" w:hint="default"/>
        </w:rPr>
        <w:t>2</w:t>
      </w:r>
      <w:r>
        <w:rPr/>
        <w:t>）合并会计报表的编制方法 当公司有权决定一个实体的财务和经营政策，并能据以从该实体的经营活动中获取利益，即被视为对该实体拥有控制</w:t>
      </w:r>
    </w:p>
    <w:p>
      <w:pPr>
        <w:pStyle w:val="BodyText"/>
        <w:spacing w:line="240" w:lineRule="auto" w:before="31"/>
        <w:ind w:right="0"/>
        <w:jc w:val="left"/>
      </w:pPr>
      <w:r>
        <w:rPr/>
        <w:t>权。</w:t>
      </w:r>
    </w:p>
    <w:p>
      <w:pPr>
        <w:pStyle w:val="BodyText"/>
        <w:spacing w:line="240" w:lineRule="auto" w:before="76"/>
        <w:ind w:left="573" w:right="0"/>
        <w:jc w:val="left"/>
      </w:pPr>
      <w:r>
        <w:rPr/>
        <w:t>收购或出售的非同一控制下的子公司（根据集团重组而进行的除外）的业绩，自收购生效日期起计入合并利润表内，</w:t>
      </w:r>
    </w:p>
    <w:p>
      <w:pPr>
        <w:pStyle w:val="BodyText"/>
        <w:spacing w:line="316" w:lineRule="auto" w:before="76"/>
        <w:ind w:right="0"/>
        <w:jc w:val="left"/>
      </w:pPr>
      <w:r>
        <w:rPr>
          <w:spacing w:val="-2"/>
        </w:rPr>
        <w:t>或计算至出售生效日期；公司在购买日编制合并资产负债表时，对于被购买方可辨认资产和负债按照合并中确定的公允价值</w:t>
      </w:r>
      <w:r>
        <w:rPr>
          <w:spacing w:val="-64"/>
        </w:rPr>
        <w:t> </w:t>
      </w:r>
      <w:r>
        <w:rPr>
          <w:spacing w:val="-64"/>
        </w:rPr>
      </w:r>
      <w:r>
        <w:rPr/>
        <w:t>列示。</w:t>
      </w:r>
    </w:p>
    <w:p>
      <w:pPr>
        <w:pStyle w:val="BodyText"/>
        <w:spacing w:line="240" w:lineRule="auto" w:before="18"/>
        <w:ind w:left="573" w:right="0"/>
        <w:jc w:val="left"/>
      </w:pPr>
      <w:r>
        <w:rPr/>
        <w:t>收购同一控制下的子公司（根据集团重组而进行的除外）的业绩，合并利润表包括参与合并各方自合并当期期初至合</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并日所发生的收入、费用和利润。被合并方在合并前实现的净利润，应当在合并利润表中单列项目反映。合并现金流量表应</w:t>
      </w:r>
      <w:r>
        <w:rPr>
          <w:spacing w:val="-65"/>
        </w:rPr>
        <w:t> </w:t>
      </w:r>
      <w:r>
        <w:rPr>
          <w:spacing w:val="-65"/>
        </w:rPr>
      </w:r>
      <w:r>
        <w:rPr/>
        <w:t>当包括参与合并各方自合并当期期初至合并日的现金流量。</w:t>
      </w:r>
    </w:p>
    <w:p>
      <w:pPr>
        <w:pStyle w:val="BodyText"/>
        <w:spacing w:line="316" w:lineRule="auto" w:before="17"/>
        <w:ind w:right="0" w:firstLine="420"/>
        <w:jc w:val="left"/>
      </w:pPr>
      <w:r>
        <w:rPr/>
        <w:t>对子公司的长期股权投资，在编制合并报表时按照权益法进行调整，以取得投资时被投资单位各项可辨认资产等的公 允价值为基础，对被投资单位的净损益进行调整后进行合并。</w:t>
      </w:r>
    </w:p>
    <w:p>
      <w:pPr>
        <w:pStyle w:val="BodyText"/>
        <w:spacing w:line="316" w:lineRule="auto" w:before="19"/>
        <w:ind w:left="573" w:right="353"/>
        <w:jc w:val="left"/>
      </w:pPr>
      <w:r>
        <w:rPr/>
        <w:t>子公司采用的会计政策与公司不一致的，如有必要，公司对子公司的财务报表按公司所采用的会计政策予以调整。 合并报表范围内的公司（实体）之间的一切交易、余额及收支，均在编制合并会计报表时予以抵销。 少数股东在已合并子公司中拥有的当期净损益在合并会计报表中单独列示。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288"/>
        <w:jc w:val="left"/>
      </w:pPr>
      <w:r>
        <w:rPr>
          <w:spacing w:val="-1"/>
        </w:rPr>
        <w:t>现金流量表中的现金是是指公司库存现金以及可以随时用于支付的存款。现金等价物，是指公司持有的期限短、流动性</w:t>
      </w:r>
      <w:r>
        <w:rPr/>
        <w:t> 强、易于转换为已知金额现金、价值变动风险很小的投资。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420"/>
        <w:jc w:val="left"/>
      </w:pPr>
      <w:r>
        <w:rPr>
          <w:rFonts w:ascii="Times New Roman" w:hAnsi="Times New Roman" w:cs="Times New Roman" w:eastAsia="Times New Roman" w:hint="default"/>
          <w:spacing w:val="-2"/>
        </w:rPr>
        <w:t>1</w:t>
      </w:r>
      <w:r>
        <w:rPr>
          <w:spacing w:val="-2"/>
        </w:rPr>
        <w:t>）外币交易在初始确认时，采用交易发生日的即期汇率将外币金额折算为记账本位币金额。公司在资产负债表日，按</w:t>
      </w:r>
      <w:r>
        <w:rPr/>
        <w:t> 照下列规定对外币货币性项目和外币非货币性项目进行处理：</w:t>
      </w:r>
    </w:p>
    <w:p>
      <w:pPr>
        <w:pStyle w:val="BodyText"/>
        <w:spacing w:line="316" w:lineRule="auto" w:before="31"/>
        <w:ind w:right="133" w:firstLine="420"/>
        <w:jc w:val="left"/>
      </w:pPr>
      <w:r>
        <w:rPr/>
        <w:t>①</w:t>
      </w:r>
      <w:r>
        <w:rPr>
          <w:spacing w:val="-49"/>
        </w:rPr>
        <w:t> </w:t>
      </w:r>
      <w:r>
        <w:rPr/>
        <w:t>外币货币性项目，采用资产负债表日即期汇率折算。因资产负债表日即期汇率与初始确认时或者前一资产负债表日</w:t>
      </w:r>
      <w:r>
        <w:rPr/>
        <w:t> 即期汇率不同而产生的汇兑差额，计入当期损益。</w:t>
      </w:r>
    </w:p>
    <w:p>
      <w:pPr>
        <w:pStyle w:val="BodyText"/>
        <w:spacing w:line="240" w:lineRule="auto" w:before="19"/>
        <w:ind w:left="573" w:right="0"/>
        <w:jc w:val="left"/>
      </w:pPr>
      <w:r>
        <w:rPr/>
        <w:t>②</w:t>
      </w:r>
      <w:r>
        <w:rPr>
          <w:spacing w:val="-18"/>
        </w:rPr>
        <w:t> </w:t>
      </w:r>
      <w:r>
        <w:rPr/>
        <w:t>以历史成本计量的外币非货币性项目，仍采用交易发生日的即期汇率折算，不改变其记账本位币金额。</w:t>
      </w:r>
    </w:p>
    <w:p>
      <w:pPr>
        <w:pStyle w:val="BodyText"/>
        <w:spacing w:line="316" w:lineRule="auto" w:before="76"/>
        <w:ind w:right="137" w:firstLine="420"/>
        <w:jc w:val="left"/>
      </w:pPr>
      <w:r>
        <w:rPr/>
        <w:t>③</w:t>
      </w:r>
      <w:r>
        <w:rPr>
          <w:spacing w:val="-53"/>
        </w:rPr>
        <w:t> </w:t>
      </w:r>
      <w:r>
        <w:rPr/>
        <w:t>货币性项目，是指公司持有的货币资金和将以固定或可确定的金额收取的资产或者偿付的负债。非货币性项目，是</w:t>
      </w:r>
      <w:r>
        <w:rPr/>
        <w:t> 指货币性项目以外的项目。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rFonts w:ascii="Times New Roman" w:hAnsi="Times New Roman" w:cs="Times New Roman" w:eastAsia="Times New Roman" w:hint="default"/>
        </w:rPr>
        <w:t>2</w:t>
      </w:r>
      <w:r>
        <w:rPr/>
        <w:t>）公司对境外经营的财务报表进行折算时，遵循下列规定：</w:t>
      </w:r>
    </w:p>
    <w:p>
      <w:pPr>
        <w:pStyle w:val="BodyText"/>
        <w:spacing w:line="300" w:lineRule="auto" w:before="63"/>
        <w:ind w:right="137" w:firstLine="420"/>
        <w:jc w:val="left"/>
      </w:pPr>
      <w:r>
        <w:rPr/>
        <w:t>①</w:t>
      </w:r>
      <w:r>
        <w:rPr>
          <w:spacing w:val="-33"/>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 他项目采用发生时的即期汇率折算。</w:t>
      </w:r>
    </w:p>
    <w:p>
      <w:pPr>
        <w:pStyle w:val="BodyText"/>
        <w:spacing w:line="316" w:lineRule="auto" w:before="31"/>
        <w:ind w:left="573" w:right="821"/>
        <w:jc w:val="left"/>
      </w:pPr>
      <w:r>
        <w:rPr/>
        <w:t>②</w:t>
      </w:r>
      <w:r>
        <w:rPr>
          <w:spacing w:val="-18"/>
        </w:rPr>
        <w:t> </w:t>
      </w:r>
      <w:r>
        <w:rPr/>
        <w:t>利润表中的收入和费用项目，采用按照系统合理的方法确定的、与交易发生日即期汇率近似的汇率折算。</w:t>
      </w:r>
      <w:r>
        <w:rPr/>
        <w:t> 按照上述①、②折算产生的外币财务报表折算差额，在资产负债表中所有者权益项目下单独列示。</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53" w:right="0"/>
        <w:jc w:val="left"/>
      </w:pPr>
      <w:r>
        <w:rPr/>
        <w:t>金融资产和金融负债的确认依据为：公司已经成为金融工具合同的一方。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504"/>
        <w:jc w:val="left"/>
      </w:pPr>
      <w:r>
        <w:rPr>
          <w:spacing w:val="-3"/>
        </w:rPr>
        <w:t>金融资产和金融负债的分类方法：金融资产在初始确认时划分为四类：交易性金融资产、持有至到期投资、应收款项、</w:t>
      </w:r>
      <w:r>
        <w:rPr/>
        <w:t> 可供出售金融资产。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157" w:right="180" w:firstLine="269"/>
        <w:jc w:val="left"/>
        <w:rPr>
          <w:rFonts w:ascii="Microsoft JhengHei" w:hAnsi="Microsoft JhengHei" w:cs="Microsoft JhengHei" w:eastAsia="Microsoft JhengHei" w:hint="default"/>
        </w:rPr>
      </w:pPr>
      <w:r>
        <w:rPr/>
        <w:t>金融负债终止确认</w:t>
      </w:r>
      <w:r>
        <w:rPr>
          <w:rFonts w:ascii="Times New Roman" w:hAnsi="Times New Roman" w:cs="Times New Roman" w:eastAsia="Times New Roman" w:hint="default"/>
        </w:rPr>
        <w:t>,</w:t>
      </w:r>
      <w:r>
        <w:rPr/>
        <w:t>是指将金融负债从企业的账户和资产负债表内予以转销</w:t>
      </w:r>
      <w:r>
        <w:rPr>
          <w:rFonts w:ascii="Microsoft JhengHei" w:hAnsi="Microsoft JhengHei" w:cs="Microsoft JhengHei" w:eastAsia="Microsoft JhengHei" w:hint="default"/>
        </w:rPr>
        <w:t>｡金融工具确认和计量准则规定</w:t>
      </w:r>
      <w:r>
        <w:rPr>
          <w:rFonts w:ascii="Times New Roman" w:hAnsi="Times New Roman" w:cs="Times New Roman" w:eastAsia="Times New Roman" w:hint="default"/>
        </w:rPr>
        <w:t>,</w:t>
      </w:r>
      <w:r>
        <w:rPr/>
        <w:t>金融负债的现 时义务全部或部分已经解除的</w:t>
      </w:r>
      <w:r>
        <w:rPr>
          <w:rFonts w:ascii="Times New Roman" w:hAnsi="Times New Roman" w:cs="Times New Roman" w:eastAsia="Times New Roman" w:hint="default"/>
        </w:rPr>
        <w:t>,</w:t>
      </w:r>
      <w:r>
        <w:rPr/>
        <w:t>才能终止确认该金融负债或其一部分</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0" w:firstLine="360"/>
        <w:jc w:val="left"/>
        <w:rPr>
          <w:rFonts w:ascii="Microsoft JhengHei" w:hAnsi="Microsoft JhengHei" w:cs="Microsoft JhengHei" w:eastAsia="Microsoft JhengHei" w:hint="default"/>
        </w:rPr>
      </w:pPr>
      <w:r>
        <w:rPr/>
        <w:t>存在活跃市场的金融工具</w:t>
      </w:r>
      <w:r>
        <w:rPr>
          <w:rFonts w:ascii="Times New Roman" w:hAnsi="Times New Roman" w:cs="Times New Roman" w:eastAsia="Times New Roman" w:hint="default"/>
        </w:rPr>
        <w:t>,</w:t>
      </w:r>
      <w:r>
        <w:rPr/>
        <w:t>以活跃市场中的报价确定其公允价值</w:t>
      </w:r>
      <w:r>
        <w:rPr>
          <w:rFonts w:ascii="Microsoft JhengHei" w:hAnsi="Microsoft JhengHei" w:cs="Microsoft JhengHei" w:eastAsia="Microsoft JhengHei" w:hint="default"/>
        </w:rPr>
        <w:t>｡</w:t>
      </w:r>
      <w:r>
        <w:rPr/>
        <w:t>不存在活跃市场的金融工具</w:t>
      </w:r>
      <w:r>
        <w:rPr>
          <w:rFonts w:ascii="Times New Roman" w:hAnsi="Times New Roman" w:cs="Times New Roman" w:eastAsia="Times New Roman" w:hint="default"/>
        </w:rPr>
        <w:t>,</w:t>
      </w:r>
      <w:r>
        <w:rPr/>
        <w:t>采用估值技术确定其公允 价值</w:t>
      </w:r>
      <w:r>
        <w:rPr>
          <w:rFonts w:ascii="Microsoft JhengHei" w:hAnsi="Microsoft JhengHei" w:cs="Microsoft JhengHei" w:eastAsia="Microsoft JhengHei" w:hint="default"/>
        </w:rPr>
        <w:t>｡</w:t>
      </w:r>
      <w:r>
        <w:rPr/>
        <w:t>估值技术包括参考熟悉情况并自愿交易的各方最近进行的市场交易中使用的价格</w:t>
      </w:r>
      <w:r>
        <w:rPr>
          <w:rFonts w:ascii="Microsoft JhengHei" w:hAnsi="Microsoft JhengHei" w:cs="Microsoft JhengHei" w:eastAsia="Microsoft JhengHei" w:hint="default"/>
        </w:rPr>
        <w:t>､</w:t>
      </w:r>
      <w:r>
        <w:rPr/>
        <w:t>参照实质上相同的其他金融资产的</w:t>
      </w:r>
      <w:r>
        <w:rPr>
          <w:spacing w:val="1"/>
        </w:rPr>
        <w:t> </w:t>
      </w:r>
      <w:r>
        <w:rPr>
          <w:spacing w:val="-1"/>
        </w:rPr>
        <w:t>当前公允价值</w:t>
      </w:r>
      <w:r>
        <w:rPr>
          <w:rFonts w:ascii="Microsoft JhengHei" w:hAnsi="Microsoft JhengHei" w:cs="Microsoft JhengHei" w:eastAsia="Microsoft JhengHei" w:hint="default"/>
          <w:spacing w:val="-1"/>
        </w:rPr>
        <w:t>､</w:t>
      </w:r>
      <w:r>
        <w:rPr>
          <w:spacing w:val="-1"/>
        </w:rPr>
        <w:t>现金流量折现法等</w:t>
      </w:r>
      <w:r>
        <w:rPr>
          <w:rFonts w:ascii="Microsoft JhengHei" w:hAnsi="Microsoft JhengHei" w:cs="Microsoft JhengHei" w:eastAsia="Microsoft JhengHei" w:hint="default"/>
          <w:spacing w:val="-1"/>
        </w:rPr>
        <w:t>｡</w:t>
      </w:r>
      <w:r>
        <w:rPr>
          <w:spacing w:val="-1"/>
        </w:rPr>
        <w:t>采用估值技术时</w:t>
      </w:r>
      <w:r>
        <w:rPr>
          <w:rFonts w:ascii="Times New Roman" w:hAnsi="Times New Roman" w:cs="Times New Roman" w:eastAsia="Times New Roman" w:hint="default"/>
          <w:spacing w:val="-1"/>
        </w:rPr>
        <w:t>,</w:t>
      </w:r>
      <w:r>
        <w:rPr>
          <w:spacing w:val="-1"/>
        </w:rPr>
        <w:t>尽可能最大程度使用可观察到的市场参数</w:t>
      </w:r>
      <w:r>
        <w:rPr>
          <w:rFonts w:ascii="Times New Roman" w:hAnsi="Times New Roman" w:cs="Times New Roman" w:eastAsia="Times New Roman" w:hint="default"/>
          <w:spacing w:val="-1"/>
        </w:rPr>
        <w:t>,</w:t>
      </w:r>
      <w:r>
        <w:rPr>
          <w:spacing w:val="-1"/>
        </w:rPr>
        <w:t>减少使用与本公司特定相关</w:t>
      </w:r>
      <w:r>
        <w:rPr>
          <w:spacing w:val="53"/>
        </w:rPr>
        <w:t> </w:t>
      </w:r>
      <w:r>
        <w:rPr/>
        <w:t>的参数</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公司在资产负债表日对以公允价值计量且其变动计入当期损益以外的金融资产的账面价值进行检查，有客观证据表明该</w:t>
      </w:r>
      <w:r>
        <w:rPr/>
        <w:t> 金融资产发生减值的，计提减值准备。</w:t>
      </w:r>
    </w:p>
    <w:p>
      <w:pPr>
        <w:pStyle w:val="BodyText"/>
        <w:spacing w:line="240" w:lineRule="auto" w:before="19"/>
        <w:ind w:left="513" w:right="0"/>
        <w:jc w:val="left"/>
      </w:pPr>
      <w:r>
        <w:rPr/>
        <w:t>各类金融资产减值准备计提方法如下：</w:t>
      </w:r>
    </w:p>
    <w:p>
      <w:pPr>
        <w:pStyle w:val="BodyText"/>
        <w:spacing w:line="316" w:lineRule="auto" w:before="76"/>
        <w:ind w:left="513" w:right="0"/>
        <w:jc w:val="left"/>
      </w:pPr>
      <w:r>
        <w:rPr/>
        <w:t>①</w:t>
      </w:r>
      <w:r>
        <w:rPr>
          <w:spacing w:val="-18"/>
        </w:rPr>
        <w:t> </w:t>
      </w:r>
      <w:r>
        <w:rPr/>
        <w:t>持有至到期投资</w:t>
      </w:r>
      <w:r>
        <w:rPr/>
        <w:t> </w:t>
      </w:r>
      <w:r>
        <w:rPr>
          <w:spacing w:val="-2"/>
        </w:rPr>
        <w:t>期末单独对其进行减值测试，有客观证据表明其发生了减值的，根据其未来现金流量现值低于其账面价值的差额，确认</w:t>
      </w:r>
    </w:p>
    <w:p>
      <w:pPr>
        <w:pStyle w:val="BodyText"/>
        <w:spacing w:line="316" w:lineRule="auto" w:before="19"/>
        <w:ind w:left="513" w:right="0" w:hanging="361"/>
        <w:jc w:val="left"/>
      </w:pPr>
      <w:r>
        <w:rPr/>
        <w:t>减值损失，计提减值准备，计入当期损益。 </w:t>
      </w:r>
      <w:r>
        <w:rPr>
          <w:spacing w:val="-2"/>
        </w:rPr>
        <w:t>如有客观证据表明该金融资产价值已恢复，且客观上与确认该损失后发生的事项有关，原确认的减值准备予以转回，计</w:t>
      </w:r>
    </w:p>
    <w:p>
      <w:pPr>
        <w:pStyle w:val="BodyText"/>
        <w:spacing w:line="240" w:lineRule="auto" w:before="19"/>
        <w:ind w:right="0"/>
        <w:jc w:val="left"/>
      </w:pPr>
      <w:r>
        <w:rPr/>
        <w:t>入当期损益；但是，该转回的账面价值不应当超过假定不计提减值准备情况下该金融资产在转回日的摊余成本。</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jc w:val="left"/>
      </w:pPr>
      <w:r>
        <w:rPr/>
        <w:t>②</w:t>
      </w:r>
      <w:r>
        <w:rPr>
          <w:spacing w:val="-18"/>
        </w:rPr>
        <w:t> </w:t>
      </w:r>
      <w:r>
        <w:rPr/>
        <w:t>可供出售金融资产</w:t>
      </w:r>
      <w:r>
        <w:rPr/>
        <w:t> </w:t>
      </w:r>
      <w:r>
        <w:rPr>
          <w:spacing w:val="-2"/>
        </w:rPr>
        <w:t>可供出售金融资产发生减值时，即使该金融资产没有终止确认，原直接计入所有者权益的因公允价值下降形成的累计损</w:t>
      </w:r>
    </w:p>
    <w:p>
      <w:pPr>
        <w:pStyle w:val="BodyText"/>
        <w:spacing w:line="316" w:lineRule="auto" w:before="17"/>
        <w:ind w:right="191"/>
        <w:jc w:val="both"/>
      </w:pPr>
      <w:r>
        <w:rPr>
          <w:spacing w:val="-2"/>
        </w:rPr>
        <w:t>失，予以转出，计入当期损益。该转出的累计损失为可供出售金融资产的初始取得成本扣除已收回本金和已摊销金额、当前</w:t>
      </w:r>
      <w:r>
        <w:rPr>
          <w:spacing w:val="-64"/>
        </w:rPr>
        <w:t> </w:t>
      </w:r>
      <w:r>
        <w:rPr>
          <w:spacing w:val="-64"/>
        </w:rPr>
      </w:r>
      <w:r>
        <w:rPr/>
        <w:t>公允价值和原已计入损益的减值损失后的余额。</w:t>
      </w:r>
    </w:p>
    <w:p>
      <w:pPr>
        <w:pStyle w:val="BodyText"/>
        <w:spacing w:line="240" w:lineRule="auto" w:before="19"/>
        <w:ind w:left="513" w:right="0"/>
        <w:jc w:val="left"/>
      </w:pPr>
      <w:r>
        <w:rPr/>
        <w:t>金融资产发生减值后，利息收入按照确定减值损失时对未来现金流量进行折现采用的折现率作为利率计算确认。</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pStyle w:val="Heading4"/>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73" w:right="0"/>
        <w:jc w:val="left"/>
      </w:pPr>
      <w:r>
        <w:rPr/>
        <w:t>（</w:t>
      </w:r>
      <w:r>
        <w:rPr>
          <w:rFonts w:ascii="Times New Roman" w:hAnsi="Times New Roman" w:cs="Times New Roman" w:eastAsia="Times New Roman" w:hint="default"/>
        </w:rPr>
        <w:t>1</w:t>
      </w:r>
      <w:r>
        <w:rPr/>
        <w:t>）单项金额重大的应收款项坏账准备确认标准、计提方法 对于单项金额重大的应收账款、其他应收款，单独进行减值测试，根据未来现金流量现值低于其账面价值的差额，计</w:t>
      </w:r>
    </w:p>
    <w:p>
      <w:pPr>
        <w:pStyle w:val="BodyText"/>
        <w:spacing w:line="309" w:lineRule="auto" w:before="31"/>
        <w:ind w:right="107"/>
        <w:jc w:val="both"/>
      </w:pPr>
      <w:r>
        <w:rPr/>
        <w:t>提坏账准备。以后如有客观证据表明价值已恢复，且客观上与确认该损失后发生的事项有关，原确认的坏账准备予以转回， 计入当期损益。单项金额重大的应收账款、其他应收款是指单个客户金额在</w:t>
      </w:r>
      <w:r>
        <w:rPr>
          <w:rFonts w:ascii="Times New Roman" w:hAnsi="Times New Roman" w:cs="Times New Roman" w:eastAsia="Times New Roman" w:hint="default"/>
        </w:rPr>
        <w:t>100</w:t>
      </w:r>
      <w:r>
        <w:rPr/>
        <w:t>万元以上（含</w:t>
      </w:r>
      <w:r>
        <w:rPr>
          <w:rFonts w:ascii="Times New Roman" w:hAnsi="Times New Roman" w:cs="Times New Roman" w:eastAsia="Times New Roman" w:hint="default"/>
        </w:rPr>
        <w:t>100</w:t>
      </w:r>
      <w:r>
        <w:rPr/>
        <w:t>万元）且占全部应收账款、 其他应收款余额</w:t>
      </w:r>
      <w:r>
        <w:rPr>
          <w:rFonts w:ascii="Times New Roman" w:hAnsi="Times New Roman" w:cs="Times New Roman" w:eastAsia="Times New Roman" w:hint="default"/>
        </w:rPr>
        <w:t>2%</w:t>
      </w:r>
      <w:r>
        <w:rPr/>
        <w:t>以上（含</w:t>
      </w:r>
      <w:r>
        <w:rPr>
          <w:rFonts w:ascii="Times New Roman" w:hAnsi="Times New Roman" w:cs="Times New Roman" w:eastAsia="Times New Roman" w:hint="default"/>
        </w:rPr>
        <w:t>2%</w:t>
      </w:r>
      <w:r>
        <w:rPr/>
        <w:t>）的应收款项。</w:t>
      </w:r>
    </w:p>
    <w:p>
      <w:pPr>
        <w:pStyle w:val="BodyText"/>
        <w:spacing w:line="300" w:lineRule="auto" w:before="5"/>
        <w:ind w:left="573" w:right="0"/>
        <w:jc w:val="left"/>
      </w:pPr>
      <w:r>
        <w:rPr/>
        <w:t>（</w:t>
      </w:r>
      <w:r>
        <w:rPr>
          <w:rFonts w:ascii="Times New Roman" w:hAnsi="Times New Roman" w:cs="Times New Roman" w:eastAsia="Times New Roman" w:hint="default"/>
        </w:rPr>
        <w:t>2</w:t>
      </w:r>
      <w:r>
        <w:rPr/>
        <w:t>）单项金额不重大但按信用风险特征组合后该组合风险较大的应收款项坏账准备确定依据、计提方法 单项金额不重大但按客户的以往信用记录、正常付款周期、合同违约情况、客户的财务状况等信用风险特征组合后风</w:t>
      </w:r>
    </w:p>
    <w:p>
      <w:pPr>
        <w:pStyle w:val="BodyText"/>
        <w:spacing w:line="316" w:lineRule="auto" w:before="31"/>
        <w:ind w:right="193"/>
        <w:jc w:val="both"/>
      </w:pPr>
      <w:r>
        <w:rPr>
          <w:spacing w:val="-2"/>
        </w:rPr>
        <w:t>险较大的应收款项根据该组合的未来现金流量现值低于其账面价值的差额，计提坏账准备。以后如有客观证据表明该组合价</w:t>
      </w:r>
      <w:r>
        <w:rPr>
          <w:spacing w:val="-64"/>
        </w:rPr>
        <w:t> </w:t>
      </w:r>
      <w:r>
        <w:rPr>
          <w:spacing w:val="-64"/>
        </w:rPr>
      </w:r>
      <w:r>
        <w:rPr/>
        <w:t>值已恢复，且客观上与确认该损失后发生的事项有关，原确认的坏账准备予以转回，计入当期损益。</w:t>
      </w:r>
    </w:p>
    <w:p>
      <w:pPr>
        <w:pStyle w:val="BodyText"/>
        <w:spacing w:line="312" w:lineRule="auto" w:before="19"/>
        <w:ind w:right="191" w:firstLine="420"/>
        <w:jc w:val="both"/>
      </w:pPr>
      <w:r>
        <w:rPr>
          <w:spacing w:val="-2"/>
        </w:rPr>
        <w:t>（</w:t>
      </w:r>
      <w:r>
        <w:rPr>
          <w:rFonts w:ascii="Times New Roman" w:hAnsi="Times New Roman" w:cs="Times New Roman" w:eastAsia="Times New Roman" w:hint="default"/>
          <w:spacing w:val="-2"/>
        </w:rPr>
        <w:t>3</w:t>
      </w:r>
      <w:r>
        <w:rPr>
          <w:spacing w:val="-2"/>
        </w:rPr>
        <w:t>）对于单项金额非重大且按客户的以往信用记录、正常付款周期、合同违约情况、客户的财务状况等信用风险特征</w:t>
      </w:r>
      <w:r>
        <w:rPr/>
        <w:t> </w:t>
      </w:r>
      <w:r>
        <w:rPr>
          <w:spacing w:val="-2"/>
        </w:rPr>
        <w:t>组合后风险较小和经单独测试后未减值的应收账款、其他应收款以及经单独测试后未减值的应收款项组合，按账龄特征评估</w:t>
      </w:r>
      <w:r>
        <w:rPr>
          <w:spacing w:val="-64"/>
        </w:rPr>
        <w:t> </w:t>
      </w:r>
      <w:r>
        <w:rPr>
          <w:spacing w:val="-64"/>
        </w:rPr>
      </w:r>
      <w:r>
        <w:rPr>
          <w:spacing w:val="-2"/>
        </w:rPr>
        <w:t>其信用风险，采用账龄分析法，按这些应收款项在资产负债表日余额的一定比例计算确定减值损失，计提坏账准备。坏账准</w:t>
      </w:r>
      <w:r>
        <w:rPr>
          <w:spacing w:val="-64"/>
        </w:rPr>
        <w:t> </w:t>
      </w:r>
      <w:r>
        <w:rPr>
          <w:spacing w:val="-64"/>
        </w:rPr>
      </w:r>
      <w:r>
        <w:rPr/>
        <w:t>备计提比例为：</w:t>
      </w:r>
    </w:p>
    <w:p>
      <w:pPr>
        <w:spacing w:line="240" w:lineRule="auto" w:before="12"/>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4641"/>
        <w:gridCol w:w="4301"/>
      </w:tblGrid>
      <w:tr>
        <w:trPr>
          <w:trHeight w:val="350" w:hRule="exact"/>
        </w:trPr>
        <w:tc>
          <w:tcPr>
            <w:tcW w:w="4641" w:type="dxa"/>
            <w:tcBorders>
              <w:top w:val="single" w:sz="6" w:space="0" w:color="000000"/>
              <w:left w:val="nil" w:sz="6" w:space="0" w:color="auto"/>
              <w:bottom w:val="single" w:sz="8" w:space="0" w:color="000000"/>
              <w:right w:val="nil" w:sz="6" w:space="0" w:color="auto"/>
            </w:tcBorders>
          </w:tcPr>
          <w:p>
            <w:pPr>
              <w:pStyle w:val="TableParagraph"/>
              <w:tabs>
                <w:tab w:pos="443" w:val="left" w:leader="none"/>
              </w:tabs>
              <w:spacing w:line="240" w:lineRule="auto" w:before="1"/>
              <w:ind w:right="1883"/>
              <w:jc w:val="right"/>
              <w:rPr>
                <w:rFonts w:ascii="宋体" w:hAnsi="宋体" w:cs="宋体" w:eastAsia="宋体" w:hint="default"/>
                <w:sz w:val="20"/>
                <w:szCs w:val="20"/>
              </w:rPr>
            </w:pPr>
            <w:r>
              <w:rPr>
                <w:rFonts w:ascii="宋体" w:hAnsi="宋体" w:cs="宋体" w:eastAsia="宋体" w:hint="default"/>
                <w:w w:val="95"/>
                <w:sz w:val="20"/>
                <w:szCs w:val="20"/>
              </w:rPr>
              <w:t>账</w:t>
              <w:tab/>
              <w:t>龄</w:t>
            </w:r>
            <w:r>
              <w:rPr>
                <w:rFonts w:ascii="宋体" w:hAnsi="宋体" w:cs="宋体" w:eastAsia="宋体" w:hint="default"/>
                <w:sz w:val="20"/>
                <w:szCs w:val="20"/>
              </w:rPr>
            </w:r>
          </w:p>
        </w:tc>
        <w:tc>
          <w:tcPr>
            <w:tcW w:w="4301"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left="219" w:right="0"/>
              <w:jc w:val="center"/>
              <w:rPr>
                <w:rFonts w:ascii="宋体" w:hAnsi="宋体" w:cs="宋体" w:eastAsia="宋体" w:hint="default"/>
                <w:sz w:val="20"/>
                <w:szCs w:val="20"/>
              </w:rPr>
            </w:pPr>
            <w:r>
              <w:rPr>
                <w:rFonts w:ascii="宋体" w:hAnsi="宋体" w:cs="宋体" w:eastAsia="宋体" w:hint="default"/>
                <w:sz w:val="20"/>
                <w:szCs w:val="20"/>
              </w:rPr>
              <w:t>计提比例</w:t>
            </w:r>
          </w:p>
        </w:tc>
      </w:tr>
      <w:tr>
        <w:trPr>
          <w:trHeight w:val="346" w:hRule="exact"/>
        </w:trPr>
        <w:tc>
          <w:tcPr>
            <w:tcW w:w="4641"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1859"/>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年以内</w:t>
            </w:r>
            <w:r>
              <w:rPr>
                <w:rFonts w:ascii="宋体" w:hAnsi="宋体" w:cs="宋体" w:eastAsia="宋体" w:hint="default"/>
                <w:sz w:val="20"/>
                <w:szCs w:val="20"/>
              </w:rPr>
            </w:r>
          </w:p>
        </w:tc>
        <w:tc>
          <w:tcPr>
            <w:tcW w:w="4301" w:type="dxa"/>
            <w:tcBorders>
              <w:top w:val="single" w:sz="8" w:space="0" w:color="000000"/>
              <w:left w:val="nil" w:sz="6" w:space="0" w:color="auto"/>
              <w:bottom w:val="single" w:sz="8" w:space="0" w:color="000000"/>
              <w:right w:val="nil" w:sz="6" w:space="0" w:color="auto"/>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5.00%</w:t>
            </w:r>
          </w:p>
        </w:tc>
      </w:tr>
      <w:tr>
        <w:trPr>
          <w:trHeight w:val="348" w:hRule="exact"/>
        </w:trPr>
        <w:tc>
          <w:tcPr>
            <w:tcW w:w="4641"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19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年</w:t>
            </w:r>
            <w:r>
              <w:rPr>
                <w:rFonts w:ascii="宋体" w:hAnsi="宋体" w:cs="宋体" w:eastAsia="宋体" w:hint="default"/>
                <w:sz w:val="20"/>
                <w:szCs w:val="20"/>
              </w:rPr>
            </w:r>
          </w:p>
        </w:tc>
        <w:tc>
          <w:tcPr>
            <w:tcW w:w="4301"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z w:val="20"/>
              </w:rPr>
              <w:t>10.00%</w:t>
            </w:r>
          </w:p>
        </w:tc>
      </w:tr>
      <w:tr>
        <w:trPr>
          <w:trHeight w:val="346" w:hRule="exact"/>
        </w:trPr>
        <w:tc>
          <w:tcPr>
            <w:tcW w:w="4641"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19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年</w:t>
            </w:r>
            <w:r>
              <w:rPr>
                <w:rFonts w:ascii="宋体" w:hAnsi="宋体" w:cs="宋体" w:eastAsia="宋体" w:hint="default"/>
                <w:sz w:val="20"/>
                <w:szCs w:val="20"/>
              </w:rPr>
            </w:r>
          </w:p>
        </w:tc>
        <w:tc>
          <w:tcPr>
            <w:tcW w:w="4301" w:type="dxa"/>
            <w:tcBorders>
              <w:top w:val="single" w:sz="8" w:space="0" w:color="000000"/>
              <w:left w:val="nil" w:sz="6" w:space="0" w:color="auto"/>
              <w:bottom w:val="single" w:sz="8" w:space="0" w:color="000000"/>
              <w:right w:val="nil" w:sz="6" w:space="0" w:color="auto"/>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20.00%</w:t>
            </w:r>
          </w:p>
        </w:tc>
      </w:tr>
      <w:tr>
        <w:trPr>
          <w:trHeight w:val="348" w:hRule="exact"/>
        </w:trPr>
        <w:tc>
          <w:tcPr>
            <w:tcW w:w="4641"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19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3</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年</w:t>
            </w:r>
            <w:r>
              <w:rPr>
                <w:rFonts w:ascii="宋体" w:hAnsi="宋体" w:cs="宋体" w:eastAsia="宋体" w:hint="default"/>
                <w:sz w:val="20"/>
                <w:szCs w:val="20"/>
              </w:rPr>
            </w:r>
          </w:p>
        </w:tc>
        <w:tc>
          <w:tcPr>
            <w:tcW w:w="4301"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z w:val="20"/>
              </w:rPr>
              <w:t>50.00%</w:t>
            </w:r>
          </w:p>
        </w:tc>
      </w:tr>
      <w:tr>
        <w:trPr>
          <w:trHeight w:val="348" w:hRule="exact"/>
        </w:trPr>
        <w:tc>
          <w:tcPr>
            <w:tcW w:w="4641"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1859"/>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年以上</w:t>
            </w:r>
            <w:r>
              <w:rPr>
                <w:rFonts w:ascii="宋体" w:hAnsi="宋体" w:cs="宋体" w:eastAsia="宋体" w:hint="default"/>
                <w:sz w:val="20"/>
                <w:szCs w:val="20"/>
              </w:rPr>
            </w:r>
          </w:p>
        </w:tc>
        <w:tc>
          <w:tcPr>
            <w:tcW w:w="4301" w:type="dxa"/>
            <w:tcBorders>
              <w:top w:val="single" w:sz="8" w:space="0" w:color="000000"/>
              <w:left w:val="nil" w:sz="6" w:space="0" w:color="auto"/>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00" w:lineRule="auto" w:before="8"/>
        <w:ind w:right="176" w:firstLine="420"/>
        <w:jc w:val="left"/>
      </w:pPr>
      <w:r>
        <w:rPr>
          <w:spacing w:val="-1"/>
        </w:rPr>
        <w:t>（</w:t>
      </w:r>
      <w:r>
        <w:rPr>
          <w:rFonts w:ascii="Times New Roman" w:hAnsi="Times New Roman" w:cs="Times New Roman" w:eastAsia="Times New Roman" w:hint="default"/>
          <w:spacing w:val="-1"/>
        </w:rPr>
        <w:t>4</w:t>
      </w:r>
      <w:r>
        <w:rPr>
          <w:spacing w:val="-1"/>
        </w:rPr>
        <w:t>）短期应收款项的预计未来现金流量与其现值相差很小的，在确定相关减值损失时，不对其预计未来现金流量进行</w:t>
      </w:r>
      <w:r>
        <w:rPr/>
        <w:t> 折现。</w:t>
      </w:r>
    </w:p>
    <w:p>
      <w:pPr>
        <w:pStyle w:val="BodyText"/>
        <w:spacing w:line="240" w:lineRule="auto" w:before="32"/>
        <w:ind w:left="573" w:right="0"/>
        <w:jc w:val="left"/>
      </w:pPr>
      <w:r>
        <w:rPr/>
        <w:t>（</w:t>
      </w:r>
      <w:r>
        <w:rPr>
          <w:rFonts w:ascii="Times New Roman" w:hAnsi="Times New Roman" w:cs="Times New Roman" w:eastAsia="Times New Roman" w:hint="default"/>
        </w:rPr>
        <w:t>5</w:t>
      </w:r>
      <w:r>
        <w:rPr/>
        <w:t>）在财务报表合并范围内的母公司及其子公司之间的应收款项不计提坏账准备。</w:t>
      </w:r>
    </w:p>
    <w:p>
      <w:pPr>
        <w:pStyle w:val="BodyText"/>
        <w:spacing w:line="300" w:lineRule="auto" w:before="63"/>
        <w:ind w:left="573" w:right="0"/>
        <w:jc w:val="left"/>
      </w:pPr>
      <w:r>
        <w:rPr/>
        <w:t>（</w:t>
      </w:r>
      <w:r>
        <w:rPr>
          <w:rFonts w:ascii="Times New Roman" w:hAnsi="Times New Roman" w:cs="Times New Roman" w:eastAsia="Times New Roman" w:hint="default"/>
        </w:rPr>
        <w:t>6</w:t>
      </w:r>
      <w:r>
        <w:rPr/>
        <w:t>）支付的招标保证金坏账准备的计提方法 公司支付的招标保证金通常在招标完毕后即可收回，期末公司对支付招标保证金的账面余额单独进行减值测试，根据</w:t>
      </w:r>
    </w:p>
    <w:p>
      <w:pPr>
        <w:pStyle w:val="BodyText"/>
        <w:spacing w:line="300" w:lineRule="auto" w:before="31"/>
        <w:ind w:right="184"/>
        <w:jc w:val="left"/>
      </w:pPr>
      <w:r>
        <w:rPr/>
        <w:t>未来现金流量现值低于其账面价值的差额，计提坏账准备；经测试未发现减值的招标保证金不再并入上述（</w:t>
      </w:r>
      <w:r>
        <w:rPr>
          <w:rFonts w:ascii="Times New Roman" w:hAnsi="Times New Roman" w:cs="Times New Roman" w:eastAsia="Times New Roman" w:hint="default"/>
        </w:rPr>
        <w:t>3</w:t>
      </w:r>
      <w:r>
        <w:rPr/>
        <w:t>）所述应收款</w:t>
      </w:r>
      <w:r>
        <w:rPr>
          <w:spacing w:val="-82"/>
        </w:rPr>
        <w:t> </w:t>
      </w:r>
      <w:r>
        <w:rPr/>
        <w:t>项在资产负债表日余额计提坏账准备。</w:t>
      </w:r>
    </w:p>
    <w:p>
      <w:pPr>
        <w:pStyle w:val="BodyText"/>
        <w:spacing w:line="240" w:lineRule="auto" w:before="31"/>
        <w:ind w:left="573" w:right="0"/>
        <w:jc w:val="left"/>
      </w:pPr>
      <w:r>
        <w:rPr/>
        <w:t>（</w:t>
      </w:r>
      <w:r>
        <w:rPr>
          <w:rFonts w:ascii="Times New Roman" w:hAnsi="Times New Roman" w:cs="Times New Roman" w:eastAsia="Times New Roman" w:hint="default"/>
        </w:rPr>
        <w:t>7</w:t>
      </w:r>
      <w:r>
        <w:rPr/>
        <w:t>）坏账损失的确认标准</w:t>
      </w:r>
    </w:p>
    <w:p>
      <w:pPr>
        <w:pStyle w:val="BodyText"/>
        <w:spacing w:line="240" w:lineRule="auto" w:before="63"/>
        <w:ind w:left="573" w:right="0"/>
        <w:jc w:val="left"/>
      </w:pPr>
      <w:r>
        <w:rPr/>
        <w:t>①因债务人破产，依法律清偿后依然无法收回的债权；</w:t>
      </w:r>
    </w:p>
    <w:p>
      <w:pPr>
        <w:pStyle w:val="BodyText"/>
        <w:spacing w:line="240" w:lineRule="auto" w:before="76"/>
        <w:ind w:left="573" w:right="0"/>
        <w:jc w:val="left"/>
      </w:pPr>
      <w:r>
        <w:rPr/>
        <w:t>②</w:t>
      </w:r>
      <w:r>
        <w:rPr>
          <w:spacing w:val="-18"/>
        </w:rPr>
        <w:t> </w:t>
      </w:r>
      <w:r>
        <w:rPr/>
        <w:t>债务人死亡，既无遗产可以清偿，又无义务承担人，确实无法收回的债权；</w:t>
      </w:r>
    </w:p>
    <w:p>
      <w:pPr>
        <w:pStyle w:val="BodyText"/>
        <w:spacing w:line="240" w:lineRule="auto" w:before="76"/>
        <w:ind w:left="573" w:right="0"/>
        <w:jc w:val="left"/>
      </w:pPr>
      <w:r>
        <w:rPr/>
        <w:t>③</w:t>
      </w:r>
      <w:r>
        <w:rPr>
          <w:spacing w:val="-52"/>
        </w:rPr>
        <w:t> </w:t>
      </w:r>
      <w:r>
        <w:rPr/>
        <w:t>债务人三年内未能履行偿还义务，并有足够的证据表明无法收回或收回的可能性极小，经董事会批准列为坏账的债</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权。</w:t>
      </w:r>
    </w:p>
    <w:p>
      <w:pPr>
        <w:pStyle w:val="BodyText"/>
        <w:spacing w:line="300" w:lineRule="auto" w:before="77"/>
        <w:ind w:left="573" w:right="1253" w:hanging="48"/>
        <w:jc w:val="left"/>
      </w:pPr>
      <w:r>
        <w:rPr/>
        <w:t>（</w:t>
      </w:r>
      <w:r>
        <w:rPr>
          <w:rFonts w:ascii="Times New Roman" w:hAnsi="Times New Roman" w:cs="Times New Roman" w:eastAsia="Times New Roman" w:hint="default"/>
        </w:rPr>
        <w:t>8</w:t>
      </w:r>
      <w:r>
        <w:rPr/>
        <w:t>）长期应收款减值准备的计提 期末对长期应收款单独进行减值测试，根据未来现金流量现值低于其账面价值的差额，计提减值准备。</w:t>
      </w:r>
    </w:p>
    <w:p>
      <w:pPr>
        <w:spacing w:line="240" w:lineRule="auto" w:before="13"/>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36"/>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单个客户金额在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且占全部应收 账款</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其他应收款余额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以上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含</w:t>
            </w:r>
            <w:r>
              <w:rPr>
                <w:rFonts w:ascii="宋体" w:hAnsi="宋体" w:cs="宋体" w:eastAsia="宋体" w:hint="default"/>
                <w:spacing w:val="1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的应收款项</w:t>
            </w:r>
            <w:r>
              <w:rPr>
                <w:rFonts w:ascii="Microsoft JhengHei" w:hAnsi="Microsoft JhengHei" w:cs="Microsoft JhengHei" w:eastAsia="Microsoft JhengHei" w:hint="default"/>
                <w:spacing w:val="-1"/>
                <w:sz w:val="18"/>
                <w:szCs w:val="18"/>
              </w:rPr>
              <w:t>｡</w:t>
            </w:r>
          </w:p>
        </w:tc>
      </w:tr>
      <w:tr>
        <w:trPr>
          <w:trHeight w:val="1652"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3" w:right="0"/>
              <w:jc w:val="both"/>
              <w:rPr>
                <w:rFonts w:ascii="宋体" w:hAnsi="宋体" w:cs="宋体" w:eastAsia="宋体" w:hint="default"/>
                <w:sz w:val="18"/>
                <w:szCs w:val="18"/>
              </w:rPr>
            </w:pPr>
            <w:r>
              <w:rPr>
                <w:rFonts w:ascii="宋体" w:hAnsi="宋体" w:cs="宋体" w:eastAsia="宋体" w:hint="default"/>
                <w:sz w:val="18"/>
                <w:szCs w:val="18"/>
              </w:rPr>
              <w:t>对于单项金额重大的应收账款</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单独进行减</w:t>
            </w:r>
          </w:p>
          <w:p>
            <w:pPr>
              <w:pStyle w:val="TableParagraph"/>
              <w:spacing w:line="264" w:lineRule="auto" w:before="60"/>
              <w:ind w:left="23" w:right="23"/>
              <w:jc w:val="both"/>
              <w:rPr>
                <w:rFonts w:ascii="宋体" w:hAnsi="宋体" w:cs="宋体" w:eastAsia="宋体" w:hint="default"/>
                <w:sz w:val="18"/>
                <w:szCs w:val="18"/>
              </w:rPr>
            </w:pPr>
            <w:r>
              <w:rPr>
                <w:rFonts w:ascii="宋体" w:hAnsi="宋体" w:cs="宋体" w:eastAsia="宋体" w:hint="default"/>
                <w:sz w:val="18"/>
                <w:szCs w:val="18"/>
              </w:rPr>
              <w:t>值测试</w:t>
            </w:r>
            <w:r>
              <w:rPr>
                <w:rFonts w:ascii="Times New Roman" w:hAnsi="Times New Roman" w:cs="Times New Roman" w:eastAsia="Times New Roman" w:hint="default"/>
                <w:sz w:val="18"/>
                <w:szCs w:val="18"/>
              </w:rPr>
              <w:t>,</w:t>
            </w:r>
            <w:r>
              <w:rPr>
                <w:rFonts w:ascii="宋体" w:hAnsi="宋体" w:cs="宋体" w:eastAsia="宋体" w:hint="default"/>
                <w:sz w:val="18"/>
                <w:szCs w:val="18"/>
              </w:rPr>
              <w:t>根据未来现金流量现值低于其账面价值的差额</w:t>
            </w:r>
            <w:r>
              <w:rPr>
                <w:rFonts w:ascii="Times New Roman" w:hAnsi="Times New Roman" w:cs="Times New Roman" w:eastAsia="Times New Roman" w:hint="default"/>
                <w:sz w:val="18"/>
                <w:szCs w:val="18"/>
              </w:rPr>
              <w:t>,</w:t>
            </w:r>
            <w:r>
              <w:rPr>
                <w:rFonts w:ascii="宋体" w:hAnsi="宋体" w:cs="宋体" w:eastAsia="宋体" w:hint="default"/>
                <w:sz w:val="18"/>
                <w:szCs w:val="18"/>
              </w:rPr>
              <w:t>计 提坏账准备</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以后如有客观证据表明价值已恢复</w:t>
            </w:r>
            <w:r>
              <w:rPr>
                <w:rFonts w:ascii="Times New Roman" w:hAnsi="Times New Roman" w:cs="Times New Roman" w:eastAsia="Times New Roman" w:hint="default"/>
                <w:sz w:val="18"/>
                <w:szCs w:val="18"/>
              </w:rPr>
              <w:t>,</w:t>
            </w:r>
            <w:r>
              <w:rPr>
                <w:rFonts w:ascii="宋体" w:hAnsi="宋体" w:cs="宋体" w:eastAsia="宋体" w:hint="default"/>
                <w:sz w:val="18"/>
                <w:szCs w:val="18"/>
              </w:rPr>
              <w:t>且客观上 与确认该损失后发生的事项有关</w:t>
            </w:r>
            <w:r>
              <w:rPr>
                <w:rFonts w:ascii="Times New Roman" w:hAnsi="Times New Roman" w:cs="Times New Roman" w:eastAsia="Times New Roman" w:hint="default"/>
                <w:sz w:val="18"/>
                <w:szCs w:val="18"/>
              </w:rPr>
              <w:t>,</w:t>
            </w:r>
            <w:r>
              <w:rPr>
                <w:rFonts w:ascii="宋体" w:hAnsi="宋体" w:cs="宋体" w:eastAsia="宋体" w:hint="default"/>
                <w:sz w:val="18"/>
                <w:szCs w:val="18"/>
              </w:rPr>
              <w:t>原确认的坏账准备予以</w:t>
            </w:r>
          </w:p>
          <w:p>
            <w:pPr>
              <w:pStyle w:val="TableParagraph"/>
              <w:spacing w:line="295" w:lineRule="exact"/>
              <w:ind w:left="23" w:right="0"/>
              <w:jc w:val="both"/>
              <w:rPr>
                <w:rFonts w:ascii="Microsoft JhengHei" w:hAnsi="Microsoft JhengHei" w:cs="Microsoft JhengHei" w:eastAsia="Microsoft JhengHei" w:hint="default"/>
                <w:sz w:val="18"/>
                <w:szCs w:val="18"/>
              </w:rPr>
            </w:pPr>
            <w:r>
              <w:rPr>
                <w:rFonts w:ascii="宋体" w:hAnsi="宋体" w:cs="宋体" w:eastAsia="宋体" w:hint="default"/>
                <w:sz w:val="18"/>
                <w:szCs w:val="18"/>
              </w:rPr>
              <w:t>转回</w:t>
            </w:r>
            <w:r>
              <w:rPr>
                <w:rFonts w:ascii="Times New Roman" w:hAnsi="Times New Roman" w:cs="Times New Roman" w:eastAsia="Times New Roman" w:hint="default"/>
                <w:sz w:val="18"/>
                <w:szCs w:val="18"/>
              </w:rPr>
              <w:t>,</w:t>
            </w:r>
            <w:r>
              <w:rPr>
                <w:rFonts w:ascii="宋体" w:hAnsi="宋体" w:cs="宋体" w:eastAsia="宋体" w:hint="default"/>
                <w:sz w:val="18"/>
                <w:szCs w:val="18"/>
              </w:rPr>
              <w:t>计入当期损益</w:t>
            </w:r>
            <w:r>
              <w:rPr>
                <w:rFonts w:ascii="Microsoft JhengHei" w:hAnsi="Microsoft JhengHei" w:cs="Microsoft JhengHei" w:eastAsia="Microsoft JhengHei"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96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3" w:right="0"/>
              <w:jc w:val="both"/>
              <w:rPr>
                <w:rFonts w:ascii="宋体" w:hAnsi="宋体" w:cs="宋体" w:eastAsia="宋体" w:hint="default"/>
                <w:sz w:val="18"/>
                <w:szCs w:val="18"/>
              </w:rPr>
            </w:pPr>
            <w:r>
              <w:rPr>
                <w:rFonts w:ascii="宋体" w:hAnsi="宋体" w:cs="宋体" w:eastAsia="宋体" w:hint="default"/>
                <w:w w:val="105"/>
                <w:sz w:val="18"/>
                <w:szCs w:val="18"/>
              </w:rPr>
              <w:t>按客户的以往信用记录</w:t>
            </w:r>
            <w:r>
              <w:rPr>
                <w:rFonts w:ascii="Microsoft JhengHei" w:hAnsi="Microsoft JhengHei" w:cs="Microsoft JhengHei" w:eastAsia="Microsoft JhengHei" w:hint="default"/>
                <w:w w:val="105"/>
                <w:sz w:val="18"/>
                <w:szCs w:val="18"/>
              </w:rPr>
              <w:t>､</w:t>
            </w:r>
            <w:r>
              <w:rPr>
                <w:rFonts w:ascii="宋体" w:hAnsi="宋体" w:cs="宋体" w:eastAsia="宋体" w:hint="default"/>
                <w:w w:val="105"/>
                <w:sz w:val="18"/>
                <w:szCs w:val="18"/>
              </w:rPr>
              <w:t>正常付款周期</w:t>
            </w:r>
            <w:r>
              <w:rPr>
                <w:rFonts w:ascii="Microsoft JhengHei" w:hAnsi="Microsoft JhengHei" w:cs="Microsoft JhengHei" w:eastAsia="Microsoft JhengHei" w:hint="default"/>
                <w:w w:val="105"/>
                <w:sz w:val="18"/>
                <w:szCs w:val="18"/>
              </w:rPr>
              <w:t>､</w:t>
            </w:r>
            <w:r>
              <w:rPr>
                <w:rFonts w:ascii="宋体" w:hAnsi="宋体" w:cs="宋体" w:eastAsia="宋体" w:hint="default"/>
                <w:w w:val="105"/>
                <w:sz w:val="18"/>
                <w:szCs w:val="18"/>
              </w:rPr>
              <w:t>合同违约情况</w:t>
            </w:r>
            <w:r>
              <w:rPr>
                <w:rFonts w:ascii="Microsoft JhengHei" w:hAnsi="Microsoft JhengHei" w:cs="Microsoft JhengHei" w:eastAsia="Microsoft JhengHei" w:hint="default"/>
                <w:w w:val="105"/>
                <w:sz w:val="18"/>
                <w:szCs w:val="18"/>
              </w:rPr>
              <w:t>､</w:t>
            </w:r>
            <w:r>
              <w:rPr>
                <w:rFonts w:ascii="宋体" w:hAnsi="宋体" w:cs="宋体" w:eastAsia="宋体" w:hint="default"/>
                <w:w w:val="105"/>
                <w:sz w:val="18"/>
                <w:szCs w:val="18"/>
              </w:rPr>
              <w:t>客</w:t>
            </w:r>
          </w:p>
          <w:p>
            <w:pPr>
              <w:pStyle w:val="TableParagraph"/>
              <w:spacing w:line="271" w:lineRule="auto" w:before="60"/>
              <w:ind w:left="23" w:right="24"/>
              <w:jc w:val="both"/>
              <w:rPr>
                <w:rFonts w:ascii="宋体" w:hAnsi="宋体" w:cs="宋体" w:eastAsia="宋体" w:hint="default"/>
                <w:sz w:val="18"/>
                <w:szCs w:val="18"/>
              </w:rPr>
            </w:pPr>
            <w:r>
              <w:rPr>
                <w:rFonts w:ascii="宋体" w:hAnsi="宋体" w:cs="宋体" w:eastAsia="宋体" w:hint="default"/>
                <w:sz w:val="18"/>
                <w:szCs w:val="18"/>
              </w:rPr>
              <w:t>户的财务状况等信用风险特征组合后风险较小和经单独测试 后未减值的应收账款</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其他应收款以及经单独测试后未减值 的应收款项组合</w:t>
            </w:r>
            <w:r>
              <w:rPr>
                <w:rFonts w:ascii="Times New Roman" w:hAnsi="Times New Roman" w:cs="Times New Roman" w:eastAsia="Times New Roman" w:hint="default"/>
                <w:sz w:val="18"/>
                <w:szCs w:val="18"/>
              </w:rPr>
              <w:t>,</w:t>
            </w:r>
            <w:r>
              <w:rPr>
                <w:rFonts w:ascii="宋体" w:hAnsi="宋体" w:cs="宋体" w:eastAsia="宋体" w:hint="default"/>
                <w:sz w:val="18"/>
                <w:szCs w:val="18"/>
              </w:rPr>
              <w:t>按账龄特征评估其信用风险</w:t>
            </w:r>
            <w:r>
              <w:rPr>
                <w:rFonts w:ascii="Times New Roman" w:hAnsi="Times New Roman" w:cs="Times New Roman" w:eastAsia="Times New Roman" w:hint="default"/>
                <w:sz w:val="18"/>
                <w:szCs w:val="18"/>
              </w:rPr>
              <w:t>,</w:t>
            </w:r>
            <w:r>
              <w:rPr>
                <w:rFonts w:ascii="宋体" w:hAnsi="宋体" w:cs="宋体" w:eastAsia="宋体" w:hint="default"/>
                <w:sz w:val="18"/>
                <w:szCs w:val="18"/>
              </w:rPr>
              <w:t>采用账龄分析</w:t>
            </w:r>
          </w:p>
          <w:p>
            <w:pPr>
              <w:pStyle w:val="TableParagraph"/>
              <w:spacing w:line="240" w:lineRule="auto" w:before="37"/>
              <w:ind w:left="23" w:right="24"/>
              <w:jc w:val="both"/>
              <w:rPr>
                <w:rFonts w:ascii="Microsoft JhengHei" w:hAnsi="Microsoft JhengHei" w:cs="Microsoft JhengHei" w:eastAsia="Microsoft JhengHei" w:hint="default"/>
                <w:sz w:val="18"/>
                <w:szCs w:val="18"/>
              </w:rPr>
            </w:pPr>
            <w:r>
              <w:rPr>
                <w:rFonts w:ascii="宋体" w:hAnsi="宋体" w:cs="宋体" w:eastAsia="宋体" w:hint="default"/>
                <w:sz w:val="18"/>
                <w:szCs w:val="18"/>
              </w:rPr>
              <w:t>法</w:t>
            </w:r>
            <w:r>
              <w:rPr>
                <w:rFonts w:ascii="Times New Roman" w:hAnsi="Times New Roman" w:cs="Times New Roman" w:eastAsia="Times New Roman" w:hint="default"/>
                <w:sz w:val="18"/>
                <w:szCs w:val="18"/>
              </w:rPr>
              <w:t>,</w:t>
            </w:r>
            <w:r>
              <w:rPr>
                <w:rFonts w:ascii="宋体" w:hAnsi="宋体" w:cs="宋体" w:eastAsia="宋体" w:hint="default"/>
                <w:sz w:val="18"/>
                <w:szCs w:val="18"/>
              </w:rPr>
              <w:t>按这些应收款项在资产负债表日余额的一定比例计算确定 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计提坏账准备</w:t>
            </w:r>
            <w:r>
              <w:rPr>
                <w:rFonts w:ascii="Microsoft JhengHei" w:hAnsi="Microsoft JhengHei" w:cs="Microsoft JhengHei" w:eastAsia="Microsoft JhengHei" w:hint="default"/>
                <w:sz w:val="18"/>
                <w:szCs w:val="18"/>
              </w:rPr>
              <w:t>｡</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
              <w:ind w:left="23" w:right="59"/>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单项金额不重大但按客户的以往信用记录</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正常付款周期</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合同违约情况</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客 </w:t>
            </w:r>
            <w:r>
              <w:rPr>
                <w:rFonts w:ascii="宋体" w:hAnsi="宋体" w:cs="宋体" w:eastAsia="宋体" w:hint="default"/>
                <w:w w:val="105"/>
                <w:sz w:val="18"/>
                <w:szCs w:val="18"/>
              </w:rPr>
              <w:t>户的财务状况等信用风险特征组合后风险较大</w:t>
            </w:r>
            <w:r>
              <w:rPr>
                <w:rFonts w:ascii="Microsoft JhengHei" w:hAnsi="Microsoft JhengHei" w:cs="Microsoft JhengHei" w:eastAsia="Microsoft JhengHei" w:hint="default"/>
                <w:w w:val="105"/>
                <w:sz w:val="18"/>
                <w:szCs w:val="18"/>
              </w:rPr>
              <w:t>｡</w:t>
            </w:r>
          </w:p>
        </w:tc>
      </w:tr>
      <w:tr>
        <w:trPr>
          <w:trHeight w:val="102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01"/>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应收款项根据该组合的未来现金流量现值低于其账面价值的差额</w:t>
            </w:r>
            <w:r>
              <w:rPr>
                <w:rFonts w:ascii="Times New Roman" w:hAnsi="Times New Roman" w:cs="Times New Roman" w:eastAsia="Times New Roman" w:hint="default"/>
                <w:sz w:val="18"/>
                <w:szCs w:val="18"/>
              </w:rPr>
              <w:t>,</w:t>
            </w:r>
            <w:r>
              <w:rPr>
                <w:rFonts w:ascii="宋体" w:hAnsi="宋体" w:cs="宋体" w:eastAsia="宋体" w:hint="default"/>
                <w:sz w:val="18"/>
                <w:szCs w:val="18"/>
              </w:rPr>
              <w:t>计提坏账准 备</w:t>
            </w:r>
            <w:r>
              <w:rPr>
                <w:rFonts w:ascii="Microsoft JhengHei" w:hAnsi="Microsoft JhengHei" w:cs="Microsoft JhengHei" w:eastAsia="Microsoft JhengHei" w:hint="default"/>
                <w:sz w:val="18"/>
                <w:szCs w:val="18"/>
              </w:rPr>
              <w:t>｡</w:t>
            </w:r>
            <w:r>
              <w:rPr>
                <w:rFonts w:ascii="宋体" w:hAnsi="宋体" w:cs="宋体" w:eastAsia="宋体" w:hint="default"/>
                <w:sz w:val="18"/>
                <w:szCs w:val="18"/>
              </w:rPr>
              <w:t>以后如有客观证据表明该组合价值已恢复</w:t>
            </w:r>
            <w:r>
              <w:rPr>
                <w:rFonts w:ascii="Times New Roman" w:hAnsi="Times New Roman" w:cs="Times New Roman" w:eastAsia="Times New Roman" w:hint="default"/>
                <w:sz w:val="18"/>
                <w:szCs w:val="18"/>
              </w:rPr>
              <w:t>,</w:t>
            </w:r>
            <w:r>
              <w:rPr>
                <w:rFonts w:ascii="宋体" w:hAnsi="宋体" w:cs="宋体" w:eastAsia="宋体" w:hint="default"/>
                <w:sz w:val="18"/>
                <w:szCs w:val="18"/>
              </w:rPr>
              <w:t>且客观上与确认该损失后发生的 事项有关</w:t>
            </w:r>
            <w:r>
              <w:rPr>
                <w:rFonts w:ascii="Times New Roman" w:hAnsi="Times New Roman" w:cs="Times New Roman" w:eastAsia="Times New Roman" w:hint="default"/>
                <w:sz w:val="18"/>
                <w:szCs w:val="18"/>
              </w:rPr>
              <w:t>,</w:t>
            </w:r>
            <w:r>
              <w:rPr>
                <w:rFonts w:ascii="宋体" w:hAnsi="宋体" w:cs="宋体" w:eastAsia="宋体" w:hint="default"/>
                <w:sz w:val="18"/>
                <w:szCs w:val="18"/>
              </w:rPr>
              <w:t>原确认的坏账准备予以转回</w:t>
            </w:r>
            <w:r>
              <w:rPr>
                <w:rFonts w:ascii="Times New Roman" w:hAnsi="Times New Roman" w:cs="Times New Roman" w:eastAsia="Times New Roman" w:hint="default"/>
                <w:sz w:val="18"/>
                <w:szCs w:val="18"/>
              </w:rPr>
              <w:t>,</w:t>
            </w:r>
            <w:r>
              <w:rPr>
                <w:rFonts w:ascii="宋体" w:hAnsi="宋体" w:cs="宋体" w:eastAsia="宋体" w:hint="default"/>
                <w:sz w:val="18"/>
                <w:szCs w:val="18"/>
              </w:rPr>
              <w:t>计入当期损益</w:t>
            </w:r>
            <w:r>
              <w:rPr>
                <w:rFonts w:ascii="Microsoft JhengHei" w:hAnsi="Microsoft JhengHei" w:cs="Microsoft JhengHei" w:eastAsia="Microsoft JhengHei"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2"/>
        <w:jc w:val="left"/>
      </w:pPr>
      <w:r>
        <w:rPr>
          <w:spacing w:val="-2"/>
        </w:rPr>
        <w:t>存货是指公司在日常活动中持有的以备出售的产成品或库存商品、自制半成品、处在生产过程中的在产品、在生产过程</w:t>
      </w:r>
      <w:r>
        <w:rPr/>
        <w:t> 或提供劳务过程中耗用的低值易耗品以及委托其他企业加工的委托加工物资等。</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74"/>
        <w:jc w:val="left"/>
      </w:pPr>
      <w:r>
        <w:rPr/>
        <w:t>计价方法：其他 公司采用个别认定法确定发出库存商品的实际成本，除库存商品外的其它存货采用加权平均法确定发出存货的实际成本。</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88"/>
        <w:jc w:val="left"/>
      </w:pPr>
      <w:r>
        <w:rPr/>
        <w:t>可变现净值是指在日常活动中，存货的估计售价减去至完工时估计将要发生的成本、估计的销售费用以及相关税费后的 </w:t>
      </w:r>
      <w:r>
        <w:rPr>
          <w:spacing w:val="-2"/>
        </w:rPr>
        <w:t>金额。存货取得时按实际成本进行初始计量。资产负债表日，存货按照成本与可变现净值孰低计量，并按照单个存货项目计</w:t>
      </w:r>
      <w:r>
        <w:rPr>
          <w:spacing w:val="-65"/>
        </w:rPr>
        <w:t> </w:t>
      </w:r>
      <w:r>
        <w:rPr>
          <w:spacing w:val="-65"/>
        </w:rPr>
      </w:r>
      <w:r>
        <w:rPr>
          <w:spacing w:val="-4"/>
        </w:rPr>
        <w:t>提存货跌价准备；对于数量繁多、单价较低的存货，按照存货类别计提存货跌价准备，计入当期损益。存货计提跌价准备后，</w:t>
      </w:r>
      <w:r>
        <w:rPr>
          <w:spacing w:val="-43"/>
        </w:rPr>
        <w:t> </w:t>
      </w:r>
      <w:r>
        <w:rPr>
          <w:spacing w:val="-43"/>
        </w:rPr>
      </w:r>
      <w:r>
        <w:rPr>
          <w:spacing w:val="-2"/>
        </w:rPr>
        <w:t>如果以前减记存货价值的影响因素已经消失，导致存货的可变现净值高于其账面价值的，在原已计提的存货跌价准备金额内</w:t>
      </w:r>
      <w:r>
        <w:rPr>
          <w:spacing w:val="-64"/>
        </w:rPr>
        <w:t> </w:t>
      </w:r>
      <w:r>
        <w:rPr>
          <w:spacing w:val="-64"/>
        </w:rPr>
      </w:r>
      <w:r>
        <w:rPr/>
        <w:t>予以转回，转回的金额计入当期损益。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114"/>
        <w:jc w:val="left"/>
      </w:pPr>
      <w:r>
        <w:rPr/>
        <w:t>盘存制度：永续盘存制 公司存货盘存制度为永续盘存制。</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014"/>
        <w:jc w:val="left"/>
      </w:pPr>
      <w:r>
        <w:rPr/>
        <w:t>低值易耗品 摊销方法：一次摊销法 包装物 摊销方法：一次摊销法</w:t>
      </w:r>
    </w:p>
    <w:p>
      <w:pPr>
        <w:spacing w:after="0" w:line="357"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90"/>
        <w:jc w:val="both"/>
      </w:pPr>
      <w:r>
        <w:rPr>
          <w:spacing w:val="-2"/>
        </w:rPr>
        <w:t>企业合并形成的长期股权投资，按照企业合并的会计处理方法确定初始投资成本；除企业合并形成的长期股权投资以外，其</w:t>
      </w:r>
      <w:r>
        <w:rPr>
          <w:spacing w:val="-63"/>
        </w:rPr>
        <w:t> </w:t>
      </w:r>
      <w:r>
        <w:rPr>
          <w:spacing w:val="-63"/>
        </w:rPr>
      </w:r>
      <w:r>
        <w:rPr/>
        <w:t>他方式取得的长期股权投资，按照下列规定确定其初始投资成本：①</w:t>
      </w:r>
      <w:r>
        <w:rPr>
          <w:spacing w:val="2"/>
        </w:rPr>
        <w:t> </w:t>
      </w:r>
      <w:r>
        <w:rPr/>
        <w:t>以支付现金取得的长期股权投资，按照实际支付的购</w:t>
      </w:r>
      <w:r>
        <w:rPr/>
        <w:t> </w:t>
      </w:r>
      <w:r>
        <w:rPr>
          <w:spacing w:val="-2"/>
        </w:rPr>
        <w:t>买价款作为初始投资成本。初始投资成本包括与取得长期股权投资直接相关的费用、税金及其他必要支出，但实际支付的价</w:t>
      </w:r>
      <w:r>
        <w:rPr>
          <w:spacing w:val="-63"/>
        </w:rPr>
        <w:t> </w:t>
      </w:r>
      <w:r>
        <w:rPr>
          <w:spacing w:val="-63"/>
        </w:rPr>
      </w:r>
      <w:r>
        <w:rPr/>
        <w:t>款中包含的已宣告但尚未领取的现金股利，作为应收项目单独核算；②</w:t>
      </w:r>
      <w:r>
        <w:rPr>
          <w:spacing w:val="1"/>
        </w:rPr>
        <w:t> </w:t>
      </w:r>
      <w:r>
        <w:rPr/>
        <w:t>以发行权益性证券取得的长期股权投资，按照发行</w:t>
      </w:r>
      <w:r>
        <w:rPr/>
        <w:t> 权益性证券的公允价值作为初始投资成本；③</w:t>
      </w:r>
      <w:r>
        <w:rPr>
          <w:spacing w:val="2"/>
        </w:rPr>
        <w:t> </w:t>
      </w:r>
      <w:r>
        <w:rPr/>
        <w:t>投资者投入的长期股权投资，按照投资合同或协议约定的价值作为初始投资</w:t>
      </w:r>
      <w:r>
        <w:rPr/>
        <w:t> 成本，但合同或协议约定价值不公允的除外；④</w:t>
      </w:r>
      <w:r>
        <w:rPr>
          <w:spacing w:val="2"/>
        </w:rPr>
        <w:t> </w:t>
      </w:r>
      <w:r>
        <w:rPr/>
        <w:t>通过非货币性资产交换取得的长期股权投资，其初始投资成本按照《企业</w:t>
      </w:r>
      <w:r>
        <w:rPr/>
        <w:t> 会计准则第 </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t>非货币性资产交换》确定；⑤</w:t>
      </w:r>
      <w:r>
        <w:rPr>
          <w:spacing w:val="-45"/>
        </w:rPr>
        <w:t> </w:t>
      </w:r>
      <w:r>
        <w:rPr/>
        <w:t>通过债务重组取得的长期股权投资，其初始投资成本按照《企业会计准</w:t>
      </w:r>
      <w:r>
        <w:rPr/>
        <w:t> 则第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债务重组》确定。</w:t>
      </w:r>
    </w:p>
    <w:p>
      <w:pPr>
        <w:spacing w:line="240" w:lineRule="auto" w:before="6"/>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采用成本法核算的长期股权投资按照初始投资成本计价。追加或收回投资调整长期股权投资的成本。被投资单位宣告分派的</w:t>
      </w:r>
      <w:r>
        <w:rPr>
          <w:spacing w:val="-63"/>
        </w:rPr>
        <w:t> </w:t>
      </w:r>
      <w:r>
        <w:rPr>
          <w:spacing w:val="-63"/>
        </w:rPr>
      </w:r>
      <w:r>
        <w:rPr>
          <w:spacing w:val="-2"/>
        </w:rPr>
        <w:t>现金股利或利润，确认为当期投资收益。长期股权投资的初始投资成本大于投资时应享有被投资单位可辨认净资产公允价值</w:t>
      </w:r>
      <w:r>
        <w:rPr>
          <w:spacing w:val="-64"/>
        </w:rPr>
        <w:t> </w:t>
      </w:r>
      <w:r>
        <w:rPr>
          <w:spacing w:val="-64"/>
        </w:rPr>
      </w:r>
      <w:r>
        <w:rPr>
          <w:spacing w:val="-2"/>
        </w:rPr>
        <w:t>份额的，不调整长期股权投资的初始投资成本；长期股权投资的初始投资成本小于投资时应享有被投资单位可辨认净资产公</w:t>
      </w:r>
      <w:r>
        <w:rPr>
          <w:spacing w:val="-64"/>
        </w:rPr>
        <w:t> </w:t>
      </w:r>
      <w:r>
        <w:rPr>
          <w:spacing w:val="-64"/>
        </w:rPr>
      </w:r>
      <w:r>
        <w:rPr>
          <w:spacing w:val="-2"/>
        </w:rPr>
        <w:t>允价值份额的，其差额计入当期损益，同时调整长期股权投资的成本。投资企业对被投资单位具有共同控制或重大影响的长</w:t>
      </w:r>
      <w:r>
        <w:rPr>
          <w:spacing w:val="-63"/>
        </w:rPr>
        <w:t> </w:t>
      </w:r>
      <w:r>
        <w:rPr>
          <w:spacing w:val="-63"/>
        </w:rPr>
      </w:r>
      <w:r>
        <w:rPr/>
        <w:t>期股权投资，采用权益法核算。</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1"/>
        <w:jc w:val="both"/>
      </w:pPr>
      <w:r>
        <w:rPr/>
        <w:t>①</w:t>
      </w:r>
      <w:r>
        <w:rPr>
          <w:spacing w:val="31"/>
        </w:rPr>
        <w:t> </w:t>
      </w:r>
      <w:r>
        <w:rPr>
          <w:spacing w:val="-2"/>
        </w:rPr>
        <w:t>共同控制是指公司与其他合营方一同对被投资单位实施共同控制。根据以下情况作为确定依据：</w:t>
      </w:r>
      <w:r>
        <w:rPr>
          <w:rFonts w:ascii="Times New Roman" w:hAnsi="Times New Roman" w:cs="Times New Roman" w:eastAsia="Times New Roman" w:hint="default"/>
          <w:spacing w:val="-2"/>
        </w:rPr>
        <w:t>a</w:t>
      </w:r>
      <w:r>
        <w:rPr>
          <w:spacing w:val="-2"/>
        </w:rPr>
        <w:t>、任何一个合营方均不</w:t>
      </w:r>
      <w:r>
        <w:rPr>
          <w:spacing w:val="-87"/>
        </w:rPr>
        <w:t> </w:t>
      </w:r>
      <w:r>
        <w:rPr>
          <w:spacing w:val="-87"/>
        </w:rPr>
      </w:r>
      <w:r>
        <w:rPr>
          <w:spacing w:val="-2"/>
        </w:rPr>
        <w:t>能单独控制合营企业的生产经营活动；</w:t>
      </w:r>
      <w:r>
        <w:rPr>
          <w:rFonts w:ascii="Times New Roman" w:hAnsi="Times New Roman" w:cs="Times New Roman" w:eastAsia="Times New Roman" w:hint="default"/>
          <w:spacing w:val="-2"/>
        </w:rPr>
        <w:t>b</w:t>
      </w:r>
      <w:r>
        <w:rPr>
          <w:spacing w:val="-2"/>
        </w:rPr>
        <w:t>、涉及合营企业基本经营活动的决策需要各合营方一致同意；</w:t>
      </w:r>
      <w:r>
        <w:rPr>
          <w:rFonts w:ascii="Times New Roman" w:hAnsi="Times New Roman" w:cs="Times New Roman" w:eastAsia="Times New Roman" w:hint="default"/>
          <w:spacing w:val="-2"/>
        </w:rPr>
        <w:t>c</w:t>
      </w:r>
      <w:r>
        <w:rPr>
          <w:spacing w:val="-2"/>
        </w:rPr>
        <w:t>、合营各方可能通过</w:t>
      </w:r>
      <w:r>
        <w:rPr>
          <w:spacing w:val="-52"/>
        </w:rPr>
        <w:t> </w:t>
      </w:r>
      <w:r>
        <w:rPr>
          <w:spacing w:val="-52"/>
        </w:rPr>
      </w:r>
      <w:r>
        <w:rPr>
          <w:spacing w:val="-2"/>
        </w:rPr>
        <w:t>合同或协议的形式任命其中一个合营方对合营企业的日常活动进行管理，但其必须在合营各方一致同意的财务和经营政策范</w:t>
      </w:r>
      <w:r>
        <w:rPr>
          <w:spacing w:val="-64"/>
        </w:rPr>
        <w:t> </w:t>
      </w:r>
      <w:r>
        <w:rPr>
          <w:spacing w:val="-64"/>
        </w:rPr>
      </w:r>
      <w:r>
        <w:rPr/>
        <w:t>围内行使管理权。②</w:t>
      </w:r>
      <w:r>
        <w:rPr>
          <w:spacing w:val="1"/>
        </w:rPr>
        <w:t> </w:t>
      </w:r>
      <w:r>
        <w:rPr/>
        <w:t>重大影响是公司对被投资单位具有重大影响，即对联营企业的投资。确定依据是：公司对被投资单位</w:t>
      </w:r>
      <w:r>
        <w:rPr/>
        <w:t> 的财务和经营政策有参与决策的权力，但并不能够控制或与其它方一起共同控制这些政策的制定。</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576"/>
        <w:jc w:val="left"/>
      </w:pPr>
      <w:r>
        <w:rPr/>
        <w:t>有确凿证据表明长期投资存在减值迹象的，在资产负债表日以单项资产为基础估计其可收回金额；难以对单项资产 的可收回金额进行估计的，以该资产所属的资产组为基础确定资产组的可收回金额。按照可收回金额低于账面价值的差额， 计提减值准备。</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24" w:right="1802"/>
        <w:jc w:val="left"/>
      </w:pPr>
      <w:r>
        <w:rPr/>
        <w:t>投资性房地产指能够单独计量和出售的，为赚取租金或资本增值，或者两者兼有而持有的房地产。 投资性房地产取得时按照成本进行初始计量。</w:t>
      </w:r>
    </w:p>
    <w:p>
      <w:pPr>
        <w:pStyle w:val="BodyText"/>
        <w:spacing w:line="316" w:lineRule="auto" w:before="19"/>
        <w:ind w:left="424" w:right="182"/>
        <w:jc w:val="left"/>
      </w:pPr>
      <w:r>
        <w:rPr/>
        <w:t>公司对投资性房地产采用成本模式进行后续计量。 有确凿证据表明房地产用途发生改变的，投资性房地产转换为自用房地产时，应当将房地产转换前的账面价值作为转换</w:t>
      </w:r>
    </w:p>
    <w:p>
      <w:pPr>
        <w:pStyle w:val="BodyText"/>
        <w:spacing w:line="316" w:lineRule="auto" w:before="19"/>
        <w:ind w:right="191"/>
        <w:jc w:val="both"/>
      </w:pPr>
      <w:r>
        <w:rPr>
          <w:spacing w:val="-2"/>
        </w:rPr>
        <w:t>后的入账价值。自用房地产或存货转换为采用公允价值模式计量的投资性房地产时，投资性房地产按照转换当日的公允价值</w:t>
      </w:r>
      <w:r>
        <w:rPr>
          <w:spacing w:val="-64"/>
        </w:rPr>
        <w:t> </w:t>
      </w:r>
      <w:r>
        <w:rPr>
          <w:spacing w:val="-64"/>
        </w:rPr>
      </w:r>
      <w:r>
        <w:rPr>
          <w:spacing w:val="-2"/>
        </w:rPr>
        <w:t>计价，转换当日的公允价值小于原账面价值的，其差额计入当期损益；转换当日的公允价值大于原账面价值的，其差额计入</w:t>
      </w:r>
      <w:r>
        <w:rPr>
          <w:spacing w:val="-65"/>
        </w:rPr>
        <w:t> </w:t>
      </w:r>
      <w:r>
        <w:rPr>
          <w:spacing w:val="-65"/>
        </w:rPr>
      </w:r>
      <w:r>
        <w:rPr/>
        <w:t>所有者权益。</w:t>
      </w:r>
    </w:p>
    <w:p>
      <w:pPr>
        <w:spacing w:after="0" w:line="316"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0"/>
        <w:jc w:val="both"/>
      </w:pPr>
      <w:r>
        <w:rPr/>
        <w:t>①公司的固定资产是指为生产商品、提供劳务、出租或经营管理而持有的</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使用寿命超过一个会计年度的有形资产。在同时 </w:t>
      </w:r>
      <w:r>
        <w:rPr>
          <w:spacing w:val="-3"/>
        </w:rPr>
        <w:t>满足下列条件的，确认为固定资产：</w:t>
      </w:r>
      <w:r>
        <w:rPr>
          <w:rFonts w:ascii="Times New Roman" w:hAnsi="Times New Roman" w:cs="Times New Roman" w:eastAsia="Times New Roman" w:hint="default"/>
          <w:spacing w:val="-3"/>
        </w:rPr>
        <w:t>a</w:t>
      </w:r>
      <w:r>
        <w:rPr>
          <w:spacing w:val="-3"/>
        </w:rPr>
        <w:t>、与该固定资产有关的经济利益很可能流入企业；</w:t>
      </w:r>
      <w:r>
        <w:rPr>
          <w:rFonts w:ascii="Times New Roman" w:hAnsi="Times New Roman" w:cs="Times New Roman" w:eastAsia="Times New Roman" w:hint="default"/>
          <w:spacing w:val="-3"/>
        </w:rPr>
        <w:t>b</w:t>
      </w:r>
      <w:r>
        <w:rPr>
          <w:spacing w:val="-3"/>
        </w:rPr>
        <w:t>、该固定资产的成本能够可靠计量。</w:t>
      </w:r>
    </w:p>
    <w:p>
      <w:pPr>
        <w:pStyle w:val="BodyText"/>
        <w:spacing w:line="316" w:lineRule="auto" w:before="13"/>
        <w:ind w:right="192"/>
        <w:jc w:val="both"/>
      </w:pPr>
      <w:r>
        <w:rPr>
          <w:spacing w:val="-2"/>
        </w:rPr>
        <w:t>②固定资产按照取得时的成本入账，取得成本包括购买价款、相关税费、使固定资产达到预定可使用状态前的发生的可归属</w:t>
      </w:r>
      <w:r>
        <w:rPr>
          <w:spacing w:val="-66"/>
        </w:rPr>
        <w:t> </w:t>
      </w:r>
      <w:r>
        <w:rPr>
          <w:spacing w:val="-66"/>
        </w:rPr>
      </w:r>
      <w:r>
        <w:rPr>
          <w:spacing w:val="-2"/>
        </w:rPr>
        <w:t>于该项资产的运输费、装卸费、安装费和专业人员服务费等。与固定资产有关的后续支出，符合上述确认条件的，计入固定</w:t>
      </w:r>
      <w:r>
        <w:rPr>
          <w:spacing w:val="-67"/>
        </w:rPr>
        <w:t> </w:t>
      </w:r>
      <w:r>
        <w:rPr>
          <w:spacing w:val="-67"/>
        </w:rPr>
      </w:r>
      <w:r>
        <w:rPr/>
        <w:t>资产成本；不符合上述确认条件的，发生时计入当期损益。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0"/>
        <w:jc w:val="both"/>
      </w:pPr>
      <w:r>
        <w:rPr/>
        <w:t>①</w:t>
      </w:r>
      <w:r>
        <w:rPr>
          <w:spacing w:val="1"/>
        </w:rPr>
        <w:t> </w:t>
      </w:r>
      <w:r>
        <w:rPr/>
        <w:t>融资租赁租入的固定资产，按租赁开始日租赁资产公允价值与最低租赁付款额的现值两者中较低者，作为入账价值。承</w:t>
      </w:r>
      <w:r>
        <w:rPr/>
        <w:t> </w:t>
      </w:r>
      <w:r>
        <w:rPr>
          <w:spacing w:val="-2"/>
        </w:rPr>
        <w:t>租人在租赁谈判和签订租赁合同过程中发生的，可归属于租赁项目的手续费、律师费、差旅费、印花税等初始直接费用，计</w:t>
      </w:r>
      <w:r>
        <w:rPr>
          <w:spacing w:val="-66"/>
        </w:rPr>
        <w:t> </w:t>
      </w:r>
      <w:r>
        <w:rPr>
          <w:spacing w:val="-66"/>
        </w:rPr>
      </w:r>
      <w:r>
        <w:rPr/>
        <w:t>入租入资产价值。②</w:t>
      </w:r>
      <w:r>
        <w:rPr>
          <w:spacing w:val="1"/>
        </w:rPr>
        <w:t> </w:t>
      </w:r>
      <w:r>
        <w:rPr/>
        <w:t>承租人采用与自有固定资产相一致的折旧政策计提租赁资产折旧。能够合理确定租赁期届满时取得租</w:t>
      </w:r>
      <w:r>
        <w:rPr/>
        <w:t> </w:t>
      </w:r>
      <w:r>
        <w:rPr>
          <w:spacing w:val="-2"/>
        </w:rPr>
        <w:t>赁资产所有权的，在租赁资产使用寿命内计提折旧；无法合理确定租赁期届满时能够取得租赁资产所有权的，在租赁期与租</w:t>
      </w:r>
      <w:r>
        <w:rPr>
          <w:spacing w:val="-63"/>
        </w:rPr>
        <w:t> </w:t>
      </w:r>
      <w:r>
        <w:rPr>
          <w:spacing w:val="-63"/>
        </w:rPr>
      </w:r>
      <w:r>
        <w:rPr/>
        <w:t>赁资产使用寿命两者中较短的期间内计提折旧。</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54" w:right="381"/>
        <w:jc w:val="center"/>
        <w:rPr>
          <w:rFonts w:ascii="Times New Roman" w:hAnsi="Times New Roman" w:cs="Times New Roman" w:eastAsia="Times New Roman" w:hint="default"/>
        </w:rPr>
      </w:pPr>
      <w:r>
        <w:rPr/>
        <w:t>公司固定资产折旧采用直线法计算</w:t>
      </w:r>
      <w:r>
        <w:rPr>
          <w:rFonts w:ascii="Times New Roman" w:hAnsi="Times New Roman" w:cs="Times New Roman" w:eastAsia="Times New Roman" w:hint="default"/>
        </w:rPr>
        <w:t>,</w:t>
      </w:r>
      <w:r>
        <w:rPr/>
        <w:t>预计净残值率为</w:t>
      </w:r>
      <w:r>
        <w:rPr>
          <w:rFonts w:ascii="Times New Roman" w:hAnsi="Times New Roman" w:cs="Times New Roman" w:eastAsia="Times New Roman" w:hint="default"/>
        </w:rPr>
        <w:t>3%-5%;</w:t>
      </w:r>
      <w:r>
        <w:rPr/>
        <w:t>并按固定资产类别确定其使用年限</w:t>
      </w:r>
      <w:r>
        <w:rPr>
          <w:rFonts w:ascii="Times New Roman" w:hAnsi="Times New Roman" w:cs="Times New Roman" w:eastAsia="Times New Roman" w:hint="default"/>
        </w:rPr>
        <w:t>,</w:t>
      </w:r>
      <w:r>
        <w:rPr/>
        <w:t>其分类及折旧率如下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518"/>
        <w:gridCol w:w="2105"/>
        <w:gridCol w:w="2220"/>
        <w:gridCol w:w="2727"/>
      </w:tblGrid>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4-10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3-5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0"/>
                <w:szCs w:val="20"/>
              </w:rPr>
            </w:pPr>
            <w:r>
              <w:rPr>
                <w:rFonts w:ascii="Times New Roman"/>
                <w:sz w:val="20"/>
              </w:rPr>
              <w:t>9.5-24.25</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按节能效益分享期</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 w:right="0"/>
              <w:jc w:val="center"/>
              <w:rPr>
                <w:rFonts w:ascii="Times New Roman" w:hAnsi="Times New Roman" w:cs="Times New Roman" w:eastAsia="Times New Roman" w:hint="default"/>
                <w:sz w:val="20"/>
                <w:szCs w:val="20"/>
              </w:rPr>
            </w:pPr>
            <w:r>
              <w:rPr>
                <w:rFonts w:ascii="Times New Roman"/>
                <w:sz w:val="20"/>
              </w:rPr>
              <w:t>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固定资产减值准备的计提按照资产减值核算方法处理。固定资产减值损失一经确认在以后会计期间不再转回，当该项资产处</w:t>
      </w:r>
      <w:r>
        <w:rPr>
          <w:spacing w:val="-64"/>
        </w:rPr>
        <w:t> </w:t>
      </w:r>
      <w:r>
        <w:rPr>
          <w:spacing w:val="-64"/>
        </w:rPr>
      </w:r>
      <w:r>
        <w:rPr/>
        <w:t>置时予以转出。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335" w:right="0"/>
        <w:jc w:val="left"/>
        <w:rPr>
          <w:rFonts w:ascii="Microsoft JhengHei" w:hAnsi="Microsoft JhengHei" w:cs="Microsoft JhengHei" w:eastAsia="Microsoft JhengHei" w:hint="default"/>
        </w:rPr>
      </w:pPr>
      <w:r>
        <w:rPr/>
        <w:t>本公司在建工程按实际成本计量</w:t>
      </w:r>
      <w:r>
        <w:rPr>
          <w:rFonts w:ascii="Times New Roman" w:hAnsi="Times New Roman" w:cs="Times New Roman" w:eastAsia="Times New Roman" w:hint="default"/>
        </w:rPr>
        <w:t>,</w:t>
      </w:r>
      <w:r>
        <w:rPr/>
        <w:t>按立项项目分类核算</w:t>
      </w:r>
      <w:r>
        <w:rPr>
          <w:rFonts w:ascii="Microsoft JhengHei" w:hAnsi="Microsoft JhengHei" w:cs="Microsoft JhengHei" w:eastAsia="Microsoft JhengHei" w:hint="default"/>
        </w:rPr>
        <w:t>｡</w:t>
      </w:r>
    </w:p>
    <w:p>
      <w:pPr>
        <w:spacing w:line="240" w:lineRule="auto" w:before="9"/>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0"/>
        <w:jc w:val="left"/>
      </w:pPr>
      <w:r>
        <w:rPr/>
        <w:t>在建工程按照实际发生的支出确定其工程成本，支出分项目核算，并在工程达到预定可使用状态时结转为固定资产。尚</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未办理竣工决算的，从在建工程达到预定可使用状态之日起，根据工程预算、造价或工程实际成本等暂估转入固定资产，按</w:t>
      </w:r>
      <w:r>
        <w:rPr>
          <w:spacing w:val="-66"/>
        </w:rPr>
        <w:t> </w:t>
      </w:r>
      <w:r>
        <w:rPr>
          <w:spacing w:val="-66"/>
        </w:rPr>
      </w:r>
      <w:r>
        <w:rPr/>
        <w:t>照同类固定资产的折旧政策计提折旧，并停止利息资本化。</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在建工程减值准备的计提按照资产减值核算方法处理，在建工程减值损失一经确认，在以后会计期间不再转回。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①</w:t>
      </w:r>
      <w:r>
        <w:rPr>
          <w:spacing w:val="-18"/>
        </w:rPr>
        <w:t> </w:t>
      </w:r>
      <w:r>
        <w:rPr/>
        <w:t>资产支出已经发生。</w:t>
      </w:r>
    </w:p>
    <w:p>
      <w:pPr>
        <w:pStyle w:val="BodyText"/>
        <w:spacing w:line="240" w:lineRule="auto" w:before="76"/>
        <w:ind w:left="573" w:right="0"/>
        <w:jc w:val="left"/>
      </w:pPr>
      <w:r>
        <w:rPr/>
        <w:t>②</w:t>
      </w:r>
      <w:r>
        <w:rPr>
          <w:spacing w:val="-18"/>
        </w:rPr>
        <w:t> </w:t>
      </w:r>
      <w:r>
        <w:rPr/>
        <w:t>借款费用已经发生。</w:t>
      </w:r>
    </w:p>
    <w:p>
      <w:pPr>
        <w:pStyle w:val="BodyText"/>
        <w:spacing w:line="240" w:lineRule="auto" w:before="76"/>
        <w:ind w:left="573" w:right="0"/>
        <w:jc w:val="left"/>
      </w:pPr>
      <w:r>
        <w:rPr/>
        <w:t>③</w:t>
      </w:r>
      <w:r>
        <w:rPr>
          <w:spacing w:val="-18"/>
        </w:rPr>
        <w:t> </w:t>
      </w:r>
      <w:r>
        <w:rPr/>
        <w:t>为使资产达到预定可使用或者可销售状态所必要的构建或者生产活动已经开始。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573" w:right="0"/>
        <w:jc w:val="left"/>
        <w:rPr>
          <w:rFonts w:ascii="Microsoft JhengHei" w:hAnsi="Microsoft JhengHei" w:cs="Microsoft JhengHei" w:eastAsia="Microsoft JhengHei" w:hint="default"/>
        </w:rPr>
      </w:pPr>
      <w:r>
        <w:rPr/>
        <w:t>资本化期间是指从借款费用开始资本化时点到停止资本化时点的期间</w:t>
      </w:r>
      <w:r>
        <w:rPr>
          <w:rFonts w:ascii="Times New Roman" w:hAnsi="Times New Roman" w:cs="Times New Roman" w:eastAsia="Times New Roman" w:hint="default"/>
        </w:rPr>
        <w:t>,</w:t>
      </w:r>
      <w:r>
        <w:rPr/>
        <w:t>借款费用暂停资本化的期间不包括在内</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left="297" w:right="0"/>
        <w:jc w:val="left"/>
        <w:rPr>
          <w:rFonts w:ascii="Microsoft JhengHei" w:hAnsi="Microsoft JhengHei" w:cs="Microsoft JhengHei" w:eastAsia="Microsoft JhengHei" w:hint="default"/>
        </w:rPr>
      </w:pPr>
      <w:r>
        <w:rPr/>
        <w:t>符合资本化条件的资产在构建或生产过程中发生非正常中断</w:t>
      </w:r>
      <w:r>
        <w:rPr>
          <w:rFonts w:ascii="Microsoft JhengHei" w:hAnsi="Microsoft JhengHei" w:cs="Microsoft JhengHei" w:eastAsia="Microsoft JhengHei" w:hint="default"/>
        </w:rPr>
        <w:t>､且中断期间连续超过</w:t>
      </w:r>
      <w:r>
        <w:rPr>
          <w:rFonts w:ascii="Times New Roman" w:hAnsi="Times New Roman" w:cs="Times New Roman" w:eastAsia="Times New Roman" w:hint="default"/>
        </w:rPr>
        <w:t>3</w:t>
      </w:r>
      <w:r>
        <w:rPr/>
        <w:t>个月的</w:t>
      </w:r>
      <w:r>
        <w:rPr>
          <w:rFonts w:ascii="Times New Roman" w:hAnsi="Times New Roman" w:cs="Times New Roman" w:eastAsia="Times New Roman" w:hint="default"/>
        </w:rPr>
        <w:t>,</w:t>
      </w:r>
      <w:r>
        <w:rPr/>
        <w:t>暂停借款费用资本化</w:t>
      </w:r>
      <w:r>
        <w:rPr>
          <w:rFonts w:ascii="Microsoft JhengHei" w:hAnsi="Microsoft JhengHei" w:cs="Microsoft JhengHei" w:eastAsia="Microsoft JhengHei" w:hint="default"/>
        </w:rPr>
        <w:t>｡</w:t>
      </w:r>
    </w:p>
    <w:p>
      <w:pPr>
        <w:spacing w:line="240" w:lineRule="auto" w:before="9"/>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9" w:firstLine="420"/>
        <w:jc w:val="left"/>
        <w:rPr>
          <w:rFonts w:ascii="Microsoft JhengHei" w:hAnsi="Microsoft JhengHei" w:cs="Microsoft JhengHei" w:eastAsia="Microsoft JhengHei" w:hint="default"/>
        </w:rPr>
      </w:pPr>
      <w:r>
        <w:rPr/>
        <w:t>①</w:t>
      </w:r>
      <w:r>
        <w:rPr>
          <w:spacing w:val="25"/>
        </w:rPr>
        <w:t> </w:t>
      </w:r>
      <w:r>
        <w:rPr/>
        <w:t>为构建或生产符合资本化条件的资产而借入的专门借款</w:t>
      </w:r>
      <w:r>
        <w:rPr>
          <w:rFonts w:ascii="Times New Roman" w:hAnsi="Times New Roman" w:cs="Times New Roman" w:eastAsia="Times New Roman" w:hint="default"/>
        </w:rPr>
        <w:t>,</w:t>
      </w:r>
      <w:r>
        <w:rPr/>
        <w:t>以专门借款当期实际发生的利息费用</w:t>
      </w:r>
      <w:r>
        <w:rPr>
          <w:rFonts w:ascii="Times New Roman" w:hAnsi="Times New Roman" w:cs="Times New Roman" w:eastAsia="Times New Roman" w:hint="default"/>
        </w:rPr>
        <w:t>,</w:t>
      </w:r>
      <w:r>
        <w:rPr/>
        <w:t>减去将尚未动用的借 款资金存入银行取得的利息收入或进行暂时性投资取得的投资收益后的金额确定</w:t>
      </w:r>
      <w:r>
        <w:rPr>
          <w:rFonts w:ascii="Microsoft JhengHei" w:hAnsi="Microsoft JhengHei" w:cs="Microsoft JhengHei" w:eastAsia="Microsoft JhengHei" w:hint="default"/>
        </w:rPr>
        <w:t>｡</w:t>
      </w:r>
    </w:p>
    <w:p>
      <w:pPr>
        <w:pStyle w:val="BodyText"/>
        <w:spacing w:line="240" w:lineRule="auto" w:before="60"/>
        <w:ind w:right="0" w:firstLine="420"/>
        <w:jc w:val="left"/>
        <w:rPr>
          <w:rFonts w:ascii="Microsoft JhengHei" w:hAnsi="Microsoft JhengHei" w:cs="Microsoft JhengHei" w:eastAsia="Microsoft JhengHei" w:hint="default"/>
        </w:rPr>
      </w:pPr>
      <w:r>
        <w:rPr/>
        <w:t>②</w:t>
      </w:r>
      <w:r>
        <w:rPr>
          <w:spacing w:val="59"/>
        </w:rPr>
        <w:t> </w:t>
      </w:r>
      <w:r>
        <w:rPr/>
        <w:t>为构建或生产符合资本化条件的资产而占用了一般借款</w:t>
      </w:r>
      <w:r>
        <w:rPr>
          <w:rFonts w:ascii="Times New Roman" w:hAnsi="Times New Roman" w:cs="Times New Roman" w:eastAsia="Times New Roman" w:hint="default"/>
        </w:rPr>
        <w:t>,</w:t>
      </w:r>
      <w:r>
        <w:rPr/>
        <w:t>根据累计资产支出超过专门借款部分的资产支出加权平均</w:t>
      </w:r>
      <w:r>
        <w:rPr>
          <w:spacing w:val="2"/>
        </w:rPr>
        <w:t> </w:t>
      </w:r>
      <w:r>
        <w:rPr/>
        <w:t>数乘以所占用一般借款的资本化率</w:t>
      </w:r>
      <w:r>
        <w:rPr>
          <w:rFonts w:ascii="Times New Roman" w:hAnsi="Times New Roman" w:cs="Times New Roman" w:eastAsia="Times New Roman" w:hint="default"/>
        </w:rPr>
        <w:t>,</w:t>
      </w:r>
      <w:r>
        <w:rPr/>
        <w:t>计算确定一般借款应予资本化的金额</w:t>
      </w:r>
      <w:r>
        <w:rPr>
          <w:rFonts w:ascii="Microsoft JhengHei" w:hAnsi="Microsoft JhengHei" w:cs="Microsoft JhengHei" w:eastAsia="Microsoft JhengHei" w:hint="default"/>
        </w:rPr>
        <w:t>｡资本化率根据一般借款的加权平均利率计算确定｡</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97" w:firstLine="72"/>
        <w:jc w:val="left"/>
        <w:rPr>
          <w:rFonts w:ascii="Microsoft JhengHei" w:hAnsi="Microsoft JhengHei" w:cs="Microsoft JhengHei" w:eastAsia="Microsoft JhengHei" w:hint="default"/>
        </w:rPr>
      </w:pPr>
      <w:r>
        <w:rPr/>
        <w:t>无形资产是指公司拥有或实际控制的没有实物形态的可辨认非货币性资产</w:t>
      </w:r>
      <w:r>
        <w:rPr>
          <w:rFonts w:ascii="Times New Roman" w:hAnsi="Times New Roman" w:cs="Times New Roman" w:eastAsia="Times New Roman" w:hint="default"/>
        </w:rPr>
        <w:t>,</w:t>
      </w:r>
      <w:r>
        <w:rPr/>
        <w:t>只有与无形资产有关的经济利益很可能流入公 司</w:t>
      </w:r>
      <w:r>
        <w:rPr>
          <w:rFonts w:ascii="Times New Roman" w:hAnsi="Times New Roman" w:cs="Times New Roman" w:eastAsia="Times New Roman" w:hint="default"/>
        </w:rPr>
        <w:t>,</w:t>
      </w:r>
      <w:r>
        <w:rPr/>
        <w:t>同时该无形资产的成本能够可靠计量时</w:t>
      </w:r>
      <w:r>
        <w:rPr>
          <w:rFonts w:ascii="Times New Roman" w:hAnsi="Times New Roman" w:cs="Times New Roman" w:eastAsia="Times New Roman" w:hint="default"/>
        </w:rPr>
        <w:t>,</w:t>
      </w:r>
      <w:r>
        <w:rPr/>
        <w:t>无形资产才予以确认</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20"/>
        <w:jc w:val="left"/>
      </w:pPr>
      <w:r>
        <w:rPr/>
        <w:t>公司取得的土地使用权按取得时的实际成本进行初始计量；企业取得的非专利技术按照双方协议确定的价格进行初始 计量。</w:t>
      </w:r>
    </w:p>
    <w:p>
      <w:pPr>
        <w:pStyle w:val="BodyText"/>
        <w:spacing w:line="316" w:lineRule="auto" w:before="19"/>
        <w:ind w:right="0" w:firstLine="420"/>
        <w:jc w:val="left"/>
      </w:pPr>
      <w:r>
        <w:rPr/>
        <w:t>公司于取得无形资产时，估计该使用寿命的年限或者构成使用寿命的产量等类似计量单位数量，以确定无形资产的使 用寿命。</w:t>
      </w:r>
    </w:p>
    <w:p>
      <w:pPr>
        <w:pStyle w:val="BodyText"/>
        <w:spacing w:line="316" w:lineRule="auto" w:before="19"/>
        <w:ind w:right="0" w:firstLine="420"/>
        <w:jc w:val="left"/>
      </w:pPr>
      <w:r>
        <w:rPr/>
        <w:t>来源于合同性权利或其他法定权利的无形资产，其使用寿命不超过合同性权利或其他法定权利的期限；合同或法律没 有规定使用寿命的，公司综合各方面的因素判断，确定无形资产为公司带来经济利益的期限。</w:t>
      </w: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0"/>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573" w:right="0"/>
        <w:jc w:val="left"/>
        <w:rPr>
          <w:rFonts w:ascii="Microsoft JhengHei" w:hAnsi="Microsoft JhengHei" w:cs="Microsoft JhengHei" w:eastAsia="Microsoft JhengHei" w:hint="default"/>
        </w:rPr>
      </w:pPr>
      <w:r>
        <w:rPr/>
        <w:t>按照上述方法</w:t>
      </w:r>
      <w:r>
        <w:rPr>
          <w:rFonts w:ascii="Times New Roman" w:hAnsi="Times New Roman" w:cs="Times New Roman" w:eastAsia="Times New Roman" w:hint="default"/>
        </w:rPr>
        <w:t>(2)</w:t>
      </w:r>
      <w:r>
        <w:rPr/>
        <w:t>仍无法合理确定无形资产为公司带来经济利益的期限的</w:t>
      </w:r>
      <w:r>
        <w:rPr>
          <w:rFonts w:ascii="Times New Roman" w:hAnsi="Times New Roman" w:cs="Times New Roman" w:eastAsia="Times New Roman" w:hint="default"/>
        </w:rPr>
        <w:t>,</w:t>
      </w:r>
      <w:r>
        <w:rPr/>
        <w:t>该无形资产视为使用寿命不确定的无形资产</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rPr>
          <w:rFonts w:ascii="Times New Roman" w:hAnsi="Times New Roman" w:cs="Times New Roman" w:eastAsia="Times New Roman" w:hint="default"/>
        </w:rPr>
      </w:pPr>
      <w:r>
        <w:rPr/>
        <w:t>公司内部研究开发项目开发阶段的支出</w:t>
      </w:r>
      <w:r>
        <w:rPr>
          <w:rFonts w:ascii="Times New Roman" w:hAnsi="Times New Roman" w:cs="Times New Roman" w:eastAsia="Times New Roman" w:hint="default"/>
        </w:rPr>
        <w:t>,</w:t>
      </w:r>
      <w:r>
        <w:rPr/>
        <w:t>同时满足下列条件的</w:t>
      </w:r>
      <w:r>
        <w:rPr>
          <w:rFonts w:ascii="Times New Roman" w:hAnsi="Times New Roman" w:cs="Times New Roman" w:eastAsia="Times New Roman" w:hint="default"/>
        </w:rPr>
        <w:t>,</w:t>
      </w:r>
      <w:r>
        <w:rPr/>
        <w:t>才能确认为无形资产</w:t>
      </w:r>
      <w:r>
        <w:rPr>
          <w:rFonts w:ascii="Times New Roman" w:hAnsi="Times New Roman" w:cs="Times New Roman" w:eastAsia="Times New Roman" w:hint="default"/>
        </w:rPr>
        <w:t>:</w:t>
      </w:r>
    </w:p>
    <w:p>
      <w:pPr>
        <w:pStyle w:val="BodyText"/>
        <w:spacing w:line="240" w:lineRule="auto" w:before="63"/>
        <w:ind w:left="573" w:right="0"/>
        <w:jc w:val="left"/>
        <w:rPr>
          <w:rFonts w:ascii="Times New Roman" w:hAnsi="Times New Roman" w:cs="Times New Roman" w:eastAsia="Times New Roman" w:hint="default"/>
        </w:rPr>
      </w:pPr>
      <w:r>
        <w:rPr/>
        <w:t>①完成该无形资产以使其能够使用或出售在技术上具有可行性</w:t>
      </w:r>
      <w:r>
        <w:rPr>
          <w:rFonts w:ascii="Times New Roman" w:hAnsi="Times New Roman" w:cs="Times New Roman" w:eastAsia="Times New Roman" w:hint="default"/>
        </w:rPr>
        <w:t>;</w:t>
      </w:r>
    </w:p>
    <w:p>
      <w:pPr>
        <w:pStyle w:val="BodyText"/>
        <w:spacing w:line="240" w:lineRule="auto" w:before="63"/>
        <w:ind w:left="573" w:right="0"/>
        <w:jc w:val="left"/>
        <w:rPr>
          <w:rFonts w:ascii="Times New Roman" w:hAnsi="Times New Roman" w:cs="Times New Roman" w:eastAsia="Times New Roman" w:hint="default"/>
        </w:rPr>
      </w:pPr>
      <w:r>
        <w:rPr/>
        <w:t>②具有完成该无形资产并使用或出售的意图</w:t>
      </w:r>
      <w:r>
        <w:rPr>
          <w:rFonts w:ascii="Times New Roman" w:hAnsi="Times New Roman" w:cs="Times New Roman" w:eastAsia="Times New Roman" w:hint="default"/>
        </w:rPr>
        <w:t>;</w:t>
      </w:r>
    </w:p>
    <w:p>
      <w:pPr>
        <w:pStyle w:val="BodyText"/>
        <w:spacing w:line="300" w:lineRule="auto" w:before="63"/>
        <w:ind w:right="0" w:firstLine="420"/>
        <w:jc w:val="left"/>
        <w:rPr>
          <w:rFonts w:ascii="Times New Roman" w:hAnsi="Times New Roman" w:cs="Times New Roman" w:eastAsia="Times New Roman" w:hint="default"/>
        </w:rPr>
      </w:pPr>
      <w:r>
        <w:rPr>
          <w:spacing w:val="2"/>
        </w:rPr>
        <w:t>③无形资产产生经济利益的方式</w:t>
      </w:r>
      <w:r>
        <w:rPr>
          <w:rFonts w:ascii="Times New Roman" w:hAnsi="Times New Roman" w:cs="Times New Roman" w:eastAsia="Times New Roman" w:hint="default"/>
          <w:spacing w:val="2"/>
        </w:rPr>
        <w:t>,</w:t>
      </w:r>
      <w:r>
        <w:rPr>
          <w:spacing w:val="2"/>
        </w:rPr>
        <w:t>包括能够证明运用该无形资产生产的产品存在市场或无形资产自身存在市场</w:t>
      </w:r>
      <w:r>
        <w:rPr>
          <w:rFonts w:ascii="Times New Roman" w:hAnsi="Times New Roman" w:cs="Times New Roman" w:eastAsia="Times New Roman" w:hint="default"/>
          <w:spacing w:val="2"/>
        </w:rPr>
        <w:t>,</w:t>
      </w:r>
      <w:r>
        <w:rPr>
          <w:spacing w:val="2"/>
        </w:rPr>
        <w:t>无形资 </w:t>
      </w:r>
      <w:r>
        <w:rPr/>
        <w:t>产将在内部使用的</w:t>
      </w:r>
      <w:r>
        <w:rPr>
          <w:rFonts w:ascii="Times New Roman" w:hAnsi="Times New Roman" w:cs="Times New Roman" w:eastAsia="Times New Roman" w:hint="default"/>
        </w:rPr>
        <w:t>,</w:t>
      </w:r>
      <w:r>
        <w:rPr/>
        <w:t>应当证明其有用性</w:t>
      </w:r>
      <w:r>
        <w:rPr>
          <w:rFonts w:ascii="Times New Roman" w:hAnsi="Times New Roman" w:cs="Times New Roman" w:eastAsia="Times New Roman" w:hint="default"/>
        </w:rPr>
        <w:t>;</w:t>
      </w:r>
    </w:p>
    <w:p>
      <w:pPr>
        <w:pStyle w:val="BodyText"/>
        <w:spacing w:line="264" w:lineRule="exact"/>
        <w:ind w:left="573" w:right="0"/>
        <w:jc w:val="left"/>
        <w:rPr>
          <w:rFonts w:ascii="Times New Roman" w:hAnsi="Times New Roman" w:cs="Times New Roman" w:eastAsia="Times New Roman" w:hint="default"/>
        </w:rPr>
      </w:pPr>
      <w:r>
        <w:rPr/>
        <w:t>④有足够的技术</w:t>
      </w:r>
      <w:r>
        <w:rPr>
          <w:rFonts w:ascii="Microsoft JhengHei" w:hAnsi="Microsoft JhengHei" w:cs="Microsoft JhengHei" w:eastAsia="Microsoft JhengHei" w:hint="default"/>
        </w:rPr>
        <w:t>､</w:t>
      </w:r>
      <w:r>
        <w:rPr/>
        <w:t>财务资源和其他资源支持</w:t>
      </w:r>
      <w:r>
        <w:rPr>
          <w:rFonts w:ascii="Times New Roman" w:hAnsi="Times New Roman" w:cs="Times New Roman" w:eastAsia="Times New Roman" w:hint="default"/>
        </w:rPr>
        <w:t>,</w:t>
      </w:r>
      <w:r>
        <w:rPr/>
        <w:t>以完成该无形资产的开发</w:t>
      </w:r>
      <w:r>
        <w:rPr>
          <w:rFonts w:ascii="Times New Roman" w:hAnsi="Times New Roman" w:cs="Times New Roman" w:eastAsia="Times New Roman" w:hint="default"/>
        </w:rPr>
        <w:t>,</w:t>
      </w:r>
      <w:r>
        <w:rPr/>
        <w:t>并有能力使用或出售该无形资产</w:t>
      </w:r>
      <w:r>
        <w:rPr>
          <w:rFonts w:ascii="Times New Roman" w:hAnsi="Times New Roman" w:cs="Times New Roman" w:eastAsia="Times New Roman" w:hint="default"/>
        </w:rPr>
        <w:t>;</w:t>
      </w:r>
    </w:p>
    <w:p>
      <w:pPr>
        <w:pStyle w:val="BodyText"/>
        <w:spacing w:line="313" w:lineRule="exact"/>
        <w:ind w:left="573" w:right="0"/>
        <w:jc w:val="left"/>
        <w:rPr>
          <w:rFonts w:ascii="Microsoft JhengHei" w:hAnsi="Microsoft JhengHei" w:cs="Microsoft JhengHei" w:eastAsia="Microsoft JhengHei" w:hint="default"/>
        </w:rPr>
      </w:pPr>
      <w:r>
        <w:rPr/>
        <w:t>⑤归属于该无形资产开发阶段的支出能够可靠地计量</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0"/>
        <w:rPr>
          <w:rFonts w:ascii="Microsoft JhengHei" w:hAnsi="Microsoft JhengHei" w:cs="Microsoft JhengHei" w:eastAsia="Microsoft JhengHei" w:hint="default"/>
          <w:sz w:val="18"/>
          <w:szCs w:val="18"/>
        </w:rPr>
      </w:pPr>
    </w:p>
    <w:p>
      <w:pPr>
        <w:spacing w:line="240" w:lineRule="auto" w:before="7"/>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358" w:right="2572"/>
        <w:jc w:val="center"/>
        <w:rPr>
          <w:rFonts w:ascii="Microsoft JhengHei" w:hAnsi="Microsoft JhengHei" w:cs="Microsoft JhengHei" w:eastAsia="Microsoft JhengHei" w:hint="default"/>
        </w:rPr>
      </w:pPr>
      <w:r>
        <w:rPr/>
        <w:t>除满足上述（</w:t>
      </w:r>
      <w:r>
        <w:rPr>
          <w:rFonts w:ascii="Times New Roman" w:hAnsi="Times New Roman" w:cs="Times New Roman" w:eastAsia="Times New Roman" w:hint="default"/>
        </w:rPr>
        <w:t>5</w:t>
      </w:r>
      <w:r>
        <w:rPr/>
        <w:t>）条件的开发阶段的支出外</w:t>
      </w:r>
      <w:r>
        <w:rPr>
          <w:rFonts w:ascii="Times New Roman" w:hAnsi="Times New Roman" w:cs="Times New Roman" w:eastAsia="Times New Roman" w:hint="default"/>
        </w:rPr>
        <w:t>,</w:t>
      </w:r>
      <w:r>
        <w:rPr/>
        <w:t>其他研究</w:t>
      </w:r>
      <w:r>
        <w:rPr>
          <w:rFonts w:ascii="Microsoft JhengHei" w:hAnsi="Microsoft JhengHei" w:cs="Microsoft JhengHei" w:eastAsia="Microsoft JhengHei" w:hint="default"/>
        </w:rPr>
        <w:t>､</w:t>
      </w:r>
      <w:r>
        <w:rPr/>
        <w:t>开发支出均于发生时计入当期损益</w:t>
      </w:r>
      <w:r>
        <w:rPr>
          <w:rFonts w:ascii="Microsoft JhengHei" w:hAnsi="Microsoft JhengHei" w:cs="Microsoft JhengHei" w:eastAsia="Microsoft JhengHei" w:hint="default"/>
        </w:rPr>
        <w:t>｡</w:t>
      </w:r>
    </w:p>
    <w:p>
      <w:pPr>
        <w:spacing w:after="0" w:line="240" w:lineRule="auto"/>
        <w:jc w:val="center"/>
        <w:rPr>
          <w:rFonts w:ascii="Microsoft JhengHei" w:hAnsi="Microsoft JhengHei" w:cs="Microsoft JhengHei" w:eastAsia="Microsoft JhengHei" w:hint="default"/>
        </w:rPr>
        <w:sectPr>
          <w:pgSz w:w="11910" w:h="16840"/>
          <w:pgMar w:header="745" w:footer="980" w:top="1060" w:bottom="1160" w:left="980" w:right="980"/>
        </w:sectPr>
      </w:pPr>
    </w:p>
    <w:p>
      <w:pPr>
        <w:spacing w:line="240" w:lineRule="auto" w:before="11"/>
        <w:rPr>
          <w:rFonts w:ascii="Microsoft JhengHei" w:hAnsi="Microsoft JhengHei" w:cs="Microsoft JhengHei" w:eastAsia="Microsoft JhengHei"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88"/>
        <w:jc w:val="left"/>
      </w:pPr>
      <w:r>
        <w:rPr>
          <w:spacing w:val="-1"/>
        </w:rPr>
        <w:t>长期待摊费用包括主要为租入固定资产的改良支出等。租入固定资产改良支出，在租赁使用年限与租赁资产尚可使用年</w:t>
      </w:r>
      <w:r>
        <w:rPr/>
        <w:t> 限孰短的期限内平均摊销；其他长期待摊费用在受益期内平均摊销。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0" w:firstLine="360"/>
        <w:jc w:val="left"/>
        <w:rPr>
          <w:rFonts w:ascii="Microsoft JhengHei" w:hAnsi="Microsoft JhengHei" w:cs="Microsoft JhengHei" w:eastAsia="Microsoft JhengHei" w:hint="default"/>
        </w:rPr>
      </w:pPr>
      <w:r>
        <w:rPr/>
        <w:t>因产品质量保证</w:t>
      </w:r>
      <w:r>
        <w:rPr>
          <w:rFonts w:ascii="Microsoft JhengHei" w:hAnsi="Microsoft JhengHei" w:cs="Microsoft JhengHei" w:eastAsia="Microsoft JhengHei" w:hint="default"/>
        </w:rPr>
        <w:t>､对外提供担保､未决诉讼等事项形成的现时义务</w:t>
      </w:r>
      <w:r>
        <w:rPr>
          <w:rFonts w:ascii="Times New Roman" w:hAnsi="Times New Roman" w:cs="Times New Roman" w:eastAsia="Times New Roman" w:hint="default"/>
        </w:rPr>
        <w:t>,</w:t>
      </w:r>
      <w:r>
        <w:rPr/>
        <w:t>其履行很可能导致经济利益的流出</w:t>
      </w:r>
      <w:r>
        <w:rPr>
          <w:rFonts w:ascii="Times New Roman" w:hAnsi="Times New Roman" w:cs="Times New Roman" w:eastAsia="Times New Roman" w:hint="default"/>
        </w:rPr>
        <w:t>,</w:t>
      </w:r>
      <w:r>
        <w:rPr/>
        <w:t>在该义务的金额 能够可靠计量时</w:t>
      </w:r>
      <w:r>
        <w:rPr>
          <w:rFonts w:ascii="Times New Roman" w:hAnsi="Times New Roman" w:cs="Times New Roman" w:eastAsia="Times New Roman" w:hint="default"/>
        </w:rPr>
        <w:t>,</w:t>
      </w:r>
      <w:r>
        <w:rPr/>
        <w:t>确认为预计负债</w:t>
      </w:r>
      <w:r>
        <w:rPr>
          <w:rFonts w:ascii="Microsoft JhengHei" w:hAnsi="Microsoft JhengHei" w:cs="Microsoft JhengHei" w:eastAsia="Microsoft JhengHei" w:hint="default"/>
        </w:rPr>
        <w:t>｡对于未来经营亏损</w:t>
      </w:r>
      <w:r>
        <w:rPr>
          <w:rFonts w:ascii="Times New Roman" w:hAnsi="Times New Roman" w:cs="Times New Roman" w:eastAsia="Times New Roman" w:hint="default"/>
        </w:rPr>
        <w:t>,</w:t>
      </w:r>
      <w:r>
        <w:rPr/>
        <w:t>不确认预计负债</w:t>
      </w:r>
      <w:r>
        <w:rPr>
          <w:rFonts w:ascii="Microsoft JhengHei" w:hAnsi="Microsoft JhengHei" w:cs="Microsoft JhengHei" w:eastAsia="Microsoft JhengHei" w:hint="default"/>
        </w:rPr>
        <w:t>｡</w:t>
      </w:r>
    </w:p>
    <w:p>
      <w:pPr>
        <w:pStyle w:val="BodyText"/>
        <w:spacing w:line="240" w:lineRule="auto"/>
        <w:ind w:right="242" w:firstLine="468"/>
        <w:jc w:val="both"/>
        <w:rPr>
          <w:rFonts w:ascii="Microsoft JhengHei" w:hAnsi="Microsoft JhengHei" w:cs="Microsoft JhengHei" w:eastAsia="Microsoft JhengHei" w:hint="default"/>
        </w:rPr>
      </w:pPr>
      <w:r>
        <w:rPr/>
        <w:t>预计负债按照履行相关现时义务所需支出的最佳估计数进行初始计量</w:t>
      </w:r>
      <w:r>
        <w:rPr>
          <w:rFonts w:ascii="Times New Roman" w:hAnsi="Times New Roman" w:cs="Times New Roman" w:eastAsia="Times New Roman" w:hint="default"/>
        </w:rPr>
        <w:t>,</w:t>
      </w:r>
      <w:r>
        <w:rPr/>
        <w:t>并综合考虑与或有事项有关的风险</w:t>
      </w:r>
      <w:r>
        <w:rPr>
          <w:rFonts w:ascii="Microsoft JhengHei" w:hAnsi="Microsoft JhengHei" w:cs="Microsoft JhengHei" w:eastAsia="Microsoft JhengHei" w:hint="default"/>
        </w:rPr>
        <w:t>､不确定性</w:t>
      </w:r>
      <w:r>
        <w:rPr>
          <w:rFonts w:ascii="Microsoft JhengHei" w:hAnsi="Microsoft JhengHei" w:cs="Microsoft JhengHei" w:eastAsia="Microsoft JhengHei" w:hint="default"/>
          <w:w w:val="111"/>
        </w:rPr>
        <w:t> </w:t>
      </w:r>
      <w:r>
        <w:rPr>
          <w:rFonts w:ascii="Microsoft JhengHei" w:hAnsi="Microsoft JhengHei" w:cs="Microsoft JhengHei" w:eastAsia="Microsoft JhengHei" w:hint="default"/>
        </w:rPr>
        <w:t>和货币时间价值等因素｡货币时间价值影响重大的</w:t>
      </w:r>
      <w:r>
        <w:rPr>
          <w:rFonts w:ascii="Times New Roman" w:hAnsi="Times New Roman" w:cs="Times New Roman" w:eastAsia="Times New Roman" w:hint="default"/>
        </w:rPr>
        <w:t>,</w:t>
      </w:r>
      <w:r>
        <w:rPr/>
        <w:t>通过对相关未来现金流出进行折现后确定最佳估计数</w:t>
      </w:r>
      <w:r>
        <w:rPr>
          <w:rFonts w:ascii="Times New Roman" w:hAnsi="Times New Roman" w:cs="Times New Roman" w:eastAsia="Times New Roman" w:hint="default"/>
        </w:rPr>
        <w:t>;</w:t>
      </w:r>
      <w:r>
        <w:rPr/>
        <w:t>因随着时间推移所</w:t>
      </w:r>
      <w:r>
        <w:rPr>
          <w:spacing w:val="-87"/>
        </w:rPr>
        <w:t> </w:t>
      </w:r>
      <w:r>
        <w:rPr/>
        <w:t>进行的折现还原而导致的预计负债账面价值的增加金额</w:t>
      </w:r>
      <w:r>
        <w:rPr>
          <w:rFonts w:ascii="Times New Roman" w:hAnsi="Times New Roman" w:cs="Times New Roman" w:eastAsia="Times New Roman" w:hint="default"/>
        </w:rPr>
        <w:t>,</w:t>
      </w:r>
      <w:r>
        <w:rPr/>
        <w:t>确认为利息费用</w:t>
      </w:r>
      <w:r>
        <w:rPr>
          <w:rFonts w:ascii="Microsoft JhengHei" w:hAnsi="Microsoft JhengHei" w:cs="Microsoft JhengHei" w:eastAsia="Microsoft JhengHei" w:hint="default"/>
        </w:rPr>
        <w:t>｡于资产负债表日</w:t>
      </w:r>
      <w:r>
        <w:rPr>
          <w:rFonts w:ascii="Times New Roman" w:hAnsi="Times New Roman" w:cs="Times New Roman" w:eastAsia="Times New Roman" w:hint="default"/>
        </w:rPr>
        <w:t>,</w:t>
      </w:r>
      <w:r>
        <w:rPr/>
        <w:t>对预计负债的账面价值进行复核 并作适当调整</w:t>
      </w:r>
      <w:r>
        <w:rPr>
          <w:rFonts w:ascii="Times New Roman" w:hAnsi="Times New Roman" w:cs="Times New Roman" w:eastAsia="Times New Roman" w:hint="default"/>
        </w:rPr>
        <w:t>,</w:t>
      </w:r>
      <w:r>
        <w:rPr/>
        <w:t>以反映当前的最佳估计数</w:t>
      </w:r>
      <w:r>
        <w:rPr>
          <w:rFonts w:ascii="Microsoft JhengHei" w:hAnsi="Microsoft JhengHei" w:cs="Microsoft JhengHei" w:eastAsia="Microsoft JhengHei" w:hint="default"/>
        </w:rPr>
        <w:t>｡</w:t>
      </w:r>
    </w:p>
    <w:p>
      <w:pPr>
        <w:spacing w:line="240" w:lineRule="auto" w:before="9"/>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364" w:right="0"/>
        <w:jc w:val="left"/>
        <w:rPr>
          <w:rFonts w:ascii="Times New Roman" w:hAnsi="Times New Roman" w:cs="Times New Roman" w:eastAsia="Times New Roman" w:hint="default"/>
        </w:rPr>
      </w:pPr>
      <w:r>
        <w:rPr>
          <w:w w:val="105"/>
        </w:rPr>
        <w:t>公司预计负债确认原则</w:t>
      </w:r>
      <w:r>
        <w:rPr>
          <w:rFonts w:ascii="Times New Roman" w:hAnsi="Times New Roman" w:cs="Times New Roman" w:eastAsia="Times New Roman" w:hint="default"/>
          <w:w w:val="105"/>
        </w:rPr>
        <w:t>:</w:t>
      </w:r>
      <w:r>
        <w:rPr>
          <w:w w:val="105"/>
        </w:rPr>
        <w:t>当对外担保</w:t>
      </w:r>
      <w:r>
        <w:rPr>
          <w:rFonts w:ascii="Microsoft JhengHei" w:hAnsi="Microsoft JhengHei" w:cs="Microsoft JhengHei" w:eastAsia="Microsoft JhengHei" w:hint="default"/>
          <w:w w:val="105"/>
        </w:rPr>
        <w:t>､</w:t>
      </w:r>
      <w:r>
        <w:rPr>
          <w:w w:val="105"/>
        </w:rPr>
        <w:t>未决诉讼或仲裁</w:t>
      </w:r>
      <w:r>
        <w:rPr>
          <w:rFonts w:ascii="Microsoft JhengHei" w:hAnsi="Microsoft JhengHei" w:cs="Microsoft JhengHei" w:eastAsia="Microsoft JhengHei" w:hint="default"/>
          <w:w w:val="105"/>
        </w:rPr>
        <w:t>､</w:t>
      </w:r>
      <w:r>
        <w:rPr>
          <w:w w:val="105"/>
        </w:rPr>
        <w:t>亏损合同等或有事项同时符合以下条件的</w:t>
      </w:r>
      <w:r>
        <w:rPr>
          <w:rFonts w:ascii="Times New Roman" w:hAnsi="Times New Roman" w:cs="Times New Roman" w:eastAsia="Times New Roman" w:hint="default"/>
          <w:w w:val="105"/>
        </w:rPr>
        <w:t>,</w:t>
      </w:r>
      <w:r>
        <w:rPr>
          <w:w w:val="105"/>
        </w:rPr>
        <w:t>确认为预计负债</w:t>
      </w:r>
      <w:r>
        <w:rPr>
          <w:rFonts w:ascii="Times New Roman" w:hAnsi="Times New Roman" w:cs="Times New Roman" w:eastAsia="Times New Roman" w:hint="default"/>
          <w:w w:val="105"/>
        </w:rPr>
        <w:t>:</w:t>
      </w:r>
    </w:p>
    <w:p>
      <w:pPr>
        <w:pStyle w:val="BodyText"/>
        <w:spacing w:line="240" w:lineRule="auto" w:before="60"/>
        <w:ind w:left="364" w:right="0"/>
        <w:jc w:val="left"/>
        <w:rPr>
          <w:rFonts w:ascii="Times New Roman" w:hAnsi="Times New Roman" w:cs="Times New Roman" w:eastAsia="Times New Roman" w:hint="default"/>
        </w:rPr>
      </w:pPr>
      <w:r>
        <w:rPr/>
        <w:t>①该义务是公司承担的现时义务</w:t>
      </w:r>
      <w:r>
        <w:rPr>
          <w:rFonts w:ascii="Times New Roman" w:hAnsi="Times New Roman" w:cs="Times New Roman" w:eastAsia="Times New Roman" w:hint="default"/>
        </w:rPr>
        <w:t>;</w:t>
      </w:r>
    </w:p>
    <w:p>
      <w:pPr>
        <w:pStyle w:val="BodyText"/>
        <w:spacing w:line="240" w:lineRule="auto" w:before="63"/>
        <w:ind w:left="364" w:right="0"/>
        <w:jc w:val="left"/>
        <w:rPr>
          <w:rFonts w:ascii="Times New Roman" w:hAnsi="Times New Roman" w:cs="Times New Roman" w:eastAsia="Times New Roman" w:hint="default"/>
        </w:rPr>
      </w:pPr>
      <w:r>
        <w:rPr/>
        <w:t>②该义务的履行很可能导致经济利益流出公司</w:t>
      </w:r>
      <w:r>
        <w:rPr>
          <w:rFonts w:ascii="Times New Roman" w:hAnsi="Times New Roman" w:cs="Times New Roman" w:eastAsia="Times New Roman" w:hint="default"/>
        </w:rPr>
        <w:t>;</w:t>
      </w:r>
    </w:p>
    <w:p>
      <w:pPr>
        <w:pStyle w:val="BodyText"/>
        <w:spacing w:line="240" w:lineRule="auto"/>
        <w:ind w:left="364" w:right="0"/>
        <w:jc w:val="left"/>
        <w:rPr>
          <w:rFonts w:ascii="Microsoft JhengHei" w:hAnsi="Microsoft JhengHei" w:cs="Microsoft JhengHei" w:eastAsia="Microsoft JhengHei" w:hint="default"/>
        </w:rPr>
      </w:pPr>
      <w:r>
        <w:rPr/>
        <w:t>③该义务的金额能够可靠地计量</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rPr>
          <w:rFonts w:ascii="Microsoft JhengHei" w:hAnsi="Microsoft JhengHei" w:cs="Microsoft JhengHei" w:eastAsia="Microsoft JhengHei" w:hint="default"/>
        </w:rPr>
      </w:pPr>
      <w:r>
        <w:rPr/>
        <w:t>按清偿该或有事项所需支出的最佳估计数计量</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left="515" w:right="0"/>
        <w:jc w:val="left"/>
        <w:rPr>
          <w:rFonts w:ascii="Microsoft JhengHei" w:hAnsi="Microsoft JhengHei" w:cs="Microsoft JhengHei" w:eastAsia="Microsoft JhengHei" w:hint="default"/>
        </w:rPr>
      </w:pPr>
      <w:r>
        <w:rPr/>
        <w:t>公司的股份支付分为以权益结算的股份支付和以现金结算的股份支付</w:t>
      </w:r>
      <w:r>
        <w:rPr>
          <w:rFonts w:ascii="Microsoft JhengHei" w:hAnsi="Microsoft JhengHei" w:cs="Microsoft JhengHei" w:eastAsia="Microsoft JhengHei" w:hint="default"/>
        </w:rPr>
        <w:t>｡</w:t>
      </w:r>
    </w:p>
    <w:p>
      <w:pPr>
        <w:spacing w:line="240" w:lineRule="auto" w:before="7"/>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64" w:lineRule="auto"/>
        <w:ind w:right="199" w:firstLine="576"/>
        <w:jc w:val="both"/>
      </w:pPr>
      <w:r>
        <w:rPr/>
        <w:t>以权益结算的股份支付</w:t>
      </w:r>
      <w:r>
        <w:rPr>
          <w:rFonts w:ascii="Times New Roman" w:hAnsi="Times New Roman" w:cs="Times New Roman" w:eastAsia="Times New Roman" w:hint="default"/>
        </w:rPr>
        <w:t>,</w:t>
      </w:r>
      <w:r>
        <w:rPr/>
        <w:t>以授予职工权益工具的公允价值计量</w:t>
      </w:r>
      <w:r>
        <w:rPr>
          <w:rFonts w:ascii="Times New Roman" w:hAnsi="Times New Roman" w:cs="Times New Roman" w:eastAsia="Times New Roman" w:hint="default"/>
        </w:rPr>
        <w:t>;</w:t>
      </w:r>
      <w:r>
        <w:rPr/>
        <w:t>以现金结算的股份支付</w:t>
      </w:r>
      <w:r>
        <w:rPr>
          <w:rFonts w:ascii="Times New Roman" w:hAnsi="Times New Roman" w:cs="Times New Roman" w:eastAsia="Times New Roman" w:hint="default"/>
        </w:rPr>
        <w:t>,</w:t>
      </w:r>
      <w:r>
        <w:rPr/>
        <w:t>按照公司承担的以股份或其他 权益工具为基础计算确定的负债的公允价值计量</w:t>
      </w:r>
      <w:r>
        <w:rPr>
          <w:rFonts w:ascii="Microsoft JhengHei" w:hAnsi="Microsoft JhengHei" w:cs="Microsoft JhengHei" w:eastAsia="Microsoft JhengHei" w:hint="default"/>
        </w:rPr>
        <w:t>｡</w:t>
      </w:r>
      <w:r>
        <w:rPr/>
        <w:t>对于授予的存在活跃市场的期权等权益工具</w:t>
      </w:r>
      <w:r>
        <w:rPr>
          <w:rFonts w:ascii="Times New Roman" w:hAnsi="Times New Roman" w:cs="Times New Roman" w:eastAsia="Times New Roman" w:hint="default"/>
        </w:rPr>
        <w:t>,</w:t>
      </w:r>
      <w:r>
        <w:rPr/>
        <w:t>按照活跃市场中的报价确定 其公允价值</w:t>
      </w:r>
      <w:r>
        <w:rPr>
          <w:rFonts w:ascii="Times New Roman" w:hAnsi="Times New Roman" w:cs="Times New Roman" w:eastAsia="Times New Roman" w:hint="default"/>
        </w:rPr>
        <w:t>;</w:t>
      </w:r>
      <w:r>
        <w:rPr/>
        <w:t>对于授予的不存在活跃市场的期权等权益工具</w:t>
      </w:r>
      <w:r>
        <w:rPr>
          <w:rFonts w:ascii="Times New Roman" w:hAnsi="Times New Roman" w:cs="Times New Roman" w:eastAsia="Times New Roman" w:hint="default"/>
        </w:rPr>
        <w:t>,</w:t>
      </w:r>
      <w:r>
        <w:rPr/>
        <w:t>采用期权定价模型等确定其公允价值</w:t>
      </w:r>
      <w:r>
        <w:rPr>
          <w:rFonts w:ascii="Times New Roman" w:hAnsi="Times New Roman" w:cs="Times New Roman" w:eastAsia="Times New Roman" w:hint="default"/>
        </w:rPr>
        <w:t>,</w:t>
      </w:r>
      <w:r>
        <w:rPr/>
        <w:t>选用的期权定价模型考虑</w:t>
      </w:r>
    </w:p>
    <w:p>
      <w:pPr>
        <w:pStyle w:val="BodyText"/>
        <w:spacing w:line="294" w:lineRule="exact"/>
        <w:ind w:right="0"/>
        <w:jc w:val="left"/>
      </w:pPr>
      <w:r>
        <w:rPr>
          <w:w w:val="105"/>
        </w:rPr>
        <w:t>以下因素</w:t>
      </w:r>
      <w:r>
        <w:rPr>
          <w:rFonts w:ascii="Times New Roman" w:hAnsi="Times New Roman" w:cs="Times New Roman" w:eastAsia="Times New Roman" w:hint="default"/>
          <w:w w:val="105"/>
        </w:rPr>
        <w:t>:</w:t>
      </w:r>
      <w:r>
        <w:rPr>
          <w:w w:val="105"/>
        </w:rPr>
        <w:t>期权的行权价格</w:t>
      </w:r>
      <w:r>
        <w:rPr>
          <w:rFonts w:ascii="Microsoft JhengHei" w:hAnsi="Microsoft JhengHei" w:cs="Microsoft JhengHei" w:eastAsia="Microsoft JhengHei" w:hint="default"/>
          <w:w w:val="105"/>
        </w:rPr>
        <w:t>､</w:t>
      </w:r>
      <w:r>
        <w:rPr>
          <w:w w:val="105"/>
        </w:rPr>
        <w:t>期权的有效期</w:t>
      </w:r>
      <w:r>
        <w:rPr>
          <w:rFonts w:ascii="Microsoft JhengHei" w:hAnsi="Microsoft JhengHei" w:cs="Microsoft JhengHei" w:eastAsia="Microsoft JhengHei" w:hint="default"/>
          <w:w w:val="105"/>
        </w:rPr>
        <w:t>､</w:t>
      </w:r>
      <w:r>
        <w:rPr>
          <w:w w:val="105"/>
        </w:rPr>
        <w:t>标的股份的现行价格</w:t>
      </w:r>
      <w:r>
        <w:rPr>
          <w:rFonts w:ascii="Microsoft JhengHei" w:hAnsi="Microsoft JhengHei" w:cs="Microsoft JhengHei" w:eastAsia="Microsoft JhengHei" w:hint="default"/>
          <w:w w:val="105"/>
        </w:rPr>
        <w:t>､</w:t>
      </w:r>
      <w:r>
        <w:rPr>
          <w:w w:val="105"/>
        </w:rPr>
        <w:t>股价预计波动率</w:t>
      </w:r>
      <w:r>
        <w:rPr>
          <w:rFonts w:ascii="Microsoft JhengHei" w:hAnsi="Microsoft JhengHei" w:cs="Microsoft JhengHei" w:eastAsia="Microsoft JhengHei" w:hint="default"/>
          <w:w w:val="105"/>
        </w:rPr>
        <w:t>､</w:t>
      </w:r>
      <w:r>
        <w:rPr>
          <w:w w:val="105"/>
        </w:rPr>
        <w:t>股份的预计股利</w:t>
      </w:r>
      <w:r>
        <w:rPr>
          <w:rFonts w:ascii="Microsoft JhengHei" w:hAnsi="Microsoft JhengHei" w:cs="Microsoft JhengHei" w:eastAsia="Microsoft JhengHei" w:hint="default"/>
          <w:w w:val="105"/>
        </w:rPr>
        <w:t>､</w:t>
      </w:r>
      <w:r>
        <w:rPr>
          <w:w w:val="105"/>
        </w:rPr>
        <w:t>期权有效期内的无</w:t>
      </w:r>
    </w:p>
    <w:p>
      <w:pPr>
        <w:spacing w:after="0" w:line="294" w:lineRule="exact"/>
        <w:jc w:val="left"/>
        <w:sectPr>
          <w:pgSz w:w="11910" w:h="16840"/>
          <w:pgMar w:header="745" w:footer="980" w:top="1060" w:bottom="1160" w:left="980" w:right="980"/>
        </w:sectPr>
      </w:pPr>
    </w:p>
    <w:p>
      <w:pPr>
        <w:spacing w:line="240" w:lineRule="auto" w:before="5"/>
        <w:rPr>
          <w:rFonts w:ascii="宋体" w:hAnsi="宋体" w:cs="宋体" w:eastAsia="宋体" w:hint="default"/>
          <w:sz w:val="25"/>
          <w:szCs w:val="25"/>
        </w:rPr>
      </w:pPr>
    </w:p>
    <w:p>
      <w:pPr>
        <w:pStyle w:val="BodyText"/>
        <w:spacing w:line="300" w:lineRule="exact"/>
        <w:ind w:right="0"/>
        <w:jc w:val="left"/>
        <w:rPr>
          <w:rFonts w:ascii="Microsoft JhengHei" w:hAnsi="Microsoft JhengHei" w:cs="Microsoft JhengHei" w:eastAsia="Microsoft JhengHei" w:hint="default"/>
        </w:rPr>
      </w:pPr>
      <w:r>
        <w:rPr/>
        <w:t>风险利率</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9"/>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4"/>
        <w:jc w:val="left"/>
        <w:rPr>
          <w:rFonts w:ascii="Microsoft JhengHei" w:hAnsi="Microsoft JhengHei" w:cs="Microsoft JhengHei" w:eastAsia="Microsoft JhengHei" w:hint="default"/>
        </w:rPr>
      </w:pPr>
      <w:r>
        <w:rPr/>
        <w:t>在等待期内每个资产负债表日</w:t>
      </w:r>
      <w:r>
        <w:rPr>
          <w:rFonts w:ascii="Times New Roman" w:hAnsi="Times New Roman" w:cs="Times New Roman" w:eastAsia="Times New Roman" w:hint="default"/>
        </w:rPr>
        <w:t>,</w:t>
      </w:r>
      <w:r>
        <w:rPr/>
        <w:t>公司根据最新取得的可行权职工人数变动等后续信息做出最佳估计</w:t>
      </w:r>
      <w:r>
        <w:rPr>
          <w:rFonts w:ascii="Times New Roman" w:hAnsi="Times New Roman" w:cs="Times New Roman" w:eastAsia="Times New Roman" w:hint="default"/>
        </w:rPr>
        <w:t>,</w:t>
      </w:r>
      <w:r>
        <w:rPr/>
        <w:t>修正预计可行权的权益工 具数量</w:t>
      </w:r>
      <w:r>
        <w:rPr>
          <w:rFonts w:ascii="Microsoft JhengHei" w:hAnsi="Microsoft JhengHei" w:cs="Microsoft JhengHei" w:eastAsia="Microsoft JhengHei" w:hint="default"/>
        </w:rPr>
        <w:t>｡</w:t>
      </w:r>
    </w:p>
    <w:p>
      <w:pPr>
        <w:spacing w:line="240" w:lineRule="auto" w:before="7"/>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288"/>
        <w:jc w:val="left"/>
      </w:pPr>
      <w:r>
        <w:rPr/>
        <w:t>销售商品收入的确认原则①公司已将商品所有权上的主要风险和报酬转移给购货方；②公司既没有保留通常与所有权相 </w:t>
      </w:r>
      <w:r>
        <w:rPr>
          <w:spacing w:val="-2"/>
        </w:rPr>
        <w:t>联系的继续管理权，也没有对已售出的商品实施有效控制；③收入的金额能够可靠地计量；④相关的经济利益很可能流入公</w:t>
      </w:r>
      <w:r>
        <w:rPr>
          <w:spacing w:val="-63"/>
        </w:rPr>
        <w:t> </w:t>
      </w:r>
      <w:r>
        <w:rPr>
          <w:spacing w:val="-63"/>
        </w:rPr>
      </w:r>
      <w:r>
        <w:rPr>
          <w:spacing w:val="-2"/>
        </w:rPr>
        <w:t>司；⑤相关的已发生或将发生的成本能够可靠地计量。在具体业务中，公司根据合同内容的不同，对于一般销售项目，根据</w:t>
      </w:r>
      <w:r>
        <w:rPr>
          <w:spacing w:val="-67"/>
        </w:rPr>
        <w:t> </w:t>
      </w:r>
      <w:r>
        <w:rPr>
          <w:spacing w:val="-67"/>
        </w:rPr>
      </w:r>
      <w:r>
        <w:rPr>
          <w:spacing w:val="-4"/>
        </w:rPr>
        <w:t>合同约定公司只负指导安装的职责，在货物运至合同规定的交货地点，并得到对方的验收后，开具销售发票，确认销售收入；</w:t>
      </w:r>
      <w:r>
        <w:rPr>
          <w:spacing w:val="-46"/>
        </w:rPr>
        <w:t> </w:t>
      </w:r>
      <w:r>
        <w:rPr>
          <w:spacing w:val="-46"/>
        </w:rPr>
      </w:r>
      <w:r>
        <w:rPr>
          <w:spacing w:val="-2"/>
        </w:rPr>
        <w:t>对大包项目（公司负责安装并完成试运行），在货物发出且运至合同规定的交货地点，验收合格后安装且试运行结束后，开</w:t>
      </w:r>
      <w:r>
        <w:rPr>
          <w:spacing w:val="-67"/>
        </w:rPr>
        <w:t> </w:t>
      </w:r>
      <w:r>
        <w:rPr>
          <w:spacing w:val="-67"/>
        </w:rPr>
      </w:r>
      <w:r>
        <w:rPr/>
        <w:t>具销售发票，确认销售收入。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53" w:right="0"/>
        <w:jc w:val="left"/>
      </w:pPr>
      <w:r>
        <w:rPr/>
        <w:t>①减少注册资本而回购公司股份时的会计处理 公司因减少注册资本而回购公司股份的</w:t>
      </w:r>
      <w:r>
        <w:rPr>
          <w:rFonts w:ascii="Times New Roman" w:hAnsi="Times New Roman" w:cs="Times New Roman" w:eastAsia="Times New Roman" w:hint="default"/>
        </w:rPr>
        <w:t>,</w:t>
      </w:r>
      <w:r>
        <w:rPr/>
        <w:t>按实际支付的金额计入库存股</w:t>
      </w:r>
      <w:r>
        <w:rPr>
          <w:rFonts w:ascii="Times New Roman" w:hAnsi="Times New Roman" w:cs="Times New Roman" w:eastAsia="Times New Roman" w:hint="default"/>
        </w:rPr>
        <w:t>;</w:t>
      </w:r>
      <w:r>
        <w:rPr/>
        <w:t>注销库存股时</w:t>
      </w:r>
      <w:r>
        <w:rPr>
          <w:rFonts w:ascii="Times New Roman" w:hAnsi="Times New Roman" w:cs="Times New Roman" w:eastAsia="Times New Roman" w:hint="default"/>
        </w:rPr>
        <w:t>,</w:t>
      </w:r>
      <w:r>
        <w:rPr/>
        <w:t>按股票面值和注销股数计算的股票</w:t>
      </w:r>
    </w:p>
    <w:p>
      <w:pPr>
        <w:pStyle w:val="BodyText"/>
        <w:spacing w:line="240" w:lineRule="auto"/>
        <w:ind w:right="0"/>
        <w:jc w:val="left"/>
        <w:rPr>
          <w:rFonts w:ascii="Microsoft JhengHei" w:hAnsi="Microsoft JhengHei" w:cs="Microsoft JhengHei" w:eastAsia="Microsoft JhengHei" w:hint="default"/>
        </w:rPr>
      </w:pPr>
      <w:r>
        <w:rPr/>
        <w:t>面值总额</w:t>
      </w:r>
      <w:r>
        <w:rPr>
          <w:rFonts w:ascii="Times New Roman" w:hAnsi="Times New Roman" w:cs="Times New Roman" w:eastAsia="Times New Roman" w:hint="default"/>
        </w:rPr>
        <w:t>,</w:t>
      </w:r>
      <w:r>
        <w:rPr/>
        <w:t>计入股本和库存股</w:t>
      </w:r>
      <w:r>
        <w:rPr>
          <w:rFonts w:ascii="Times New Roman" w:hAnsi="Times New Roman" w:cs="Times New Roman" w:eastAsia="Times New Roman" w:hint="default"/>
        </w:rPr>
        <w:t>,</w:t>
      </w:r>
      <w:r>
        <w:rPr/>
        <w:t>按实际支付的金额与股票面值总额的差额计入资本公积</w:t>
      </w:r>
      <w:r>
        <w:rPr>
          <w:rFonts w:ascii="Times New Roman" w:hAnsi="Times New Roman" w:cs="Times New Roman" w:eastAsia="Times New Roman" w:hint="default"/>
        </w:rPr>
        <w:t>,</w:t>
      </w:r>
      <w:r>
        <w:rPr/>
        <w:t>股本溢价不足冲减的</w:t>
      </w:r>
      <w:r>
        <w:rPr>
          <w:rFonts w:ascii="Times New Roman" w:hAnsi="Times New Roman" w:cs="Times New Roman" w:eastAsia="Times New Roman" w:hint="default"/>
        </w:rPr>
        <w:t>,</w:t>
      </w:r>
      <w:r>
        <w:rPr/>
        <w:t>依次冲减盈余公</w:t>
      </w:r>
      <w:r>
        <w:rPr>
          <w:spacing w:val="-2"/>
        </w:rPr>
        <w:t> </w:t>
      </w:r>
      <w:r>
        <w:rPr>
          <w:spacing w:val="-2"/>
        </w:rPr>
      </w:r>
      <w:r>
        <w:rPr/>
        <w:t>积和未分配利润</w:t>
      </w:r>
      <w:r>
        <w:rPr>
          <w:rFonts w:ascii="Microsoft JhengHei" w:hAnsi="Microsoft JhengHei" w:cs="Microsoft JhengHei" w:eastAsia="Microsoft JhengHei" w:hint="default"/>
        </w:rPr>
        <w:t>｡</w:t>
      </w:r>
    </w:p>
    <w:p>
      <w:pPr>
        <w:pStyle w:val="BodyText"/>
        <w:spacing w:line="240" w:lineRule="auto" w:before="60"/>
        <w:ind w:left="453" w:right="0"/>
        <w:jc w:val="left"/>
      </w:pPr>
      <w:r>
        <w:rPr/>
        <w:t>②回购公司股份进行职工期权激励时的会计处理</w:t>
      </w:r>
    </w:p>
    <w:p>
      <w:pPr>
        <w:pStyle w:val="BodyText"/>
        <w:spacing w:line="300" w:lineRule="auto" w:before="76"/>
        <w:ind w:right="0" w:firstLine="300"/>
        <w:jc w:val="left"/>
      </w:pPr>
      <w:r>
        <w:rPr>
          <w:spacing w:val="2"/>
        </w:rPr>
        <w:t>公司以回购股份形式奖励公司职工的</w:t>
      </w:r>
      <w:r>
        <w:rPr>
          <w:rFonts w:ascii="Times New Roman" w:hAnsi="Times New Roman" w:cs="Times New Roman" w:eastAsia="Times New Roman" w:hint="default"/>
          <w:spacing w:val="2"/>
        </w:rPr>
        <w:t>,</w:t>
      </w:r>
      <w:r>
        <w:rPr>
          <w:spacing w:val="2"/>
        </w:rPr>
        <w:t>属于权益结算的股份支付</w:t>
      </w:r>
      <w:r>
        <w:rPr>
          <w:rFonts w:ascii="Times New Roman" w:hAnsi="Times New Roman" w:cs="Times New Roman" w:eastAsia="Times New Roman" w:hint="default"/>
          <w:spacing w:val="2"/>
        </w:rPr>
        <w:t>,</w:t>
      </w:r>
      <w:r>
        <w:rPr>
          <w:spacing w:val="2"/>
        </w:rPr>
        <w:t>进行以下处理</w:t>
      </w:r>
      <w:r>
        <w:rPr>
          <w:rFonts w:ascii="Times New Roman" w:hAnsi="Times New Roman" w:cs="Times New Roman" w:eastAsia="Times New Roman" w:hint="default"/>
          <w:spacing w:val="2"/>
        </w:rPr>
        <w:t>:</w:t>
      </w:r>
      <w:r>
        <w:rPr>
          <w:spacing w:val="2"/>
        </w:rPr>
        <w:t>回购股份时</w:t>
      </w:r>
      <w:r>
        <w:rPr>
          <w:rFonts w:ascii="Times New Roman" w:hAnsi="Times New Roman" w:cs="Times New Roman" w:eastAsia="Times New Roman" w:hint="default"/>
          <w:spacing w:val="2"/>
        </w:rPr>
        <w:t>,</w:t>
      </w:r>
      <w:r>
        <w:rPr>
          <w:spacing w:val="2"/>
        </w:rPr>
        <w:t>按照回购股份的全部支出作</w:t>
      </w:r>
      <w:r>
        <w:rPr/>
        <w:t> </w:t>
      </w:r>
      <w:r>
        <w:rPr>
          <w:spacing w:val="2"/>
        </w:rPr>
        <w:t>为库存股处理</w:t>
      </w:r>
      <w:r>
        <w:rPr>
          <w:rFonts w:ascii="Times New Roman" w:hAnsi="Times New Roman" w:cs="Times New Roman" w:eastAsia="Times New Roman" w:hint="default"/>
          <w:spacing w:val="2"/>
        </w:rPr>
        <w:t>,</w:t>
      </w:r>
      <w:r>
        <w:rPr>
          <w:spacing w:val="2"/>
        </w:rPr>
        <w:t>同时进行备查登记</w:t>
      </w:r>
      <w:r>
        <w:rPr>
          <w:rFonts w:ascii="Times New Roman" w:hAnsi="Times New Roman" w:cs="Times New Roman" w:eastAsia="Times New Roman" w:hint="default"/>
          <w:spacing w:val="2"/>
        </w:rPr>
        <w:t>;</w:t>
      </w:r>
      <w:r>
        <w:rPr>
          <w:spacing w:val="2"/>
        </w:rPr>
        <w:t>按照对职工权益结算股份支付的规定</w:t>
      </w:r>
      <w:r>
        <w:rPr>
          <w:rFonts w:ascii="Times New Roman" w:hAnsi="Times New Roman" w:cs="Times New Roman" w:eastAsia="Times New Roman" w:hint="default"/>
          <w:spacing w:val="2"/>
        </w:rPr>
        <w:t>,</w:t>
      </w:r>
      <w:r>
        <w:rPr>
          <w:spacing w:val="2"/>
        </w:rPr>
        <w:t>公司在等待期内每个资产负债表日按照权益工具在</w:t>
      </w:r>
      <w:r>
        <w:rPr/>
      </w:r>
    </w:p>
    <w:p>
      <w:pPr>
        <w:pStyle w:val="BodyText"/>
        <w:spacing w:line="240" w:lineRule="auto" w:before="13"/>
        <w:ind w:right="0"/>
        <w:jc w:val="left"/>
        <w:rPr>
          <w:rFonts w:ascii="Microsoft JhengHei" w:hAnsi="Microsoft JhengHei" w:cs="Microsoft JhengHei" w:eastAsia="Microsoft JhengHei" w:hint="default"/>
        </w:rPr>
      </w:pPr>
      <w:r>
        <w:rPr/>
        <w:t>授予日的公允价值</w:t>
      </w:r>
      <w:r>
        <w:rPr>
          <w:rFonts w:ascii="Times New Roman" w:hAnsi="Times New Roman" w:cs="Times New Roman" w:eastAsia="Times New Roman" w:hint="default"/>
        </w:rPr>
        <w:t>,</w:t>
      </w:r>
      <w:r>
        <w:rPr/>
        <w:t>将取得的职工服务计入成本费用</w:t>
      </w:r>
      <w:r>
        <w:rPr>
          <w:rFonts w:ascii="Times New Roman" w:hAnsi="Times New Roman" w:cs="Times New Roman" w:eastAsia="Times New Roman" w:hint="default"/>
        </w:rPr>
        <w:t>,</w:t>
      </w:r>
      <w:r>
        <w:rPr/>
        <w:t>同时增加资本公积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公司于职工行权购买公司股份收到价</w:t>
      </w:r>
      <w:r>
        <w:rPr>
          <w:spacing w:val="-74"/>
        </w:rPr>
        <w:t> </w:t>
      </w:r>
      <w:r>
        <w:rPr>
          <w:spacing w:val="-74"/>
        </w:rPr>
      </w:r>
      <w:r>
        <w:rPr/>
        <w:t>款时</w:t>
      </w:r>
      <w:r>
        <w:rPr>
          <w:rFonts w:ascii="Times New Roman" w:hAnsi="Times New Roman" w:cs="Times New Roman" w:eastAsia="Times New Roman" w:hint="default"/>
        </w:rPr>
        <w:t>,</w:t>
      </w:r>
      <w:r>
        <w:rPr/>
        <w:t>转销交付职工的库存股成本和等待期内资本公积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累计金额</w:t>
      </w:r>
      <w:r>
        <w:rPr>
          <w:rFonts w:ascii="Times New Roman" w:hAnsi="Times New Roman" w:cs="Times New Roman" w:eastAsia="Times New Roman" w:hint="default"/>
        </w:rPr>
        <w:t>,</w:t>
      </w:r>
      <w:r>
        <w:rPr/>
        <w:t>同时</w:t>
      </w:r>
      <w:r>
        <w:rPr>
          <w:rFonts w:ascii="Times New Roman" w:hAnsi="Times New Roman" w:cs="Times New Roman" w:eastAsia="Times New Roman" w:hint="default"/>
        </w:rPr>
        <w:t>,</w:t>
      </w:r>
      <w:r>
        <w:rPr/>
        <w:t>按照其差额调整资本公积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t>（</w:t>
      </w:r>
      <w:r>
        <w:rPr>
          <w:rFonts w:ascii="Times New Roman" w:hAnsi="Times New Roman" w:cs="Times New Roman" w:eastAsia="Times New Roman" w:hint="default"/>
        </w:rPr>
        <w:t>1</w:t>
      </w:r>
      <w:r>
        <w:rPr/>
        <w:t>）销售商品收入的确认原则①公司已将商品所有权上的主要风险和报酬转移给购货方；②公司既没有保留通常与所有权 </w:t>
      </w:r>
      <w:r>
        <w:rPr>
          <w:spacing w:val="-2"/>
        </w:rPr>
        <w:t>相联系的继续管理权，也没有对已售出的商品实施有效控制；③收入的金额能够可靠地计量；④相关的经济利益很可能流入</w:t>
      </w:r>
      <w:r>
        <w:rPr>
          <w:spacing w:val="-61"/>
        </w:rPr>
        <w:t> </w:t>
      </w:r>
      <w:r>
        <w:rPr>
          <w:spacing w:val="-61"/>
        </w:rPr>
      </w:r>
      <w:r>
        <w:rPr>
          <w:spacing w:val="-2"/>
        </w:rPr>
        <w:t>公司；⑤相关的已发生或将发生的成本能够可靠地计量。在具体业务中，公司根据合同内容的不同，对于一般销售项目，根</w:t>
      </w:r>
      <w:r>
        <w:rPr>
          <w:spacing w:val="-67"/>
        </w:rPr>
        <w:t> </w:t>
      </w:r>
      <w:r>
        <w:rPr>
          <w:spacing w:val="-67"/>
        </w:rPr>
      </w:r>
      <w:r>
        <w:rPr>
          <w:spacing w:val="-2"/>
        </w:rPr>
        <w:t>据合同约定公司只负指导安装的职责，在货物运至合同规定的交货地点，并得到对方的验收后，开具销售发票，确认销售收</w:t>
      </w:r>
      <w:r>
        <w:rPr>
          <w:spacing w:val="-64"/>
        </w:rPr>
        <w:t> </w:t>
      </w:r>
      <w:r>
        <w:rPr>
          <w:spacing w:val="-64"/>
        </w:rPr>
      </w:r>
      <w:r>
        <w:rPr>
          <w:spacing w:val="-4"/>
        </w:rPr>
        <w:t>入；对大包项目（公司负责安装并完成试运行），在货物发出且运至合同规定的交货地点，验收合格后安装且试运行结束后，</w:t>
      </w:r>
      <w:r>
        <w:rPr>
          <w:spacing w:val="-44"/>
        </w:rPr>
        <w:t> </w:t>
      </w:r>
      <w:r>
        <w:rPr>
          <w:spacing w:val="-44"/>
        </w:rPr>
      </w:r>
      <w:r>
        <w:rPr/>
        <w:t>开具销售发票，确认销售收入。 分期收款销售商品收入的确认原则</w:t>
      </w:r>
      <w:r>
        <w:rPr>
          <w:spacing w:val="22"/>
        </w:rPr>
        <w:t> </w:t>
      </w:r>
      <w:r>
        <w:rPr/>
        <w:t>对于实质上具有融资性质的分期收款商品销售，按照</w:t>
      </w:r>
      <w:r>
        <w:rPr/>
        <w:t> </w:t>
      </w:r>
      <w:r>
        <w:rPr>
          <w:spacing w:val="-2"/>
        </w:rPr>
        <w:t>合同或协议应收价款的现值或同样商品的现销价格确定销售收入额，在销售商品符合收入确认的条件时确认销售收入；按应</w:t>
      </w:r>
      <w:r>
        <w:rPr>
          <w:spacing w:val="-64"/>
        </w:rPr>
        <w:t> </w:t>
      </w:r>
      <w:r>
        <w:rPr>
          <w:spacing w:val="-64"/>
        </w:rPr>
      </w:r>
      <w:r>
        <w:rPr>
          <w:spacing w:val="-2"/>
        </w:rPr>
        <w:t>收的合同或协议价款与其公允价值之间的差额，在合同或协议期间内，按照应收款项摊余成本和实际利率计算确定的摊销金</w:t>
      </w:r>
      <w:r>
        <w:rPr>
          <w:spacing w:val="-64"/>
        </w:rPr>
        <w:t> </w:t>
      </w:r>
      <w:r>
        <w:rPr>
          <w:spacing w:val="-64"/>
        </w:rPr>
      </w:r>
      <w:r>
        <w:rPr/>
        <w:t>额，递减财务费用。</w:t>
      </w:r>
    </w:p>
    <w:p>
      <w:pPr>
        <w:spacing w:after="0" w:line="316" w:lineRule="auto"/>
        <w:jc w:val="left"/>
        <w:sectPr>
          <w:footerReference w:type="default" r:id="rId13"/>
          <w:pgSz w:w="11910" w:h="16840"/>
          <w:pgMar w:footer="980" w:header="745" w:top="1060" w:bottom="1160" w:left="980" w:right="940"/>
          <w:pgNumType w:start="78"/>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2"/>
        </w:rPr>
        <w:t>让渡资产使用权收入包括利息收入、使用费收入。同时满足下列条件时，予以确认：相关的经济利益很可能流入公司；收入</w:t>
      </w:r>
      <w:r>
        <w:rPr>
          <w:spacing w:val="-67"/>
        </w:rPr>
        <w:t> </w:t>
      </w:r>
      <w:r>
        <w:rPr>
          <w:spacing w:val="-67"/>
        </w:rPr>
      </w:r>
      <w:r>
        <w:rPr/>
        <w:t>的金额能够可靠计量。</w:t>
      </w:r>
    </w:p>
    <w:p>
      <w:pPr>
        <w:pStyle w:val="BodyText"/>
        <w:spacing w:line="300" w:lineRule="auto" w:before="19"/>
        <w:ind w:right="0"/>
        <w:jc w:val="left"/>
      </w:pPr>
      <w:r>
        <w:rPr/>
        <w:t>公司对于拥有产权的办公房屋出租等租赁收入确认的具体条件：</w:t>
      </w:r>
      <w:r>
        <w:rPr>
          <w:rFonts w:ascii="Times New Roman" w:hAnsi="Times New Roman" w:cs="Times New Roman" w:eastAsia="Times New Roman" w:hint="default"/>
        </w:rPr>
        <w:t>(1) </w:t>
      </w:r>
      <w:r>
        <w:rPr/>
        <w:t>根据合同，约定的义务已经履行；</w:t>
      </w:r>
      <w:r>
        <w:rPr>
          <w:spacing w:val="-35"/>
        </w:rPr>
        <w:t> </w:t>
      </w:r>
      <w:r>
        <w:rPr>
          <w:rFonts w:ascii="Times New Roman" w:hAnsi="Times New Roman" w:cs="Times New Roman" w:eastAsia="Times New Roman" w:hint="default"/>
        </w:rPr>
        <w:t>(2)</w:t>
      </w:r>
      <w:r>
        <w:rPr/>
        <w:t>房屋出租相应的 租赁款项已收到或按合同约定取得收款的权利。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①公司在资产负债表日提供劳务交易的结果能够可靠估计的，采用完工百分比法确认提供劳务收入。</w:t>
      </w:r>
    </w:p>
    <w:p>
      <w:pPr>
        <w:pStyle w:val="BodyText"/>
        <w:spacing w:line="319" w:lineRule="auto" w:before="76"/>
        <w:ind w:right="94"/>
        <w:jc w:val="left"/>
      </w:pPr>
      <w:r>
        <w:rPr/>
        <w:t>②公司在资产负债表日提供劳务交易结果不能够可靠估计的，分别下列情况处理： 已经发生的劳务成本预计能够得到补偿的，按照已经发生的劳务成本金额确认提供劳务收入，并按相同金额结转劳务成本。 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0"/>
        <w:jc w:val="left"/>
        <w:rPr>
          <w:rFonts w:ascii="Microsoft JhengHei" w:hAnsi="Microsoft JhengHei" w:cs="Microsoft JhengHei" w:eastAsia="Microsoft JhengHei" w:hint="default"/>
        </w:rPr>
      </w:pPr>
      <w:r>
        <w:rPr/>
        <w:t>政府补助分为与资产相关的政府补助和与收益相关的政府补助</w:t>
      </w:r>
      <w:r>
        <w:rPr>
          <w:rFonts w:ascii="Microsoft JhengHei" w:hAnsi="Microsoft JhengHei" w:cs="Microsoft JhengHei" w:eastAsia="Microsoft JhengHei" w:hint="default"/>
        </w:rPr>
        <w:t>｡</w:t>
      </w:r>
    </w:p>
    <w:p>
      <w:pPr>
        <w:spacing w:line="240" w:lineRule="auto" w:before="7"/>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firstLine="300"/>
        <w:jc w:val="left"/>
        <w:rPr>
          <w:rFonts w:ascii="Microsoft JhengHei" w:hAnsi="Microsoft JhengHei" w:cs="Microsoft JhengHei" w:eastAsia="Microsoft JhengHei" w:hint="default"/>
        </w:rPr>
      </w:pPr>
      <w:r>
        <w:rPr/>
        <w:t>公司将能够满足政府补助所附条件并且能够收到时确认为政府补助</w:t>
      </w:r>
      <w:r>
        <w:rPr>
          <w:rFonts w:ascii="Microsoft JhengHei" w:hAnsi="Microsoft JhengHei" w:cs="Microsoft JhengHei" w:eastAsia="Microsoft JhengHei" w:hint="default"/>
        </w:rPr>
        <w:t>｡</w:t>
      </w:r>
      <w:r>
        <w:rPr/>
        <w:t>政府补助为货币性资产的</w:t>
      </w:r>
      <w:r>
        <w:rPr>
          <w:rFonts w:ascii="Times New Roman" w:hAnsi="Times New Roman" w:cs="Times New Roman" w:eastAsia="Times New Roman" w:hint="default"/>
        </w:rPr>
        <w:t>,</w:t>
      </w:r>
      <w:r>
        <w:rPr/>
        <w:t>按照收到或应收的金额计 量</w:t>
      </w:r>
      <w:r>
        <w:rPr>
          <w:rFonts w:ascii="Times New Roman" w:hAnsi="Times New Roman" w:cs="Times New Roman" w:eastAsia="Times New Roman" w:hint="default"/>
        </w:rPr>
        <w:t>,</w:t>
      </w:r>
      <w:r>
        <w:rPr/>
        <w:t>政府补助为非货币性资产的</w:t>
      </w:r>
      <w:r>
        <w:rPr>
          <w:rFonts w:ascii="Times New Roman" w:hAnsi="Times New Roman" w:cs="Times New Roman" w:eastAsia="Times New Roman" w:hint="default"/>
        </w:rPr>
        <w:t>,</w:t>
      </w:r>
      <w:r>
        <w:rPr/>
        <w:t>按照公允价值计量</w:t>
      </w:r>
      <w:r>
        <w:rPr>
          <w:rFonts w:ascii="Times New Roman" w:hAnsi="Times New Roman" w:cs="Times New Roman" w:eastAsia="Times New Roman" w:hint="default"/>
        </w:rPr>
        <w:t>;</w:t>
      </w:r>
      <w:r>
        <w:rPr/>
        <w:t>公允价值不能可靠取得的</w:t>
      </w:r>
      <w:r>
        <w:rPr>
          <w:rFonts w:ascii="Times New Roman" w:hAnsi="Times New Roman" w:cs="Times New Roman" w:eastAsia="Times New Roman" w:hint="default"/>
        </w:rPr>
        <w:t>,</w:t>
      </w:r>
      <w:r>
        <w:rPr/>
        <w:t>按照名义金额计量</w:t>
      </w:r>
      <w:r>
        <w:rPr>
          <w:rFonts w:ascii="Microsoft JhengHei" w:hAnsi="Microsoft JhengHei" w:cs="Microsoft JhengHei" w:eastAsia="Microsoft JhengHei" w:hint="default"/>
        </w:rPr>
        <w:t>｡</w:t>
      </w:r>
    </w:p>
    <w:p>
      <w:pPr>
        <w:pStyle w:val="BodyText"/>
        <w:spacing w:line="240" w:lineRule="auto" w:before="60"/>
        <w:ind w:right="0" w:firstLine="300"/>
        <w:jc w:val="left"/>
        <w:rPr>
          <w:rFonts w:ascii="Times New Roman" w:hAnsi="Times New Roman" w:cs="Times New Roman" w:eastAsia="Times New Roman" w:hint="default"/>
        </w:rPr>
      </w:pPr>
      <w:r>
        <w:rPr>
          <w:spacing w:val="2"/>
        </w:rPr>
        <w:t>与资产相关的政府补助</w:t>
      </w:r>
      <w:r>
        <w:rPr>
          <w:rFonts w:ascii="Times New Roman" w:hAnsi="Times New Roman" w:cs="Times New Roman" w:eastAsia="Times New Roman" w:hint="default"/>
          <w:spacing w:val="2"/>
        </w:rPr>
        <w:t>,</w:t>
      </w:r>
      <w:r>
        <w:rPr>
          <w:spacing w:val="2"/>
        </w:rPr>
        <w:t>确认为递延收益</w:t>
      </w:r>
      <w:r>
        <w:rPr>
          <w:rFonts w:ascii="Times New Roman" w:hAnsi="Times New Roman" w:cs="Times New Roman" w:eastAsia="Times New Roman" w:hint="default"/>
          <w:spacing w:val="2"/>
        </w:rPr>
        <w:t>,</w:t>
      </w:r>
      <w:r>
        <w:rPr>
          <w:spacing w:val="2"/>
        </w:rPr>
        <w:t>自相关资产达到预定可使用状态时起</w:t>
      </w:r>
      <w:r>
        <w:rPr>
          <w:rFonts w:ascii="Times New Roman" w:hAnsi="Times New Roman" w:cs="Times New Roman" w:eastAsia="Times New Roman" w:hint="default"/>
          <w:spacing w:val="2"/>
        </w:rPr>
        <w:t>,</w:t>
      </w:r>
      <w:r>
        <w:rPr>
          <w:spacing w:val="2"/>
        </w:rPr>
        <w:t>在该资产使用寿命内平均分配</w:t>
      </w:r>
      <w:r>
        <w:rPr>
          <w:rFonts w:ascii="Times New Roman" w:hAnsi="Times New Roman" w:cs="Times New Roman" w:eastAsia="Times New Roman" w:hint="default"/>
          <w:spacing w:val="2"/>
        </w:rPr>
        <w:t>,</w:t>
      </w:r>
      <w:r>
        <w:rPr>
          <w:spacing w:val="2"/>
        </w:rPr>
        <w:t>分次计入</w:t>
      </w:r>
      <w:r>
        <w:rPr/>
        <w:t> 以后各期的损益</w:t>
      </w:r>
      <w:r>
        <w:rPr>
          <w:rFonts w:ascii="Microsoft JhengHei" w:hAnsi="Microsoft JhengHei" w:cs="Microsoft JhengHei" w:eastAsia="Microsoft JhengHei" w:hint="default"/>
        </w:rPr>
        <w:t>｡</w:t>
      </w:r>
      <w:r>
        <w:rPr/>
        <w:t>以名义金额计量的政府补助</w:t>
      </w:r>
      <w:r>
        <w:rPr>
          <w:rFonts w:ascii="Times New Roman" w:hAnsi="Times New Roman" w:cs="Times New Roman" w:eastAsia="Times New Roman" w:hint="default"/>
        </w:rPr>
        <w:t>,</w:t>
      </w:r>
      <w:r>
        <w:rPr/>
        <w:t>直接计入当期损益</w:t>
      </w:r>
      <w:r>
        <w:rPr>
          <w:rFonts w:ascii="Microsoft JhengHei" w:hAnsi="Microsoft JhengHei" w:cs="Microsoft JhengHei" w:eastAsia="Microsoft JhengHei" w:hint="default"/>
        </w:rPr>
        <w:t>｡</w:t>
      </w:r>
      <w:r>
        <w:rPr/>
        <w:t>与收益有关的政府补助</w:t>
      </w:r>
      <w:r>
        <w:rPr>
          <w:rFonts w:ascii="Times New Roman" w:hAnsi="Times New Roman" w:cs="Times New Roman" w:eastAsia="Times New Roman" w:hint="default"/>
        </w:rPr>
        <w:t>,</w:t>
      </w:r>
      <w:r>
        <w:rPr/>
        <w:t>分别以下情况处理</w:t>
      </w:r>
      <w:r>
        <w:rPr>
          <w:rFonts w:ascii="Times New Roman" w:hAnsi="Times New Roman" w:cs="Times New Roman" w:eastAsia="Times New Roman" w:hint="default"/>
        </w:rPr>
        <w:t>:</w:t>
      </w:r>
    </w:p>
    <w:p>
      <w:pPr>
        <w:pStyle w:val="BodyText"/>
        <w:spacing w:line="312" w:lineRule="exact"/>
        <w:ind w:left="424" w:right="0"/>
        <w:jc w:val="left"/>
        <w:rPr>
          <w:rFonts w:ascii="Microsoft JhengHei" w:hAnsi="Microsoft JhengHei" w:cs="Microsoft JhengHei" w:eastAsia="Microsoft JhengHei" w:hint="default"/>
        </w:rPr>
      </w:pPr>
      <w:r>
        <w:rPr/>
        <w:t>①用于补偿公司以后期间的相关费用或损失的</w:t>
      </w:r>
      <w:r>
        <w:rPr>
          <w:rFonts w:ascii="Times New Roman" w:hAnsi="Times New Roman" w:cs="Times New Roman" w:eastAsia="Times New Roman" w:hint="default"/>
        </w:rPr>
        <w:t>,</w:t>
      </w:r>
      <w:r>
        <w:rPr/>
        <w:t>确认为递延收益</w:t>
      </w:r>
      <w:r>
        <w:rPr>
          <w:rFonts w:ascii="Times New Roman" w:hAnsi="Times New Roman" w:cs="Times New Roman" w:eastAsia="Times New Roman" w:hint="default"/>
        </w:rPr>
        <w:t>,</w:t>
      </w:r>
      <w:r>
        <w:rPr/>
        <w:t>并在确认相关费用的期间</w:t>
      </w:r>
      <w:r>
        <w:rPr>
          <w:rFonts w:ascii="Times New Roman" w:hAnsi="Times New Roman" w:cs="Times New Roman" w:eastAsia="Times New Roman" w:hint="default"/>
        </w:rPr>
        <w:t>,</w:t>
      </w:r>
      <w:r>
        <w:rPr/>
        <w:t>计入当期损益</w:t>
      </w:r>
      <w:r>
        <w:rPr>
          <w:rFonts w:ascii="Microsoft JhengHei" w:hAnsi="Microsoft JhengHei" w:cs="Microsoft JhengHei" w:eastAsia="Microsoft JhengHei" w:hint="default"/>
        </w:rPr>
        <w:t>｡</w:t>
      </w:r>
    </w:p>
    <w:p>
      <w:pPr>
        <w:pStyle w:val="BodyText"/>
        <w:spacing w:line="240" w:lineRule="auto" w:before="60"/>
        <w:ind w:left="424" w:right="0"/>
        <w:jc w:val="left"/>
      </w:pPr>
      <w:r>
        <w:rPr/>
        <w:t>②用于补偿公司已发生的相关费用或损失的</w:t>
      </w:r>
      <w:r>
        <w:rPr>
          <w:rFonts w:ascii="Times New Roman" w:hAnsi="Times New Roman" w:cs="Times New Roman" w:eastAsia="Times New Roman" w:hint="default"/>
        </w:rPr>
        <w:t>,</w:t>
      </w:r>
      <w:r>
        <w:rPr/>
        <w:t>取得时直接计入当期损益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0"/>
        <w:jc w:val="left"/>
      </w:pPr>
      <w:r>
        <w:rPr/>
        <w:t>公司所得税的会计处理采用资产负债表债务法核算</w:t>
      </w:r>
      <w:r>
        <w:rPr>
          <w:rFonts w:ascii="Microsoft JhengHei" w:hAnsi="Microsoft JhengHei" w:cs="Microsoft JhengHei" w:eastAsia="Microsoft JhengHei" w:hint="default"/>
        </w:rPr>
        <w:t>｡</w:t>
      </w:r>
      <w:r>
        <w:rPr/>
        <w:t>资产</w:t>
      </w:r>
      <w:r>
        <w:rPr>
          <w:rFonts w:ascii="Microsoft JhengHei" w:hAnsi="Microsoft JhengHei" w:cs="Microsoft JhengHei" w:eastAsia="Microsoft JhengHei" w:hint="default"/>
        </w:rPr>
        <w:t>､</w:t>
      </w:r>
      <w:r>
        <w:rPr/>
        <w:t>负债的账面价值与其计税基础存在可抵扣暂时性差异的</w:t>
      </w:r>
      <w:r>
        <w:rPr>
          <w:rFonts w:ascii="Times New Roman" w:hAnsi="Times New Roman" w:cs="Times New Roman" w:eastAsia="Times New Roman" w:hint="default"/>
        </w:rPr>
        <w:t>,</w:t>
      </w:r>
      <w:r>
        <w:rPr/>
        <w:t>以很可</w:t>
      </w:r>
      <w:r>
        <w:rPr>
          <w:spacing w:val="3"/>
        </w:rPr>
        <w:t> </w:t>
      </w:r>
      <w:r>
        <w:rPr/>
        <w:t>能取得用来可抵扣暂时性差异的应纳税所得额为限</w:t>
      </w:r>
      <w:r>
        <w:rPr>
          <w:rFonts w:ascii="Times New Roman" w:hAnsi="Times New Roman" w:cs="Times New Roman" w:eastAsia="Times New Roman" w:hint="default"/>
        </w:rPr>
        <w:t>,</w:t>
      </w:r>
      <w:r>
        <w:rPr/>
        <w:t>确认由可抵扣暂时性差异产生的递延所得税资产</w:t>
      </w:r>
      <w:r>
        <w:rPr>
          <w:rFonts w:ascii="Microsoft JhengHei" w:hAnsi="Microsoft JhengHei" w:cs="Microsoft JhengHei" w:eastAsia="Microsoft JhengHei" w:hint="default"/>
        </w:rPr>
        <w:t>｡</w:t>
      </w:r>
      <w:r>
        <w:rPr/>
        <w:t>当期所得税及递延所</w:t>
      </w:r>
    </w:p>
    <w:p>
      <w:pPr>
        <w:pStyle w:val="BodyText"/>
        <w:spacing w:line="240" w:lineRule="auto" w:before="60"/>
        <w:ind w:right="221"/>
        <w:jc w:val="left"/>
        <w:rPr>
          <w:rFonts w:ascii="Microsoft JhengHei" w:hAnsi="Microsoft JhengHei" w:cs="Microsoft JhengHei" w:eastAsia="Microsoft JhengHei" w:hint="default"/>
        </w:rPr>
      </w:pPr>
      <w:r>
        <w:rPr/>
        <w:t>得税作为所得税费用或收益计入当期损益</w:t>
      </w:r>
      <w:r>
        <w:rPr>
          <w:rFonts w:ascii="Times New Roman" w:hAnsi="Times New Roman" w:cs="Times New Roman" w:eastAsia="Times New Roman" w:hint="default"/>
        </w:rPr>
        <w:t>,</w:t>
      </w:r>
      <w:r>
        <w:rPr/>
        <w:t>但不包括下列情况产生的所得税</w:t>
      </w:r>
      <w:r>
        <w:rPr>
          <w:rFonts w:ascii="Times New Roman" w:hAnsi="Times New Roman" w:cs="Times New Roman" w:eastAsia="Times New Roman" w:hint="default"/>
        </w:rPr>
        <w:t>:</w:t>
      </w:r>
      <w:r>
        <w:rPr/>
        <w:t>①企业合并</w:t>
      </w:r>
      <w:r>
        <w:rPr>
          <w:rFonts w:ascii="Times New Roman" w:hAnsi="Times New Roman" w:cs="Times New Roman" w:eastAsia="Times New Roman" w:hint="default"/>
        </w:rPr>
        <w:t>;</w:t>
      </w:r>
      <w:r>
        <w:rPr/>
        <w:t>②</w:t>
      </w:r>
      <w:r>
        <w:rPr>
          <w:spacing w:val="-2"/>
        </w:rPr>
        <w:t> </w:t>
      </w:r>
      <w:r>
        <w:rPr/>
        <w:t>直接计入所有者权益的交易或事</w:t>
      </w:r>
      <w:r>
        <w:rPr/>
        <w:t> 项</w:t>
      </w:r>
      <w:r>
        <w:rPr>
          <w:rFonts w:ascii="Microsoft JhengHei" w:hAnsi="Microsoft JhengHei" w:cs="Microsoft JhengHei" w:eastAsia="Microsoft JhengHei" w:hint="default"/>
        </w:rPr>
        <w:t>｡</w:t>
      </w:r>
    </w:p>
    <w:p>
      <w:pPr>
        <w:spacing w:after="0" w:line="240" w:lineRule="auto"/>
        <w:jc w:val="left"/>
        <w:rPr>
          <w:rFonts w:ascii="Microsoft JhengHei" w:hAnsi="Microsoft JhengHei" w:cs="Microsoft JhengHei" w:eastAsia="Microsoft JhengHei" w:hint="default"/>
        </w:rPr>
        <w:sectPr>
          <w:pgSz w:w="11910" w:h="16840"/>
          <w:pgMar w:header="745" w:footer="980" w:top="1060" w:bottom="1160" w:left="980" w:right="940"/>
        </w:sectPr>
      </w:pPr>
    </w:p>
    <w:p>
      <w:pPr>
        <w:spacing w:line="240" w:lineRule="auto" w:before="11"/>
        <w:rPr>
          <w:rFonts w:ascii="Microsoft JhengHei" w:hAnsi="Microsoft JhengHei" w:cs="Microsoft JhengHei" w:eastAsia="Microsoft JhengHei" w:hint="default"/>
          <w:sz w:val="18"/>
          <w:szCs w:val="18"/>
        </w:rPr>
      </w:pPr>
    </w:p>
    <w:p>
      <w:pPr>
        <w:spacing w:line="487" w:lineRule="auto" w:before="36"/>
        <w:ind w:left="152" w:right="35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z w:val="18"/>
          <w:szCs w:val="18"/>
        </w:rPr>
        <w:t>确认递延所得税负债时</w:t>
      </w:r>
      <w:r>
        <w:rPr>
          <w:rFonts w:ascii="Times New Roman" w:hAnsi="Times New Roman" w:cs="Times New Roman" w:eastAsia="Times New Roman" w:hint="default"/>
          <w:sz w:val="18"/>
          <w:szCs w:val="18"/>
        </w:rPr>
        <w:t>,</w:t>
      </w:r>
      <w:r>
        <w:rPr>
          <w:rFonts w:ascii="宋体" w:hAnsi="宋体" w:cs="宋体" w:eastAsia="宋体" w:hint="default"/>
          <w:sz w:val="18"/>
          <w:szCs w:val="18"/>
        </w:rPr>
        <w:t>对于各种应纳税暂时性差异均据以确认递延所得税负债</w:t>
      </w:r>
      <w:r>
        <w:rPr>
          <w:rFonts w:ascii="Microsoft JhengHei" w:hAnsi="Microsoft JhengHei" w:cs="Microsoft JhengHei" w:eastAsia="Microsoft JhengHei" w:hint="default"/>
          <w:sz w:val="18"/>
          <w:szCs w:val="18"/>
        </w:rPr>
        <w:t>｡ </w:t>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firstLine="300"/>
        <w:jc w:val="left"/>
        <w:rPr>
          <w:rFonts w:ascii="Microsoft JhengHei" w:hAnsi="Microsoft JhengHei" w:cs="Microsoft JhengHei" w:eastAsia="Microsoft JhengHei" w:hint="default"/>
        </w:rPr>
      </w:pPr>
      <w:r>
        <w:rPr/>
        <w:t>①对于经营租赁的租金</w:t>
      </w:r>
      <w:r>
        <w:rPr>
          <w:rFonts w:ascii="Times New Roman" w:hAnsi="Times New Roman" w:cs="Times New Roman" w:eastAsia="Times New Roman" w:hint="default"/>
        </w:rPr>
        <w:t>,</w:t>
      </w:r>
      <w:r>
        <w:rPr/>
        <w:t>承租人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在租赁期内各个期间按照直线法确认为当期损益</w:t>
      </w:r>
      <w:r>
        <w:rPr>
          <w:rFonts w:ascii="Times New Roman" w:hAnsi="Times New Roman" w:cs="Times New Roman" w:eastAsia="Times New Roman" w:hint="default"/>
        </w:rPr>
        <w:t>;</w:t>
      </w:r>
      <w:r>
        <w:rPr/>
        <w:t>其他方法更为系统合理的</w:t>
      </w:r>
      <w:r>
        <w:rPr>
          <w:rFonts w:ascii="Times New Roman" w:hAnsi="Times New Roman" w:cs="Times New Roman" w:eastAsia="Times New Roman" w:hint="default"/>
        </w:rPr>
        <w:t>,</w:t>
      </w:r>
      <w:r>
        <w:rPr/>
        <w:t>可以采 用其他方法</w:t>
      </w:r>
      <w:r>
        <w:rPr>
          <w:rFonts w:ascii="Microsoft JhengHei" w:hAnsi="Microsoft JhengHei" w:cs="Microsoft JhengHei" w:eastAsia="Microsoft JhengHei" w:hint="default"/>
        </w:rPr>
        <w:t>｡</w:t>
      </w:r>
      <w:r>
        <w:rPr/>
        <w:t>承租人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发生的初始直接费用</w:t>
      </w:r>
      <w:r>
        <w:rPr>
          <w:rFonts w:ascii="Times New Roman" w:hAnsi="Times New Roman" w:cs="Times New Roman" w:eastAsia="Times New Roman" w:hint="default"/>
        </w:rPr>
        <w:t>,</w:t>
      </w:r>
      <w:r>
        <w:rPr/>
        <w:t>计入当期损益</w:t>
      </w:r>
      <w:r>
        <w:rPr>
          <w:rFonts w:ascii="Microsoft JhengHei" w:hAnsi="Microsoft JhengHei" w:cs="Microsoft JhengHei" w:eastAsia="Microsoft JhengHei" w:hint="default"/>
        </w:rPr>
        <w:t>｡</w:t>
      </w:r>
      <w:r>
        <w:rPr/>
        <w:t>或有租金在实际发生时计入当期损益</w:t>
      </w:r>
      <w:r>
        <w:rPr>
          <w:rFonts w:ascii="Microsoft JhengHei" w:hAnsi="Microsoft JhengHei" w:cs="Microsoft JhengHei" w:eastAsia="Microsoft JhengHei" w:hint="default"/>
        </w:rPr>
        <w:t>｡</w:t>
      </w:r>
    </w:p>
    <w:p>
      <w:pPr>
        <w:pStyle w:val="BodyText"/>
        <w:spacing w:line="240" w:lineRule="auto" w:before="60"/>
        <w:ind w:right="146" w:firstLine="271"/>
        <w:jc w:val="both"/>
        <w:rPr>
          <w:rFonts w:ascii="Microsoft JhengHei" w:hAnsi="Microsoft JhengHei" w:cs="Microsoft JhengHei" w:eastAsia="Microsoft JhengHei" w:hint="default"/>
        </w:rPr>
      </w:pPr>
      <w:r>
        <w:rPr/>
        <w:t>②对于经营租赁的租金</w:t>
      </w:r>
      <w:r>
        <w:rPr>
          <w:rFonts w:ascii="Times New Roman" w:hAnsi="Times New Roman" w:cs="Times New Roman" w:eastAsia="Times New Roman" w:hint="default"/>
        </w:rPr>
        <w:t>,</w:t>
      </w:r>
      <w:r>
        <w:rPr/>
        <w:t>出租人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在租赁期内各个期间按照直线法确认为当期损益</w:t>
      </w:r>
      <w:r>
        <w:rPr>
          <w:rFonts w:ascii="Times New Roman" w:hAnsi="Times New Roman" w:cs="Times New Roman" w:eastAsia="Times New Roman" w:hint="default"/>
        </w:rPr>
        <w:t>;</w:t>
      </w:r>
      <w:r>
        <w:rPr/>
        <w:t>其他方法更为系统合理的</w:t>
      </w:r>
      <w:r>
        <w:rPr>
          <w:rFonts w:ascii="Times New Roman" w:hAnsi="Times New Roman" w:cs="Times New Roman" w:eastAsia="Times New Roman" w:hint="default"/>
        </w:rPr>
        <w:t>,</w:t>
      </w:r>
      <w:r>
        <w:rPr/>
        <w:t>可以采 用其他方法</w:t>
      </w:r>
      <w:r>
        <w:rPr>
          <w:rFonts w:ascii="Microsoft JhengHei" w:hAnsi="Microsoft JhengHei" w:cs="Microsoft JhengHei" w:eastAsia="Microsoft JhengHei" w:hint="default"/>
        </w:rPr>
        <w:t>｡</w:t>
      </w:r>
      <w:r>
        <w:rPr/>
        <w:t>出租人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发生的初始直接费用</w:t>
      </w:r>
      <w:r>
        <w:rPr>
          <w:rFonts w:ascii="Times New Roman" w:hAnsi="Times New Roman" w:cs="Times New Roman" w:eastAsia="Times New Roman" w:hint="default"/>
        </w:rPr>
        <w:t>,</w:t>
      </w:r>
      <w:r>
        <w:rPr/>
        <w:t>计入当期损益</w:t>
      </w:r>
      <w:r>
        <w:rPr>
          <w:rFonts w:ascii="Microsoft JhengHei" w:hAnsi="Microsoft JhengHei" w:cs="Microsoft JhengHei" w:eastAsia="Microsoft JhengHei" w:hint="default"/>
        </w:rPr>
        <w:t>｡</w:t>
      </w:r>
      <w:r>
        <w:rPr/>
        <w:t>对于经营租赁资产中的固定资产</w:t>
      </w:r>
      <w:r>
        <w:rPr>
          <w:rFonts w:ascii="Times New Roman" w:hAnsi="Times New Roman" w:cs="Times New Roman" w:eastAsia="Times New Roman" w:hint="default"/>
        </w:rPr>
        <w:t>,</w:t>
      </w:r>
      <w:r>
        <w:rPr/>
        <w:t>出租人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采用类似资产</w:t>
      </w:r>
      <w:r>
        <w:rPr>
          <w:spacing w:val="22"/>
        </w:rPr>
        <w:t> </w:t>
      </w:r>
      <w:r>
        <w:rPr>
          <w:spacing w:val="22"/>
        </w:rPr>
      </w:r>
      <w:r>
        <w:rPr>
          <w:spacing w:val="2"/>
        </w:rPr>
        <w:t>的折旧政策计提折旧</w:t>
      </w:r>
      <w:r>
        <w:rPr>
          <w:rFonts w:ascii="Times New Roman" w:hAnsi="Times New Roman" w:cs="Times New Roman" w:eastAsia="Times New Roman" w:hint="default"/>
          <w:spacing w:val="2"/>
        </w:rPr>
        <w:t>;</w:t>
      </w:r>
      <w:r>
        <w:rPr>
          <w:spacing w:val="2"/>
        </w:rPr>
        <w:t>对于其它经营租赁资产</w:t>
      </w:r>
      <w:r>
        <w:rPr>
          <w:rFonts w:ascii="Times New Roman" w:hAnsi="Times New Roman" w:cs="Times New Roman" w:eastAsia="Times New Roman" w:hint="default"/>
          <w:spacing w:val="2"/>
        </w:rPr>
        <w:t>,</w:t>
      </w:r>
      <w:r>
        <w:rPr>
          <w:spacing w:val="2"/>
        </w:rPr>
        <w:t>采用系统合理的方法进行摊销</w:t>
      </w:r>
      <w:r>
        <w:rPr>
          <w:rFonts w:ascii="Microsoft JhengHei" w:hAnsi="Microsoft JhengHei" w:cs="Microsoft JhengHei" w:eastAsia="Microsoft JhengHei" w:hint="default"/>
          <w:spacing w:val="2"/>
        </w:rPr>
        <w:t>｡</w:t>
      </w:r>
      <w:r>
        <w:rPr>
          <w:spacing w:val="2"/>
        </w:rPr>
        <w:t>出租人</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或有租金在实际发生时计入当期</w:t>
      </w:r>
      <w:r>
        <w:rPr>
          <w:spacing w:val="-70"/>
        </w:rPr>
        <w:t> </w:t>
      </w:r>
      <w:r>
        <w:rPr>
          <w:spacing w:val="-70"/>
        </w:rPr>
      </w:r>
      <w:r>
        <w:rPr/>
        <w:t>损益</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firstLine="300"/>
        <w:jc w:val="left"/>
        <w:rPr>
          <w:rFonts w:ascii="Microsoft JhengHei" w:hAnsi="Microsoft JhengHei" w:cs="Microsoft JhengHei" w:eastAsia="Microsoft JhengHei" w:hint="default"/>
        </w:rPr>
      </w:pPr>
      <w:r>
        <w:rPr>
          <w:spacing w:val="2"/>
        </w:rPr>
        <w:t>①在租赁期开始日</w:t>
      </w:r>
      <w:r>
        <w:rPr>
          <w:rFonts w:ascii="Times New Roman" w:hAnsi="Times New Roman" w:cs="Times New Roman" w:eastAsia="Times New Roman" w:hint="default"/>
          <w:spacing w:val="2"/>
        </w:rPr>
        <w:t>,</w:t>
      </w:r>
      <w:r>
        <w:rPr>
          <w:spacing w:val="2"/>
        </w:rPr>
        <w:t>承租人</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将租赁开始日租赁资产公允价值与最低租赁付款额现值两者中较低者作为租入资产的 </w:t>
      </w:r>
      <w:r>
        <w:rPr/>
        <w:t>入账价值</w:t>
      </w:r>
      <w:r>
        <w:rPr>
          <w:rFonts w:ascii="Times New Roman" w:hAnsi="Times New Roman" w:cs="Times New Roman" w:eastAsia="Times New Roman" w:hint="default"/>
        </w:rPr>
        <w:t>,</w:t>
      </w:r>
      <w:r>
        <w:rPr/>
        <w:t>将最低租赁付款额作为长期应付款的入账价值</w:t>
      </w:r>
      <w:r>
        <w:rPr>
          <w:rFonts w:ascii="Times New Roman" w:hAnsi="Times New Roman" w:cs="Times New Roman" w:eastAsia="Times New Roman" w:hint="default"/>
        </w:rPr>
        <w:t>,</w:t>
      </w:r>
      <w:r>
        <w:rPr/>
        <w:t>其差额作为未确认融资费用</w:t>
      </w:r>
      <w:r>
        <w:rPr>
          <w:rFonts w:ascii="Microsoft JhengHei" w:hAnsi="Microsoft JhengHei" w:cs="Microsoft JhengHei" w:eastAsia="Microsoft JhengHei" w:hint="default"/>
        </w:rPr>
        <w:t>｡</w:t>
      </w:r>
    </w:p>
    <w:p>
      <w:pPr>
        <w:pStyle w:val="BodyText"/>
        <w:spacing w:line="240" w:lineRule="auto" w:before="60"/>
        <w:ind w:right="0" w:firstLine="300"/>
        <w:jc w:val="left"/>
        <w:rPr>
          <w:rFonts w:ascii="Microsoft JhengHei" w:hAnsi="Microsoft JhengHei" w:cs="Microsoft JhengHei" w:eastAsia="Microsoft JhengHei" w:hint="default"/>
        </w:rPr>
      </w:pPr>
      <w:r>
        <w:rPr>
          <w:spacing w:val="2"/>
        </w:rPr>
        <w:t>②在租赁期开始日</w:t>
      </w:r>
      <w:r>
        <w:rPr>
          <w:rFonts w:ascii="Times New Roman" w:hAnsi="Times New Roman" w:cs="Times New Roman" w:eastAsia="Times New Roman" w:hint="default"/>
          <w:spacing w:val="2"/>
        </w:rPr>
        <w:t>,</w:t>
      </w:r>
      <w:r>
        <w:rPr>
          <w:spacing w:val="2"/>
        </w:rPr>
        <w:t>出租人</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将租赁开始日最低租赁收款额与初始直接费用之和作为应收融资租赁款的入账价值</w:t>
      </w:r>
      <w:r>
        <w:rPr>
          <w:rFonts w:ascii="Times New Roman" w:hAnsi="Times New Roman" w:cs="Times New Roman" w:eastAsia="Times New Roman" w:hint="default"/>
          <w:spacing w:val="2"/>
        </w:rPr>
        <w:t>,</w:t>
      </w:r>
      <w:r>
        <w:rPr>
          <w:spacing w:val="2"/>
        </w:rPr>
        <w:t>同</w:t>
      </w:r>
      <w:r>
        <w:rPr/>
        <w:t> 时记录未担保余值</w:t>
      </w:r>
      <w:r>
        <w:rPr>
          <w:rFonts w:ascii="Times New Roman" w:hAnsi="Times New Roman" w:cs="Times New Roman" w:eastAsia="Times New Roman" w:hint="default"/>
        </w:rPr>
        <w:t>;</w:t>
      </w:r>
      <w:r>
        <w:rPr/>
        <w:t>将最低租赁收款额</w:t>
      </w:r>
      <w:r>
        <w:rPr>
          <w:rFonts w:ascii="Microsoft JhengHei" w:hAnsi="Microsoft JhengHei" w:cs="Microsoft JhengHei" w:eastAsia="Microsoft JhengHei" w:hint="default"/>
        </w:rPr>
        <w:t>､初始直接费用及未担保余值之和与其现值之和的差额确认为未实现融资收益｡</w:t>
      </w:r>
    </w:p>
    <w:p>
      <w:pPr>
        <w:spacing w:line="240" w:lineRule="auto" w:before="0"/>
        <w:rPr>
          <w:rFonts w:ascii="Microsoft JhengHei" w:hAnsi="Microsoft JhengHei" w:cs="Microsoft JhengHei" w:eastAsia="Microsoft JhengHei" w:hint="default"/>
          <w:sz w:val="18"/>
          <w:szCs w:val="18"/>
        </w:rPr>
      </w:pPr>
    </w:p>
    <w:p>
      <w:pPr>
        <w:spacing w:line="240" w:lineRule="auto" w:before="9"/>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42" w:firstLine="144"/>
        <w:jc w:val="both"/>
        <w:rPr>
          <w:rFonts w:ascii="Microsoft JhengHei" w:hAnsi="Microsoft JhengHei" w:cs="Microsoft JhengHei" w:eastAsia="Microsoft JhengHei" w:hint="default"/>
        </w:rPr>
      </w:pPr>
      <w:r>
        <w:rPr/>
        <w:t>公司将同时满足下述条件的非流动资产划分为持有待售资产</w:t>
      </w:r>
      <w:r>
        <w:rPr>
          <w:rFonts w:ascii="Times New Roman" w:hAnsi="Times New Roman" w:cs="Times New Roman" w:eastAsia="Times New Roman" w:hint="default"/>
        </w:rPr>
        <w:t>:</w:t>
      </w:r>
      <w:r>
        <w:rPr/>
        <w:t>①</w:t>
      </w:r>
      <w:r>
        <w:rPr>
          <w:spacing w:val="-18"/>
        </w:rPr>
        <w:t> </w:t>
      </w:r>
      <w:r>
        <w:rPr/>
        <w:t>公司已经就处置该非流动资产做出决议</w:t>
      </w:r>
      <w:r>
        <w:rPr>
          <w:rFonts w:ascii="Times New Roman" w:hAnsi="Times New Roman" w:cs="Times New Roman" w:eastAsia="Times New Roman" w:hint="default"/>
        </w:rPr>
        <w:t>;</w:t>
      </w:r>
      <w:r>
        <w:rPr/>
        <w:t>②公司已经与受 让方签订了不可撤销的转让协议</w:t>
      </w:r>
      <w:r>
        <w:rPr>
          <w:rFonts w:ascii="Times New Roman" w:hAnsi="Times New Roman" w:cs="Times New Roman" w:eastAsia="Times New Roman" w:hint="default"/>
        </w:rPr>
        <w:t>;</w:t>
      </w:r>
      <w:r>
        <w:rPr/>
        <w:t>③该项转让很可能在一年内完成</w:t>
      </w:r>
      <w:r>
        <w:rPr>
          <w:rFonts w:ascii="Microsoft JhengHei" w:hAnsi="Microsoft JhengHei" w:cs="Microsoft JhengHei" w:eastAsia="Microsoft JhengHei" w:hint="default"/>
        </w:rPr>
        <w:t>｡</w:t>
      </w:r>
      <w:r>
        <w:rPr/>
        <w:t>持有待售的非流动资产包括单项资产和处置组</w:t>
      </w:r>
      <w:r>
        <w:rPr>
          <w:rFonts w:ascii="Times New Roman" w:hAnsi="Times New Roman" w:cs="Times New Roman" w:eastAsia="Times New Roman" w:hint="default"/>
        </w:rPr>
        <w:t>,</w:t>
      </w:r>
      <w:r>
        <w:rPr/>
        <w:t>处置组是 指一项交易中作为整体通过出售或其他方式一并处置的一组资产以及在该交易中转让的与这些资产直接相关的负债</w:t>
      </w:r>
      <w:r>
        <w:rPr>
          <w:rFonts w:ascii="Microsoft JhengHei" w:hAnsi="Microsoft JhengHei" w:cs="Microsoft JhengHei" w:eastAsia="Microsoft JhengHei" w:hint="default"/>
        </w:rPr>
        <w:t>｡</w:t>
      </w:r>
    </w:p>
    <w:p>
      <w:pPr>
        <w:spacing w:line="240" w:lineRule="auto" w:before="9"/>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53" w:right="0"/>
        <w:jc w:val="left"/>
      </w:pPr>
      <w:r>
        <w:rPr/>
        <w:t>①公司对于持有待售的固定资产</w:t>
      </w:r>
      <w:r>
        <w:rPr>
          <w:rFonts w:ascii="Times New Roman" w:hAnsi="Times New Roman" w:cs="Times New Roman" w:eastAsia="Times New Roman" w:hint="default"/>
        </w:rPr>
        <w:t>,</w:t>
      </w:r>
      <w:r>
        <w:rPr/>
        <w:t>调整该项固定资产的预计净残值</w:t>
      </w:r>
      <w:r>
        <w:rPr>
          <w:rFonts w:ascii="Times New Roman" w:hAnsi="Times New Roman" w:cs="Times New Roman" w:eastAsia="Times New Roman" w:hint="default"/>
        </w:rPr>
        <w:t>,</w:t>
      </w:r>
      <w:r>
        <w:rPr/>
        <w:t>使该项固定资产的预计净残值能够反映其公允价值减</w:t>
      </w:r>
    </w:p>
    <w:p>
      <w:pPr>
        <w:pStyle w:val="BodyText"/>
        <w:spacing w:line="240" w:lineRule="auto" w:before="63"/>
        <w:ind w:right="99"/>
        <w:jc w:val="left"/>
        <w:rPr>
          <w:rFonts w:ascii="Microsoft JhengHei" w:hAnsi="Microsoft JhengHei" w:cs="Microsoft JhengHei" w:eastAsia="Microsoft JhengHei" w:hint="default"/>
        </w:rPr>
      </w:pPr>
      <w:r>
        <w:rPr/>
        <w:t>去处置费用后的金额</w:t>
      </w:r>
      <w:r>
        <w:rPr>
          <w:rFonts w:ascii="Times New Roman" w:hAnsi="Times New Roman" w:cs="Times New Roman" w:eastAsia="Times New Roman" w:hint="default"/>
        </w:rPr>
        <w:t>,</w:t>
      </w:r>
      <w:r>
        <w:rPr/>
        <w:t>但不得超过符合持有待售条件时该项固定资产的原账面价值</w:t>
      </w:r>
      <w:r>
        <w:rPr>
          <w:rFonts w:ascii="Times New Roman" w:hAnsi="Times New Roman" w:cs="Times New Roman" w:eastAsia="Times New Roman" w:hint="default"/>
        </w:rPr>
        <w:t>,</w:t>
      </w:r>
      <w:r>
        <w:rPr/>
        <w:t>原账面价值高于调整后预计净残值的差额</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作为资产减值损失计入当期损益</w:t>
      </w:r>
      <w:r>
        <w:rPr>
          <w:rFonts w:ascii="Microsoft JhengHei" w:hAnsi="Microsoft JhengHei" w:cs="Microsoft JhengHei" w:eastAsia="Microsoft JhengHei" w:hint="default"/>
        </w:rPr>
        <w:t>｡</w:t>
      </w:r>
    </w:p>
    <w:p>
      <w:pPr>
        <w:pStyle w:val="BodyText"/>
        <w:spacing w:line="312" w:lineRule="exact"/>
        <w:ind w:left="453" w:right="0"/>
        <w:jc w:val="left"/>
        <w:rPr>
          <w:rFonts w:ascii="Microsoft JhengHei" w:hAnsi="Microsoft JhengHei" w:cs="Microsoft JhengHei" w:eastAsia="Microsoft JhengHei" w:hint="default"/>
        </w:rPr>
      </w:pPr>
      <w:r>
        <w:rPr/>
        <w:t>②符合持有待售条件的无形资产等其他非流动资产</w:t>
      </w:r>
      <w:r>
        <w:rPr>
          <w:rFonts w:ascii="Times New Roman" w:hAnsi="Times New Roman" w:cs="Times New Roman" w:eastAsia="Times New Roman" w:hint="default"/>
        </w:rPr>
        <w:t>,</w:t>
      </w:r>
      <w:r>
        <w:rPr/>
        <w:t>比照上述原则处理</w:t>
      </w:r>
      <w:r>
        <w:rPr>
          <w:rFonts w:ascii="Microsoft JhengHei" w:hAnsi="Microsoft JhengHei" w:cs="Microsoft JhengHei" w:eastAsia="Microsoft JhengHei" w:hint="default"/>
        </w:rPr>
        <w:t>｡</w:t>
      </w:r>
    </w:p>
    <w:p>
      <w:pPr>
        <w:spacing w:line="240" w:lineRule="auto" w:before="0"/>
        <w:rPr>
          <w:rFonts w:ascii="Microsoft JhengHei" w:hAnsi="Microsoft JhengHei" w:cs="Microsoft JhengHei" w:eastAsia="Microsoft JhengHei" w:hint="default"/>
          <w:sz w:val="18"/>
          <w:szCs w:val="18"/>
        </w:rPr>
      </w:pPr>
    </w:p>
    <w:p>
      <w:pPr>
        <w:spacing w:line="240" w:lineRule="auto" w:before="8"/>
        <w:rPr>
          <w:rFonts w:ascii="Microsoft JhengHei" w:hAnsi="Microsoft JhengHei" w:cs="Microsoft JhengHei" w:eastAsia="Microsoft JhengHei"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40" w:lineRule="auto" w:before="115"/>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6"/>
        <w:gridCol w:w="3024"/>
        <w:gridCol w:w="3016"/>
      </w:tblGrid>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16"/>
        <w:gridCol w:w="3024"/>
        <w:gridCol w:w="3027"/>
      </w:tblGrid>
      <w:tr>
        <w:trPr>
          <w:trHeight w:val="713"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按应税销售额的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计算的销项税额 减去可抵扣进项税后计缴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165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公司按应纳税所得额和当期适用之税 率计缴所得税，</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年公司被认定为 高新技术企业，</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月通过了高 </w:t>
            </w:r>
            <w:r>
              <w:rPr>
                <w:rFonts w:ascii="宋体" w:hAnsi="宋体" w:cs="宋体" w:eastAsia="宋体" w:hint="default"/>
                <w:spacing w:val="-6"/>
                <w:sz w:val="18"/>
                <w:szCs w:val="18"/>
              </w:rPr>
              <w:t>新技术企业复核，本年适用企业所得税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税率为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bl>
    <w:p>
      <w:pPr>
        <w:pStyle w:val="BodyText"/>
        <w:tabs>
          <w:tab w:pos="2997" w:val="left" w:leader="none"/>
        </w:tabs>
        <w:spacing w:line="357" w:lineRule="auto" w:before="49"/>
        <w:ind w:right="6653"/>
        <w:jc w:val="left"/>
        <w:rPr>
          <w:rFonts w:ascii="Times New Roman" w:hAnsi="Times New Roman" w:cs="Times New Roman" w:eastAsia="Times New Roman" w:hint="default"/>
        </w:rPr>
      </w:pPr>
      <w:r>
        <w:rPr/>
        <w:t>各分公司、分厂执行的所得税税率 青岛市恒川滤波科技有限公司</w:t>
        <w:tab/>
      </w:r>
      <w:r>
        <w:rPr>
          <w:rFonts w:ascii="Times New Roman" w:hAnsi="Times New Roman" w:cs="Times New Roman" w:eastAsia="Times New Roman" w:hint="default"/>
        </w:rPr>
        <w:t>25%</w:t>
      </w:r>
    </w:p>
    <w:p>
      <w:pPr>
        <w:pStyle w:val="BodyText"/>
        <w:tabs>
          <w:tab w:pos="3033" w:val="left" w:leader="none"/>
        </w:tabs>
        <w:spacing w:line="214" w:lineRule="exact"/>
        <w:ind w:right="0"/>
        <w:jc w:val="left"/>
        <w:rPr>
          <w:rFonts w:ascii="Times New Roman" w:hAnsi="Times New Roman" w:cs="Times New Roman" w:eastAsia="Times New Roman" w:hint="default"/>
        </w:rPr>
      </w:pPr>
      <w:r>
        <w:rPr/>
        <w:t>青岛恒顺节能科技有限公司</w:t>
        <w:tab/>
      </w:r>
      <w:r>
        <w:rPr>
          <w:rFonts w:ascii="Times New Roman" w:hAnsi="Times New Roman" w:cs="Times New Roman" w:eastAsia="Times New Roman" w:hint="default"/>
        </w:rPr>
        <w:t>25%</w:t>
      </w:r>
    </w:p>
    <w:p>
      <w:pPr>
        <w:pStyle w:val="BodyText"/>
        <w:tabs>
          <w:tab w:pos="3033" w:val="left" w:leader="none"/>
        </w:tabs>
        <w:spacing w:line="240" w:lineRule="auto" w:before="63"/>
        <w:ind w:right="0"/>
        <w:jc w:val="left"/>
        <w:rPr>
          <w:rFonts w:ascii="Times New Roman" w:hAnsi="Times New Roman" w:cs="Times New Roman" w:eastAsia="Times New Roman" w:hint="default"/>
        </w:rPr>
      </w:pPr>
      <w:r>
        <w:rPr/>
        <w:t>西安恒顺电气科技有限公司</w:t>
        <w:tab/>
      </w:r>
      <w:r>
        <w:rPr>
          <w:rFonts w:ascii="Times New Roman" w:hAnsi="Times New Roman" w:cs="Times New Roman" w:eastAsia="Times New Roman" w:hint="default"/>
        </w:rPr>
        <w:t>25%</w:t>
      </w:r>
    </w:p>
    <w:p>
      <w:pPr>
        <w:pStyle w:val="BodyText"/>
        <w:tabs>
          <w:tab w:pos="8511" w:val="left" w:leader="none"/>
        </w:tabs>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7"/>
        </w:rPr>
        <w:t> </w:t>
      </w:r>
      <w:r>
        <w:rPr>
          <w:rFonts w:ascii="Times New Roman" w:hAnsi="Times New Roman" w:cs="Times New Roman" w:eastAsia="Times New Roman" w:hint="default"/>
        </w:rPr>
        <w:t>PTE.LTD.</w:t>
      </w:r>
      <w:r>
        <w:rPr/>
        <w:t>（恒顺新加坡国际控股有限责任公司）及其子公司</w:t>
        <w:tab/>
      </w:r>
      <w:r>
        <w:rPr>
          <w:rFonts w:ascii="Times New Roman" w:hAnsi="Times New Roman" w:cs="Times New Roman" w:eastAsia="Times New Roman" w:hint="default"/>
        </w:rPr>
        <w:t>17%</w:t>
      </w:r>
    </w:p>
    <w:p>
      <w:pPr>
        <w:spacing w:line="240" w:lineRule="auto" w:before="0"/>
        <w:rPr>
          <w:rFonts w:ascii="Times New Roman" w:hAnsi="Times New Roman" w:cs="Times New Roman" w:eastAsia="Times New Roman" w:hint="default"/>
          <w:sz w:val="18"/>
          <w:szCs w:val="18"/>
        </w:rPr>
      </w:pPr>
    </w:p>
    <w:p>
      <w:pPr>
        <w:pStyle w:val="Heading4"/>
        <w:spacing w:line="240" w:lineRule="auto" w:before="135"/>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1"/>
          <w:szCs w:val="21"/>
        </w:rPr>
      </w:pPr>
    </w:p>
    <w:p>
      <w:pPr>
        <w:pStyle w:val="BodyText"/>
        <w:spacing w:line="292" w:lineRule="auto"/>
        <w:ind w:right="193" w:firstLine="360"/>
        <w:jc w:val="both"/>
      </w:pPr>
      <w:r>
        <w:rPr/>
        <w:t>青岛市科学技术局</w:t>
      </w:r>
      <w:r>
        <w:rPr>
          <w:rFonts w:ascii="Microsoft JhengHei" w:hAnsi="Microsoft JhengHei" w:cs="Microsoft JhengHei" w:eastAsia="Microsoft JhengHei" w:hint="default"/>
        </w:rPr>
        <w:t>､青岛市财政局､山东省青岛市国家税务局､青岛市地方税务局于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日联合向公司颁发编 号为</w:t>
      </w:r>
      <w:r>
        <w:rPr>
          <w:rFonts w:ascii="Times New Roman" w:hAnsi="Times New Roman" w:cs="Times New Roman" w:eastAsia="Times New Roman" w:hint="default"/>
        </w:rPr>
        <w:t>GF201237100039 </w:t>
      </w:r>
      <w:r>
        <w:rPr/>
        <w:t>的《高新技术企业证书》，按照《中华人民共和国企业所得税法》的规定，公司可以自</w:t>
      </w:r>
      <w:r>
        <w:rPr>
          <w:rFonts w:ascii="Times New Roman" w:hAnsi="Times New Roman" w:cs="Times New Roman" w:eastAsia="Times New Roman" w:hint="default"/>
        </w:rPr>
        <w:t>2012</w:t>
      </w:r>
      <w:r>
        <w:rPr/>
        <w:t>年度起连 续三年执行</w:t>
      </w:r>
      <w:r>
        <w:rPr>
          <w:rFonts w:ascii="Times New Roman" w:hAnsi="Times New Roman" w:cs="Times New Roman" w:eastAsia="Times New Roman" w:hint="default"/>
        </w:rPr>
        <w:t>15%</w:t>
      </w:r>
      <w:r>
        <w:rPr/>
        <w:t>的所得税优惠税率。</w:t>
      </w:r>
    </w:p>
    <w:p>
      <w:pPr>
        <w:pStyle w:val="BodyText"/>
        <w:spacing w:line="309" w:lineRule="auto" w:before="19"/>
        <w:ind w:right="0" w:firstLine="504"/>
        <w:jc w:val="left"/>
      </w:pPr>
      <w:r>
        <w:rPr>
          <w:spacing w:val="-3"/>
        </w:rPr>
        <w:t>根据《中华人民共和国企业所得税法》以及《中华人民共和国企业所得税法实施条例》，公司为开发新技术、新产品、</w:t>
      </w:r>
      <w:r>
        <w:rPr/>
        <w:t> </w:t>
      </w:r>
      <w:r>
        <w:rPr>
          <w:spacing w:val="-2"/>
        </w:rPr>
        <w:t>新工艺发生的研究开发费，未形成无形资产计入当期损益的，在按照规定据实扣除的基础上，按照研究开发费用的</w:t>
      </w:r>
      <w:r>
        <w:rPr>
          <w:rFonts w:ascii="Times New Roman" w:hAnsi="Times New Roman" w:cs="Times New Roman" w:eastAsia="Times New Roman" w:hint="default"/>
          <w:spacing w:val="-2"/>
        </w:rPr>
        <w:t>50</w:t>
      </w:r>
      <w:r>
        <w:rPr>
          <w:spacing w:val="-2"/>
        </w:rPr>
        <w:t>％加计</w:t>
      </w:r>
      <w:r>
        <w:rPr>
          <w:spacing w:val="-60"/>
        </w:rPr>
        <w:t> </w:t>
      </w:r>
      <w:r>
        <w:rPr>
          <w:spacing w:val="-60"/>
        </w:rPr>
      </w:r>
      <w:r>
        <w:rPr/>
        <w:t>扣除。</w:t>
      </w:r>
    </w:p>
    <w:p>
      <w:pPr>
        <w:pStyle w:val="BodyText"/>
        <w:spacing w:line="275" w:lineRule="exact"/>
        <w:ind w:right="0" w:firstLine="432"/>
        <w:jc w:val="left"/>
        <w:rPr>
          <w:rFonts w:ascii="Microsoft JhengHei" w:hAnsi="Microsoft JhengHei" w:cs="Microsoft JhengHei" w:eastAsia="Microsoft JhengHei" w:hint="default"/>
        </w:rPr>
      </w:pPr>
      <w:r>
        <w:rPr/>
        <w:t>根据财政部</w:t>
      </w:r>
      <w:r>
        <w:rPr>
          <w:rFonts w:ascii="Microsoft JhengHei" w:hAnsi="Microsoft JhengHei" w:cs="Microsoft JhengHei" w:eastAsia="Microsoft JhengHei" w:hint="default"/>
        </w:rPr>
        <w:t>､国家税务总局根据税收法律法规有关规定和《国务院办公厅转发发展改革委等部门关于加快推进合同能</w:t>
      </w:r>
    </w:p>
    <w:p>
      <w:pPr>
        <w:pStyle w:val="BodyText"/>
        <w:spacing w:line="240" w:lineRule="auto"/>
        <w:ind w:right="229"/>
        <w:jc w:val="both"/>
      </w:pPr>
      <w:r>
        <w:rPr>
          <w:rFonts w:ascii="Microsoft JhengHei" w:hAnsi="Microsoft JhengHei" w:cs="Microsoft JhengHei" w:eastAsia="Microsoft JhengHei" w:hint="default"/>
        </w:rPr>
        <w:t>源管理促进节能服务产业发展意见的通知》</w:t>
      </w:r>
      <w:r>
        <w:rPr>
          <w:rFonts w:ascii="Times New Roman" w:hAnsi="Times New Roman" w:cs="Times New Roman" w:eastAsia="Times New Roman" w:hint="default"/>
        </w:rPr>
        <w:t>(</w:t>
      </w:r>
      <w:r>
        <w:rPr/>
        <w:t>国办发</w:t>
      </w:r>
      <w:r>
        <w:rPr>
          <w:rFonts w:ascii="Times New Roman" w:hAnsi="Times New Roman" w:cs="Times New Roman" w:eastAsia="Times New Roman" w:hint="default"/>
        </w:rPr>
        <w:t>[2010]25</w:t>
      </w:r>
      <w:r>
        <w:rPr/>
        <w:t>号</w:t>
      </w:r>
      <w:r>
        <w:rPr>
          <w:rFonts w:ascii="Times New Roman" w:hAnsi="Times New Roman" w:cs="Times New Roman" w:eastAsia="Times New Roman" w:hint="default"/>
        </w:rPr>
        <w:t>)</w:t>
      </w:r>
      <w:r>
        <w:rPr/>
        <w:t>下发的《关于促进节能服务产业发展增值税</w:t>
      </w:r>
      <w:r>
        <w:rPr>
          <w:rFonts w:ascii="Microsoft JhengHei" w:hAnsi="Microsoft JhengHei" w:cs="Microsoft JhengHei" w:eastAsia="Microsoft JhengHei" w:hint="default"/>
        </w:rPr>
        <w:t>､营业税和企业</w:t>
      </w:r>
      <w:r>
        <w:rPr>
          <w:rFonts w:ascii="Microsoft JhengHei" w:hAnsi="Microsoft JhengHei" w:cs="Microsoft JhengHei" w:eastAsia="Microsoft JhengHei" w:hint="default"/>
          <w:spacing w:val="43"/>
        </w:rPr>
        <w:t> </w:t>
      </w:r>
      <w:r>
        <w:rPr>
          <w:rFonts w:ascii="Microsoft JhengHei" w:hAnsi="Microsoft JhengHei" w:cs="Microsoft JhengHei" w:eastAsia="Microsoft JhengHei" w:hint="default"/>
        </w:rPr>
        <w:t>所得税政策问题的通知》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[2010]110</w:t>
      </w:r>
      <w:r>
        <w:rPr/>
        <w:t>号文件</w:t>
      </w:r>
      <w:r>
        <w:rPr>
          <w:rFonts w:ascii="Times New Roman" w:hAnsi="Times New Roman" w:cs="Times New Roman" w:eastAsia="Times New Roman" w:hint="default"/>
        </w:rPr>
        <w:t>),</w:t>
      </w:r>
      <w:r>
        <w:rPr/>
        <w:t>子公司青岛恒顺节能科技有限公司享受免征营业税以及企业所得税三免三 减半的政策</w:t>
      </w:r>
      <w:r>
        <w:rPr>
          <w:rFonts w:ascii="Microsoft JhengHei" w:hAnsi="Microsoft JhengHei" w:cs="Microsoft JhengHei" w:eastAsia="Microsoft JhengHei" w:hint="default"/>
        </w:rPr>
        <w:t>｡本年度是企业所得税</w:t>
      </w:r>
      <w:r>
        <w:rPr>
          <w:rFonts w:ascii="Times New Roman" w:hAnsi="Times New Roman" w:cs="Times New Roman" w:eastAsia="Times New Roman" w:hint="default"/>
        </w:rPr>
        <w:t>“</w:t>
      </w:r>
      <w:r>
        <w:rPr/>
        <w:t>三免三减半</w:t>
      </w:r>
      <w:r>
        <w:rPr>
          <w:rFonts w:ascii="Times New Roman" w:hAnsi="Times New Roman" w:cs="Times New Roman" w:eastAsia="Times New Roman" w:hint="default"/>
        </w:rPr>
        <w:t>”</w:t>
      </w:r>
      <w:r>
        <w:rPr/>
        <w:t>的第一个免税年度，免征企业所得税。</w:t>
      </w:r>
    </w:p>
    <w:p>
      <w:pPr>
        <w:pStyle w:val="BodyText"/>
        <w:spacing w:line="300" w:lineRule="auto" w:before="60"/>
        <w:ind w:right="192" w:firstLine="288"/>
        <w:jc w:val="both"/>
      </w:pPr>
      <w:r>
        <w:rPr>
          <w:rFonts w:ascii="Times New Roman" w:hAnsi="Times New Roman" w:cs="Times New Roman" w:eastAsia="Times New Roman" w:hint="default"/>
        </w:rPr>
        <w:t>H&amp;SHUN</w:t>
      </w:r>
      <w:r>
        <w:rPr>
          <w:rFonts w:ascii="Times New Roman" w:hAnsi="Times New Roman" w:cs="Times New Roman" w:eastAsia="Times New Roman" w:hint="default"/>
          <w:spacing w:val="-29"/>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3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28"/>
        </w:rPr>
        <w:t> </w:t>
      </w:r>
      <w:r>
        <w:rPr>
          <w:rFonts w:ascii="Times New Roman" w:hAnsi="Times New Roman" w:cs="Times New Roman" w:eastAsia="Times New Roman" w:hint="default"/>
        </w:rPr>
        <w:t>PTE.LTD.</w:t>
      </w:r>
      <w:r>
        <w:rPr/>
        <w:t>（恒顺新加坡国际控股有限责任公司）及其子公司按照新加坡法律规 定缴纳企业所得税，适用税率为</w:t>
      </w:r>
      <w:r>
        <w:rPr>
          <w:rFonts w:ascii="Times New Roman" w:hAnsi="Times New Roman" w:cs="Times New Roman" w:eastAsia="Times New Roman" w:hint="default"/>
        </w:rPr>
        <w:t>17%</w:t>
      </w:r>
      <w:r>
        <w:rPr/>
        <w:t>，股息红利所得免征企业所得税，当年应税所得不能用于弥补以前年度亏损。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3"/>
        <w:ind w:left="152" w:right="66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1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75"/>
        <w:gridCol w:w="683"/>
        <w:gridCol w:w="683"/>
        <w:gridCol w:w="683"/>
        <w:gridCol w:w="684"/>
        <w:gridCol w:w="682"/>
        <w:gridCol w:w="684"/>
        <w:gridCol w:w="683"/>
        <w:gridCol w:w="683"/>
        <w:gridCol w:w="683"/>
        <w:gridCol w:w="682"/>
        <w:gridCol w:w="685"/>
        <w:gridCol w:w="682"/>
        <w:gridCol w:w="673"/>
      </w:tblGrid>
      <w:tr>
        <w:trPr>
          <w:trHeight w:val="382"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7" w:right="0"/>
              <w:jc w:val="left"/>
              <w:rPr>
                <w:rFonts w:ascii="宋体" w:hAnsi="宋体" w:cs="宋体" w:eastAsia="宋体" w:hint="default"/>
                <w:sz w:val="18"/>
                <w:szCs w:val="18"/>
              </w:rPr>
            </w:pPr>
            <w:r>
              <w:rPr>
                <w:rFonts w:ascii="宋体" w:hAnsi="宋体" w:cs="宋体" w:eastAsia="宋体" w:hint="default"/>
                <w:sz w:val="18"/>
                <w:szCs w:val="18"/>
              </w:rPr>
              <w:t>业务性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期末实</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7"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7" w:right="0"/>
              <w:jc w:val="left"/>
              <w:rPr>
                <w:rFonts w:ascii="宋体" w:hAnsi="宋体" w:cs="宋体" w:eastAsia="宋体" w:hint="default"/>
                <w:sz w:val="18"/>
                <w:szCs w:val="18"/>
              </w:rPr>
            </w:pPr>
            <w:r>
              <w:rPr>
                <w:rFonts w:ascii="宋体" w:hAnsi="宋体" w:cs="宋体" w:eastAsia="宋体" w:hint="default"/>
                <w:sz w:val="18"/>
                <w:szCs w:val="18"/>
              </w:rPr>
              <w:t>是否合</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9" w:right="0"/>
              <w:jc w:val="left"/>
              <w:rPr>
                <w:rFonts w:ascii="宋体" w:hAnsi="宋体" w:cs="宋体" w:eastAsia="宋体" w:hint="default"/>
                <w:sz w:val="18"/>
                <w:szCs w:val="18"/>
              </w:rPr>
            </w:pPr>
            <w:r>
              <w:rPr>
                <w:rFonts w:ascii="宋体" w:hAnsi="宋体" w:cs="宋体" w:eastAsia="宋体" w:hint="default"/>
                <w:sz w:val="18"/>
                <w:szCs w:val="18"/>
              </w:rPr>
              <w:t>从母公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35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7" w:right="65" w:hanging="180"/>
              <w:jc w:val="left"/>
              <w:rPr>
                <w:rFonts w:ascii="宋体" w:hAnsi="宋体" w:cs="宋体" w:eastAsia="宋体" w:hint="default"/>
                <w:sz w:val="18"/>
                <w:szCs w:val="18"/>
              </w:rPr>
            </w:pPr>
            <w:r>
              <w:rPr>
                <w:rFonts w:ascii="宋体" w:hAnsi="宋体" w:cs="宋体" w:eastAsia="宋体" w:hint="default"/>
                <w:sz w:val="18"/>
                <w:szCs w:val="18"/>
              </w:rPr>
              <w:t>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201"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司所有 者权益 冲减子 公司少 数股东 分担的 本期亏 损超过 少数股 东在该 子公司 年初所 有者权 益中所 享有份 额后的 余额</w:t>
            </w: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08"/>
              <w:jc w:val="both"/>
              <w:rPr>
                <w:rFonts w:ascii="宋体" w:hAnsi="宋体" w:cs="宋体" w:eastAsia="宋体" w:hint="default"/>
                <w:sz w:val="18"/>
                <w:szCs w:val="18"/>
              </w:rPr>
            </w:pPr>
            <w:r>
              <w:rPr>
                <w:rFonts w:ascii="宋体" w:hAnsi="宋体" w:cs="宋体" w:eastAsia="宋体" w:hint="default"/>
                <w:sz w:val="18"/>
                <w:szCs w:val="18"/>
              </w:rPr>
              <w:t>青岛恒 顺节能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能源项 目投资 管理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9" w:lineRule="auto" w:before="63"/>
              <w:ind w:left="23" w:right="108"/>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能源项 目的投 资管 理，节 能环保 项目的 技术开 发、技 术咨询 和技术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西安恒 顺电气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08"/>
              <w:jc w:val="left"/>
              <w:rPr>
                <w:rFonts w:ascii="宋体" w:hAnsi="宋体" w:cs="宋体" w:eastAsia="宋体" w:hint="default"/>
                <w:sz w:val="18"/>
                <w:szCs w:val="18"/>
              </w:rPr>
            </w:pPr>
            <w:r>
              <w:rPr>
                <w:rFonts w:ascii="宋体" w:hAnsi="宋体" w:cs="宋体" w:eastAsia="宋体" w:hint="default"/>
                <w:sz w:val="18"/>
                <w:szCs w:val="18"/>
              </w:rPr>
              <w:t>西安市 高新区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1"/>
              <w:ind w:left="23" w:right="106"/>
              <w:jc w:val="left"/>
              <w:rPr>
                <w:rFonts w:ascii="宋体" w:hAnsi="宋体" w:cs="宋体" w:eastAsia="宋体" w:hint="default"/>
                <w:sz w:val="18"/>
                <w:szCs w:val="18"/>
              </w:rPr>
            </w:pPr>
            <w:r>
              <w:rPr>
                <w:rFonts w:ascii="宋体" w:hAnsi="宋体" w:cs="宋体" w:eastAsia="宋体" w:hint="default"/>
                <w:sz w:val="18"/>
                <w:szCs w:val="18"/>
              </w:rPr>
              <w:t>技术服 务与电 力设 备、材 料的销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6" w:lineRule="auto" w:before="63"/>
              <w:ind w:left="23" w:right="108"/>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电力电 子的技 术开发</w:t>
            </w:r>
          </w:p>
          <w:p>
            <w:pPr>
              <w:pStyle w:val="TableParagraph"/>
              <w:spacing w:line="269" w:lineRule="exact"/>
              <w:ind w:left="23" w:right="0"/>
              <w:jc w:val="both"/>
              <w:rPr>
                <w:rFonts w:ascii="宋体" w:hAnsi="宋体" w:cs="宋体" w:eastAsia="宋体" w:hint="default"/>
                <w:sz w:val="18"/>
                <w:szCs w:val="18"/>
              </w:rPr>
            </w:pPr>
            <w:r>
              <w:rPr>
                <w:rFonts w:ascii="Microsoft JhengHei" w:hAnsi="Microsoft JhengHei" w:cs="Microsoft JhengHei" w:eastAsia="Microsoft JhengHei" w:hint="default"/>
                <w:w w:val="135"/>
                <w:sz w:val="18"/>
                <w:szCs w:val="18"/>
              </w:rPr>
              <w:t>､</w:t>
            </w:r>
            <w:r>
              <w:rPr>
                <w:rFonts w:ascii="宋体" w:hAnsi="宋体" w:cs="宋体" w:eastAsia="宋体" w:hint="default"/>
                <w:w w:val="135"/>
                <w:sz w:val="18"/>
                <w:szCs w:val="18"/>
              </w:rPr>
              <w:t>技术</w:t>
            </w:r>
          </w:p>
          <w:p>
            <w:pPr>
              <w:pStyle w:val="TableParagraph"/>
              <w:spacing w:line="271" w:lineRule="auto"/>
              <w:ind w:left="23" w:right="57"/>
              <w:jc w:val="both"/>
              <w:rPr>
                <w:rFonts w:ascii="宋体" w:hAnsi="宋体" w:cs="宋体" w:eastAsia="宋体" w:hint="default"/>
                <w:sz w:val="18"/>
                <w:szCs w:val="18"/>
              </w:rPr>
            </w:pPr>
            <w:r>
              <w:rPr>
                <w:rFonts w:ascii="宋体" w:hAnsi="宋体" w:cs="宋体" w:eastAsia="宋体" w:hint="default"/>
                <w:w w:val="120"/>
                <w:sz w:val="18"/>
                <w:szCs w:val="18"/>
              </w:rPr>
              <w:t>转让</w:t>
            </w:r>
            <w:r>
              <w:rPr>
                <w:rFonts w:ascii="Microsoft JhengHei" w:hAnsi="Microsoft JhengHei" w:cs="Microsoft JhengHei" w:eastAsia="Microsoft JhengHei" w:hint="default"/>
                <w:w w:val="120"/>
                <w:sz w:val="18"/>
                <w:szCs w:val="18"/>
              </w:rPr>
              <w:t>､</w:t>
            </w:r>
            <w:r>
              <w:rPr>
                <w:rFonts w:ascii="Microsoft JhengHei" w:hAnsi="Microsoft JhengHei" w:cs="Microsoft JhengHei" w:eastAsia="Microsoft JhengHei" w:hint="default"/>
                <w:w w:val="200"/>
                <w:sz w:val="18"/>
                <w:szCs w:val="18"/>
              </w:rPr>
              <w:t> </w:t>
            </w:r>
            <w:r>
              <w:rPr>
                <w:rFonts w:ascii="宋体" w:hAnsi="宋体" w:cs="宋体" w:eastAsia="宋体" w:hint="default"/>
                <w:w w:val="105"/>
                <w:sz w:val="18"/>
                <w:szCs w:val="18"/>
              </w:rPr>
              <w:t>技术咨</w:t>
            </w:r>
            <w:r>
              <w:rPr>
                <w:rFonts w:ascii="宋体" w:hAnsi="宋体" w:cs="宋体" w:eastAsia="宋体" w:hint="default"/>
                <w:sz w:val="18"/>
                <w:szCs w:val="18"/>
              </w:rPr>
              <w:t> </w:t>
            </w:r>
            <w:r>
              <w:rPr>
                <w:rFonts w:ascii="宋体" w:hAnsi="宋体" w:cs="宋体" w:eastAsia="宋体" w:hint="default"/>
                <w:w w:val="120"/>
                <w:sz w:val="18"/>
                <w:szCs w:val="18"/>
              </w:rPr>
              <w:t>询</w:t>
            </w:r>
            <w:r>
              <w:rPr>
                <w:rFonts w:ascii="Microsoft JhengHei" w:hAnsi="Microsoft JhengHei" w:cs="Microsoft JhengHei" w:eastAsia="Microsoft JhengHei" w:hint="default"/>
                <w:w w:val="120"/>
                <w:sz w:val="18"/>
                <w:szCs w:val="18"/>
              </w:rPr>
              <w:t>､</w:t>
            </w:r>
            <w:r>
              <w:rPr>
                <w:rFonts w:ascii="宋体" w:hAnsi="宋体" w:cs="宋体" w:eastAsia="宋体" w:hint="default"/>
                <w:w w:val="120"/>
                <w:sz w:val="18"/>
                <w:szCs w:val="18"/>
              </w:rPr>
              <w:t>技</w:t>
            </w:r>
          </w:p>
          <w:p>
            <w:pPr>
              <w:pStyle w:val="TableParagraph"/>
              <w:spacing w:line="300" w:lineRule="auto" w:before="30"/>
              <w:ind w:left="23" w:right="57"/>
              <w:jc w:val="both"/>
              <w:rPr>
                <w:rFonts w:ascii="宋体" w:hAnsi="宋体" w:cs="宋体" w:eastAsia="宋体" w:hint="default"/>
                <w:sz w:val="18"/>
                <w:szCs w:val="18"/>
              </w:rPr>
            </w:pPr>
            <w:r>
              <w:rPr>
                <w:rFonts w:ascii="宋体" w:hAnsi="宋体" w:cs="宋体" w:eastAsia="宋体" w:hint="default"/>
                <w:sz w:val="18"/>
                <w:szCs w:val="18"/>
              </w:rPr>
              <w:t>术服务</w:t>
            </w:r>
            <w:r>
              <w:rPr>
                <w:rFonts w:ascii="Times New Roman" w:hAnsi="Times New Roman" w:cs="Times New Roman" w:eastAsia="Times New Roman" w:hint="default"/>
                <w:sz w:val="18"/>
                <w:szCs w:val="18"/>
              </w:rPr>
              <w:t>; </w:t>
            </w:r>
            <w:r>
              <w:rPr>
                <w:rFonts w:ascii="宋体" w:hAnsi="宋体" w:cs="宋体" w:eastAsia="宋体" w:hint="default"/>
                <w:sz w:val="18"/>
                <w:szCs w:val="18"/>
              </w:rPr>
              <w:t>电力软</w:t>
            </w:r>
          </w:p>
          <w:p>
            <w:pPr>
              <w:pStyle w:val="TableParagraph"/>
              <w:spacing w:line="271" w:lineRule="auto" w:before="31"/>
              <w:ind w:left="23" w:right="107"/>
              <w:jc w:val="both"/>
              <w:rPr>
                <w:rFonts w:ascii="宋体" w:hAnsi="宋体" w:cs="宋体" w:eastAsia="宋体" w:hint="default"/>
                <w:sz w:val="18"/>
                <w:szCs w:val="18"/>
              </w:rPr>
            </w:pPr>
            <w:r>
              <w:rPr>
                <w:rFonts w:ascii="宋体" w:hAnsi="宋体" w:cs="宋体" w:eastAsia="宋体" w:hint="default"/>
                <w:sz w:val="18"/>
                <w:szCs w:val="18"/>
              </w:rPr>
              <w:t>件的开 </w:t>
            </w:r>
            <w:r>
              <w:rPr>
                <w:rFonts w:ascii="宋体" w:hAnsi="宋体" w:cs="宋体" w:eastAsia="宋体" w:hint="default"/>
                <w:w w:val="115"/>
                <w:sz w:val="18"/>
                <w:szCs w:val="18"/>
              </w:rPr>
              <w:t>发</w:t>
            </w:r>
            <w:r>
              <w:rPr>
                <w:rFonts w:ascii="Microsoft JhengHei" w:hAnsi="Microsoft JhengHei" w:cs="Microsoft JhengHei" w:eastAsia="Microsoft JhengHei" w:hint="default"/>
                <w:w w:val="115"/>
                <w:sz w:val="18"/>
                <w:szCs w:val="18"/>
              </w:rPr>
              <w:t>､</w:t>
            </w:r>
            <w:r>
              <w:rPr>
                <w:rFonts w:ascii="宋体" w:hAnsi="宋体" w:cs="宋体" w:eastAsia="宋体" w:hint="default"/>
                <w:w w:val="115"/>
                <w:sz w:val="18"/>
                <w:szCs w:val="18"/>
              </w:rPr>
              <w:t>电</w:t>
            </w:r>
            <w:r>
              <w:rPr>
                <w:rFonts w:ascii="宋体" w:hAnsi="宋体" w:cs="宋体" w:eastAsia="宋体" w:hint="default"/>
                <w:spacing w:val="-81"/>
                <w:w w:val="115"/>
                <w:sz w:val="18"/>
                <w:szCs w:val="18"/>
              </w:rPr>
              <w:t> </w:t>
            </w:r>
            <w:r>
              <w:rPr>
                <w:rFonts w:ascii="宋体" w:hAnsi="宋体" w:cs="宋体" w:eastAsia="宋体" w:hint="default"/>
                <w:sz w:val="18"/>
                <w:szCs w:val="18"/>
              </w:rPr>
              <w:t>力工程</w:t>
            </w:r>
          </w:p>
          <w:p>
            <w:pPr>
              <w:pStyle w:val="TableParagraph"/>
              <w:spacing w:line="244" w:lineRule="auto" w:before="53"/>
              <w:ind w:left="23" w:right="107"/>
              <w:jc w:val="both"/>
              <w:rPr>
                <w:rFonts w:ascii="Microsoft JhengHei" w:hAnsi="Microsoft JhengHei" w:cs="Microsoft JhengHei" w:eastAsia="Microsoft JhengHei" w:hint="default"/>
                <w:sz w:val="18"/>
                <w:szCs w:val="18"/>
              </w:rPr>
            </w:pPr>
            <w:r>
              <w:rPr>
                <w:rFonts w:ascii="宋体" w:hAnsi="宋体" w:cs="宋体" w:eastAsia="宋体" w:hint="default"/>
                <w:sz w:val="18"/>
                <w:szCs w:val="18"/>
              </w:rPr>
              <w:t>的项目 </w:t>
            </w:r>
            <w:r>
              <w:rPr>
                <w:rFonts w:ascii="宋体" w:hAnsi="宋体" w:cs="宋体" w:eastAsia="宋体" w:hint="default"/>
                <w:w w:val="120"/>
                <w:sz w:val="18"/>
                <w:szCs w:val="18"/>
              </w:rPr>
              <w:t>咨询</w:t>
            </w:r>
            <w:r>
              <w:rPr>
                <w:rFonts w:ascii="Microsoft JhengHei" w:hAnsi="Microsoft JhengHei" w:cs="Microsoft JhengHei" w:eastAsia="Microsoft JhengHei" w:hint="default"/>
                <w:w w:val="120"/>
                <w:sz w:val="18"/>
                <w:szCs w:val="18"/>
              </w:rPr>
              <w:t>､</w:t>
            </w:r>
            <w:r>
              <w:rPr>
                <w:rFonts w:ascii="Microsoft JhengHei" w:hAnsi="Microsoft JhengHei" w:cs="Microsoft JhengHei" w:eastAsia="Microsoft JhengHei" w:hint="default"/>
                <w:w w:val="200"/>
                <w:sz w:val="18"/>
                <w:szCs w:val="18"/>
              </w:rPr>
              <w:t> </w:t>
            </w:r>
            <w:r>
              <w:rPr>
                <w:rFonts w:ascii="宋体" w:hAnsi="宋体" w:cs="宋体" w:eastAsia="宋体" w:hint="default"/>
                <w:w w:val="120"/>
                <w:sz w:val="18"/>
                <w:szCs w:val="18"/>
              </w:rPr>
              <w:t>设计</w:t>
            </w:r>
            <w:r>
              <w:rPr>
                <w:rFonts w:ascii="Microsoft JhengHei" w:hAnsi="Microsoft JhengHei" w:cs="Microsoft JhengHei" w:eastAsia="Microsoft JhengHei" w:hint="default"/>
                <w:w w:val="120"/>
                <w:sz w:val="18"/>
                <w:szCs w:val="18"/>
              </w:rPr>
              <w:t>､</w:t>
            </w:r>
            <w:r>
              <w:rPr>
                <w:rFonts w:ascii="Microsoft JhengHei" w:hAnsi="Microsoft JhengHei" w:cs="Microsoft JhengHei" w:eastAsia="Microsoft JhengHei" w:hint="default"/>
                <w:w w:val="200"/>
                <w:sz w:val="18"/>
                <w:szCs w:val="18"/>
              </w:rPr>
              <w:t> </w:t>
            </w:r>
            <w:r>
              <w:rPr>
                <w:rFonts w:ascii="宋体" w:hAnsi="宋体" w:cs="宋体" w:eastAsia="宋体" w:hint="default"/>
                <w:w w:val="120"/>
                <w:sz w:val="18"/>
                <w:szCs w:val="18"/>
              </w:rPr>
              <w:t>调试</w:t>
            </w:r>
            <w:r>
              <w:rPr>
                <w:rFonts w:ascii="Microsoft JhengHei" w:hAnsi="Microsoft JhengHei" w:cs="Microsoft JhengHei" w:eastAsia="Microsoft JhengHei" w:hint="default"/>
                <w:w w:val="120"/>
                <w:sz w:val="18"/>
                <w:szCs w:val="18"/>
              </w:rPr>
              <w:t>､</w:t>
            </w:r>
            <w:r>
              <w:rPr>
                <w:rFonts w:ascii="Microsoft JhengHei" w:hAnsi="Microsoft JhengHei" w:cs="Microsoft JhengHei" w:eastAsia="Microsoft JhengHei"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运行</w:t>
            </w:r>
            <w:r>
              <w:rPr>
                <w:rFonts w:ascii="Times New Roman" w:hAnsi="Times New Roman" w:cs="Times New Roman" w:eastAsia="Times New Roman" w:hint="default"/>
                <w:sz w:val="18"/>
                <w:szCs w:val="18"/>
              </w:rPr>
              <w:t>;</w:t>
            </w:r>
            <w:r>
              <w:rPr>
                <w:rFonts w:ascii="宋体" w:hAnsi="宋体" w:cs="宋体" w:eastAsia="宋体" w:hint="default"/>
                <w:sz w:val="18"/>
                <w:szCs w:val="18"/>
              </w:rPr>
              <w:t>电 力设备</w:t>
            </w:r>
          </w:p>
          <w:p>
            <w:pPr>
              <w:pStyle w:val="TableParagraph"/>
              <w:spacing w:line="283" w:lineRule="exact"/>
              <w:ind w:left="23" w:right="0"/>
              <w:jc w:val="left"/>
              <w:rPr>
                <w:rFonts w:ascii="宋体" w:hAnsi="宋体" w:cs="宋体" w:eastAsia="宋体" w:hint="default"/>
                <w:sz w:val="18"/>
                <w:szCs w:val="18"/>
              </w:rPr>
            </w:pPr>
            <w:r>
              <w:rPr>
                <w:rFonts w:ascii="Microsoft JhengHei" w:hAnsi="Microsoft JhengHei" w:cs="Microsoft JhengHei" w:eastAsia="Microsoft JhengHei" w:hint="default"/>
                <w:w w:val="135"/>
                <w:sz w:val="18"/>
                <w:szCs w:val="18"/>
              </w:rPr>
              <w:t>､</w:t>
            </w:r>
            <w:r>
              <w:rPr>
                <w:rFonts w:ascii="宋体" w:hAnsi="宋体" w:cs="宋体" w:eastAsia="宋体" w:hint="default"/>
                <w:w w:val="135"/>
                <w:sz w:val="18"/>
                <w:szCs w:val="18"/>
              </w:rPr>
              <w:t>材料</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62" w:lineRule="auto"/>
              <w:ind w:left="24" w:right="80"/>
              <w:jc w:val="left"/>
              <w:rPr>
                <w:rFonts w:ascii="Times New Roman" w:hAnsi="Times New Roman" w:cs="Times New Roman" w:eastAsia="Times New Roman" w:hint="default"/>
                <w:sz w:val="18"/>
                <w:szCs w:val="18"/>
              </w:rPr>
            </w:pPr>
            <w:r>
              <w:rPr>
                <w:rFonts w:ascii="Times New Roman"/>
                <w:sz w:val="18"/>
              </w:rPr>
              <w:t>H&amp;SH</w:t>
            </w:r>
            <w:r>
              <w:rPr>
                <w:rFonts w:ascii="Times New Roman"/>
                <w:w w:val="99"/>
                <w:sz w:val="18"/>
              </w:rPr>
              <w:t> </w:t>
            </w:r>
            <w:r>
              <w:rPr>
                <w:rFonts w:ascii="Times New Roman"/>
                <w:sz w:val="18"/>
              </w:rPr>
              <w:t>UN</w:t>
            </w:r>
            <w:r>
              <w:rPr>
                <w:rFonts w:ascii="Times New Roman"/>
                <w:spacing w:val="-1"/>
                <w:w w:val="99"/>
                <w:sz w:val="18"/>
              </w:rPr>
              <w:t> </w:t>
            </w:r>
            <w:r>
              <w:rPr>
                <w:rFonts w:ascii="Times New Roman"/>
                <w:sz w:val="18"/>
              </w:rPr>
              <w:t>INTER</w:t>
            </w:r>
            <w:r>
              <w:rPr>
                <w:rFonts w:ascii="Times New Roman"/>
                <w:sz w:val="18"/>
              </w:rPr>
              <w:t> </w:t>
            </w:r>
            <w:r>
              <w:rPr>
                <w:rFonts w:ascii="Times New Roman"/>
                <w:spacing w:val="-5"/>
                <w:sz w:val="18"/>
              </w:rPr>
              <w:t>NATIO</w:t>
            </w:r>
            <w:r>
              <w:rPr>
                <w:rFonts w:ascii="Times New Roman"/>
                <w:spacing w:val="-43"/>
                <w:sz w:val="18"/>
              </w:rPr>
              <w:t> </w:t>
            </w:r>
            <w:r>
              <w:rPr>
                <w:rFonts w:ascii="Times New Roman"/>
                <w:spacing w:val="-43"/>
                <w:sz w:val="18"/>
              </w:rPr>
            </w:r>
            <w:r>
              <w:rPr>
                <w:rFonts w:ascii="Times New Roman"/>
                <w:sz w:val="18"/>
              </w:rPr>
              <w:t>NAL</w:t>
            </w:r>
            <w:r>
              <w:rPr>
                <w:rFonts w:ascii="Times New Roman"/>
                <w:sz w:val="18"/>
              </w:rPr>
              <w:t> HOLDI</w:t>
            </w:r>
            <w:r>
              <w:rPr>
                <w:rFonts w:ascii="Times New Roman"/>
                <w:w w:val="99"/>
                <w:sz w:val="18"/>
              </w:rPr>
              <w:t> </w:t>
            </w:r>
            <w:r>
              <w:rPr>
                <w:rFonts w:ascii="Times New Roman"/>
                <w:sz w:val="18"/>
              </w:rPr>
              <w:t>NGS</w:t>
            </w:r>
            <w:r>
              <w:rPr>
                <w:rFonts w:ascii="Times New Roman"/>
                <w:w w:val="99"/>
                <w:sz w:val="18"/>
              </w:rPr>
              <w:t> </w:t>
            </w:r>
            <w:r>
              <w:rPr>
                <w:rFonts w:ascii="Times New Roman"/>
                <w:spacing w:val="-4"/>
                <w:sz w:val="18"/>
              </w:rPr>
              <w:t>PTE.LT</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D</w:t>
            </w:r>
            <w:r>
              <w:rPr>
                <w:rFonts w:ascii="宋体" w:hAnsi="宋体" w:cs="宋体" w:eastAsia="宋体" w:hint="default"/>
                <w:spacing w:val="-11"/>
                <w:sz w:val="18"/>
                <w:szCs w:val="18"/>
              </w:rPr>
              <w:t>（恒顺</w:t>
            </w:r>
          </w:p>
          <w:p>
            <w:pPr>
              <w:pStyle w:val="TableParagraph"/>
              <w:spacing w:line="316" w:lineRule="auto" w:before="63"/>
              <w:ind w:left="24" w:right="108"/>
              <w:jc w:val="both"/>
              <w:rPr>
                <w:rFonts w:ascii="宋体" w:hAnsi="宋体" w:cs="宋体" w:eastAsia="宋体" w:hint="default"/>
                <w:sz w:val="18"/>
                <w:szCs w:val="18"/>
              </w:rPr>
            </w:pPr>
            <w:r>
              <w:rPr>
                <w:rFonts w:ascii="宋体" w:hAnsi="宋体" w:cs="宋体" w:eastAsia="宋体" w:hint="default"/>
                <w:sz w:val="18"/>
                <w:szCs w:val="18"/>
              </w:rPr>
              <w:t>新加坡 国际控 股有限 责任公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1"/>
              <w:ind w:left="23" w:right="43"/>
              <w:jc w:val="left"/>
              <w:rPr>
                <w:rFonts w:ascii="Times New Roman" w:hAnsi="Times New Roman" w:cs="Times New Roman" w:eastAsia="Times New Roman" w:hint="default"/>
                <w:sz w:val="18"/>
                <w:szCs w:val="18"/>
              </w:rPr>
            </w:pPr>
            <w:r>
              <w:rPr>
                <w:rFonts w:ascii="Times New Roman"/>
                <w:sz w:val="18"/>
              </w:rPr>
              <w:t>Blk 809 French</w:t>
            </w:r>
            <w:r>
              <w:rPr>
                <w:rFonts w:ascii="Times New Roman"/>
                <w:w w:val="99"/>
                <w:sz w:val="18"/>
              </w:rPr>
              <w:t> </w:t>
            </w:r>
            <w:r>
              <w:rPr>
                <w:rFonts w:ascii="Times New Roman"/>
                <w:sz w:val="18"/>
              </w:rPr>
              <w:t>Road,#0</w:t>
            </w:r>
            <w:r>
              <w:rPr>
                <w:rFonts w:ascii="Times New Roman"/>
                <w:w w:val="99"/>
                <w:sz w:val="18"/>
              </w:rPr>
              <w:t> </w:t>
            </w:r>
            <w:r>
              <w:rPr>
                <w:rFonts w:ascii="Times New Roman"/>
                <w:sz w:val="18"/>
              </w:rPr>
              <w:t>6-156,K</w:t>
            </w:r>
          </w:p>
          <w:p>
            <w:pPr>
              <w:pStyle w:val="TableParagraph"/>
              <w:spacing w:line="362" w:lineRule="auto" w:before="3"/>
              <w:ind w:left="23" w:right="68"/>
              <w:jc w:val="both"/>
              <w:rPr>
                <w:rFonts w:ascii="Times New Roman" w:hAnsi="Times New Roman" w:cs="Times New Roman" w:eastAsia="Times New Roman" w:hint="default"/>
                <w:sz w:val="18"/>
                <w:szCs w:val="18"/>
              </w:rPr>
            </w:pPr>
            <w:r>
              <w:rPr>
                <w:rFonts w:ascii="Times New Roman"/>
                <w:sz w:val="18"/>
              </w:rPr>
              <w:t>itchener Comple x,Singa pore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投资公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进出口 贸易； 公司产 品海外 市场的 销售与 服务管 理；海 外投 资、并 购等相 关行业 项目投 </w:t>
            </w:r>
            <w:r>
              <w:rPr>
                <w:rFonts w:ascii="宋体" w:hAnsi="宋体" w:cs="宋体" w:eastAsia="宋体" w:hint="default"/>
                <w:spacing w:val="-24"/>
                <w:sz w:val="18"/>
                <w:szCs w:val="18"/>
              </w:rPr>
              <w:t>资，（生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销 售）主 要产 品：煤 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2,207.0</w:t>
            </w:r>
          </w:p>
          <w:p>
            <w:pPr>
              <w:pStyle w:val="TableParagraph"/>
              <w:spacing w:line="240" w:lineRule="auto" w:before="63"/>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3"/>
              <w:ind w:right="23"/>
              <w:jc w:val="righ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 n Coal Holding Pte.Ltd. </w:t>
            </w:r>
            <w:r>
              <w:rPr>
                <w:rFonts w:ascii="宋体" w:hAnsi="宋体" w:cs="宋体" w:eastAsia="宋体" w:hint="default"/>
                <w:sz w:val="18"/>
                <w:szCs w:val="18"/>
              </w:rPr>
              <w:t>恒顺</w:t>
            </w:r>
          </w:p>
          <w:p>
            <w:pPr>
              <w:pStyle w:val="TableParagraph"/>
              <w:spacing w:line="316" w:lineRule="auto" w:before="39"/>
              <w:ind w:left="24" w:right="108"/>
              <w:jc w:val="both"/>
              <w:rPr>
                <w:rFonts w:ascii="宋体" w:hAnsi="宋体" w:cs="宋体" w:eastAsia="宋体" w:hint="default"/>
                <w:sz w:val="18"/>
                <w:szCs w:val="18"/>
              </w:rPr>
            </w:pPr>
            <w:r>
              <w:rPr>
                <w:rFonts w:ascii="宋体" w:hAnsi="宋体" w:cs="宋体" w:eastAsia="宋体" w:hint="default"/>
                <w:sz w:val="18"/>
                <w:szCs w:val="18"/>
              </w:rPr>
              <w:t>（新加 坡）煤 炭控股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Blk 809 French</w:t>
            </w:r>
            <w:r>
              <w:rPr>
                <w:rFonts w:ascii="Times New Roman"/>
                <w:w w:val="99"/>
                <w:sz w:val="18"/>
              </w:rPr>
              <w:t> </w:t>
            </w:r>
            <w:r>
              <w:rPr>
                <w:rFonts w:ascii="Times New Roman"/>
                <w:sz w:val="18"/>
              </w:rPr>
              <w:t>Road,#0</w:t>
            </w:r>
            <w:r>
              <w:rPr>
                <w:rFonts w:ascii="Times New Roman"/>
                <w:w w:val="99"/>
                <w:sz w:val="18"/>
              </w:rPr>
              <w:t> </w:t>
            </w:r>
            <w:r>
              <w:rPr>
                <w:rFonts w:ascii="Times New Roman"/>
                <w:sz w:val="18"/>
              </w:rPr>
              <w:t>6-156,K</w:t>
            </w:r>
          </w:p>
          <w:p>
            <w:pPr>
              <w:pStyle w:val="TableParagraph"/>
              <w:spacing w:line="362" w:lineRule="auto" w:before="3"/>
              <w:ind w:left="23" w:right="67"/>
              <w:jc w:val="both"/>
              <w:rPr>
                <w:rFonts w:ascii="Times New Roman" w:hAnsi="Times New Roman" w:cs="Times New Roman" w:eastAsia="Times New Roman" w:hint="default"/>
                <w:sz w:val="18"/>
                <w:szCs w:val="18"/>
              </w:rPr>
            </w:pPr>
            <w:r>
              <w:rPr>
                <w:rFonts w:ascii="Times New Roman"/>
                <w:sz w:val="18"/>
              </w:rPr>
              <w:t>itchener Comple x,Singa pore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投资公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7"/>
              <w:jc w:val="both"/>
              <w:rPr>
                <w:rFonts w:ascii="宋体" w:hAnsi="宋体" w:cs="宋体" w:eastAsia="宋体" w:hint="default"/>
                <w:sz w:val="18"/>
                <w:szCs w:val="18"/>
              </w:rPr>
            </w:pPr>
            <w:r>
              <w:rPr>
                <w:rFonts w:ascii="宋体" w:hAnsi="宋体" w:cs="宋体" w:eastAsia="宋体" w:hint="default"/>
                <w:sz w:val="18"/>
                <w:szCs w:val="18"/>
              </w:rPr>
              <w:t>煤炭相 关行业 投资、 并购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6"/>
              <w:jc w:val="both"/>
              <w:rPr>
                <w:rFonts w:ascii="Times New Roman" w:hAnsi="Times New Roman" w:cs="Times New Roman" w:eastAsia="Times New Roman" w:hint="default"/>
                <w:sz w:val="18"/>
                <w:szCs w:val="18"/>
              </w:rPr>
            </w:pPr>
            <w:r>
              <w:rPr>
                <w:rFonts w:ascii="Times New Roman"/>
                <w:sz w:val="18"/>
              </w:rPr>
              <w:t>H&amp;Shu n</w:t>
            </w:r>
            <w:r>
              <w:rPr>
                <w:rFonts w:ascii="Times New Roman"/>
                <w:spacing w:val="-4"/>
                <w:sz w:val="18"/>
              </w:rPr>
              <w:t> </w:t>
            </w:r>
            <w:r>
              <w:rPr>
                <w:rFonts w:ascii="Times New Roman"/>
                <w:sz w:val="18"/>
              </w:rPr>
              <w:t>Power</w:t>
            </w:r>
            <w:r>
              <w:rPr>
                <w:rFonts w:ascii="Times New Roman"/>
                <w:sz w:val="18"/>
              </w:rPr>
              <w:t> Holding Pte.Ltd.</w:t>
            </w:r>
          </w:p>
          <w:p>
            <w:pPr>
              <w:pStyle w:val="TableParagraph"/>
              <w:spacing w:line="197" w:lineRule="exact"/>
              <w:ind w:left="24" w:right="0"/>
              <w:jc w:val="both"/>
              <w:rPr>
                <w:rFonts w:ascii="宋体" w:hAnsi="宋体" w:cs="宋体" w:eastAsia="宋体" w:hint="default"/>
                <w:sz w:val="18"/>
                <w:szCs w:val="18"/>
              </w:rPr>
            </w:pPr>
            <w:r>
              <w:rPr>
                <w:rFonts w:ascii="宋体" w:hAnsi="宋体" w:cs="宋体" w:eastAsia="宋体" w:hint="default"/>
                <w:sz w:val="18"/>
                <w:szCs w:val="18"/>
              </w:rPr>
              <w:t>恒顺</w:t>
            </w:r>
          </w:p>
          <w:p>
            <w:pPr>
              <w:pStyle w:val="TableParagraph"/>
              <w:spacing w:line="316" w:lineRule="auto" w:before="76"/>
              <w:ind w:left="24" w:right="108"/>
              <w:jc w:val="both"/>
              <w:rPr>
                <w:rFonts w:ascii="宋体" w:hAnsi="宋体" w:cs="宋体" w:eastAsia="宋体" w:hint="default"/>
                <w:sz w:val="18"/>
                <w:szCs w:val="18"/>
              </w:rPr>
            </w:pPr>
            <w:r>
              <w:rPr>
                <w:rFonts w:ascii="宋体" w:hAnsi="宋体" w:cs="宋体" w:eastAsia="宋体" w:hint="default"/>
                <w:sz w:val="18"/>
                <w:szCs w:val="18"/>
              </w:rPr>
              <w:t>（新加 坡）能 源控股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Blk 809 French</w:t>
            </w:r>
            <w:r>
              <w:rPr>
                <w:rFonts w:ascii="Times New Roman"/>
                <w:w w:val="99"/>
                <w:sz w:val="18"/>
              </w:rPr>
              <w:t> </w:t>
            </w:r>
            <w:r>
              <w:rPr>
                <w:rFonts w:ascii="Times New Roman"/>
                <w:sz w:val="18"/>
              </w:rPr>
              <w:t>Road,#0</w:t>
            </w:r>
            <w:r>
              <w:rPr>
                <w:rFonts w:ascii="Times New Roman"/>
                <w:w w:val="99"/>
                <w:sz w:val="18"/>
              </w:rPr>
              <w:t> </w:t>
            </w:r>
            <w:r>
              <w:rPr>
                <w:rFonts w:ascii="Times New Roman"/>
                <w:sz w:val="18"/>
              </w:rPr>
              <w:t>6-156,K</w:t>
            </w:r>
          </w:p>
          <w:p>
            <w:pPr>
              <w:pStyle w:val="TableParagraph"/>
              <w:spacing w:line="362" w:lineRule="auto" w:before="3"/>
              <w:ind w:left="23" w:right="68"/>
              <w:jc w:val="both"/>
              <w:rPr>
                <w:rFonts w:ascii="Times New Roman" w:hAnsi="Times New Roman" w:cs="Times New Roman" w:eastAsia="Times New Roman" w:hint="default"/>
                <w:sz w:val="18"/>
                <w:szCs w:val="18"/>
              </w:rPr>
            </w:pPr>
            <w:r>
              <w:rPr>
                <w:rFonts w:ascii="Times New Roman"/>
                <w:sz w:val="18"/>
              </w:rPr>
              <w:t>itchener Comple x,Singa pore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投资公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7"/>
              <w:jc w:val="both"/>
              <w:rPr>
                <w:rFonts w:ascii="宋体" w:hAnsi="宋体" w:cs="宋体" w:eastAsia="宋体" w:hint="default"/>
                <w:sz w:val="18"/>
                <w:szCs w:val="18"/>
              </w:rPr>
            </w:pPr>
            <w:r>
              <w:rPr>
                <w:rFonts w:ascii="宋体" w:hAnsi="宋体" w:cs="宋体" w:eastAsia="宋体" w:hint="default"/>
                <w:sz w:val="18"/>
                <w:szCs w:val="18"/>
              </w:rPr>
              <w:t>能源相 关行业 投资、 并购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6"/>
              <w:jc w:val="left"/>
              <w:rPr>
                <w:rFonts w:ascii="Times New Roman" w:hAnsi="Times New Roman" w:cs="Times New Roman" w:eastAsia="Times New Roman" w:hint="default"/>
                <w:sz w:val="18"/>
                <w:szCs w:val="18"/>
              </w:rPr>
            </w:pPr>
            <w:r>
              <w:rPr>
                <w:rFonts w:ascii="Times New Roman"/>
                <w:sz w:val="18"/>
              </w:rPr>
              <w:t>H&amp;Shu n Coal Marketi ng 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w:t>
            </w:r>
          </w:p>
          <w:p>
            <w:pPr>
              <w:pStyle w:val="TableParagraph"/>
              <w:spacing w:line="316" w:lineRule="auto" w:before="76"/>
              <w:ind w:left="24" w:right="108"/>
              <w:jc w:val="both"/>
              <w:rPr>
                <w:rFonts w:ascii="宋体" w:hAnsi="宋体" w:cs="宋体" w:eastAsia="宋体" w:hint="default"/>
                <w:sz w:val="18"/>
                <w:szCs w:val="18"/>
              </w:rPr>
            </w:pPr>
            <w:r>
              <w:rPr>
                <w:rFonts w:ascii="宋体" w:hAnsi="宋体" w:cs="宋体" w:eastAsia="宋体" w:hint="default"/>
                <w:sz w:val="18"/>
                <w:szCs w:val="18"/>
              </w:rPr>
              <w:t>（新加 坡）煤 炭贸易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43"/>
              <w:jc w:val="left"/>
              <w:rPr>
                <w:rFonts w:ascii="Times New Roman" w:hAnsi="Times New Roman" w:cs="Times New Roman" w:eastAsia="Times New Roman" w:hint="default"/>
                <w:sz w:val="18"/>
                <w:szCs w:val="18"/>
              </w:rPr>
            </w:pPr>
            <w:r>
              <w:rPr>
                <w:rFonts w:ascii="Times New Roman"/>
                <w:sz w:val="18"/>
              </w:rPr>
              <w:t>Blk 809 French</w:t>
            </w:r>
            <w:r>
              <w:rPr>
                <w:rFonts w:ascii="Times New Roman"/>
                <w:w w:val="99"/>
                <w:sz w:val="18"/>
              </w:rPr>
              <w:t> </w:t>
            </w:r>
            <w:r>
              <w:rPr>
                <w:rFonts w:ascii="Times New Roman"/>
                <w:sz w:val="18"/>
              </w:rPr>
              <w:t>Road,#0</w:t>
            </w:r>
            <w:r>
              <w:rPr>
                <w:rFonts w:ascii="Times New Roman"/>
                <w:w w:val="99"/>
                <w:sz w:val="18"/>
              </w:rPr>
              <w:t> </w:t>
            </w:r>
            <w:r>
              <w:rPr>
                <w:rFonts w:ascii="Times New Roman"/>
                <w:sz w:val="18"/>
              </w:rPr>
              <w:t>6-156,K</w:t>
            </w:r>
          </w:p>
          <w:p>
            <w:pPr>
              <w:pStyle w:val="TableParagraph"/>
              <w:spacing w:line="362" w:lineRule="auto" w:before="3"/>
              <w:ind w:left="23" w:right="68"/>
              <w:jc w:val="both"/>
              <w:rPr>
                <w:rFonts w:ascii="Times New Roman" w:hAnsi="Times New Roman" w:cs="Times New Roman" w:eastAsia="Times New Roman" w:hint="default"/>
                <w:sz w:val="18"/>
                <w:szCs w:val="18"/>
              </w:rPr>
            </w:pPr>
            <w:r>
              <w:rPr>
                <w:rFonts w:ascii="Times New Roman"/>
                <w:sz w:val="18"/>
              </w:rPr>
              <w:t>itchener Comple x,Singa pore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煤炭贸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76"/>
              <w:jc w:val="left"/>
              <w:rPr>
                <w:rFonts w:ascii="Times New Roman" w:hAnsi="Times New Roman" w:cs="Times New Roman" w:eastAsia="Times New Roman" w:hint="default"/>
                <w:sz w:val="18"/>
                <w:szCs w:val="18"/>
              </w:rPr>
            </w:pPr>
            <w:r>
              <w:rPr>
                <w:rFonts w:ascii="Times New Roman"/>
                <w:sz w:val="18"/>
              </w:rPr>
              <w:t>An Shun Coal Mines</w:t>
            </w:r>
            <w:r>
              <w:rPr>
                <w:rFonts w:ascii="Times New Roman"/>
                <w:w w:val="99"/>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安顺</w:t>
            </w:r>
          </w:p>
          <w:p>
            <w:pPr>
              <w:pStyle w:val="TableParagraph"/>
              <w:spacing w:line="316" w:lineRule="auto" w:before="76"/>
              <w:ind w:left="24" w:right="108"/>
              <w:jc w:val="both"/>
              <w:rPr>
                <w:rFonts w:ascii="宋体" w:hAnsi="宋体" w:cs="宋体" w:eastAsia="宋体" w:hint="default"/>
                <w:sz w:val="18"/>
                <w:szCs w:val="18"/>
              </w:rPr>
            </w:pPr>
            <w:r>
              <w:rPr>
                <w:rFonts w:ascii="宋体" w:hAnsi="宋体" w:cs="宋体" w:eastAsia="宋体" w:hint="default"/>
                <w:sz w:val="18"/>
                <w:szCs w:val="18"/>
              </w:rPr>
              <w:t>（新加 坡）煤 矿有限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60" w:lineRule="auto"/>
              <w:ind w:left="23" w:right="43"/>
              <w:jc w:val="left"/>
              <w:rPr>
                <w:rFonts w:ascii="Times New Roman" w:hAnsi="Times New Roman" w:cs="Times New Roman" w:eastAsia="Times New Roman" w:hint="default"/>
                <w:sz w:val="18"/>
                <w:szCs w:val="18"/>
              </w:rPr>
            </w:pPr>
            <w:r>
              <w:rPr>
                <w:rFonts w:ascii="Times New Roman"/>
                <w:sz w:val="18"/>
              </w:rPr>
              <w:t>Blk 809 French</w:t>
            </w:r>
            <w:r>
              <w:rPr>
                <w:rFonts w:ascii="Times New Roman"/>
                <w:w w:val="99"/>
                <w:sz w:val="18"/>
              </w:rPr>
              <w:t> </w:t>
            </w:r>
            <w:r>
              <w:rPr>
                <w:rFonts w:ascii="Times New Roman"/>
                <w:sz w:val="18"/>
              </w:rPr>
              <w:t>Road,#0</w:t>
            </w:r>
            <w:r>
              <w:rPr>
                <w:rFonts w:ascii="Times New Roman"/>
                <w:w w:val="99"/>
                <w:sz w:val="18"/>
              </w:rPr>
              <w:t> </w:t>
            </w:r>
            <w:r>
              <w:rPr>
                <w:rFonts w:ascii="Times New Roman"/>
                <w:sz w:val="18"/>
              </w:rPr>
              <w:t>6-156,K</w:t>
            </w:r>
          </w:p>
          <w:p>
            <w:pPr>
              <w:pStyle w:val="TableParagraph"/>
              <w:spacing w:line="362" w:lineRule="auto" w:before="5"/>
              <w:ind w:left="23" w:right="68"/>
              <w:jc w:val="both"/>
              <w:rPr>
                <w:rFonts w:ascii="Times New Roman" w:hAnsi="Times New Roman" w:cs="Times New Roman" w:eastAsia="Times New Roman" w:hint="default"/>
                <w:sz w:val="18"/>
                <w:szCs w:val="18"/>
              </w:rPr>
            </w:pPr>
            <w:r>
              <w:rPr>
                <w:rFonts w:ascii="Times New Roman"/>
                <w:sz w:val="18"/>
              </w:rPr>
              <w:t>itchener Comple x,Singa pore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6"/>
              <w:jc w:val="both"/>
              <w:rPr>
                <w:rFonts w:ascii="宋体" w:hAnsi="宋体" w:cs="宋体" w:eastAsia="宋体" w:hint="default"/>
                <w:sz w:val="18"/>
                <w:szCs w:val="18"/>
              </w:rPr>
            </w:pPr>
            <w:r>
              <w:rPr>
                <w:rFonts w:ascii="宋体" w:hAnsi="宋体" w:cs="宋体" w:eastAsia="宋体" w:hint="default"/>
                <w:sz w:val="18"/>
                <w:szCs w:val="18"/>
              </w:rPr>
              <w:t>贸易、 投资公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97"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煤矿开 采，其 他相关 行业投 资、并 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73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98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享有份 额后的 余额</w:t>
            </w:r>
          </w:p>
        </w:tc>
      </w:tr>
    </w:tbl>
    <w:p>
      <w:pPr>
        <w:pStyle w:val="BodyText"/>
        <w:spacing w:line="240" w:lineRule="auto" w:before="49"/>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96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青岛市 恒川滤 波科技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青岛市 城阳区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p>
            <w:pPr>
              <w:pStyle w:val="TableParagraph"/>
              <w:spacing w:line="316" w:lineRule="auto" w:before="60"/>
              <w:ind w:left="23" w:right="108"/>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滤波软 硬件的 开发、 销售及 技术服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81"/>
        <w:gridCol w:w="4700"/>
      </w:tblGrid>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2381" w:type="dxa"/>
            <w:tcBorders>
              <w:top w:val="single" w:sz="4" w:space="0" w:color="000000"/>
              <w:left w:val="single" w:sz="4" w:space="0" w:color="000000"/>
              <w:bottom w:val="single" w:sz="4" w:space="0" w:color="000000"/>
              <w:right w:val="single" w:sz="4" w:space="0" w:color="000000"/>
            </w:tcBorders>
          </w:tcPr>
          <w:p>
            <w:pPr/>
          </w:p>
        </w:tc>
        <w:tc>
          <w:tcPr>
            <w:tcW w:w="47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特殊目的主体或通过受托经营或承租等方式形成控制权的经营实体的其他说明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合并报表范围发生变更说明</w:t>
      </w:r>
    </w:p>
    <w:p>
      <w:pPr>
        <w:pStyle w:val="BodyText"/>
        <w:spacing w:line="300" w:lineRule="auto" w:before="115"/>
        <w:ind w:right="17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月公司出资设立西安恒顺电气科技有限公司，于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日办妥工商登记手续，并取得注册号为 </w:t>
      </w:r>
      <w:r>
        <w:rPr>
          <w:rFonts w:ascii="Times New Roman" w:hAnsi="Times New Roman" w:cs="Times New Roman" w:eastAsia="Times New Roman" w:hint="default"/>
        </w:rPr>
        <w:t>610131100088267</w:t>
      </w:r>
      <w:r>
        <w:rPr/>
        <w:t>的《企业法人营业执照》，该公司设立时注册资本</w:t>
      </w:r>
      <w:r>
        <w:rPr>
          <w:rFonts w:ascii="Times New Roman" w:hAnsi="Times New Roman" w:cs="Times New Roman" w:eastAsia="Times New Roman" w:hint="default"/>
        </w:rPr>
        <w:t>2,000</w:t>
      </w:r>
      <w:r>
        <w:rPr/>
        <w:t>万元，公司出资</w:t>
      </w:r>
      <w:r>
        <w:rPr>
          <w:rFonts w:ascii="Times New Roman" w:hAnsi="Times New Roman" w:cs="Times New Roman" w:eastAsia="Times New Roman" w:hint="default"/>
        </w:rPr>
        <w:t>2,000</w:t>
      </w:r>
      <w:r>
        <w:rPr/>
        <w:t>万元，占注册资本的</w:t>
      </w:r>
      <w:r>
        <w:rPr>
          <w:rFonts w:ascii="Times New Roman" w:hAnsi="Times New Roman" w:cs="Times New Roman" w:eastAsia="Times New Roman" w:hint="default"/>
        </w:rPr>
        <w:t>100%</w:t>
      </w:r>
      <w:r>
        <w:rPr/>
        <w:t>， 拥有对其的实质控制权，故自该公司成立之日起，将其纳入合并报表范围。</w:t>
      </w:r>
    </w:p>
    <w:p>
      <w:pPr>
        <w:pStyle w:val="BodyText"/>
        <w:spacing w:line="300" w:lineRule="auto" w:before="31"/>
        <w:ind w:right="14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25</w:t>
      </w:r>
      <w:r>
        <w:rPr/>
        <w:t>日公司召开的第一届董事会第二十一次会议审议通过了《关于公司在新加坡设立全资子公司的议案》，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日取得中华人民共和国商务部核发的商境外投资证书</w:t>
      </w:r>
      <w:r>
        <w:rPr>
          <w:rFonts w:ascii="Times New Roman" w:hAnsi="Times New Roman" w:cs="Times New Roman" w:eastAsia="Times New Roman" w:hint="default"/>
        </w:rPr>
        <w:t>3702201200036</w:t>
      </w:r>
      <w:r>
        <w:rPr>
          <w:rFonts w:ascii="Times New Roman" w:hAnsi="Times New Roman" w:cs="Times New Roman" w:eastAsia="Times New Roman" w:hint="default"/>
          <w:spacing w:val="21"/>
        </w:rPr>
        <w:t> </w:t>
      </w:r>
      <w:r>
        <w:rPr/>
        <w:t>号《企业境外投资证书》。</w:t>
      </w:r>
    </w:p>
    <w:p>
      <w:pPr>
        <w:pStyle w:val="BodyText"/>
        <w:spacing w:line="300" w:lineRule="auto" w:before="53"/>
        <w:ind w:right="142" w:firstLine="314"/>
        <w:jc w:val="left"/>
      </w:pPr>
      <w:r>
        <w:rPr>
          <w:rFonts w:ascii="Times New Roman" w:hAnsi="Times New Roman" w:cs="Times New Roman" w:eastAsia="Times New Roman" w:hint="default"/>
        </w:rPr>
        <w:t>H&amp;SHUN</w:t>
      </w:r>
      <w:r>
        <w:rPr>
          <w:rFonts w:ascii="Times New Roman" w:hAnsi="Times New Roman" w:cs="Times New Roman" w:eastAsia="Times New Roman" w:hint="default"/>
          <w:spacing w:val="-24"/>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25"/>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23"/>
        </w:rPr>
        <w:t> </w:t>
      </w:r>
      <w:r>
        <w:rPr>
          <w:rFonts w:ascii="Times New Roman" w:hAnsi="Times New Roman" w:cs="Times New Roman" w:eastAsia="Times New Roman" w:hint="default"/>
        </w:rPr>
        <w:t>PTE.LTD</w:t>
      </w:r>
      <w:r>
        <w:rPr/>
        <w:t>（恒顺新加坡国际控股有限责任公司）设立时注册资本为１新元，全 部由公司出资，公司拥有对其的实质控制权，故自该公司成立之日起，将其纳入合并报表范围。</w:t>
      </w:r>
    </w:p>
    <w:p>
      <w:pPr>
        <w:pStyle w:val="BodyText"/>
        <w:spacing w:line="300" w:lineRule="auto" w:before="72"/>
        <w:ind w:right="149"/>
        <w:jc w:val="both"/>
      </w:pPr>
      <w:r>
        <w:rPr/>
        <w:t>（</w:t>
      </w:r>
      <w:r>
        <w:rPr>
          <w:rFonts w:ascii="Times New Roman" w:hAnsi="Times New Roman" w:cs="Times New Roman" w:eastAsia="Times New Roman" w:hint="default"/>
        </w:rPr>
        <w:t>3</w:t>
      </w:r>
      <w:r>
        <w:rPr/>
        <w:t>）根据公司发展战略规划，</w:t>
      </w: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28"/>
        </w:rPr>
        <w:t> </w:t>
      </w:r>
      <w:r>
        <w:rPr>
          <w:rFonts w:ascii="Times New Roman" w:hAnsi="Times New Roman" w:cs="Times New Roman" w:eastAsia="Times New Roman" w:hint="default"/>
        </w:rPr>
        <w:t>PTE.LTD</w:t>
      </w:r>
      <w:r>
        <w:rPr/>
        <w:t>（恒顺新加坡国际控股有限责任公司）在 新加坡设立了</w:t>
      </w:r>
      <w:r>
        <w:rPr>
          <w:rFonts w:ascii="Times New Roman" w:hAnsi="Times New Roman" w:cs="Times New Roman" w:eastAsia="Times New Roman" w:hint="default"/>
        </w:rPr>
        <w:t>3</w:t>
      </w:r>
      <w:r>
        <w:rPr/>
        <w:t>个二级公司和</w:t>
      </w:r>
      <w:r>
        <w:rPr>
          <w:rFonts w:ascii="Times New Roman" w:hAnsi="Times New Roman" w:cs="Times New Roman" w:eastAsia="Times New Roman" w:hint="default"/>
        </w:rPr>
        <w:t>1</w:t>
      </w:r>
      <w:r>
        <w:rPr/>
        <w:t>个三级公司，其中：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日设立了</w:t>
      </w:r>
      <w:r>
        <w:rPr>
          <w:rFonts w:ascii="Times New Roman" w:hAnsi="Times New Roman" w:cs="Times New Roman" w:eastAsia="Times New Roman" w:hint="default"/>
        </w:rPr>
        <w:t>H&amp;Shun Power Holding</w:t>
      </w:r>
      <w:r>
        <w:rPr>
          <w:rFonts w:ascii="Times New Roman" w:hAnsi="Times New Roman" w:cs="Times New Roman" w:eastAsia="Times New Roman" w:hint="default"/>
          <w:spacing w:val="-28"/>
        </w:rPr>
        <w:t> </w:t>
      </w:r>
      <w:r>
        <w:rPr>
          <w:rFonts w:ascii="Times New Roman" w:hAnsi="Times New Roman" w:cs="Times New Roman" w:eastAsia="Times New Roman" w:hint="default"/>
        </w:rPr>
        <w:t>Pte.Ltd.[</w:t>
      </w:r>
      <w:r>
        <w:rPr/>
        <w:t>恒顺（新加坡）能 源控股有限公司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日设立了</w:t>
      </w:r>
      <w:r>
        <w:rPr>
          <w:rFonts w:ascii="Times New Roman" w:hAnsi="Times New Roman" w:cs="Times New Roman" w:eastAsia="Times New Roman" w:hint="default"/>
        </w:rPr>
        <w:t>H&amp;Shun Coal Holding Pte.Ltd.[</w:t>
      </w:r>
      <w:r>
        <w:rPr/>
        <w:t>恒顺（新加坡）煤炭控股有限公司</w:t>
      </w:r>
      <w:r>
        <w:rPr>
          <w:rFonts w:ascii="Times New Roman" w:hAnsi="Times New Roman" w:cs="Times New Roman" w:eastAsia="Times New Roman" w:hint="default"/>
        </w:rPr>
        <w:t>]</w:t>
      </w:r>
      <w:r>
        <w:rPr/>
        <w:t>和</w:t>
      </w:r>
      <w:r>
        <w:rPr>
          <w:rFonts w:ascii="Times New Roman" w:hAnsi="Times New Roman" w:cs="Times New Roman" w:eastAsia="Times New Roman" w:hint="default"/>
        </w:rPr>
        <w:t>An Shun</w:t>
      </w:r>
      <w:r>
        <w:rPr>
          <w:rFonts w:ascii="Times New Roman" w:hAnsi="Times New Roman" w:cs="Times New Roman" w:eastAsia="Times New Roman" w:hint="default"/>
          <w:spacing w:val="-16"/>
        </w:rPr>
        <w:t> </w:t>
      </w:r>
      <w:r>
        <w:rPr>
          <w:rFonts w:ascii="Times New Roman" w:hAnsi="Times New Roman" w:cs="Times New Roman" w:eastAsia="Times New Roman" w:hint="default"/>
        </w:rPr>
        <w:t>Coal</w:t>
      </w:r>
      <w:r>
        <w:rPr>
          <w:rFonts w:ascii="Times New Roman" w:hAnsi="Times New Roman" w:cs="Times New Roman" w:eastAsia="Times New Roman" w:hint="default"/>
        </w:rPr>
        <w:t> Mines</w:t>
      </w:r>
      <w:r>
        <w:rPr>
          <w:rFonts w:ascii="Times New Roman" w:hAnsi="Times New Roman" w:cs="Times New Roman" w:eastAsia="Times New Roman" w:hint="default"/>
          <w:spacing w:val="-23"/>
        </w:rPr>
        <w:t> </w:t>
      </w:r>
      <w:r>
        <w:rPr>
          <w:rFonts w:ascii="Times New Roman" w:hAnsi="Times New Roman" w:cs="Times New Roman" w:eastAsia="Times New Roman" w:hint="default"/>
        </w:rPr>
        <w:t>Pte.Ltd.[</w:t>
      </w:r>
      <w:r>
        <w:rPr/>
        <w:t>安顺（新加坡）煤矿有限公司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日设立了</w:t>
      </w:r>
      <w:r>
        <w:rPr>
          <w:rFonts w:ascii="Times New Roman" w:hAnsi="Times New Roman" w:cs="Times New Roman" w:eastAsia="Times New Roman" w:hint="default"/>
        </w:rPr>
        <w:t>H&amp;Shun</w:t>
      </w:r>
      <w:r>
        <w:rPr>
          <w:rFonts w:ascii="Times New Roman" w:hAnsi="Times New Roman" w:cs="Times New Roman" w:eastAsia="Times New Roman" w:hint="default"/>
          <w:spacing w:val="-20"/>
        </w:rPr>
        <w:t> </w:t>
      </w:r>
      <w:r>
        <w:rPr>
          <w:rFonts w:ascii="Times New Roman" w:hAnsi="Times New Roman" w:cs="Times New Roman" w:eastAsia="Times New Roman" w:hint="default"/>
        </w:rPr>
        <w:t>Coal</w:t>
      </w:r>
      <w:r>
        <w:rPr>
          <w:rFonts w:ascii="Times New Roman" w:hAnsi="Times New Roman" w:cs="Times New Roman" w:eastAsia="Times New Roman" w:hint="default"/>
          <w:spacing w:val="-20"/>
        </w:rPr>
        <w:t> </w:t>
      </w:r>
      <w:r>
        <w:rPr>
          <w:rFonts w:ascii="Times New Roman" w:hAnsi="Times New Roman" w:cs="Times New Roman" w:eastAsia="Times New Roman" w:hint="default"/>
        </w:rPr>
        <w:t>Marketing</w:t>
      </w:r>
      <w:r>
        <w:rPr>
          <w:rFonts w:ascii="Times New Roman" w:hAnsi="Times New Roman" w:cs="Times New Roman" w:eastAsia="Times New Roman" w:hint="default"/>
          <w:spacing w:val="-22"/>
        </w:rPr>
        <w:t> </w:t>
      </w:r>
      <w:r>
        <w:rPr>
          <w:rFonts w:ascii="Times New Roman" w:hAnsi="Times New Roman" w:cs="Times New Roman" w:eastAsia="Times New Roman" w:hint="default"/>
        </w:rPr>
        <w:t>Pte.Ltd.[</w:t>
      </w:r>
      <w:r>
        <w:rPr/>
        <w:t>恒顺（新加坡）煤炭贸 易有限公司</w:t>
      </w:r>
      <w:r>
        <w:rPr>
          <w:rFonts w:ascii="Times New Roman" w:hAnsi="Times New Roman" w:cs="Times New Roman" w:eastAsia="Times New Roman" w:hint="default"/>
        </w:rPr>
        <w:t>]</w:t>
      </w:r>
      <w:r>
        <w:rPr/>
        <w:t>。</w:t>
      </w:r>
    </w:p>
    <w:p>
      <w:pPr>
        <w:pStyle w:val="BodyText"/>
        <w:spacing w:line="300" w:lineRule="auto" w:before="51"/>
        <w:ind w:right="0" w:firstLine="314"/>
        <w:jc w:val="left"/>
      </w:pPr>
      <w:r>
        <w:rPr>
          <w:rFonts w:ascii="Times New Roman" w:hAnsi="Times New Roman" w:cs="Times New Roman" w:eastAsia="Times New Roman" w:hint="default"/>
        </w:rPr>
        <w:t>An Shun Coal Mines Pte.Ltd.[</w:t>
      </w:r>
      <w:r>
        <w:rPr/>
        <w:t>安顺（新加坡）煤矿有限公司</w:t>
      </w:r>
      <w:r>
        <w:rPr>
          <w:rFonts w:ascii="Times New Roman" w:hAnsi="Times New Roman" w:cs="Times New Roman" w:eastAsia="Times New Roman" w:hint="default"/>
        </w:rPr>
        <w:t>]</w:t>
      </w:r>
      <w:r>
        <w:rPr/>
        <w:t>为</w:t>
      </w:r>
      <w:r>
        <w:rPr>
          <w:rFonts w:ascii="Times New Roman" w:hAnsi="Times New Roman" w:cs="Times New Roman" w:eastAsia="Times New Roman" w:hint="default"/>
        </w:rPr>
        <w:t>H&amp;Shun Coal Holding</w:t>
      </w:r>
      <w:r>
        <w:rPr>
          <w:rFonts w:ascii="Times New Roman" w:hAnsi="Times New Roman" w:cs="Times New Roman" w:eastAsia="Times New Roman" w:hint="default"/>
          <w:spacing w:val="40"/>
        </w:rPr>
        <w:t> </w:t>
      </w:r>
      <w:r>
        <w:rPr>
          <w:rFonts w:ascii="Times New Roman" w:hAnsi="Times New Roman" w:cs="Times New Roman" w:eastAsia="Times New Roman" w:hint="default"/>
        </w:rPr>
        <w:t>Pte.Ltd.[</w:t>
      </w:r>
      <w:r>
        <w:rPr/>
        <w:t>恒顺（新加坡）煤炭控股有 限公司</w:t>
      </w:r>
      <w:r>
        <w:rPr>
          <w:rFonts w:ascii="Times New Roman" w:hAnsi="Times New Roman" w:cs="Times New Roman" w:eastAsia="Times New Roman" w:hint="default"/>
        </w:rPr>
        <w:t>]</w:t>
      </w:r>
      <w:r>
        <w:rPr/>
        <w:t>下属子公司。</w:t>
      </w:r>
    </w:p>
    <w:p>
      <w:pPr>
        <w:pStyle w:val="BodyText"/>
        <w:spacing w:line="300" w:lineRule="auto" w:before="53"/>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11"/>
        </w:rPr>
        <w:t> </w:t>
      </w:r>
      <w:r>
        <w:rPr>
          <w:rFonts w:ascii="Times New Roman" w:hAnsi="Times New Roman" w:cs="Times New Roman" w:eastAsia="Times New Roman" w:hint="default"/>
        </w:rPr>
        <w:t>PTE.LTD</w:t>
      </w:r>
      <w:r>
        <w:rPr/>
        <w:t>（恒顺新加坡国际控股有限责任公司）的上述二 级、三级公司尚未发生任何业务。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BodyText"/>
        <w:spacing w:line="357" w:lineRule="auto"/>
        <w:ind w:right="5812"/>
        <w:jc w:val="left"/>
      </w:pPr>
      <w:r>
        <w:rPr/>
        <w:t>√ 适用 □</w:t>
      </w:r>
      <w:r>
        <w:rPr>
          <w:spacing w:val="3"/>
        </w:rPr>
        <w:t> </w:t>
      </w:r>
      <w:r>
        <w:rPr/>
        <w:t>不适用</w:t>
      </w:r>
      <w:r>
        <w:rPr/>
        <w:t> 与上年相比本年（期）新增合并单位</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家，原因为</w:t>
      </w:r>
    </w:p>
    <w:p>
      <w:pPr>
        <w:pStyle w:val="BodyText"/>
        <w:spacing w:line="360" w:lineRule="auto" w:before="6"/>
        <w:ind w:right="3294"/>
        <w:jc w:val="left"/>
      </w:pPr>
      <w:r>
        <w:rPr/>
        <w:t>满足公司搭建国际化营销网络的战略需要，通过多渠道模式扩大规模。 与上年相比本年（期）减少合并单位家，原因为</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0"/>
              <w:jc w:val="right"/>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78"/>
              <w:jc w:val="right"/>
              <w:rPr>
                <w:rFonts w:ascii="宋体" w:hAnsi="宋体" w:cs="宋体" w:eastAsia="宋体" w:hint="default"/>
                <w:sz w:val="18"/>
                <w:szCs w:val="18"/>
              </w:rPr>
            </w:pPr>
            <w:r>
              <w:rPr>
                <w:rFonts w:ascii="宋体" w:hAnsi="宋体" w:cs="宋体" w:eastAsia="宋体" w:hint="default"/>
                <w:sz w:val="18"/>
                <w:szCs w:val="18"/>
              </w:rPr>
              <w:t>西安恒顺电气科技有限公司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19,807,634.30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-192,365.70</w:t>
            </w:r>
          </w:p>
        </w:tc>
      </w:tr>
      <w:tr>
        <w:trPr>
          <w:trHeight w:val="716"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10"/>
                <w:sz w:val="18"/>
              </w:rPr>
              <w:t> </w:t>
            </w:r>
            <w:r>
              <w:rPr>
                <w:rFonts w:ascii="Times New Roman"/>
                <w:sz w:val="18"/>
              </w:rPr>
              <w:t>INTERNATIONAL</w:t>
            </w:r>
            <w:r>
              <w:rPr>
                <w:rFonts w:ascii="Times New Roman"/>
                <w:spacing w:val="-15"/>
                <w:sz w:val="18"/>
              </w:rPr>
              <w:t> </w:t>
            </w:r>
            <w:r>
              <w:rPr>
                <w:rFonts w:ascii="Times New Roman"/>
                <w:sz w:val="18"/>
              </w:rPr>
              <w:t>HOLDINGS</w:t>
            </w:r>
            <w:r>
              <w:rPr>
                <w:rFonts w:ascii="Times New Roman"/>
                <w:spacing w:val="-10"/>
                <w:sz w:val="18"/>
              </w:rPr>
              <w:t> </w:t>
            </w:r>
            <w:r>
              <w:rPr>
                <w:rFonts w:ascii="Times New Roman"/>
                <w:spacing w:val="-3"/>
                <w:sz w:val="18"/>
              </w:rPr>
              <w:t>PTE.LTD</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（恒顺新加坡国际控股有限责任公司）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-669,632.49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-535,220.99</w:t>
            </w:r>
          </w:p>
        </w:tc>
      </w:tr>
    </w:tbl>
    <w:p>
      <w:pPr>
        <w:pStyle w:val="BodyText"/>
        <w:spacing w:line="240" w:lineRule="auto" w:before="49"/>
        <w:ind w:right="0"/>
        <w:jc w:val="left"/>
      </w:pPr>
      <w:r>
        <w:rPr/>
        <w:t>本期不再纳入合并范围的子公司、特殊目的主体、通过受托经营或承租等方式形成控制权的经营实体</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2852"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新纳入合并范围的主体和不再纳入合并范围的主体的其他说明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401"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4"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85"/>
        <w:gridCol w:w="2489"/>
        <w:gridCol w:w="3097"/>
      </w:tblGrid>
      <w:tr>
        <w:trPr>
          <w:trHeight w:val="401" w:hRule="exact"/>
        </w:trPr>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2489"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反向购买的其他说明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42"/>
        <w:gridCol w:w="1481"/>
        <w:gridCol w:w="1484"/>
        <w:gridCol w:w="1481"/>
        <w:gridCol w:w="1483"/>
      </w:tblGrid>
      <w:tr>
        <w:trPr>
          <w:trHeight w:val="403"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6"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7"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吸收合并的其他说明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8"/>
        <w:gridCol w:w="929"/>
        <w:gridCol w:w="1462"/>
        <w:gridCol w:w="1330"/>
        <w:gridCol w:w="929"/>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4"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6,590.61</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4,813.05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6,590.61</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4,813.05</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394,536,872.22</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402,745,688.56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391,624,206.60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402,745,688.56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392,869.11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2,469,378.79</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86,189.98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443,286.83</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15,116,560.00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9,014,049.04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15,116,560.00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9,014,049.04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409,660,022.83</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411,764,550.65</w:t>
            </w:r>
          </w:p>
        </w:tc>
      </w:tr>
    </w:tbl>
    <w:p>
      <w:pPr>
        <w:pStyle w:val="BodyText"/>
        <w:spacing w:line="240" w:lineRule="auto" w:before="49"/>
        <w:ind w:right="0"/>
        <w:jc w:val="left"/>
      </w:pPr>
      <w:r>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24,321,607.70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24,049,110.00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24,321,607.70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24,049,110.00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、应收股利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1340"/>
        <w:gridCol w:w="1339"/>
        <w:gridCol w:w="1433"/>
        <w:gridCol w:w="1339"/>
        <w:gridCol w:w="1337"/>
        <w:gridCol w:w="1339"/>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vMerge/>
            <w:tcBorders>
              <w:left w:val="single" w:sz="4" w:space="0" w:color="000000"/>
              <w:right w:val="single" w:sz="4" w:space="0" w:color="000000"/>
            </w:tcBorders>
            <w:shd w:val="clear" w:color="auto" w:fill="D2D2D2"/>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418"/>
        <w:gridCol w:w="1351"/>
        <w:gridCol w:w="1339"/>
        <w:gridCol w:w="1433"/>
        <w:gridCol w:w="1339"/>
        <w:gridCol w:w="1337"/>
        <w:gridCol w:w="1339"/>
      </w:tblGrid>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账龄一年以上的 应收股利</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4"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9"/>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64,063,895.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3,303,859.7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54,767,97</w:t>
            </w:r>
          </w:p>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8.26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2,803,398.91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29,634,841.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6,258,782.1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51,229,82</w:t>
            </w:r>
          </w:p>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6,108,858.46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11.92%</w:t>
            </w:r>
          </w:p>
        </w:tc>
      </w:tr>
      <w:tr>
        <w:trPr>
          <w:trHeight w:val="716"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29,634,841.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6,258,782.1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51,229,82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6,108,858.46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11.92%</w:t>
            </w: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1,658,190.00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95,356,926.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11,220,831.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107,655,9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97.90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10,570,447.3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3654"/>
        <w:jc w:val="left"/>
      </w:pPr>
      <w:r>
        <w:rPr/>
        <w:t>应收账款种类的说明 单项金额不重大但按信用风险特征组合后该组合的风险较大的应收账款包括：</w:t>
      </w:r>
    </w:p>
    <w:p>
      <w:pPr>
        <w:pStyle w:val="BodyText"/>
        <w:spacing w:line="237" w:lineRule="exact"/>
        <w:ind w:right="0"/>
        <w:jc w:val="left"/>
      </w:pPr>
      <w:r>
        <w:rPr/>
        <w:t>①</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月销售给青岛青波变压器股份有限公司产品货款</w:t>
      </w:r>
      <w:r>
        <w:rPr>
          <w:rFonts w:ascii="Times New Roman" w:hAnsi="Times New Roman" w:cs="Times New Roman" w:eastAsia="Times New Roman" w:hint="default"/>
        </w:rPr>
        <w:t>80</w:t>
      </w:r>
      <w:r>
        <w:rPr/>
        <w:t>万元，因对方对欠款余额不确认，造成款项无法收回的风险，</w:t>
      </w:r>
    </w:p>
    <w:p>
      <w:pPr>
        <w:pStyle w:val="BodyText"/>
        <w:spacing w:line="240" w:lineRule="auto" w:before="63"/>
        <w:ind w:right="0"/>
        <w:jc w:val="left"/>
      </w:pPr>
      <w:r>
        <w:rPr/>
        <w:t>故公司在</w:t>
      </w:r>
      <w:r>
        <w:rPr>
          <w:rFonts w:ascii="Times New Roman" w:hAnsi="Times New Roman" w:cs="Times New Roman" w:eastAsia="Times New Roman" w:hint="default"/>
        </w:rPr>
        <w:t>2010</w:t>
      </w:r>
      <w:r>
        <w:rPr/>
        <w:t>年全额计提坏账准备。</w:t>
      </w:r>
    </w:p>
    <w:p>
      <w:pPr>
        <w:pStyle w:val="BodyText"/>
        <w:spacing w:line="300" w:lineRule="auto" w:before="63"/>
        <w:ind w:right="144"/>
        <w:jc w:val="left"/>
      </w:pPr>
      <w:r>
        <w:rPr/>
        <w:t>②应收沁阳沁澳铝业有限公司货款</w:t>
      </w:r>
      <w:r>
        <w:rPr>
          <w:rFonts w:ascii="Times New Roman" w:hAnsi="Times New Roman" w:cs="Times New Roman" w:eastAsia="Times New Roman" w:hint="default"/>
        </w:rPr>
        <w:t>184</w:t>
      </w:r>
      <w:r>
        <w:rPr/>
        <w:t>万元，</w:t>
      </w:r>
      <w:r>
        <w:rPr>
          <w:rFonts w:ascii="Times New Roman" w:hAnsi="Times New Roman" w:cs="Times New Roman" w:eastAsia="Times New Roman" w:hint="default"/>
        </w:rPr>
        <w:t>2010</w:t>
      </w:r>
      <w:r>
        <w:rPr/>
        <w:t>年已收回</w:t>
      </w:r>
      <w:r>
        <w:rPr>
          <w:rFonts w:ascii="Times New Roman" w:hAnsi="Times New Roman" w:cs="Times New Roman" w:eastAsia="Times New Roman" w:hint="default"/>
        </w:rPr>
        <w:t>981,810.00</w:t>
      </w:r>
      <w:r>
        <w:rPr/>
        <w:t>元，余额</w:t>
      </w:r>
      <w:r>
        <w:rPr>
          <w:rFonts w:ascii="Times New Roman" w:hAnsi="Times New Roman" w:cs="Times New Roman" w:eastAsia="Times New Roman" w:hint="default"/>
        </w:rPr>
        <w:t>858,190.00</w:t>
      </w:r>
      <w:r>
        <w:rPr/>
        <w:t>元在</w:t>
      </w:r>
      <w:r>
        <w:rPr>
          <w:rFonts w:ascii="Times New Roman" w:hAnsi="Times New Roman" w:cs="Times New Roman" w:eastAsia="Times New Roman" w:hint="default"/>
        </w:rPr>
        <w:t>2010</w:t>
      </w:r>
      <w:r>
        <w:rPr/>
        <w:t>年末重新划分为单项金额 不重大但按信用风险特征组合后该组合的风险较大的应收账款种类，已全额计提了坏账准备。</w:t>
      </w:r>
    </w:p>
    <w:p>
      <w:pPr>
        <w:pStyle w:val="BodyText"/>
        <w:spacing w:line="240" w:lineRule="auto" w:before="72"/>
        <w:ind w:right="0"/>
        <w:jc w:val="left"/>
      </w:pPr>
      <w:r>
        <w:rPr/>
        <w:t>期末单项金额重大并单项计提坏账准备的应收账款</w:t>
      </w:r>
    </w:p>
    <w:p>
      <w:pPr>
        <w:pStyle w:val="BodyText"/>
        <w:spacing w:line="240" w:lineRule="auto" w:before="115"/>
        <w:ind w:right="0"/>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盐田国际集装箱码头有限公司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14,112,000.00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705,600.00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冀北电力有限公司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8,223,227.00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411,161.35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pacing w:val="-6"/>
                <w:sz w:val="18"/>
                <w:szCs w:val="18"/>
              </w:rPr>
              <w:t>账龄较短，客户信用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363" w:hRule="exact"/>
        </w:trPr>
        <w:tc>
          <w:tcPr>
            <w:tcW w:w="306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山西省电力公司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7,971,339.40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398,566.97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6,862,210.00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343,110.50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上海电气输配电工程成套有限公司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内蒙古电力（集团）有限责任公司乌兰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察布电业局</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3,618,000.00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江西久盛国际电力工程有限公司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3,577,095.90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178,854.80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山东电力集团公司物资供应公司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3,188,018.55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159,400.93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江苏省电力公司物资采购与配送中心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（国网）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2,941,062.79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147,053.13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新疆天龙矿业股份有限公司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2,176,300.00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209,480.00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9.63%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64,063,895.04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3,303,859.75</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933" w:space="489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10,626,410.80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531,320.54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36,567,571.70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1,828,378.59</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10,626,410.80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531,320.54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36,567,571.70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1,828,378.59</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10,240,824.61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1,024,082.46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8,451,505.00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845,150.50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4,094,983.00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818,996.60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1,825,538.86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365,107.77</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4,672,622.94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3,884,382.51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4,385,214.08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3,070,221.60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401,980.86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200,990.43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1,593,361.96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796,680.98</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587,250.00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1,036,623.00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518,311.50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3,096,142.08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3,096,142.08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1,755,229.12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1,755,229.12</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29,634,841.35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6,258,782.11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51,229,829.64</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6,108,858.46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240" w:lineRule="auto" w:before="44"/>
        <w:ind w:right="-19"/>
        <w:jc w:val="left"/>
      </w:pPr>
      <w:r>
        <w:rPr/>
        <w:t>组合中，采用余额百分比法计提坏账准备的应收账款</w:t>
      </w:r>
    </w:p>
    <w:p>
      <w:pPr>
        <w:pStyle w:val="BodyText"/>
        <w:spacing w:line="357" w:lineRule="auto" w:before="117"/>
        <w:ind w:right="521"/>
        <w:jc w:val="left"/>
      </w:pPr>
      <w:r>
        <w:rPr/>
        <w:t>□ 适用 √</w:t>
      </w:r>
      <w:r>
        <w:rPr>
          <w:spacing w:val="3"/>
        </w:rPr>
        <w:t> </w:t>
      </w:r>
      <w:r>
        <w:rPr/>
        <w:t>不适用</w:t>
      </w:r>
      <w:r>
        <w:rPr/>
        <w:t> 组合中，采用其他方法计提坏账准备的应收账款</w:t>
      </w:r>
    </w:p>
    <w:p>
      <w:pPr>
        <w:pStyle w:val="BodyText"/>
        <w:spacing w:line="360" w:lineRule="auto" w:before="29"/>
        <w:ind w:right="-19"/>
        <w:jc w:val="left"/>
      </w:pPr>
      <w:r>
        <w:rPr/>
        <w:t>□ 适用 √</w:t>
      </w:r>
      <w:r>
        <w:rPr>
          <w:spacing w:val="3"/>
        </w:rPr>
        <w:t> </w:t>
      </w:r>
      <w:r>
        <w:rPr/>
        <w:t>不适用</w:t>
      </w:r>
      <w:r>
        <w:rPr/>
        <w:t> 期末单项金额虽不重大但单项计提坏账准备的应收账款</w:t>
      </w:r>
    </w:p>
    <w:p>
      <w:pPr>
        <w:pStyle w:val="BodyText"/>
        <w:spacing w:line="240" w:lineRule="auto" w:before="25"/>
        <w:ind w:right="-19"/>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1"/>
              <w:jc w:val="left"/>
              <w:rPr>
                <w:rFonts w:ascii="宋体" w:hAnsi="宋体" w:cs="宋体" w:eastAsia="宋体" w:hint="default"/>
                <w:sz w:val="18"/>
                <w:szCs w:val="18"/>
              </w:rPr>
            </w:pPr>
            <w:r>
              <w:rPr>
                <w:rFonts w:ascii="宋体" w:hAnsi="宋体" w:cs="宋体" w:eastAsia="宋体" w:hint="default"/>
                <w:sz w:val="18"/>
                <w:szCs w:val="18"/>
              </w:rPr>
              <w:t>青岛青波变压器股份有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3"/>
              <w:jc w:val="both"/>
              <w:rPr>
                <w:rFonts w:ascii="宋体" w:hAnsi="宋体" w:cs="宋体" w:eastAsia="宋体" w:hint="default"/>
                <w:sz w:val="18"/>
                <w:szCs w:val="18"/>
              </w:rPr>
            </w:pPr>
            <w:r>
              <w:rPr>
                <w:rFonts w:ascii="宋体" w:hAnsi="宋体" w:cs="宋体" w:eastAsia="宋体" w:hint="default"/>
                <w:sz w:val="18"/>
                <w:szCs w:val="18"/>
              </w:rPr>
              <w:t>因对方对欠款余额不确 认，造成款项无法收回 的风险，故公司在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年全额计提坏账准备</w:t>
            </w:r>
          </w:p>
        </w:tc>
      </w:tr>
      <w:tr>
        <w:trPr>
          <w:trHeight w:val="164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沁阳沁澳铝业有限公司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858,190.00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858,190.00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年末重新划分为单 项金额不重大但按信用 风险特征组合后该组合 的风险较大的应收账款 种类</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1,658,190.00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1,658,190.00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728"/>
        <w:gridCol w:w="1594"/>
        <w:gridCol w:w="1861"/>
        <w:gridCol w:w="1726"/>
      </w:tblGrid>
      <w:tr>
        <w:trPr>
          <w:trHeight w:val="403" w:hRule="exact"/>
        </w:trPr>
        <w:tc>
          <w:tcPr>
            <w:tcW w:w="2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60"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4,253,250.00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212,662.50</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4,253,250.00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212,662.50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盐田国际集装箱码头有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14,112,000.00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冀北电力有限公司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8,223,227.00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7,971,339.40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荣信电力电子股份有限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7,374,641.40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腾达西北铁合金有限责 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6,862,210.00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44,543,417.80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股份的股 东</w:t>
            </w:r>
            <w:r>
              <w:rPr>
                <w:rFonts w:ascii="Times New Roman" w:hAnsi="Times New Roman" w:cs="Times New Roman" w:eastAsia="Times New Roman" w:hint="default"/>
                <w:sz w:val="18"/>
                <w:szCs w:val="18"/>
              </w:rPr>
              <w:t>,</w:t>
            </w:r>
            <w:r>
              <w:rPr>
                <w:rFonts w:ascii="宋体" w:hAnsi="宋体" w:cs="宋体" w:eastAsia="宋体" w:hint="default"/>
                <w:sz w:val="18"/>
                <w:szCs w:val="18"/>
              </w:rPr>
              <w:t>并委派一名董事</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89"/>
        <w:gridCol w:w="2993"/>
        <w:gridCol w:w="3589"/>
      </w:tblGrid>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2993" w:type="dxa"/>
            <w:tcBorders>
              <w:top w:val="single" w:sz="4" w:space="0" w:color="000000"/>
              <w:left w:val="single" w:sz="4" w:space="0" w:color="000000"/>
              <w:bottom w:val="single" w:sz="4" w:space="0" w:color="000000"/>
              <w:right w:val="single" w:sz="4" w:space="0" w:color="000000"/>
            </w:tcBorders>
          </w:tcPr>
          <w:p>
            <w:pP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8"/>
        <w:gridCol w:w="5713"/>
      </w:tblGrid>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57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57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2,409,211.05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70,460.55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1,041,120.00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18.87%</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按账龄分析</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3,041,104.68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139,100.76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4,475,624.73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3,041,104.68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139,100.76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4,475,624.73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5,450,315.73</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209,561.31</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5,516,744.73</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149,273.78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357" w:lineRule="auto" w:before="49"/>
        <w:ind w:right="2320"/>
        <w:jc w:val="left"/>
      </w:pPr>
      <w:r>
        <w:rPr/>
        <w:t>其他应收款种类的说明 无</w:t>
      </w:r>
    </w:p>
    <w:p>
      <w:pPr>
        <w:pStyle w:val="BodyText"/>
        <w:spacing w:line="240" w:lineRule="auto" w:before="29"/>
        <w:ind w:right="-20"/>
        <w:jc w:val="left"/>
      </w:pPr>
      <w:r>
        <w:rPr/>
        <w:t>期末单项金额重大并单项计提坏账准备的其他应收款</w:t>
      </w:r>
    </w:p>
    <w:p>
      <w:pPr>
        <w:pStyle w:val="BodyText"/>
        <w:spacing w:line="240" w:lineRule="auto" w:before="115"/>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4"/>
              <w:jc w:val="left"/>
              <w:rPr>
                <w:rFonts w:ascii="Times New Roman" w:hAnsi="Times New Roman" w:cs="Times New Roman" w:eastAsia="Times New Roman" w:hint="default"/>
                <w:sz w:val="18"/>
                <w:szCs w:val="18"/>
              </w:rPr>
            </w:pPr>
            <w:r>
              <w:rPr>
                <w:rFonts w:ascii="Times New Roman"/>
                <w:sz w:val="18"/>
              </w:rPr>
              <w:t>PT</w:t>
            </w:r>
            <w:r>
              <w:rPr>
                <w:rFonts w:ascii="Times New Roman"/>
                <w:spacing w:val="-5"/>
                <w:sz w:val="18"/>
              </w:rPr>
              <w:t> </w:t>
            </w:r>
            <w:r>
              <w:rPr>
                <w:rFonts w:ascii="Times New Roman"/>
                <w:sz w:val="18"/>
              </w:rPr>
              <w:t>Qingdao</w:t>
            </w:r>
            <w:r>
              <w:rPr>
                <w:rFonts w:ascii="Times New Roman"/>
                <w:sz w:val="18"/>
              </w:rPr>
              <w:t> Evercontaining</w:t>
            </w:r>
            <w:r>
              <w:rPr>
                <w:rFonts w:ascii="Times New Roman"/>
                <w:spacing w:val="-2"/>
                <w:sz w:val="18"/>
              </w:rPr>
              <w:t> </w:t>
            </w:r>
            <w:r>
              <w:rPr>
                <w:rFonts w:ascii="Times New Roman"/>
                <w:sz w:val="18"/>
              </w:rPr>
              <w:t>Electric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1,409,211.05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70,460.55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账龄较短，客户信用良 好，坏账风险较低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宁夏天元锰业有限公司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2,409,211.05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70,460.55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3947"/>
        <w:gridCol w:w="3764"/>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1,672,071.19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54.98%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3,072,834.12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21,693.39</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1,672,071.19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54.98%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13,201.55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3,072,834.12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21,693.39</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892,586.00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1,255,511.00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3,861.10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332,268.28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10.93%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25,780.40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2,220.08</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144,179.21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125,499.21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121,499.21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121,499.21</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121,499.21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121,499.21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121,499.21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2.71%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121,499.21</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3,041,104.68</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139,100.76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4,475,624.73</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149,273.78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组合中，采用余额百分比法计提坏账准备的其他应收款</w:t>
      </w:r>
    </w:p>
    <w:p>
      <w:pPr>
        <w:pStyle w:val="BodyText"/>
        <w:spacing w:line="340" w:lineRule="auto" w:before="115"/>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174"/>
              <w:jc w:val="left"/>
              <w:rPr>
                <w:rFonts w:ascii="Times New Roman" w:hAnsi="Times New Roman" w:cs="Times New Roman" w:eastAsia="Times New Roman" w:hint="default"/>
                <w:sz w:val="18"/>
                <w:szCs w:val="18"/>
              </w:rPr>
            </w:pPr>
            <w:r>
              <w:rPr>
                <w:rFonts w:ascii="Times New Roman"/>
                <w:sz w:val="18"/>
              </w:rPr>
              <w:t>PT</w:t>
            </w:r>
            <w:r>
              <w:rPr>
                <w:rFonts w:ascii="Times New Roman"/>
                <w:spacing w:val="-5"/>
                <w:sz w:val="18"/>
              </w:rPr>
              <w:t> </w:t>
            </w:r>
            <w:r>
              <w:rPr>
                <w:rFonts w:ascii="Times New Roman"/>
                <w:sz w:val="18"/>
              </w:rPr>
              <w:t>Qingdao</w:t>
            </w:r>
            <w:r>
              <w:rPr>
                <w:rFonts w:ascii="Times New Roman"/>
                <w:sz w:val="18"/>
              </w:rPr>
              <w:t> Evercontaining</w:t>
            </w:r>
            <w:r>
              <w:rPr>
                <w:rFonts w:ascii="Times New Roman"/>
                <w:spacing w:val="-2"/>
                <w:sz w:val="18"/>
              </w:rPr>
              <w:t> </w:t>
            </w:r>
            <w:r>
              <w:rPr>
                <w:rFonts w:ascii="Times New Roman"/>
                <w:sz w:val="18"/>
              </w:rPr>
              <w:t>Electric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持有本公司控股股东 </w:t>
            </w:r>
            <w:r>
              <w:rPr>
                <w:rFonts w:ascii="Times New Roman" w:hAnsi="Times New Roman" w:cs="Times New Roman" w:eastAsia="Times New Roman" w:hint="default"/>
                <w:sz w:val="18"/>
                <w:szCs w:val="18"/>
              </w:rPr>
              <w:t>33.33%</w:t>
            </w:r>
            <w:r>
              <w:rPr>
                <w:rFonts w:ascii="宋体" w:hAnsi="宋体" w:cs="宋体" w:eastAsia="宋体" w:hint="default"/>
                <w:sz w:val="18"/>
                <w:szCs w:val="18"/>
              </w:rPr>
              <w:t>股份之股东控制 的公司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1,409,211.05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宁夏天元锰业有限公司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18.35%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内蒙古蒙能招标有限公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中电技国际招标有限责 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300,868.28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国信招标集团有限公司 内蒙古分公司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260,501.00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3,410,580.33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4"/>
              <w:jc w:val="left"/>
              <w:rPr>
                <w:rFonts w:ascii="Times New Roman" w:hAnsi="Times New Roman" w:cs="Times New Roman" w:eastAsia="Times New Roman" w:hint="default"/>
                <w:sz w:val="18"/>
                <w:szCs w:val="18"/>
              </w:rPr>
            </w:pPr>
            <w:r>
              <w:rPr>
                <w:rFonts w:ascii="Times New Roman"/>
                <w:sz w:val="18"/>
              </w:rPr>
              <w:t>PT Qingdao</w:t>
            </w:r>
            <w:r>
              <w:rPr>
                <w:rFonts w:ascii="Times New Roman"/>
                <w:spacing w:val="-7"/>
                <w:sz w:val="18"/>
              </w:rPr>
              <w:t> </w:t>
            </w:r>
            <w:r>
              <w:rPr>
                <w:rFonts w:ascii="Times New Roman"/>
                <w:sz w:val="18"/>
              </w:rPr>
              <w:t>Evercontaining</w:t>
            </w:r>
            <w:r>
              <w:rPr>
                <w:rFonts w:ascii="Times New Roman"/>
                <w:sz w:val="18"/>
              </w:rPr>
              <w:t> Electric</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持有本公司控股股东</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33.33%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股份之股东控制的公司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1,409,211.05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1,409,211.05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6,459,444.08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7,729,419.75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72.46%</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2,938,003.24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27.54%</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48,230.02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6,609,361.60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10,667,422.99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154"/>
        <w:jc w:val="left"/>
      </w:pPr>
      <w:r>
        <w:rPr/>
        <w:t>预付款项账龄的说明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深圳市中电通科技实业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本公司供货商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3,692,500.00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中山凯旋真空技术工程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本公司供货商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1,196,800.00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高压开关设备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本公司供货商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北京先导倍尔变流技术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本公司供货商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青岛中创博蓝科技有限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本公司供货商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5,641,300.00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预付款项主要单位的说明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8"/>
        <w:gridCol w:w="1473"/>
        <w:gridCol w:w="1193"/>
        <w:gridCol w:w="1330"/>
        <w:gridCol w:w="1327"/>
        <w:gridCol w:w="1330"/>
        <w:gridCol w:w="1327"/>
      </w:tblGrid>
      <w:tr>
        <w:trPr>
          <w:trHeight w:val="204"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14,714,917.52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14,714,917.52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10,482,755.50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10,482,755.50</w:t>
            </w:r>
          </w:p>
        </w:tc>
      </w:tr>
      <w:tr>
        <w:trPr>
          <w:trHeight w:val="404"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7,131,114.20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7,131,114.20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5,789,874.93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5,789,874.93</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10,557,188.59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10,557,188.59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8,303,680.95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8,303,680.95</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32,403,220.31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32,403,220.31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24,576,311.38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24,576,311.38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CIS Resources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中加矿</w:t>
            </w:r>
            <w:r>
              <w:rPr>
                <w:rFonts w:ascii="Times New Roman" w:hAnsi="Times New Roman" w:cs="Times New Roman" w:eastAsia="Times New Roman"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Integra Prima Coal</w:t>
            </w:r>
            <w:r>
              <w:rPr>
                <w:rFonts w:ascii="宋体" w:hAnsi="宋体" w:cs="宋体" w:eastAsia="宋体" w:hint="default"/>
                <w:sz w:val="18"/>
                <w:szCs w:val="18"/>
              </w:rPr>
              <w:t>、</w:t>
            </w:r>
            <w:r>
              <w:rPr>
                <w:rFonts w:ascii="Times New Roman" w:hAnsi="Times New Roman" w:cs="Times New Roman" w:eastAsia="Times New Roman" w:hint="default"/>
                <w:sz w:val="18"/>
                <w:szCs w:val="18"/>
              </w:rPr>
              <w:t>PT Kutai</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东加矿及码头</w:t>
            </w:r>
            <w:r>
              <w:rPr>
                <w:rFonts w:ascii="Times New Roman" w:hAnsi="Times New Roman" w:cs="Times New Roman" w:eastAsia="Times New Roman"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8,292,220.84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134,042,830.84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其他流动资产说明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1" w:firstLine="391"/>
        <w:jc w:val="both"/>
      </w:pPr>
      <w:r>
        <w:rPr>
          <w:spacing w:val="16"/>
        </w:rPr>
        <w:t>①根据公司</w:t>
      </w:r>
      <w:r>
        <w:rPr>
          <w:spacing w:val="-6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spacing w:val="-69"/>
        </w:rPr>
        <w:t> </w:t>
      </w:r>
      <w:r>
        <w:rPr>
          <w:rFonts w:ascii="Times New Roman" w:hAnsi="Times New Roman" w:cs="Times New Roman" w:eastAsia="Times New Roman" w:hint="default"/>
        </w:rPr>
        <w:t>13</w:t>
      </w:r>
      <w:r>
        <w:rPr>
          <w:rFonts w:ascii="Times New Roman" w:hAnsi="Times New Roman" w:cs="Times New Roman" w:eastAsia="Times New Roman" w:hint="default"/>
          <w:spacing w:val="-23"/>
        </w:rPr>
        <w:t> </w:t>
      </w:r>
      <w:r>
        <w:rPr>
          <w:spacing w:val="15"/>
        </w:rPr>
        <w:t>日召开的</w:t>
      </w:r>
      <w:r>
        <w:rPr>
          <w:spacing w:val="-6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19"/>
        </w:rPr>
        <w:t>年第二次临时股东大会审议通过的《</w:t>
      </w:r>
      <w:r>
        <w:rPr>
          <w:spacing w:val="-69"/>
        </w:rPr>
        <w:t> </w:t>
      </w:r>
      <w:r>
        <w:rPr>
          <w:spacing w:val="18"/>
        </w:rPr>
        <w:t>关于公司全资子公司</w:t>
      </w:r>
      <w:r>
        <w:rPr>
          <w:spacing w:val="-64"/>
        </w:rPr>
        <w:t> </w:t>
      </w:r>
      <w:r>
        <w:rPr>
          <w:rFonts w:ascii="Times New Roman" w:hAnsi="Times New Roman" w:cs="Times New Roman" w:eastAsia="Times New Roman" w:hint="default"/>
        </w:rPr>
        <w:t>H&amp;SHUN</w:t>
      </w:r>
      <w:r>
        <w:rPr>
          <w:rFonts w:ascii="Times New Roman" w:hAnsi="Times New Roman" w:cs="Times New Roman" w:eastAsia="Times New Roman" w:hint="default"/>
          <w:w w:val="99"/>
        </w:rPr>
        <w:t> </w:t>
      </w:r>
      <w:r>
        <w:rPr>
          <w:rFonts w:ascii="Times New Roman" w:hAnsi="Times New Roman" w:cs="Times New Roman" w:eastAsia="Times New Roman" w:hint="default"/>
        </w:rPr>
        <w:t>INTERNATIONALHOLDINGS PTE.LTD.</w:t>
      </w:r>
      <w:r>
        <w:rPr/>
        <w:t>收购</w:t>
      </w:r>
      <w:r>
        <w:rPr>
          <w:rFonts w:ascii="Times New Roman" w:hAnsi="Times New Roman" w:cs="Times New Roman" w:eastAsia="Times New Roman" w:hint="default"/>
        </w:rPr>
        <w:t>PT IRONMAN ROYALE INDONESIA</w:t>
      </w:r>
      <w:r>
        <w:rPr>
          <w:rFonts w:ascii="Times New Roman" w:hAnsi="Times New Roman" w:cs="Times New Roman" w:eastAsia="Times New Roman" w:hint="default"/>
          <w:spacing w:val="-1"/>
        </w:rPr>
        <w:t> </w:t>
      </w:r>
      <w:r>
        <w:rPr/>
        <w:t>公司</w:t>
      </w:r>
      <w:r>
        <w:rPr>
          <w:rFonts w:ascii="Times New Roman" w:hAnsi="Times New Roman" w:cs="Times New Roman" w:eastAsia="Times New Roman" w:hint="default"/>
        </w:rPr>
        <w:t>100%</w:t>
      </w:r>
      <w:r>
        <w:rPr/>
        <w:t>股权事项的议案》，公司拟收</w:t>
      </w:r>
    </w:p>
    <w:p>
      <w:pPr>
        <w:pStyle w:val="BodyText"/>
        <w:spacing w:line="300" w:lineRule="auto" w:before="13"/>
        <w:ind w:right="0"/>
        <w:jc w:val="left"/>
      </w:pPr>
      <w:r>
        <w:rPr/>
        <w:t>购</w:t>
      </w:r>
      <w:r>
        <w:rPr>
          <w:rFonts w:ascii="Times New Roman" w:hAnsi="Times New Roman" w:cs="Times New Roman" w:eastAsia="Times New Roman" w:hint="default"/>
        </w:rPr>
        <w:t>PT</w:t>
      </w:r>
      <w:r>
        <w:rPr>
          <w:rFonts w:ascii="Times New Roman" w:hAnsi="Times New Roman" w:cs="Times New Roman" w:eastAsia="Times New Roman" w:hint="default"/>
          <w:spacing w:val="33"/>
        </w:rPr>
        <w:t> </w:t>
      </w:r>
      <w:r>
        <w:rPr>
          <w:rFonts w:ascii="Times New Roman" w:hAnsi="Times New Roman" w:cs="Times New Roman" w:eastAsia="Times New Roman" w:hint="default"/>
        </w:rPr>
        <w:t>CIS</w:t>
      </w:r>
      <w:r>
        <w:rPr>
          <w:rFonts w:ascii="Times New Roman" w:hAnsi="Times New Roman" w:cs="Times New Roman" w:eastAsia="Times New Roman" w:hint="default"/>
          <w:spacing w:val="35"/>
        </w:rPr>
        <w:t> </w:t>
      </w:r>
      <w:r>
        <w:rPr>
          <w:rFonts w:ascii="Times New Roman" w:hAnsi="Times New Roman" w:cs="Times New Roman" w:eastAsia="Times New Roman" w:hint="default"/>
        </w:rPr>
        <w:t>Resources</w:t>
      </w:r>
      <w:r>
        <w:rPr/>
        <w:t>公司</w:t>
      </w:r>
      <w:r>
        <w:rPr>
          <w:rFonts w:ascii="Times New Roman" w:hAnsi="Times New Roman" w:cs="Times New Roman" w:eastAsia="Times New Roman" w:hint="default"/>
        </w:rPr>
        <w:t>76%</w:t>
      </w:r>
      <w:r>
        <w:rPr/>
        <w:t>的股权，并实际控制该公司。截至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H&amp;SHUN</w:t>
      </w:r>
      <w:r>
        <w:rPr>
          <w:rFonts w:ascii="Times New Roman" w:hAnsi="Times New Roman" w:cs="Times New Roman" w:eastAsia="Times New Roman" w:hint="default"/>
          <w:spacing w:val="32"/>
        </w:rPr>
        <w:t> </w:t>
      </w:r>
      <w:r>
        <w:rPr>
          <w:rFonts w:ascii="Times New Roman" w:hAnsi="Times New Roman" w:cs="Times New Roman" w:eastAsia="Times New Roman" w:hint="default"/>
        </w:rPr>
        <w:t>INTERNATIONALHOLDINGS</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rPr>
        <w:t>PTE.LTD..</w:t>
      </w:r>
      <w:r>
        <w:rPr/>
        <w:t>为该项目已支付收购价款</w:t>
      </w:r>
      <w:r>
        <w:rPr>
          <w:rFonts w:ascii="Times New Roman" w:hAnsi="Times New Roman" w:cs="Times New Roman" w:eastAsia="Times New Roman" w:hint="default"/>
        </w:rPr>
        <w:t>2,000</w:t>
      </w:r>
      <w:r>
        <w:rPr/>
        <w:t>万美元，折人民币</w:t>
      </w:r>
      <w:r>
        <w:rPr>
          <w:rFonts w:ascii="Times New Roman" w:hAnsi="Times New Roman" w:cs="Times New Roman" w:eastAsia="Times New Roman" w:hint="default"/>
        </w:rPr>
        <w:t>12,751</w:t>
      </w:r>
      <w:r>
        <w:rPr/>
        <w:t>万元。</w:t>
      </w:r>
    </w:p>
    <w:p>
      <w:pPr>
        <w:pStyle w:val="BodyText"/>
        <w:spacing w:line="300" w:lineRule="auto" w:before="53"/>
        <w:ind w:right="151" w:firstLine="391"/>
        <w:jc w:val="both"/>
      </w:pPr>
      <w:r>
        <w:rPr/>
        <w:t>②根据</w:t>
      </w:r>
      <w:r>
        <w:rPr>
          <w:rFonts w:ascii="Times New Roman" w:hAnsi="Times New Roman" w:cs="Times New Roman" w:eastAsia="Times New Roman" w:hint="default"/>
        </w:rPr>
        <w:t>2012</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35"/>
        </w:rPr>
        <w:t> </w:t>
      </w:r>
      <w:r>
        <w:rPr>
          <w:spacing w:val="-3"/>
        </w:rPr>
        <w:t>日第一届董事会第二十八次会议审议通过的《关于公司全资子公司</w:t>
      </w:r>
      <w:r>
        <w:rPr>
          <w:rFonts w:ascii="Times New Roman" w:hAnsi="Times New Roman" w:cs="Times New Roman" w:eastAsia="Times New Roman" w:hint="default"/>
          <w:spacing w:val="-3"/>
        </w:rPr>
        <w:t>H&amp;SHUN</w:t>
      </w:r>
      <w:r>
        <w:rPr>
          <w:rFonts w:ascii="Times New Roman" w:hAnsi="Times New Roman" w:cs="Times New Roman" w:eastAsia="Times New Roman" w:hint="default"/>
          <w:spacing w:val="-7"/>
        </w:rPr>
        <w:t> </w:t>
      </w:r>
      <w:r>
        <w:rPr>
          <w:rFonts w:ascii="Times New Roman" w:hAnsi="Times New Roman" w:cs="Times New Roman" w:eastAsia="Times New Roman" w:hint="default"/>
        </w:rPr>
        <w:t>INTERNATIONAL</w:t>
      </w:r>
      <w:r>
        <w:rPr>
          <w:rFonts w:ascii="Times New Roman" w:hAnsi="Times New Roman" w:cs="Times New Roman" w:eastAsia="Times New Roman" w:hint="default"/>
          <w:w w:val="99"/>
        </w:rPr>
        <w:t> </w:t>
      </w:r>
      <w:r>
        <w:rPr>
          <w:rFonts w:ascii="Times New Roman" w:hAnsi="Times New Roman" w:cs="Times New Roman" w:eastAsia="Times New Roman" w:hint="default"/>
        </w:rPr>
        <w:t>HOLDINGS PTE.LTD..</w:t>
      </w:r>
      <w:r>
        <w:rPr/>
        <w:t>收购</w:t>
      </w:r>
      <w:r>
        <w:rPr>
          <w:rFonts w:ascii="Times New Roman" w:hAnsi="Times New Roman" w:cs="Times New Roman" w:eastAsia="Times New Roman" w:hint="default"/>
        </w:rPr>
        <w:t>PT Integra Prima Coal</w:t>
      </w:r>
      <w:r>
        <w:rPr/>
        <w:t>公司及</w:t>
      </w:r>
      <w:r>
        <w:rPr>
          <w:rFonts w:ascii="Times New Roman" w:hAnsi="Times New Roman" w:cs="Times New Roman" w:eastAsia="Times New Roman" w:hint="default"/>
        </w:rPr>
        <w:t>PT Kutai Nyala Resources</w:t>
      </w:r>
      <w:r>
        <w:rPr>
          <w:rFonts w:ascii="Times New Roman" w:hAnsi="Times New Roman" w:cs="Times New Roman" w:eastAsia="Times New Roman" w:hint="default"/>
          <w:spacing w:val="39"/>
        </w:rPr>
        <w:t> </w:t>
      </w:r>
      <w:r>
        <w:rPr/>
        <w:t>公司股权的议案》</w:t>
      </w:r>
      <w:r>
        <w:rPr>
          <w:rFonts w:ascii="Times New Roman" w:hAnsi="Times New Roman" w:cs="Times New Roman" w:eastAsia="Times New Roman" w:hint="default"/>
        </w:rPr>
        <w:t>,</w:t>
      </w:r>
      <w:r>
        <w:rPr/>
        <w:t>公司拟收购上述两公司 各</w:t>
      </w:r>
      <w:r>
        <w:rPr>
          <w:rFonts w:ascii="Times New Roman" w:hAnsi="Times New Roman" w:cs="Times New Roman" w:eastAsia="Times New Roman" w:hint="default"/>
        </w:rPr>
        <w:t>76%</w:t>
      </w:r>
      <w:r>
        <w:rPr/>
        <w:t>的股权并实际控制该两公司，截至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H&amp;SHUN INTERNATIONALHOLDINGS</w:t>
      </w:r>
      <w:r>
        <w:rPr>
          <w:rFonts w:ascii="Times New Roman" w:hAnsi="Times New Roman" w:cs="Times New Roman" w:eastAsia="Times New Roman" w:hint="default"/>
          <w:spacing w:val="39"/>
        </w:rPr>
        <w:t> </w:t>
      </w:r>
      <w:r>
        <w:rPr>
          <w:rFonts w:ascii="Times New Roman" w:hAnsi="Times New Roman" w:cs="Times New Roman" w:eastAsia="Times New Roman" w:hint="default"/>
        </w:rPr>
        <w:t>PTE.LTD..</w:t>
      </w:r>
      <w:r>
        <w:rPr/>
        <w:t>为该项目已 支付收购价款</w:t>
      </w:r>
      <w:r>
        <w:rPr>
          <w:rFonts w:ascii="Times New Roman" w:hAnsi="Times New Roman" w:cs="Times New Roman" w:eastAsia="Times New Roman" w:hint="default"/>
        </w:rPr>
        <w:t>130</w:t>
      </w:r>
      <w:r>
        <w:rPr/>
        <w:t>万美元，折人民币</w:t>
      </w:r>
      <w:r>
        <w:rPr>
          <w:rFonts w:ascii="Times New Roman" w:hAnsi="Times New Roman" w:cs="Times New Roman" w:eastAsia="Times New Roman" w:hint="default"/>
        </w:rPr>
        <w:t>829.22</w:t>
      </w:r>
      <w:r>
        <w:rPr/>
        <w:t>万元</w:t>
      </w:r>
    </w:p>
    <w:p>
      <w:pPr>
        <w:pStyle w:val="BodyText"/>
        <w:spacing w:line="240" w:lineRule="auto" w:before="51"/>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日公司上述两项收购项目尚处于收购进行阶段，不能控制被收购单位，故作为其他流动资产列示。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89,416,307.74</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89,416,307.74</w:t>
            </w:r>
          </w:p>
        </w:tc>
        <w:tc>
          <w:tcPr>
            <w:tcW w:w="34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208,825,079.45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105,177,695.85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9,500.00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313,993,275.30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123,231,089.19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58,054.80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123,289,143.99</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75,261,962.96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6,937,409.02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9,500.00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82,189,871.98</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8,028,557.06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2,820.51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8,031,377.57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2,303,470.24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167,911.52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2,471,381.76</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473" w:type="dxa"/>
            <w:tcBorders>
              <w:top w:val="single" w:sz="4" w:space="0" w:color="000000"/>
              <w:left w:val="single" w:sz="4" w:space="0" w:color="000000"/>
              <w:bottom w:val="single" w:sz="4" w:space="0" w:color="000000"/>
              <w:right w:val="single" w:sz="4" w:space="0" w:color="000000"/>
            </w:tcBorders>
          </w:tcPr>
          <w:p>
            <w:pP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0" w:right="0"/>
              <w:jc w:val="left"/>
              <w:rPr>
                <w:rFonts w:ascii="Times New Roman" w:hAnsi="Times New Roman" w:cs="Times New Roman" w:eastAsia="Times New Roman" w:hint="default"/>
                <w:sz w:val="18"/>
                <w:szCs w:val="18"/>
              </w:rPr>
            </w:pPr>
            <w:r>
              <w:rPr>
                <w:rFonts w:ascii="Times New Roman"/>
                <w:sz w:val="18"/>
              </w:rPr>
              <w:t>98,011,500.00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98,011,500.00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34,939,571.68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33,072,697.68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6,004.96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68,006,264.40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8,877,798.10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4,663,077.34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13,540,875.44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22,606,663.87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7,699,042.95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6,004.96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30,299,701.86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2,743,809.24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758,565.82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3,502,375.06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711,300.47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349,711.57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1,061,012.04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4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19,602,300.00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19,602,300.00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173,885,507.77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245,987,010.90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114,353,291.09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109,748,268.55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52,655,299.09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51,890,170.12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5,284,747.82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4,529,002.51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1,592,169.77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1,410,369.72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78,409,200.00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173,885,507.77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245,987,010.90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114,353,291.09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109,748,268.55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52,655,299.09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51,890,170.12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5,284,747.82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4,529,002.51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1,592,169.77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1,410,369.72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78,409,200.00</w:t>
            </w:r>
          </w:p>
        </w:tc>
      </w:tr>
    </w:tbl>
    <w:p>
      <w:pPr>
        <w:pStyle w:val="BodyText"/>
        <w:spacing w:line="240" w:lineRule="auto" w:before="49"/>
        <w:ind w:right="0"/>
        <w:jc w:val="left"/>
      </w:pPr>
      <w:r>
        <w:rPr/>
        <w:t>本期折旧额</w:t>
      </w:r>
      <w:r>
        <w:rPr>
          <w:spacing w:val="-47"/>
        </w:rPr>
        <w:t> </w:t>
      </w:r>
      <w:r>
        <w:rPr>
          <w:rFonts w:ascii="Times New Roman" w:hAnsi="Times New Roman" w:cs="Times New Roman" w:eastAsia="Times New Roman" w:hint="default"/>
        </w:rPr>
        <w:t>33,072,697.68</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6,158,446.10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134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车间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月封顶达到可使用状态，尚未</w:t>
            </w:r>
            <w:r>
              <w:rPr>
                <w:rFonts w:ascii="宋体" w:hAnsi="宋体" w:cs="宋体" w:eastAsia="宋体" w:hint="default"/>
                <w:sz w:val="18"/>
                <w:szCs w:val="18"/>
              </w:rPr>
              <w:t> 办理房产证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车间原预计在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年办妥房产证，后 因追加了一跨厂房建设，根据政府相关 部门的要求需在追加的车间完工后一并 办理房产证。</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西安分公司办公室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月投入使用，房产证正在办理 过程中</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固定资产说明</w:t>
      </w:r>
    </w:p>
    <w:p>
      <w:pPr>
        <w:pStyle w:val="BodyText"/>
        <w:spacing w:line="240" w:lineRule="auto" w:before="114"/>
        <w:ind w:left="212" w:right="0"/>
        <w:jc w:val="left"/>
      </w:pPr>
      <w:r>
        <w:rPr/>
        <w:t>①未办理权属证明的资产原值及折旧</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282"/>
        <w:gridCol w:w="2019"/>
        <w:gridCol w:w="1721"/>
        <w:gridCol w:w="2000"/>
      </w:tblGrid>
      <w:tr>
        <w:trPr>
          <w:trHeight w:val="351" w:hRule="exact"/>
        </w:trPr>
        <w:tc>
          <w:tcPr>
            <w:tcW w:w="32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固定资产名称</w:t>
            </w:r>
          </w:p>
        </w:tc>
        <w:tc>
          <w:tcPr>
            <w:tcW w:w="20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640" w:right="0"/>
              <w:jc w:val="left"/>
              <w:rPr>
                <w:rFonts w:ascii="宋体" w:hAnsi="宋体" w:cs="宋体" w:eastAsia="宋体" w:hint="default"/>
                <w:sz w:val="18"/>
                <w:szCs w:val="18"/>
              </w:rPr>
            </w:pPr>
            <w:r>
              <w:rPr>
                <w:rFonts w:ascii="宋体" w:hAnsi="宋体" w:cs="宋体" w:eastAsia="宋体" w:hint="default"/>
                <w:sz w:val="18"/>
                <w:szCs w:val="18"/>
              </w:rPr>
              <w:t>期末原值</w:t>
            </w:r>
          </w:p>
        </w:tc>
        <w:tc>
          <w:tcPr>
            <w:tcW w:w="17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311"/>
              <w:jc w:val="right"/>
              <w:rPr>
                <w:rFonts w:ascii="宋体" w:hAnsi="宋体" w:cs="宋体" w:eastAsia="宋体" w:hint="default"/>
                <w:sz w:val="18"/>
                <w:szCs w:val="18"/>
              </w:rPr>
            </w:pPr>
            <w:r>
              <w:rPr>
                <w:rFonts w:ascii="宋体" w:hAnsi="宋体" w:cs="宋体" w:eastAsia="宋体" w:hint="default"/>
                <w:sz w:val="18"/>
                <w:szCs w:val="18"/>
              </w:rPr>
              <w:t>期末累计折旧</w:t>
            </w:r>
          </w:p>
        </w:tc>
        <w:tc>
          <w:tcPr>
            <w:tcW w:w="200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left="633" w:right="0"/>
              <w:jc w:val="left"/>
              <w:rPr>
                <w:rFonts w:ascii="宋体" w:hAnsi="宋体" w:cs="宋体" w:eastAsia="宋体" w:hint="default"/>
                <w:sz w:val="18"/>
                <w:szCs w:val="18"/>
              </w:rPr>
            </w:pPr>
            <w:r>
              <w:rPr>
                <w:rFonts w:ascii="宋体" w:hAnsi="宋体" w:cs="宋体" w:eastAsia="宋体" w:hint="default"/>
                <w:sz w:val="18"/>
                <w:szCs w:val="18"/>
              </w:rPr>
              <w:t>期末净值</w:t>
            </w:r>
          </w:p>
        </w:tc>
      </w:tr>
      <w:tr>
        <w:trPr>
          <w:trHeight w:val="346" w:hRule="exact"/>
        </w:trPr>
        <w:tc>
          <w:tcPr>
            <w:tcW w:w="3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车间</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39"/>
              <w:jc w:val="right"/>
              <w:rPr>
                <w:rFonts w:ascii="Times New Roman" w:hAnsi="Times New Roman" w:cs="Times New Roman" w:eastAsia="Times New Roman" w:hint="default"/>
                <w:sz w:val="18"/>
                <w:szCs w:val="18"/>
              </w:rPr>
            </w:pPr>
            <w:r>
              <w:rPr>
                <w:rFonts w:ascii="Times New Roman"/>
                <w:spacing w:val="-1"/>
                <w:sz w:val="18"/>
              </w:rPr>
              <w:t>50,405,679.78</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06"/>
              <w:jc w:val="right"/>
              <w:rPr>
                <w:rFonts w:ascii="Times New Roman" w:hAnsi="Times New Roman" w:cs="Times New Roman" w:eastAsia="Times New Roman" w:hint="default"/>
                <w:sz w:val="18"/>
                <w:szCs w:val="18"/>
              </w:rPr>
            </w:pPr>
            <w:r>
              <w:rPr>
                <w:rFonts w:ascii="Times New Roman"/>
                <w:spacing w:val="-1"/>
                <w:sz w:val="18"/>
              </w:rPr>
              <w:t>3,022,636.68</w:t>
            </w:r>
          </w:p>
        </w:tc>
        <w:tc>
          <w:tcPr>
            <w:tcW w:w="20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334"/>
              <w:jc w:val="right"/>
              <w:rPr>
                <w:rFonts w:ascii="Times New Roman" w:hAnsi="Times New Roman" w:cs="Times New Roman" w:eastAsia="Times New Roman" w:hint="default"/>
                <w:sz w:val="18"/>
                <w:szCs w:val="18"/>
              </w:rPr>
            </w:pPr>
            <w:r>
              <w:rPr>
                <w:rFonts w:ascii="Times New Roman"/>
                <w:spacing w:val="-1"/>
                <w:sz w:val="18"/>
              </w:rPr>
              <w:t>47,383,043.10</w:t>
            </w:r>
          </w:p>
        </w:tc>
      </w:tr>
      <w:tr>
        <w:trPr>
          <w:trHeight w:val="348" w:hRule="exact"/>
        </w:trPr>
        <w:tc>
          <w:tcPr>
            <w:tcW w:w="3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西安分公司办公室</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48"/>
              <w:jc w:val="right"/>
              <w:rPr>
                <w:rFonts w:ascii="Times New Roman" w:hAnsi="Times New Roman" w:cs="Times New Roman" w:eastAsia="Times New Roman" w:hint="default"/>
                <w:sz w:val="18"/>
                <w:szCs w:val="18"/>
              </w:rPr>
            </w:pPr>
            <w:r>
              <w:rPr>
                <w:rFonts w:ascii="Times New Roman"/>
                <w:spacing w:val="-1"/>
                <w:sz w:val="18"/>
              </w:rPr>
              <w:t>1,970,967.80</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02"/>
              <w:jc w:val="right"/>
              <w:rPr>
                <w:rFonts w:ascii="Times New Roman" w:hAnsi="Times New Roman" w:cs="Times New Roman" w:eastAsia="Times New Roman" w:hint="default"/>
                <w:sz w:val="18"/>
                <w:szCs w:val="18"/>
              </w:rPr>
            </w:pPr>
            <w:r>
              <w:rPr>
                <w:rFonts w:ascii="Times New Roman"/>
                <w:sz w:val="18"/>
              </w:rPr>
              <w:t>103,646.41</w:t>
            </w:r>
          </w:p>
        </w:tc>
        <w:tc>
          <w:tcPr>
            <w:tcW w:w="20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343"/>
              <w:jc w:val="right"/>
              <w:rPr>
                <w:rFonts w:ascii="Times New Roman" w:hAnsi="Times New Roman" w:cs="Times New Roman" w:eastAsia="Times New Roman" w:hint="default"/>
                <w:sz w:val="18"/>
                <w:szCs w:val="18"/>
              </w:rPr>
            </w:pPr>
            <w:r>
              <w:rPr>
                <w:rFonts w:ascii="Times New Roman"/>
                <w:spacing w:val="-1"/>
                <w:sz w:val="18"/>
              </w:rPr>
              <w:t>1,867,321.39</w:t>
            </w:r>
          </w:p>
        </w:tc>
      </w:tr>
    </w:tbl>
    <w:p>
      <w:pPr>
        <w:spacing w:line="240" w:lineRule="auto" w:before="2"/>
        <w:rPr>
          <w:rFonts w:ascii="宋体" w:hAnsi="宋体" w:cs="宋体" w:eastAsia="宋体" w:hint="default"/>
          <w:sz w:val="24"/>
          <w:szCs w:val="24"/>
        </w:rPr>
      </w:pPr>
    </w:p>
    <w:p>
      <w:pPr>
        <w:pStyle w:val="BodyText"/>
        <w:spacing w:line="240" w:lineRule="auto" w:before="44"/>
        <w:ind w:right="0"/>
        <w:jc w:val="both"/>
      </w:pPr>
      <w:r>
        <w:rPr/>
        <w:t>②期末用于担保的固定资产：</w:t>
      </w:r>
    </w:p>
    <w:p>
      <w:pPr>
        <w:pStyle w:val="BodyText"/>
        <w:spacing w:line="300" w:lineRule="auto" w:before="115"/>
        <w:ind w:right="149"/>
        <w:jc w:val="both"/>
      </w:pPr>
      <w:r>
        <w:rPr/>
        <w:t>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日同中国建设银行青岛城阳支行签订《最高额抵押合同》以公司新厂区土地使用权</w:t>
      </w:r>
      <w:r>
        <w:rPr>
          <w:rFonts w:ascii="Times New Roman" w:hAnsi="Times New Roman" w:cs="Times New Roman" w:eastAsia="Times New Roman" w:hint="default"/>
        </w:rPr>
        <w:t>56,183</w:t>
      </w:r>
      <w:r>
        <w:rPr/>
        <w:t>㎡原值</w:t>
      </w:r>
      <w:r>
        <w:rPr>
          <w:rFonts w:ascii="Times New Roman" w:hAnsi="Times New Roman" w:cs="Times New Roman" w:eastAsia="Times New Roman" w:hint="default"/>
        </w:rPr>
        <w:t>694.6</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万元、厂房、办公楼</w:t>
      </w:r>
      <w:r>
        <w:rPr>
          <w:rFonts w:ascii="Times New Roman" w:hAnsi="Times New Roman" w:cs="Times New Roman" w:eastAsia="Times New Roman" w:hint="default"/>
        </w:rPr>
        <w:t>21,547.08</w:t>
      </w:r>
      <w:r>
        <w:rPr/>
        <w:t>㎡原价</w:t>
      </w:r>
      <w:r>
        <w:rPr>
          <w:rFonts w:ascii="Times New Roman" w:hAnsi="Times New Roman" w:cs="Times New Roman" w:eastAsia="Times New Roman" w:hint="default"/>
        </w:rPr>
        <w:t>3,721.96</w:t>
      </w:r>
      <w:r>
        <w:rPr/>
        <w:t>万元（青房地权市字第</w:t>
      </w:r>
      <w:r>
        <w:rPr>
          <w:rFonts w:ascii="Times New Roman" w:hAnsi="Times New Roman" w:cs="Times New Roman" w:eastAsia="Times New Roman" w:hint="default"/>
        </w:rPr>
        <w:t>200944229</w:t>
      </w:r>
      <w:r>
        <w:rPr/>
        <w:t>号房地产权证）抵押获得</w:t>
      </w:r>
      <w:r>
        <w:rPr>
          <w:rFonts w:ascii="Times New Roman" w:hAnsi="Times New Roman" w:cs="Times New Roman" w:eastAsia="Times New Roman" w:hint="default"/>
        </w:rPr>
        <w:t>4,872</w:t>
      </w:r>
      <w:r>
        <w:rPr/>
        <w:t>万元的贷款额</w:t>
      </w:r>
      <w:r>
        <w:rPr>
          <w:spacing w:val="-52"/>
        </w:rPr>
        <w:t> </w:t>
      </w:r>
      <w:r>
        <w:rPr>
          <w:spacing w:val="-52"/>
        </w:rPr>
      </w:r>
      <w:r>
        <w:rPr/>
        <w:t>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0"/>
        <w:jc w:val="both"/>
      </w:pPr>
      <w:r>
        <w:rPr/>
        <w:t>③期末，无暂时闲置的固定资产。</w:t>
      </w:r>
    </w:p>
    <w:p>
      <w:pPr>
        <w:pStyle w:val="BodyText"/>
        <w:spacing w:line="240" w:lineRule="auto" w:before="66"/>
        <w:ind w:right="0"/>
        <w:jc w:val="both"/>
        <w:rPr>
          <w:sz w:val="24"/>
          <w:szCs w:val="24"/>
        </w:rPr>
      </w:pPr>
      <w:r>
        <w:rPr/>
        <w:t>④报告期公司无通过融资租赁租入、通过经营租赁租出、持有待售的固定资产</w:t>
      </w:r>
      <w:r>
        <w:rPr>
          <w:sz w:val="24"/>
          <w:szCs w:val="24"/>
        </w:rPr>
        <w:t>。</w:t>
      </w:r>
    </w:p>
    <w:p>
      <w:pPr>
        <w:pStyle w:val="BodyText"/>
        <w:spacing w:line="240" w:lineRule="auto" w:before="88"/>
        <w:ind w:right="0"/>
        <w:jc w:val="both"/>
      </w:pPr>
      <w:r>
        <w:rPr/>
        <w:t>⑤未办理权属证明的资产原值及折旧</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82"/>
        <w:gridCol w:w="2019"/>
        <w:gridCol w:w="1721"/>
        <w:gridCol w:w="2000"/>
      </w:tblGrid>
      <w:tr>
        <w:trPr>
          <w:trHeight w:val="430" w:hRule="exact"/>
        </w:trPr>
        <w:tc>
          <w:tcPr>
            <w:tcW w:w="32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固定资产名称</w:t>
            </w:r>
          </w:p>
        </w:tc>
        <w:tc>
          <w:tcPr>
            <w:tcW w:w="20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期末原值</w:t>
            </w:r>
          </w:p>
        </w:tc>
        <w:tc>
          <w:tcPr>
            <w:tcW w:w="17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期末累计折旧</w:t>
            </w:r>
          </w:p>
        </w:tc>
        <w:tc>
          <w:tcPr>
            <w:tcW w:w="200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期末净值</w:t>
            </w:r>
          </w:p>
        </w:tc>
      </w:tr>
      <w:tr>
        <w:trPr>
          <w:trHeight w:val="1130" w:hRule="exact"/>
        </w:trPr>
        <w:tc>
          <w:tcPr>
            <w:tcW w:w="3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车间</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left="290" w:right="0"/>
              <w:jc w:val="left"/>
              <w:rPr>
                <w:rFonts w:ascii="Times New Roman" w:hAnsi="Times New Roman" w:cs="Times New Roman" w:eastAsia="Times New Roman" w:hint="default"/>
                <w:sz w:val="18"/>
                <w:szCs w:val="18"/>
              </w:rPr>
            </w:pPr>
            <w:r>
              <w:rPr>
                <w:rFonts w:ascii="Times New Roman"/>
                <w:sz w:val="18"/>
              </w:rPr>
              <w:t>50,405,679.78</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3022636.68</w:t>
            </w:r>
          </w:p>
        </w:tc>
        <w:tc>
          <w:tcPr>
            <w:tcW w:w="200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515"/>
              <w:jc w:val="right"/>
              <w:rPr>
                <w:rFonts w:ascii="Times New Roman" w:hAnsi="Times New Roman" w:cs="Times New Roman" w:eastAsia="Times New Roman" w:hint="default"/>
                <w:sz w:val="20"/>
                <w:szCs w:val="20"/>
              </w:rPr>
            </w:pPr>
            <w:r>
              <w:rPr>
                <w:rFonts w:ascii="Times New Roman"/>
                <w:w w:val="95"/>
                <w:sz w:val="20"/>
              </w:rPr>
              <w:t>47,383,043.10</w:t>
            </w:r>
            <w:r>
              <w:rPr>
                <w:rFonts w:ascii="Times New Roman"/>
                <w:sz w:val="20"/>
              </w:rPr>
            </w:r>
          </w:p>
        </w:tc>
      </w:tr>
      <w:tr>
        <w:trPr>
          <w:trHeight w:val="1130" w:hRule="exact"/>
        </w:trPr>
        <w:tc>
          <w:tcPr>
            <w:tcW w:w="3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西安分公司办公室</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left="146" w:right="0"/>
              <w:jc w:val="left"/>
              <w:rPr>
                <w:rFonts w:ascii="Times New Roman" w:hAnsi="Times New Roman" w:cs="Times New Roman" w:eastAsia="Times New Roman" w:hint="default"/>
                <w:sz w:val="18"/>
                <w:szCs w:val="18"/>
              </w:rPr>
            </w:pPr>
            <w:r>
              <w:rPr>
                <w:rFonts w:ascii="Times New Roman"/>
                <w:sz w:val="18"/>
              </w:rPr>
              <w:t>1970967.8</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103646.41</w:t>
            </w:r>
          </w:p>
        </w:tc>
        <w:tc>
          <w:tcPr>
            <w:tcW w:w="200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534"/>
              <w:jc w:val="right"/>
              <w:rPr>
                <w:rFonts w:ascii="Times New Roman" w:hAnsi="Times New Roman" w:cs="Times New Roman" w:eastAsia="Times New Roman" w:hint="default"/>
                <w:sz w:val="20"/>
                <w:szCs w:val="20"/>
              </w:rPr>
            </w:pPr>
            <w:r>
              <w:rPr>
                <w:rFonts w:ascii="Times New Roman"/>
                <w:w w:val="95"/>
                <w:sz w:val="20"/>
              </w:rPr>
              <w:t>1,867,321.39</w:t>
            </w:r>
            <w:r>
              <w:rPr>
                <w:rFonts w:ascii="Times New Roman"/>
                <w:sz w:val="20"/>
              </w:rPr>
            </w:r>
          </w:p>
        </w:tc>
      </w:tr>
    </w:tbl>
    <w:p>
      <w:pPr>
        <w:pStyle w:val="BodyText"/>
        <w:spacing w:line="240" w:lineRule="auto" w:before="49"/>
        <w:ind w:right="0"/>
        <w:jc w:val="left"/>
      </w:pPr>
      <w:r>
        <w:rPr/>
        <w:t>⑥公司对固定资产期末价值逐项进行检查，未发现固定资产存在明显减值迹象，故未计提减值准备。</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剪切成套设备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3,529,914.58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3,529,914.58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3,529,914.58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3,529,914.58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货梯</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132,000.00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屏蔽设备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3,529,914.58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3,529,914.58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5,581,914.58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5,581,914.58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）在建工程的说明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①无重大在建工程项目变动情况</w:t>
      </w:r>
    </w:p>
    <w:p>
      <w:pPr>
        <w:pStyle w:val="BodyText"/>
        <w:spacing w:line="240" w:lineRule="auto" w:before="115"/>
        <w:ind w:right="0"/>
        <w:jc w:val="left"/>
      </w:pPr>
      <w:r>
        <w:rPr/>
        <w:t>②截至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日，公司对在建工程期末价值逐项进行检查，不存在可能发生减值的迹象，故未计提减值准备。</w:t>
      </w:r>
    </w:p>
    <w:p>
      <w:pPr>
        <w:spacing w:after="0" w:line="240" w:lineRule="auto"/>
        <w:jc w:val="left"/>
        <w:sectPr>
          <w:footerReference w:type="default" r:id="rId14"/>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7,150,393.00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7,150,393.00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6,946,093.00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6,946,093.00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794,524.22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179,781.84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974,306.06</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694,609.22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138,921.84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833,531.06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6,355,868.78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6,176,086.94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6,251,483.78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-138,921.84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6,112,561.94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63,525.00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6,355,868.78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6,176,086.94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6,251,483.78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-138,921.84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6,112,561.94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63,525.00</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179,781.84</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539,357.78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147,708.00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579,529.78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539,357.78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147,708.00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579,529.78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154"/>
        <w:jc w:val="left"/>
      </w:pPr>
      <w:r>
        <w:rPr/>
        <w:t>长期待摊费用的说明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14</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after="0" w:line="240" w:lineRule="auto"/>
        <w:jc w:val="right"/>
        <w:sectPr>
          <w:footerReference w:type="default" r:id="rId15"/>
          <w:pgSz w:w="11910" w:h="16840"/>
          <w:pgMar w:footer="980" w:header="745" w:top="1060" w:bottom="1160" w:left="980" w:right="980"/>
          <w:pgNumType w:start="1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1,700,663.37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1,604,923.49</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5,678,252.30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7,378,915.67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1,604,923.49</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88"/>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11,259,112.88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11,259,112.88</w:t>
            </w: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未确认递延所得税资产明细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应纳税差异和可抵扣差异项目明细</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11,337,755.77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10,699,489.94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37,855,015.32</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49,192,771.09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10,699,489.94</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75,060,752.53</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846"/>
        <w:gridCol w:w="2937"/>
        <w:gridCol w:w="2787"/>
      </w:tblGrid>
      <w:tr>
        <w:trPr>
          <w:trHeight w:val="404"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75,060,752.53</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15</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10,719,721.15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786,957.52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76,285.50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11,430,393.17</w:t>
            </w:r>
          </w:p>
        </w:tc>
      </w:tr>
      <w:tr>
        <w:trPr>
          <w:trHeight w:val="715"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三、可供出售金融资产减值 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四、持有至到期投资减值准 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十、生产性生物资产减值准 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6" w:firstLine="362"/>
              <w:jc w:val="left"/>
              <w:rPr>
                <w:rFonts w:ascii="宋体" w:hAnsi="宋体" w:cs="宋体" w:eastAsia="宋体" w:hint="default"/>
                <w:sz w:val="18"/>
                <w:szCs w:val="18"/>
              </w:rPr>
            </w:pPr>
            <w:r>
              <w:rPr>
                <w:rFonts w:ascii="宋体" w:hAnsi="宋体" w:cs="宋体" w:eastAsia="宋体" w:hint="default"/>
                <w:sz w:val="18"/>
                <w:szCs w:val="18"/>
              </w:rPr>
              <w:t>其中：成熟生产性生物 资产减值准备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10,719,721.15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786,957.52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76,285.50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11,430,393.17</w:t>
            </w:r>
          </w:p>
        </w:tc>
      </w:tr>
    </w:tbl>
    <w:p>
      <w:pPr>
        <w:pStyle w:val="BodyText"/>
        <w:spacing w:line="240" w:lineRule="auto" w:before="49"/>
        <w:ind w:right="0"/>
        <w:jc w:val="left"/>
      </w:pPr>
      <w:r>
        <w:rPr/>
        <w:t>资产减值明细情况的说明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腾达西北铁合金矿热炉余热发电合同能源管 理项目</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98,011,500.00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98,011,500.00</w:t>
            </w:r>
          </w:p>
        </w:tc>
      </w:tr>
    </w:tbl>
    <w:p>
      <w:pPr>
        <w:pStyle w:val="BodyText"/>
        <w:spacing w:line="240" w:lineRule="auto" w:before="49"/>
        <w:ind w:right="0"/>
        <w:jc w:val="left"/>
      </w:pPr>
      <w:r>
        <w:rPr/>
        <w:t>其他非流动资产的说明</w:t>
      </w:r>
    </w:p>
    <w:p>
      <w:pPr>
        <w:pStyle w:val="BodyText"/>
        <w:spacing w:line="300" w:lineRule="auto" w:before="114"/>
        <w:ind w:right="0" w:firstLine="72"/>
        <w:jc w:val="left"/>
      </w:pPr>
      <w:r>
        <w:rPr>
          <w:spacing w:val="-1"/>
        </w:rPr>
        <w:t>子公司青岛恒顺节能科技有限公司的腾达西北铁合金余热发电合同能源管理合同项目</w:t>
      </w:r>
      <w:r>
        <w:rPr>
          <w:rFonts w:ascii="Times New Roman" w:hAnsi="Times New Roman" w:cs="Times New Roman" w:eastAsia="Times New Roman" w:hint="default"/>
          <w:spacing w:val="-1"/>
        </w:rPr>
        <w:t>,</w:t>
      </w:r>
      <w:r>
        <w:rPr>
          <w:spacing w:val="-1"/>
        </w:rPr>
        <w:t>在</w:t>
      </w:r>
      <w:r>
        <w:rPr>
          <w:rFonts w:ascii="Times New Roman" w:hAnsi="Times New Roman" w:cs="Times New Roman" w:eastAsia="Times New Roman" w:hint="default"/>
          <w:spacing w:val="-1"/>
        </w:rPr>
        <w:t>2012</w:t>
      </w:r>
      <w:r>
        <w:rPr>
          <w:spacing w:val="-1"/>
        </w:rPr>
        <w:t>年建设完成投入运营，将本项</w:t>
      </w:r>
      <w:r>
        <w:rPr/>
        <w:t> 目资产转入固定资产。</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150,000,000.00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bl>
    <w:p>
      <w:pPr>
        <w:pStyle w:val="BodyText"/>
        <w:spacing w:line="240" w:lineRule="auto" w:before="49"/>
        <w:ind w:right="0"/>
        <w:jc w:val="both"/>
      </w:pPr>
      <w:r>
        <w:rPr/>
        <w:t>短期借款分类的说明</w:t>
      </w:r>
    </w:p>
    <w:p>
      <w:pPr>
        <w:pStyle w:val="BodyText"/>
        <w:spacing w:line="300" w:lineRule="auto" w:before="115"/>
        <w:ind w:right="150"/>
        <w:jc w:val="both"/>
        <w:rPr>
          <w:rFonts w:ascii="Times New Roman" w:hAnsi="Times New Roman" w:cs="Times New Roman" w:eastAsia="Times New Roman" w:hint="default"/>
        </w:rPr>
      </w:pPr>
      <w:r>
        <w:rPr>
          <w:spacing w:val="-2"/>
        </w:rPr>
        <w:t>①截至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日保证借款</w:t>
      </w:r>
      <w:r>
        <w:rPr>
          <w:rFonts w:ascii="Times New Roman" w:hAnsi="Times New Roman" w:cs="Times New Roman" w:eastAsia="Times New Roman" w:hint="default"/>
          <w:spacing w:val="-2"/>
        </w:rPr>
        <w:t>15,000</w:t>
      </w:r>
      <w:r>
        <w:rPr>
          <w:spacing w:val="-2"/>
        </w:rPr>
        <w:t>万元，其中：</w:t>
      </w:r>
      <w:r>
        <w:rPr>
          <w:rFonts w:ascii="Times New Roman" w:hAnsi="Times New Roman" w:cs="Times New Roman" w:eastAsia="Times New Roman" w:hint="default"/>
          <w:spacing w:val="-2"/>
        </w:rPr>
        <w:t>3,000</w:t>
      </w:r>
      <w:r>
        <w:rPr>
          <w:spacing w:val="-2"/>
        </w:rPr>
        <w:t>万元是由贾全臣、贾玉兰提供担保向招商银行青岛分行借入的流动</w:t>
      </w:r>
      <w:r>
        <w:rPr>
          <w:spacing w:val="-52"/>
        </w:rPr>
        <w:t> </w:t>
      </w:r>
      <w:r>
        <w:rPr>
          <w:spacing w:val="-52"/>
        </w:rPr>
      </w:r>
      <w:r>
        <w:rPr/>
        <w:t>资金借款，</w:t>
      </w:r>
      <w:r>
        <w:rPr>
          <w:rFonts w:ascii="Times New Roman" w:hAnsi="Times New Roman" w:cs="Times New Roman" w:eastAsia="Times New Roman" w:hint="default"/>
        </w:rPr>
        <w:t>1,000</w:t>
      </w:r>
      <w:r>
        <w:rPr/>
        <w:t>万元是由青岛清源环保实业有限公司和贾全臣共同担保向中信银行股份有限公司青岛分行借入的流动资金 </w:t>
      </w:r>
      <w:r>
        <w:rPr>
          <w:spacing w:val="-3"/>
        </w:rPr>
        <w:t>借款，</w:t>
      </w:r>
      <w:r>
        <w:rPr>
          <w:rFonts w:ascii="Times New Roman" w:hAnsi="Times New Roman" w:cs="Times New Roman" w:eastAsia="Times New Roman" w:hint="default"/>
          <w:spacing w:val="-3"/>
        </w:rPr>
        <w:t>8,500</w:t>
      </w:r>
      <w:r>
        <w:rPr>
          <w:spacing w:val="-3"/>
        </w:rPr>
        <w:t>万元是由青岛清源环保实业有限公司担保向中国建设银行股份有限公司青岛城阳支行借入的流动资金借款，</w:t>
      </w:r>
      <w:r>
        <w:rPr>
          <w:rFonts w:ascii="Times New Roman" w:hAnsi="Times New Roman" w:cs="Times New Roman" w:eastAsia="Times New Roman" w:hint="default"/>
          <w:spacing w:val="-3"/>
        </w:rPr>
        <w:t>2,500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万元是由青岛清源环保实业有限公司和贾全臣共同担保向中国银行股份有限公司青岛香港西路支行借入的流动资金借款</w:t>
      </w:r>
      <w:r>
        <w:rPr>
          <w:rFonts w:ascii="Times New Roman" w:hAnsi="Times New Roman" w:cs="Times New Roman" w:eastAsia="Times New Roman" w:hint="default"/>
        </w:rPr>
        <w:t>.</w:t>
      </w:r>
    </w:p>
    <w:p>
      <w:pPr>
        <w:pStyle w:val="BodyText"/>
        <w:spacing w:line="240" w:lineRule="auto" w:before="13"/>
        <w:ind w:right="0"/>
        <w:jc w:val="both"/>
      </w:pPr>
      <w:r>
        <w:rPr/>
        <w:t>②期末无逾期借款及获得展期的已到期借款。</w:t>
      </w:r>
    </w:p>
    <w:p>
      <w:pPr>
        <w:pStyle w:val="BodyText"/>
        <w:spacing w:line="240" w:lineRule="auto" w:before="76"/>
        <w:ind w:right="0"/>
        <w:jc w:val="both"/>
      </w:pPr>
      <w:r>
        <w:rPr/>
        <w:t>③期末无外币短期借款。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21,780,000.00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12,923,098.08</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12,923,098.08</w:t>
            </w:r>
          </w:p>
        </w:tc>
      </w:tr>
    </w:tbl>
    <w:p>
      <w:pPr>
        <w:pStyle w:val="BodyText"/>
        <w:spacing w:line="357" w:lineRule="auto" w:before="49"/>
        <w:ind w:right="7254"/>
        <w:jc w:val="left"/>
      </w:pPr>
      <w:r>
        <w:rPr/>
        <w:t>下一会计期间将到期的金额元。 应付票据的说明</w:t>
      </w:r>
    </w:p>
    <w:p>
      <w:pPr>
        <w:pStyle w:val="BodyText"/>
        <w:spacing w:line="240" w:lineRule="auto" w:before="29"/>
        <w:ind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日账面应付票据全部在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日前到期。</w:t>
      </w:r>
    </w:p>
    <w:p>
      <w:pPr>
        <w:pStyle w:val="BodyText"/>
        <w:spacing w:line="240" w:lineRule="auto" w:before="63"/>
        <w:ind w:right="0"/>
        <w:jc w:val="both"/>
      </w:pPr>
      <w:r>
        <w:rPr/>
        <w:t>（</w:t>
      </w:r>
      <w:r>
        <w:rPr>
          <w:rFonts w:ascii="Times New Roman" w:hAnsi="Times New Roman" w:cs="Times New Roman" w:eastAsia="Times New Roman" w:hint="default"/>
        </w:rPr>
        <w:t>2</w:t>
      </w:r>
      <w:r>
        <w:rPr/>
        <w:t>）期末无应付持有公司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）表决权股份的股东的票据。</w:t>
      </w:r>
    </w:p>
    <w:p>
      <w:pPr>
        <w:pStyle w:val="BodyText"/>
        <w:spacing w:line="240" w:lineRule="auto" w:before="63"/>
        <w:ind w:right="0"/>
        <w:jc w:val="both"/>
      </w:pPr>
      <w:r>
        <w:rPr/>
        <w:t>（</w:t>
      </w:r>
      <w:r>
        <w:rPr>
          <w:rFonts w:ascii="Times New Roman" w:hAnsi="Times New Roman" w:cs="Times New Roman" w:eastAsia="Times New Roman" w:hint="default"/>
        </w:rPr>
        <w:t>3</w:t>
      </w:r>
      <w:r>
        <w:rPr/>
        <w:t>）期末无应付外币票据。</w:t>
      </w:r>
    </w:p>
    <w:p>
      <w:pPr>
        <w:pStyle w:val="BodyText"/>
        <w:spacing w:line="300" w:lineRule="auto" w:before="63"/>
        <w:ind w:right="15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日，公司与中国建设银行青岛城阳支行签订《银行承兑协议》（编号：</w:t>
      </w:r>
      <w:r>
        <w:rPr>
          <w:rFonts w:ascii="Times New Roman" w:hAnsi="Times New Roman" w:cs="Times New Roman" w:eastAsia="Times New Roman" w:hint="default"/>
        </w:rPr>
        <w:t>9882009230201209008</w:t>
      </w:r>
      <w:r>
        <w:rPr/>
        <w:t>），票面金 额为</w:t>
      </w:r>
      <w:r>
        <w:rPr>
          <w:rFonts w:ascii="Times New Roman" w:hAnsi="Times New Roman" w:cs="Times New Roman" w:eastAsia="Times New Roman" w:hint="default"/>
        </w:rPr>
        <w:t>180.00</w:t>
      </w:r>
      <w:r>
        <w:rPr/>
        <w:t>万元，公司存入</w:t>
      </w:r>
      <w:r>
        <w:rPr>
          <w:rFonts w:ascii="Times New Roman" w:hAnsi="Times New Roman" w:cs="Times New Roman" w:eastAsia="Times New Roman" w:hint="default"/>
        </w:rPr>
        <w:t>90.00</w:t>
      </w:r>
      <w:r>
        <w:rPr/>
        <w:t>万元保证金提供质押担保；</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日，青岛清源环保实业有限公司和贾全臣与中信银 </w:t>
      </w:r>
      <w:r>
        <w:rPr>
          <w:spacing w:val="-7"/>
        </w:rPr>
        <w:t>行股份有限公司青岛分行签订《最高额保证合同》【（</w:t>
      </w:r>
      <w:r>
        <w:rPr>
          <w:rFonts w:ascii="Times New Roman" w:hAnsi="Times New Roman" w:cs="Times New Roman" w:eastAsia="Times New Roman" w:hint="default"/>
          <w:spacing w:val="-7"/>
        </w:rPr>
        <w:t>2012</w:t>
      </w:r>
      <w:r>
        <w:rPr>
          <w:spacing w:val="-7"/>
        </w:rPr>
        <w:t>）信青城银最保字第</w:t>
      </w:r>
      <w:r>
        <w:rPr>
          <w:rFonts w:ascii="Times New Roman" w:hAnsi="Times New Roman" w:cs="Times New Roman" w:eastAsia="Times New Roman" w:hint="default"/>
          <w:spacing w:val="-7"/>
        </w:rPr>
        <w:t>0905105</w:t>
      </w:r>
      <w:r>
        <w:rPr>
          <w:spacing w:val="-7"/>
        </w:rPr>
        <w:t>号、（</w:t>
      </w:r>
      <w:r>
        <w:rPr>
          <w:rFonts w:ascii="Times New Roman" w:hAnsi="Times New Roman" w:cs="Times New Roman" w:eastAsia="Times New Roman" w:hint="default"/>
          <w:spacing w:val="-7"/>
        </w:rPr>
        <w:t>2012</w:t>
      </w:r>
      <w:r>
        <w:rPr>
          <w:spacing w:val="-7"/>
        </w:rPr>
        <w:t>）信青城银最保字第</w:t>
      </w:r>
      <w:r>
        <w:rPr>
          <w:rFonts w:ascii="Times New Roman" w:hAnsi="Times New Roman" w:cs="Times New Roman" w:eastAsia="Times New Roman" w:hint="default"/>
          <w:spacing w:val="-7"/>
        </w:rPr>
        <w:t>0905106</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号】，获得该银行的授信额度</w:t>
      </w:r>
      <w:r>
        <w:rPr>
          <w:rFonts w:ascii="Times New Roman" w:hAnsi="Times New Roman" w:cs="Times New Roman" w:eastAsia="Times New Roman" w:hint="default"/>
        </w:rPr>
        <w:t>3,000.00</w:t>
      </w:r>
      <w:r>
        <w:rPr/>
        <w:t>万元，在此额度下，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日公司与中信银行股份有限公司青岛分行签订银行 承兑汇票承兑协议，票面金额为</w:t>
      </w:r>
      <w:r>
        <w:rPr>
          <w:rFonts w:ascii="Times New Roman" w:hAnsi="Times New Roman" w:cs="Times New Roman" w:eastAsia="Times New Roman" w:hint="default"/>
        </w:rPr>
        <w:t>1,998.00</w:t>
      </w:r>
      <w:r>
        <w:rPr/>
        <w:t>万元，同时交存</w:t>
      </w:r>
      <w:r>
        <w:rPr>
          <w:rFonts w:ascii="Times New Roman" w:hAnsi="Times New Roman" w:cs="Times New Roman" w:eastAsia="Times New Roman" w:hint="default"/>
        </w:rPr>
        <w:t>1,000.00</w:t>
      </w:r>
      <w:r>
        <w:rPr/>
        <w:t>万元保证金。</w:t>
      </w:r>
    </w:p>
    <w:p>
      <w:pPr>
        <w:spacing w:after="0" w:line="300" w:lineRule="auto"/>
        <w:jc w:val="both"/>
        <w:sectPr>
          <w:footerReference w:type="default" r:id="rId16"/>
          <w:pgSz w:w="11910" w:h="16840"/>
          <w:pgMar w:footer="980" w:header="745" w:top="1060" w:bottom="1160" w:left="980" w:right="980"/>
          <w:pgNumType w:start="10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27,883,198.64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35,248,357.88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8,655,559.40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2,523,520.22</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1,600,583.45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310,797.69</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1,176,307.53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919,270.57</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39,315,649.02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39,001,946.36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、预收账款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401,772.00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741,425.50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199,200.00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623,972.00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940,625.50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751,254.00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12,159,775.25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12,850,629.25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8" w:right="0"/>
              <w:jc w:val="left"/>
              <w:rPr>
                <w:rFonts w:ascii="Times New Roman" w:hAnsi="Times New Roman" w:cs="Times New Roman" w:eastAsia="Times New Roman" w:hint="default"/>
                <w:sz w:val="18"/>
                <w:szCs w:val="18"/>
              </w:rPr>
            </w:pPr>
            <w:r>
              <w:rPr>
                <w:rFonts w:ascii="Times New Roman"/>
                <w:sz w:val="18"/>
              </w:rPr>
              <w:t>60,400.00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1,327,245.46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1,327,245.46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1,562,096.91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1,562,096.91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449,115.10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449,115.10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904,222.03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904,222.03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99,936.41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99,936.41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58,899.97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58,899.97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49,923.40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49,923.40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146,853.00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146,853.00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54,260.92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54,260.92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1,101,261.56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236,532.24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6,687.30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1,331,106.50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1,852,515.56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15,486,763.78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15,947,772.84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1,391,506.50</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822"/>
        <w:jc w:val="left"/>
      </w:pPr>
      <w:r>
        <w:rPr/>
        <w:t>工会经费和职工教育经费金额</w:t>
      </w:r>
      <w:r>
        <w:rPr>
          <w:spacing w:val="-46"/>
        </w:rPr>
        <w:t> </w:t>
      </w:r>
      <w:r>
        <w:rPr>
          <w:rFonts w:ascii="Times New Roman" w:hAnsi="Times New Roman" w:cs="Times New Roman" w:eastAsia="Times New Roman" w:hint="default"/>
        </w:rPr>
        <w:t>236,532.24</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54,260.92 </w:t>
      </w:r>
      <w:r>
        <w:rPr/>
        <w:t>元。 应付职工薪酬预计发放时间、金额等安排</w:t>
      </w:r>
    </w:p>
    <w:p>
      <w:pPr>
        <w:pStyle w:val="BodyText"/>
        <w:spacing w:line="240" w:lineRule="auto" w:before="39"/>
        <w:ind w:right="0"/>
        <w:jc w:val="left"/>
      </w:pPr>
      <w:r>
        <w:rPr/>
        <w:t>应付职工薪酬</w:t>
      </w:r>
      <w:r>
        <w:rPr>
          <w:rFonts w:ascii="Times New Roman" w:hAnsi="Times New Roman" w:cs="Times New Roman" w:eastAsia="Times New Roman" w:hint="default"/>
        </w:rPr>
        <w:t>60,400.00</w:t>
      </w:r>
      <w:r>
        <w:rPr/>
        <w:t>元已于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月发放。</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4,780,119.61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1,937,063.44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-1,445,393.98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3,423,009.53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14,165.95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13,102.46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334,758.09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134,428.52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367,816.75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350,357.59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140,457.51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140,457.51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31,868.30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31,081.28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143,467.75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57,612.22</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95,645.17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38,408.15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47,822.58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19,204.07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4,510,727.73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6,144,724.77</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229,138.66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63,311.11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258,944.44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259,952.22</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488,083.10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323,263.33</w:t>
            </w:r>
          </w:p>
        </w:tc>
      </w:tr>
    </w:tbl>
    <w:p>
      <w:pPr>
        <w:pStyle w:val="BodyText"/>
        <w:spacing w:line="240" w:lineRule="auto" w:before="49"/>
        <w:ind w:right="0"/>
        <w:jc w:val="left"/>
      </w:pPr>
      <w:r>
        <w:rPr/>
        <w:t>应付利息说明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125,898.95</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58,159.53</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58,159.53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184,058.48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58,159.53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40,277,777.77</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133,277,777.77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r>
    </w:tbl>
    <w:p>
      <w:pPr>
        <w:pStyle w:val="BodyText"/>
        <w:spacing w:line="240" w:lineRule="auto" w:before="49"/>
        <w:ind w:right="0"/>
        <w:jc w:val="both"/>
      </w:pPr>
      <w:r>
        <w:rPr/>
        <w:t>长期借款分类的说明</w:t>
      </w:r>
    </w:p>
    <w:p>
      <w:pPr>
        <w:pStyle w:val="BodyText"/>
        <w:spacing w:line="300" w:lineRule="auto" w:before="115"/>
        <w:ind w:right="152"/>
        <w:jc w:val="both"/>
      </w:pPr>
      <w:r>
        <w:rPr>
          <w:spacing w:val="-1"/>
        </w:rPr>
        <w:t>担保借款</w:t>
      </w:r>
      <w:r>
        <w:rPr>
          <w:rFonts w:ascii="Times New Roman" w:hAnsi="Times New Roman" w:cs="Times New Roman" w:eastAsia="Times New Roman" w:hint="default"/>
          <w:spacing w:val="-1"/>
        </w:rPr>
        <w:t>40,277,777.77</w:t>
      </w:r>
      <w:r>
        <w:rPr>
          <w:spacing w:val="-1"/>
        </w:rPr>
        <w:t>元是子公司青岛恒顺节能科技有限公司以青岛市恒顺电气股份有限公司为担保，向中国光大银行青岛</w:t>
      </w:r>
      <w:r>
        <w:rPr>
          <w:spacing w:val="-71"/>
        </w:rPr>
        <w:t> </w:t>
      </w:r>
      <w:r>
        <w:rPr>
          <w:spacing w:val="-71"/>
        </w:rPr>
      </w:r>
      <w:r>
        <w:rPr/>
        <w:t>山东路支行借入的中长期借款；抵押借款</w:t>
      </w:r>
      <w:r>
        <w:rPr>
          <w:rFonts w:ascii="Times New Roman" w:hAnsi="Times New Roman" w:cs="Times New Roman" w:eastAsia="Times New Roman" w:hint="default"/>
        </w:rPr>
        <w:t>2,300</w:t>
      </w:r>
      <w:r>
        <w:rPr/>
        <w:t>万元是青岛市恒顺电气股份有限公司以土地使用权、厂房等抵押向中国建设 银行股份有限公司青岛城阳支行借入的购建固定资产借款；信用借款</w:t>
      </w:r>
      <w:r>
        <w:rPr>
          <w:rFonts w:ascii="Times New Roman" w:hAnsi="Times New Roman" w:cs="Times New Roman" w:eastAsia="Times New Roman" w:hint="default"/>
        </w:rPr>
        <w:t>7,000</w:t>
      </w:r>
      <w:r>
        <w:rPr/>
        <w:t>万元是青岛市恒顺电气股份有限公司以信用方式 向中国农业银行股份有限公司青岛东海西路支行借入流动资金借款。</w:t>
      </w:r>
    </w:p>
    <w:p>
      <w:pPr>
        <w:spacing w:after="0" w:line="30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中国光大银 行股份有限 公司山东路 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40,277,777.7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中国农业银 行股份有限 公司青岛东 海西路支行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中国农业银 行股份有限 公司青岛东 海西路支行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公司青岛城 阳区支行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公司青岛城 阳区支行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公司青岛城 阳区支行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4,000,000.00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133,277,777.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6,788,459.51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7,846,401.27</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6,788,459.51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7,846,401.27</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①</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月政府拨付企业整体搬迁补偿款</w:t>
      </w:r>
      <w:r>
        <w:rPr>
          <w:rFonts w:ascii="Times New Roman" w:hAnsi="Times New Roman" w:cs="Times New Roman" w:eastAsia="Times New Roman" w:hint="default"/>
        </w:rPr>
        <w:t>27,000,000.00</w:t>
      </w:r>
      <w:r>
        <w:rPr/>
        <w:t>元，扣除因整体搬迁报废固定资产、核销长期待摊费用净损失</w:t>
      </w:r>
    </w:p>
    <w:p>
      <w:pPr>
        <w:pStyle w:val="BodyText"/>
        <w:spacing w:line="240" w:lineRule="auto" w:before="63"/>
        <w:ind w:right="0"/>
        <w:jc w:val="left"/>
      </w:pPr>
      <w:r>
        <w:rPr>
          <w:rFonts w:ascii="Times New Roman" w:hAnsi="Times New Roman" w:cs="Times New Roman" w:eastAsia="Times New Roman" w:hint="default"/>
        </w:rPr>
        <w:t>12,938,571.38</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2008</w:t>
      </w:r>
      <w:r>
        <w:rPr/>
        <w:t>年搬迁损失挂账</w:t>
      </w:r>
      <w:r>
        <w:rPr>
          <w:rFonts w:ascii="Times New Roman" w:hAnsi="Times New Roman" w:cs="Times New Roman" w:eastAsia="Times New Roman" w:hint="default"/>
        </w:rPr>
        <w:t>3,482,011.15</w:t>
      </w:r>
      <w:r>
        <w:rPr/>
        <w:t>元后余款</w:t>
      </w:r>
      <w:r>
        <w:rPr>
          <w:rFonts w:ascii="Times New Roman" w:hAnsi="Times New Roman" w:cs="Times New Roman" w:eastAsia="Times New Roman" w:hint="default"/>
        </w:rPr>
        <w:t>10,579,417.47</w:t>
      </w:r>
      <w:r>
        <w:rPr/>
        <w:t>元，转入递延收益。</w:t>
      </w:r>
    </w:p>
    <w:p>
      <w:pPr>
        <w:pStyle w:val="BodyText"/>
        <w:spacing w:line="240" w:lineRule="auto" w:before="63"/>
        <w:ind w:right="0"/>
        <w:jc w:val="left"/>
      </w:pPr>
      <w:r>
        <w:rPr/>
        <w:t>②递延收益自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月起按</w:t>
      </w:r>
      <w:r>
        <w:rPr>
          <w:rFonts w:ascii="Times New Roman" w:hAnsi="Times New Roman" w:cs="Times New Roman" w:eastAsia="Times New Roman" w:hint="default"/>
        </w:rPr>
        <w:t>10</w:t>
      </w:r>
      <w:r>
        <w:rPr/>
        <w:t>年期限分期计入营业外收入，本年计入营业外收入</w:t>
      </w:r>
      <w:r>
        <w:rPr>
          <w:rFonts w:ascii="Times New Roman" w:hAnsi="Times New Roman" w:cs="Times New Roman" w:eastAsia="Times New Roman" w:hint="default"/>
        </w:rPr>
        <w:t>1,057,941.76</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140,000,000.00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357" w:lineRule="auto" w:before="63"/>
        <w:ind w:left="513" w:right="138" w:hanging="361"/>
        <w:jc w:val="left"/>
      </w:pPr>
      <w:r>
        <w:rPr/>
        <w:t>年的股份有限公司，设立前的年份只需说明净资产情况；有限责任公司整体变更为股份公司应说明公司设立时的验资情况 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2011</w:t>
      </w:r>
      <w:r>
        <w:rPr/>
        <w:t>年度股东大会决议和修改后的章程规定，公司申请增加注册资本人民币</w:t>
      </w:r>
      <w:r>
        <w:rPr>
          <w:rFonts w:ascii="Times New Roman" w:hAnsi="Times New Roman" w:cs="Times New Roman" w:eastAsia="Times New Roman" w:hint="default"/>
        </w:rPr>
        <w:t>7,000</w:t>
      </w:r>
      <w:r>
        <w:rPr/>
        <w:t>万元，</w:t>
      </w:r>
    </w:p>
    <w:p>
      <w:pPr>
        <w:pStyle w:val="BodyText"/>
        <w:spacing w:line="214" w:lineRule="exact"/>
        <w:ind w:right="0"/>
        <w:jc w:val="left"/>
        <w:rPr>
          <w:rFonts w:ascii="Times New Roman" w:hAnsi="Times New Roman" w:cs="Times New Roman" w:eastAsia="Times New Roman" w:hint="default"/>
        </w:rPr>
      </w:pPr>
      <w:r>
        <w:rPr/>
        <w:t>由资本公积转增股本，变更后注册资本为人民币</w:t>
      </w:r>
      <w:r>
        <w:rPr>
          <w:rFonts w:ascii="Times New Roman" w:hAnsi="Times New Roman" w:cs="Times New Roman" w:eastAsia="Times New Roman" w:hint="default"/>
        </w:rPr>
        <w:t>14,000</w:t>
      </w:r>
      <w:r>
        <w:rPr/>
        <w:t>万元，本次增资由山东汇德会计师事务所于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日出具</w:t>
      </w:r>
      <w:r>
        <w:rPr>
          <w:rFonts w:ascii="Times New Roman" w:hAnsi="Times New Roman" w:cs="Times New Roman" w:eastAsia="Times New Roman" w:hint="default"/>
        </w:rPr>
        <w:t>(2012)</w:t>
      </w:r>
    </w:p>
    <w:p>
      <w:pPr>
        <w:pStyle w:val="BodyText"/>
        <w:spacing w:line="240" w:lineRule="auto" w:before="63"/>
        <w:ind w:right="0"/>
        <w:jc w:val="left"/>
      </w:pPr>
      <w:r>
        <w:rPr/>
        <w:t>汇所验字第</w:t>
      </w:r>
      <w:r>
        <w:rPr>
          <w:rFonts w:ascii="Times New Roman" w:hAnsi="Times New Roman" w:cs="Times New Roman" w:eastAsia="Times New Roman" w:hint="default"/>
        </w:rPr>
        <w:t>1-002</w:t>
      </w:r>
      <w:r>
        <w:rPr/>
        <w:t>号验资报告予以审验。</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472,403,732.77</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402,403,732.77</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774,200.00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10,256,146.71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11,030,346.71</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473,177,932.77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10,256,146.71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413,434,079.48</w:t>
            </w:r>
          </w:p>
        </w:tc>
      </w:tr>
    </w:tbl>
    <w:p>
      <w:pPr>
        <w:pStyle w:val="BodyText"/>
        <w:spacing w:line="357" w:lineRule="auto" w:before="49"/>
        <w:ind w:left="297" w:right="8409" w:hanging="145"/>
        <w:jc w:val="left"/>
      </w:pPr>
      <w:r>
        <w:rPr/>
        <w:t>资本公积说明 资本公积说明：</w:t>
      </w:r>
    </w:p>
    <w:p>
      <w:pPr>
        <w:pStyle w:val="BodyText"/>
        <w:spacing w:line="237" w:lineRule="exact"/>
        <w:ind w:right="0"/>
        <w:jc w:val="left"/>
      </w:pPr>
      <w:r>
        <w:rPr>
          <w:spacing w:val="-6"/>
        </w:rPr>
        <w:t>（</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w:t>
      </w:r>
      <w:r>
        <w:rPr>
          <w:spacing w:val="-6"/>
        </w:rPr>
        <w:t>日，公司</w:t>
      </w:r>
      <w:r>
        <w:rPr>
          <w:rFonts w:ascii="Times New Roman" w:hAnsi="Times New Roman" w:cs="Times New Roman" w:eastAsia="Times New Roman" w:hint="default"/>
          <w:spacing w:val="-6"/>
        </w:rPr>
        <w:t>2011</w:t>
      </w:r>
      <w:r>
        <w:rPr>
          <w:spacing w:val="-6"/>
        </w:rPr>
        <w:t>年第二次临时股东大会审议通过了《青岛市恒顺电气股份有限公司股权激励计划（正式稿）》。</w:t>
      </w:r>
    </w:p>
    <w:p>
      <w:pPr>
        <w:pStyle w:val="BodyText"/>
        <w:spacing w:line="304" w:lineRule="auto" w:before="63"/>
        <w:ind w:right="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日公司召开第一届董事会第十八次会议，会议决定授予公司</w:t>
      </w:r>
      <w:r>
        <w:rPr>
          <w:rFonts w:ascii="Times New Roman" w:hAnsi="Times New Roman" w:cs="Times New Roman" w:eastAsia="Times New Roman" w:hint="default"/>
          <w:spacing w:val="-2"/>
        </w:rPr>
        <w:t>25</w:t>
      </w:r>
      <w:r>
        <w:rPr>
          <w:spacing w:val="-2"/>
        </w:rPr>
        <w:t>位激励对象合计</w:t>
      </w:r>
      <w:r>
        <w:rPr>
          <w:rFonts w:ascii="Times New Roman" w:hAnsi="Times New Roman" w:cs="Times New Roman" w:eastAsia="Times New Roman" w:hint="default"/>
          <w:spacing w:val="-2"/>
        </w:rPr>
        <w:t>410</w:t>
      </w:r>
      <w:r>
        <w:rPr>
          <w:spacing w:val="-2"/>
        </w:rPr>
        <w:t>万份股票期权，授权日为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日，行权价格为</w:t>
      </w:r>
      <w:r>
        <w:rPr>
          <w:rFonts w:ascii="Times New Roman" w:hAnsi="Times New Roman" w:cs="Times New Roman" w:eastAsia="Times New Roman" w:hint="default"/>
          <w:spacing w:val="-2"/>
        </w:rPr>
        <w:t>19.74</w:t>
      </w:r>
      <w:r>
        <w:rPr>
          <w:spacing w:val="-2"/>
        </w:rPr>
        <w:t>元</w:t>
      </w:r>
      <w:r>
        <w:rPr>
          <w:rFonts w:ascii="Times New Roman" w:hAnsi="Times New Roman" w:cs="Times New Roman" w:eastAsia="Times New Roman" w:hint="default"/>
          <w:spacing w:val="-2"/>
        </w:rPr>
        <w:t>/</w:t>
      </w:r>
      <w:r>
        <w:rPr>
          <w:spacing w:val="-2"/>
        </w:rPr>
        <w:t>股。公司</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spacing w:val="-2"/>
        </w:rPr>
        <w:t>年度利润分配方案已实施完毕，根据公司《股</w:t>
      </w:r>
      <w:r>
        <w:rPr>
          <w:spacing w:val="-62"/>
        </w:rPr>
        <w:t> </w:t>
      </w:r>
      <w:r>
        <w:rPr>
          <w:spacing w:val="-62"/>
        </w:rPr>
      </w:r>
      <w:r>
        <w:rPr/>
        <w:t>票期权激励计划》，董事会依据股东大会的授权，</w:t>
      </w:r>
      <w:r>
        <w:rPr>
          <w:spacing w:val="-17"/>
        </w:rPr>
        <w:t> </w:t>
      </w:r>
      <w:r>
        <w:rPr/>
        <w:t>对股权激励计划中的股票期权数量及行权价格进行相应的调整。调整后</w:t>
      </w:r>
      <w:r>
        <w:rPr/>
        <w:t> 公司股票期权激励计划期权数量调整为</w:t>
      </w:r>
      <w:r>
        <w:rPr>
          <w:rFonts w:ascii="Times New Roman" w:hAnsi="Times New Roman" w:cs="Times New Roman" w:eastAsia="Times New Roman" w:hint="default"/>
        </w:rPr>
        <w:t>820 </w:t>
      </w:r>
      <w:r>
        <w:rPr/>
        <w:t>万份，股票期权行权价格为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7"/>
        </w:rPr>
        <w:t> </w:t>
      </w:r>
      <w:r>
        <w:rPr/>
        <w:t>元。为此，公司确认了</w:t>
      </w:r>
      <w:r>
        <w:rPr>
          <w:rFonts w:ascii="Times New Roman" w:hAnsi="Times New Roman" w:cs="Times New Roman" w:eastAsia="Times New Roman" w:hint="default"/>
        </w:rPr>
        <w:t>2012</w:t>
      </w:r>
      <w:r>
        <w:rPr/>
        <w:t>年度股权激励成本 </w:t>
      </w:r>
      <w:r>
        <w:rPr>
          <w:rFonts w:ascii="Times New Roman" w:hAnsi="Times New Roman" w:cs="Times New Roman" w:eastAsia="Times New Roman" w:hint="default"/>
        </w:rPr>
        <w:t>929</w:t>
      </w:r>
      <w:r>
        <w:rPr/>
        <w:t>万元</w:t>
      </w:r>
      <w:r>
        <w:rPr>
          <w:rFonts w:ascii="Times New Roman" w:hAnsi="Times New Roman" w:cs="Times New Roman" w:eastAsia="Times New Roman" w:hint="default"/>
        </w:rPr>
        <w:t>,</w:t>
      </w:r>
      <w:r>
        <w:rPr/>
        <w:t>增加资本公积</w:t>
      </w:r>
      <w:r>
        <w:rPr>
          <w:rFonts w:ascii="Times New Roman" w:hAnsi="Times New Roman" w:cs="Times New Roman" w:eastAsia="Times New Roman" w:hint="default"/>
        </w:rPr>
        <w:t>929</w:t>
      </w:r>
      <w:r>
        <w:rPr/>
        <w:t>万元。</w:t>
      </w:r>
    </w:p>
    <w:p>
      <w:pPr>
        <w:pStyle w:val="BodyText"/>
        <w:spacing w:line="240" w:lineRule="auto" w:before="9"/>
        <w:ind w:right="0"/>
        <w:jc w:val="left"/>
      </w:pPr>
      <w:r>
        <w:rPr/>
        <w:t>（</w:t>
      </w:r>
      <w:r>
        <w:rPr>
          <w:rFonts w:ascii="Times New Roman" w:hAnsi="Times New Roman" w:cs="Times New Roman" w:eastAsia="Times New Roman" w:hint="default"/>
        </w:rPr>
        <w:t>2</w:t>
      </w:r>
      <w:r>
        <w:rPr/>
        <w:t>）本年转增股本减少资本公积</w:t>
      </w:r>
      <w:r>
        <w:rPr>
          <w:rFonts w:ascii="Times New Roman" w:hAnsi="Times New Roman" w:cs="Times New Roman" w:eastAsia="Times New Roman" w:hint="default"/>
        </w:rPr>
        <w:t>7,000</w:t>
      </w:r>
      <w:r>
        <w:rPr/>
        <w:t>万元。</w:t>
      </w:r>
    </w:p>
    <w:p>
      <w:pPr>
        <w:pStyle w:val="BodyText"/>
        <w:spacing w:line="240" w:lineRule="auto" w:before="63"/>
        <w:ind w:right="0"/>
        <w:jc w:val="left"/>
      </w:pPr>
      <w:r>
        <w:rPr/>
        <w:t>（</w:t>
      </w:r>
      <w:r>
        <w:rPr>
          <w:rFonts w:ascii="Times New Roman" w:hAnsi="Times New Roman" w:cs="Times New Roman" w:eastAsia="Times New Roman" w:hint="default"/>
        </w:rPr>
        <w:t>3</w:t>
      </w:r>
      <w:r>
        <w:rPr/>
        <w:t>）公司对新加坡子公司投资产生的差额增加资本公积</w:t>
      </w:r>
      <w:r>
        <w:rPr>
          <w:rFonts w:ascii="Times New Roman" w:hAnsi="Times New Roman" w:cs="Times New Roman" w:eastAsia="Times New Roman" w:hint="default"/>
        </w:rPr>
        <w:t>966,146.71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9,127,315.61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12,708,989.51</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9,127,315.61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12,708,989.51</w:t>
            </w:r>
          </w:p>
        </w:tc>
      </w:tr>
    </w:tbl>
    <w:p>
      <w:pPr>
        <w:pStyle w:val="BodyText"/>
        <w:spacing w:line="240" w:lineRule="auto" w:before="49"/>
        <w:ind w:right="0"/>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76,093,506.12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55,341,821.14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3,581,673.90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113,853,653.36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6" w:lineRule="auto" w:before="101"/>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300" w:lineRule="auto" w:before="52"/>
        <w:ind w:right="0" w:firstLine="353"/>
        <w:jc w:val="left"/>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2011</w:t>
      </w:r>
      <w:r>
        <w:rPr/>
        <w:t>年度股东大会决议，公司以</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7,000</w:t>
      </w:r>
      <w:r>
        <w:rPr/>
        <w:t>万股为基数，向全体股东每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t>股派</w:t>
      </w:r>
      <w:r>
        <w:rPr>
          <w:spacing w:val="2"/>
        </w:rPr>
        <w:t> </w:t>
      </w:r>
      <w:r>
        <w:rPr/>
        <w:t>发现金股利人民币</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1,400</w:t>
      </w:r>
      <w:r>
        <w:rPr/>
        <w:t>万元。</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31</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footerReference w:type="default" r:id="rId17"/>
          <w:pgSz w:w="11910" w:h="16840"/>
          <w:pgMar w:footer="980"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243,008,451.73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218,389,021.63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4,254,741.06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4,034,486.54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136,316,572.24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131,251,900.71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9" w:right="0"/>
              <w:jc w:val="left"/>
              <w:rPr>
                <w:rFonts w:ascii="Times New Roman" w:hAnsi="Times New Roman" w:cs="Times New Roman" w:eastAsia="Times New Roman" w:hint="default"/>
                <w:sz w:val="18"/>
                <w:szCs w:val="18"/>
              </w:rPr>
            </w:pPr>
            <w:r>
              <w:rPr>
                <w:rFonts w:ascii="Times New Roman"/>
                <w:sz w:val="18"/>
              </w:rPr>
              <w:t>243,008,451.73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135,850,843.60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131,128,192.69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243,008,451.73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135,850,843.60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131,128,192.69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电能质量优化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199,230,621.84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115,789,330.92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217,499,919.11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130,414,658.46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余热余压利用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43,205,100.00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19,602,300.00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572,729.89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459,212.68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889,102.52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713,534.23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243,008,451.73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135,850,843.60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131,128,192.69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9,577,261.82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7,073,687.00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20,385,276.92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12,930,119.99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64,883,067.15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33,417,317.48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58,025,408.46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35,108,157.08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28,836,518.09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20,517,898.45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58,513,730.34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32,956,661.65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13,460,512.84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6,008,629.25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6,695,410.25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3,605,151.85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6,694,335.89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3,752,727.06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9,367,282.05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5,608,545.99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72,845,106.46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38,751,238.21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59,901,315.32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37,824,407.95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46,711,649.48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26,329,346.15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5,500,598.29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3,095,148.18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243,008,451.73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135,850,843.60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131,128,192.69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70,309,031.67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华宁县顺昌工贸有限责任公司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46,697,974.27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18.89%</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山西省汇丰新型建材股份有限公 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39,303,540.22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深圳盐田西港区码头有限公司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13,401,709.42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山西省电力公司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11,468,815.38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181,181,070.96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73.28%</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1,073,662.63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1,052,187.22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460,141.12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450,937.38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306,760.73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300,624.91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1,842,564.48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1,803,749.51</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1,744,499.56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1,027,850.32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236,112.08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673,574.07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39,411.54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32,515.47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2,704,911.96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1,975,407.22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430,516.94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170,314.75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2,435,919.48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3,465,488.55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50,542.55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1,084,369.32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608,812.00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1,079,345.72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247,965.30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2,140,518.30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1,721,603.02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578,510.46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134,138.69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12,655,078.10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10,921,678.16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13,427,808.18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3,564,450.65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644,008.55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419,628.42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191,349.20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124,187.80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182,977.04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1,287,149.91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1,392,708.56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1,520,367.27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1,698,135.30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41,344.46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设备车辆维修费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121,049.05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173,472.45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406,316.62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465,835.38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946,346.16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6,630,513.49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8,921,365.89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1,836,365.84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1,554,252.86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142,814.50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76,091.00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541,736.00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837,023.27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28,377,320.41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20,315,186.47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12,425,652.15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6,776,773.98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-6,495,374.37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-3,660,961.56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124,194.70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115,680.19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6,054,472.48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3,231,492.61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634,386.52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2,997,626.19</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634,386.52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2,997,626.19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、营业外收入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46,501.30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46,501.30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1,313,221.76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5,693,541.76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1,313,221.76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78,055.36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8,868.50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1,391,277.12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5,748,911.56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1,382,421.76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1,057,941.76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1,057,941.76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科技扶持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955,600.00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6,280.00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清洁生产扶持资金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对外经济技术合作专项资金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上市奖励资金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上市融资补助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技术改造、新产品、信息化财政 拨款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标准化奖励基金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1,313,221.76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5,693,541.76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38</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8"/>
        <w:gridCol w:w="2032"/>
        <w:gridCol w:w="1915"/>
        <w:gridCol w:w="1913"/>
      </w:tblGrid>
      <w:tr>
        <w:trPr>
          <w:trHeight w:val="161" w:hRule="exact"/>
        </w:trPr>
        <w:tc>
          <w:tcPr>
            <w:tcW w:w="3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2710.43</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2710.43</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1"/>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2710.43</w:t>
            </w: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39</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45" w:right="0"/>
              <w:jc w:val="left"/>
              <w:rPr>
                <w:rFonts w:ascii="Times New Roman" w:hAnsi="Times New Roman" w:cs="Times New Roman" w:eastAsia="Times New Roman" w:hint="default"/>
                <w:sz w:val="18"/>
                <w:szCs w:val="18"/>
              </w:rPr>
            </w:pPr>
            <w:r>
              <w:rPr>
                <w:rFonts w:ascii="Times New Roman"/>
                <w:sz w:val="18"/>
              </w:rPr>
              <w:t>1,944,423.41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1" w:right="0"/>
              <w:jc w:val="left"/>
              <w:rPr>
                <w:rFonts w:ascii="Times New Roman" w:hAnsi="Times New Roman" w:cs="Times New Roman" w:eastAsia="Times New Roman" w:hint="default"/>
                <w:sz w:val="18"/>
                <w:szCs w:val="18"/>
              </w:rPr>
            </w:pPr>
            <w:r>
              <w:rPr>
                <w:rFonts w:ascii="Times New Roman"/>
                <w:sz w:val="18"/>
              </w:rPr>
              <w:t>8,168,101.22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6"/>
        <w:gridCol w:w="2523"/>
        <w:gridCol w:w="2391"/>
      </w:tblGrid>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5,485,120.70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-444,589.33</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7,429,544.11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7,723,511.89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40</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633" w:right="0"/>
        <w:jc w:val="left"/>
      </w:pPr>
      <w:r>
        <w:rPr/>
        <w:t>公司</w:t>
      </w:r>
      <w:r>
        <w:rPr>
          <w:rFonts w:ascii="Times New Roman" w:hAnsi="Times New Roman" w:cs="Times New Roman" w:eastAsia="Times New Roman" w:hint="default"/>
        </w:rPr>
        <w:t>2012</w:t>
      </w:r>
      <w:r>
        <w:rPr/>
        <w:t>年基本每股收益和稀释每股收益计算过程如下：</w:t>
      </w:r>
    </w:p>
    <w:p>
      <w:pPr>
        <w:pStyle w:val="Heading5"/>
        <w:spacing w:line="240" w:lineRule="auto"/>
        <w:ind w:left="633" w:right="0"/>
        <w:jc w:val="left"/>
      </w:pPr>
      <w:r>
        <w:rPr/>
        <w:pict>
          <v:shape style="position:absolute;margin-left:154.199997pt;margin-top:18.203671pt;width:14.300003pt;height:26.300003pt;mso-position-horizontal-relative:page;mso-position-vertical-relative:paragraph;z-index:-839440" type="#_x0000_t75" stroked="false">
            <v:imagedata r:id="rId18" o:title=""/>
          </v:shape>
        </w:pict>
      </w:r>
      <w:r>
        <w:rPr/>
        <w:t>（</w:t>
      </w:r>
      <w:r>
        <w:rPr>
          <w:rFonts w:ascii="Times New Roman" w:hAnsi="Times New Roman" w:cs="Times New Roman" w:eastAsia="Times New Roman" w:hint="default"/>
        </w:rPr>
        <w:t>1</w:t>
      </w:r>
      <w:r>
        <w:rPr/>
        <w:t>）基本每股收益计算公式如下</w:t>
      </w:r>
    </w:p>
    <w:p>
      <w:pPr>
        <w:spacing w:line="240" w:lineRule="auto" w:before="6"/>
        <w:rPr>
          <w:rFonts w:ascii="宋体" w:hAnsi="宋体" w:cs="宋体" w:eastAsia="宋体" w:hint="default"/>
          <w:sz w:val="25"/>
          <w:szCs w:val="25"/>
        </w:rPr>
      </w:pPr>
    </w:p>
    <w:p>
      <w:pPr>
        <w:pStyle w:val="Heading5"/>
        <w:spacing w:line="405" w:lineRule="auto" w:before="0"/>
        <w:ind w:left="633" w:right="0"/>
        <w:jc w:val="left"/>
      </w:pPr>
      <w:r>
        <w:rPr/>
        <w:t>基本每股收益＝ 其中：                                         </w:t>
      </w:r>
      <w:r>
        <w:rPr>
          <w:spacing w:val="58"/>
        </w:rPr>
        <w:t> </w:t>
      </w:r>
      <w:r>
        <w:rPr>
          <w:spacing w:val="58"/>
        </w:rPr>
      </w:r>
      <w:r>
        <w:rPr>
          <w:spacing w:val="-3"/>
          <w:w w:val="100"/>
        </w:rPr>
        <w:drawing>
          <wp:inline distT="0" distB="0" distL="0" distR="0">
            <wp:extent cx="190500" cy="18161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190500" cy="181610"/>
                    </a:xfrm>
                    <a:prstGeom prst="rect">
                      <a:avLst/>
                    </a:prstGeom>
                  </pic:spPr>
                </pic:pic>
              </a:graphicData>
            </a:graphic>
          </wp:inline>
        </w:drawing>
      </w:r>
      <w:r>
        <w:rPr>
          <w:spacing w:val="-3"/>
          <w:w w:val="100"/>
        </w:rPr>
      </w:r>
      <w:r>
        <w:rPr/>
        <w:t>为归属于公司普通股股东的净利润或扣除非经常性损益后归属于普通股股东的净利润；Ｓ</w:t>
      </w:r>
    </w:p>
    <w:p>
      <w:pPr>
        <w:pStyle w:val="Heading5"/>
        <w:spacing w:line="230" w:lineRule="exact" w:before="0"/>
        <w:ind w:right="0"/>
        <w:jc w:val="both"/>
      </w:pPr>
      <w:r>
        <w:rPr>
          <w:spacing w:val="-2"/>
        </w:rPr>
        <w:t>为发行在外的普通股加权平均数。公司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日实施以资本公积</w:t>
      </w:r>
      <w:r>
        <w:rPr>
          <w:rFonts w:ascii="Times New Roman" w:hAnsi="Times New Roman" w:cs="Times New Roman" w:eastAsia="Times New Roman" w:hint="default"/>
          <w:spacing w:val="-2"/>
        </w:rPr>
        <w:t>7,000</w:t>
      </w:r>
      <w:r>
        <w:rPr>
          <w:spacing w:val="-2"/>
        </w:rPr>
        <w:t>万转增股本</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spacing w:val="-1"/>
        </w:rPr>
        <w:t>每股面值为人民</w:t>
      </w:r>
    </w:p>
    <w:p>
      <w:pPr>
        <w:pStyle w:val="Heading5"/>
        <w:spacing w:line="256" w:lineRule="auto" w:before="22"/>
        <w:ind w:right="1128"/>
        <w:jc w:val="both"/>
      </w:pPr>
      <w:r>
        <w:rPr/>
        <w:t>币</w:t>
      </w:r>
      <w:r>
        <w:rPr>
          <w:rFonts w:ascii="Times New Roman" w:hAnsi="Times New Roman" w:cs="Times New Roman" w:eastAsia="Times New Roman" w:hint="default"/>
        </w:rPr>
        <w:t>1</w:t>
      </w:r>
      <w:r>
        <w:rPr/>
        <w:t>元，转增后公司股本由原来的</w:t>
      </w:r>
      <w:r>
        <w:rPr>
          <w:rFonts w:ascii="Times New Roman" w:hAnsi="Times New Roman" w:cs="Times New Roman" w:eastAsia="Times New Roman" w:hint="default"/>
        </w:rPr>
        <w:t>7,000</w:t>
      </w:r>
      <w:r>
        <w:rPr/>
        <w:t>万股增至</w:t>
      </w:r>
      <w:r>
        <w:rPr>
          <w:rFonts w:ascii="Times New Roman" w:hAnsi="Times New Roman" w:cs="Times New Roman" w:eastAsia="Times New Roman" w:hint="default"/>
        </w:rPr>
        <w:t>14,000</w:t>
      </w:r>
      <w:r>
        <w:rPr/>
        <w:t>万股。</w:t>
      </w:r>
      <w:r>
        <w:rPr>
          <w:spacing w:val="-32"/>
        </w:rPr>
        <w:t> </w:t>
      </w:r>
      <w:r>
        <w:rPr/>
        <w:t>根据企业会计准则关于每股收益的列报的要</w:t>
      </w:r>
      <w:r>
        <w:rPr>
          <w:w w:val="100"/>
        </w:rPr>
        <w:t> </w:t>
      </w:r>
      <w:r>
        <w:rPr>
          <w:spacing w:val="-2"/>
        </w:rPr>
        <w:t>求，应当按照调整后的股数重新计算各列报期间的每股收益，按最新股本</w:t>
      </w:r>
      <w:r>
        <w:rPr>
          <w:rFonts w:ascii="Times New Roman" w:hAnsi="Times New Roman" w:cs="Times New Roman" w:eastAsia="Times New Roman" w:hint="default"/>
          <w:spacing w:val="-2"/>
        </w:rPr>
        <w:t>14,000</w:t>
      </w:r>
      <w:r>
        <w:rPr>
          <w:spacing w:val="-2"/>
        </w:rPr>
        <w:t>万股摊薄计算，所以</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1"/>
        </w:rPr>
        <w:t>年度每股收益以</w:t>
      </w:r>
      <w:r>
        <w:rPr>
          <w:rFonts w:ascii="Times New Roman" w:hAnsi="Times New Roman" w:cs="Times New Roman" w:eastAsia="Times New Roman" w:hint="default"/>
          <w:spacing w:val="-1"/>
        </w:rPr>
        <w:t>(5,250*2+1,750*2*8/12)</w:t>
      </w:r>
      <w:r>
        <w:rPr>
          <w:spacing w:val="-1"/>
        </w:rPr>
        <w:t>万股为分母计算，</w:t>
      </w:r>
      <w:r>
        <w:rPr>
          <w:spacing w:val="54"/>
        </w:rPr>
        <w:t> </w:t>
      </w:r>
      <w:r>
        <w:rPr>
          <w:rFonts w:ascii="Times New Roman" w:hAnsi="Times New Roman" w:cs="Times New Roman" w:eastAsia="Times New Roman" w:hint="default"/>
          <w:spacing w:val="-2"/>
        </w:rPr>
        <w:t>2012</w:t>
      </w:r>
      <w:r>
        <w:rPr>
          <w:spacing w:val="-2"/>
        </w:rPr>
        <w:t>年每股收益以</w:t>
      </w:r>
      <w:r>
        <w:rPr>
          <w:rFonts w:ascii="Times New Roman" w:hAnsi="Times New Roman" w:cs="Times New Roman" w:eastAsia="Times New Roman" w:hint="default"/>
          <w:spacing w:val="-2"/>
        </w:rPr>
        <w:t>14,000</w:t>
      </w:r>
      <w:r>
        <w:rPr>
          <w:spacing w:val="-2"/>
        </w:rPr>
        <w:t>万股为分母计算。</w:t>
      </w:r>
    </w:p>
    <w:p>
      <w:pPr>
        <w:pStyle w:val="Heading5"/>
        <w:spacing w:line="240" w:lineRule="auto" w:before="5"/>
        <w:ind w:left="520" w:right="0"/>
        <w:jc w:val="left"/>
      </w:pPr>
      <w:r>
        <w:rPr/>
        <w:pict>
          <v:shape style="position:absolute;margin-left:149.5pt;margin-top:17.373688pt;width:14.300003pt;height:26.300003pt;mso-position-horizontal-relative:page;mso-position-vertical-relative:paragraph;z-index:-839416" type="#_x0000_t75" stroked="false">
            <v:imagedata r:id="rId18" o:title=""/>
          </v:shape>
        </w:pict>
      </w:r>
      <w:r>
        <w:rPr/>
        <w:t>①公司</w:t>
      </w:r>
      <w:r>
        <w:rPr>
          <w:rFonts w:ascii="Times New Roman" w:hAnsi="Times New Roman" w:cs="Times New Roman" w:eastAsia="Times New Roman" w:hint="default"/>
        </w:rPr>
        <w:t>2011</w:t>
      </w:r>
      <w:r>
        <w:rPr/>
        <w:t>年基本每股收益计算过程如下：</w:t>
      </w:r>
    </w:p>
    <w:p>
      <w:pPr>
        <w:spacing w:line="240" w:lineRule="auto" w:before="6"/>
        <w:rPr>
          <w:rFonts w:ascii="宋体" w:hAnsi="宋体" w:cs="宋体" w:eastAsia="宋体" w:hint="default"/>
          <w:sz w:val="25"/>
          <w:szCs w:val="25"/>
        </w:rPr>
      </w:pPr>
    </w:p>
    <w:p>
      <w:pPr>
        <w:pStyle w:val="Heading5"/>
        <w:spacing w:line="240" w:lineRule="auto" w:before="0"/>
        <w:ind w:left="633" w:right="0"/>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w:t>
      </w:r>
    </w:p>
    <w:p>
      <w:pPr>
        <w:pStyle w:val="Heading5"/>
        <w:spacing w:line="240" w:lineRule="auto" w:before="68"/>
        <w:ind w:left="633" w:right="0"/>
        <w:jc w:val="left"/>
        <w:rPr>
          <w:rFonts w:ascii="Times New Roman" w:hAnsi="Times New Roman" w:cs="Times New Roman" w:eastAsia="Times New Roman" w:hint="default"/>
        </w:rPr>
      </w:pPr>
      <w:r>
        <w:rPr>
          <w:rFonts w:ascii="Times New Roman"/>
        </w:rPr>
        <w:t>= 49,890,964.92</w:t>
      </w:r>
      <w:r>
        <w:rPr>
          <w:rFonts w:ascii="Times New Roman"/>
          <w:spacing w:val="-8"/>
        </w:rPr>
        <w:t> </w:t>
      </w:r>
      <w:r>
        <w:rPr>
          <w:rFonts w:ascii="Times New Roman"/>
        </w:rPr>
        <w:t>/(52,500,000.00*2+17,500,000.00*2*8/12)</w:t>
      </w:r>
    </w:p>
    <w:p>
      <w:pPr>
        <w:pStyle w:val="Heading5"/>
        <w:spacing w:line="240" w:lineRule="auto" w:before="70"/>
        <w:ind w:left="633" w:right="0"/>
        <w:jc w:val="left"/>
        <w:rPr>
          <w:rFonts w:ascii="Times New Roman" w:hAnsi="Times New Roman" w:cs="Times New Roman" w:eastAsia="Times New Roman" w:hint="default"/>
        </w:rPr>
      </w:pPr>
      <w:r>
        <w:rPr>
          <w:rFonts w:ascii="Times New Roman"/>
        </w:rPr>
        <w:t>=</w:t>
      </w:r>
      <w:r>
        <w:rPr>
          <w:rFonts w:ascii="Times New Roman"/>
          <w:spacing w:val="-1"/>
        </w:rPr>
        <w:t> </w:t>
      </w:r>
      <w:r>
        <w:rPr>
          <w:rFonts w:ascii="Times New Roman"/>
        </w:rPr>
        <w:t>0.39</w:t>
      </w:r>
    </w:p>
    <w:p>
      <w:pPr>
        <w:pStyle w:val="Heading5"/>
        <w:spacing w:line="240" w:lineRule="auto" w:before="23"/>
        <w:ind w:left="573" w:right="0"/>
        <w:jc w:val="left"/>
      </w:pPr>
      <w:r>
        <w:rPr/>
        <w:pict>
          <v:shape style="position:absolute;margin-left:149.5pt;margin-top:18.273657pt;width:14.300003pt;height:26.300003pt;mso-position-horizontal-relative:page;mso-position-vertical-relative:paragraph;z-index:-839392" type="#_x0000_t75" stroked="false">
            <v:imagedata r:id="rId18" o:title=""/>
          </v:shape>
        </w:pict>
      </w:r>
      <w:r>
        <w:rPr/>
        <w:t>②公司</w:t>
      </w:r>
      <w:r>
        <w:rPr>
          <w:rFonts w:ascii="Times New Roman" w:hAnsi="Times New Roman" w:cs="Times New Roman" w:eastAsia="Times New Roman" w:hint="default"/>
        </w:rPr>
        <w:t>2012</w:t>
      </w:r>
      <w:r>
        <w:rPr/>
        <w:t>年基本每股收益计算过程如下：</w:t>
      </w:r>
    </w:p>
    <w:p>
      <w:pPr>
        <w:spacing w:line="240" w:lineRule="auto" w:before="6"/>
        <w:rPr>
          <w:rFonts w:ascii="宋体" w:hAnsi="宋体" w:cs="宋体" w:eastAsia="宋体" w:hint="default"/>
          <w:sz w:val="25"/>
          <w:szCs w:val="25"/>
        </w:rPr>
      </w:pPr>
    </w:p>
    <w:p>
      <w:pPr>
        <w:pStyle w:val="Heading5"/>
        <w:spacing w:line="240" w:lineRule="auto" w:before="0"/>
        <w:ind w:left="633" w:right="0"/>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w:t>
      </w:r>
    </w:p>
    <w:p>
      <w:pPr>
        <w:pStyle w:val="Heading5"/>
        <w:spacing w:line="240" w:lineRule="auto"/>
        <w:ind w:left="1641" w:right="0"/>
        <w:jc w:val="left"/>
        <w:rPr>
          <w:rFonts w:ascii="Times New Roman" w:hAnsi="Times New Roman" w:cs="Times New Roman" w:eastAsia="Times New Roman" w:hint="default"/>
        </w:rPr>
      </w:pPr>
      <w:r>
        <w:rPr>
          <w:rFonts w:ascii="Times New Roman" w:hAnsi="Times New Roman" w:cs="Times New Roman" w:eastAsia="Times New Roman" w:hint="default"/>
        </w:rPr>
        <w:t>= 55,341,821.14</w:t>
      </w:r>
      <w:r>
        <w:rPr/>
        <w:t>／</w:t>
      </w:r>
      <w:r>
        <w:rPr>
          <w:rFonts w:ascii="Times New Roman" w:hAnsi="Times New Roman" w:cs="Times New Roman" w:eastAsia="Times New Roman" w:hint="default"/>
        </w:rPr>
        <w:t>140,000,000</w:t>
      </w:r>
    </w:p>
    <w:p>
      <w:pPr>
        <w:pStyle w:val="Heading5"/>
        <w:spacing w:line="240" w:lineRule="auto" w:before="68"/>
        <w:ind w:left="633" w:right="0"/>
        <w:jc w:val="left"/>
        <w:rPr>
          <w:rFonts w:ascii="Times New Roman" w:hAnsi="Times New Roman" w:cs="Times New Roman" w:eastAsia="Times New Roman" w:hint="default"/>
        </w:rPr>
      </w:pPr>
      <w:r>
        <w:rPr>
          <w:rFonts w:ascii="Times New Roman"/>
        </w:rPr>
        <w:t>=0.40</w:t>
      </w:r>
    </w:p>
    <w:p>
      <w:pPr>
        <w:pStyle w:val="Heading5"/>
        <w:spacing w:line="273" w:lineRule="auto" w:before="23"/>
        <w:ind w:right="0" w:firstLine="480"/>
        <w:jc w:val="left"/>
      </w:pPr>
      <w:r>
        <w:rPr/>
        <w:pict>
          <v:shape style="position:absolute;margin-left:55.919998pt;margin-top:36.174294pt;width:541.15pt;height:64.1500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83"/>
                    <w:gridCol w:w="3050"/>
                    <w:gridCol w:w="1889"/>
                  </w:tblGrid>
                  <w:tr>
                    <w:trPr>
                      <w:trHeight w:val="277" w:hRule="exact"/>
                    </w:trPr>
                    <w:tc>
                      <w:tcPr>
                        <w:tcW w:w="5883" w:type="dxa"/>
                        <w:tcBorders>
                          <w:top w:val="nil" w:sz="6" w:space="0" w:color="auto"/>
                          <w:left w:val="nil" w:sz="6" w:space="0" w:color="auto"/>
                          <w:bottom w:val="single" w:sz="8" w:space="0" w:color="000000"/>
                          <w:right w:val="nil" w:sz="6" w:space="0" w:color="auto"/>
                        </w:tcBorders>
                      </w:tcPr>
                      <w:p>
                        <w:pPr>
                          <w:pStyle w:val="TableParagraph"/>
                          <w:tabs>
                            <w:tab w:pos="1003" w:val="left" w:leader="none"/>
                          </w:tabs>
                          <w:spacing w:line="199" w:lineRule="exact"/>
                          <w:ind w:right="708"/>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050" w:type="dxa"/>
                        <w:tcBorders>
                          <w:top w:val="nil" w:sz="6" w:space="0" w:color="auto"/>
                          <w:left w:val="nil" w:sz="6" w:space="0" w:color="auto"/>
                          <w:bottom w:val="single" w:sz="8" w:space="0" w:color="000000"/>
                          <w:right w:val="nil" w:sz="6" w:space="0" w:color="auto"/>
                        </w:tcBorders>
                      </w:tcPr>
                      <w:p>
                        <w:pPr>
                          <w:pStyle w:val="TableParagraph"/>
                          <w:spacing w:line="214" w:lineRule="exact"/>
                          <w:ind w:left="85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c>
                      <w:tcPr>
                        <w:tcW w:w="1889" w:type="dxa"/>
                        <w:tcBorders>
                          <w:top w:val="nil" w:sz="6" w:space="0" w:color="auto"/>
                          <w:left w:val="nil" w:sz="6" w:space="0" w:color="auto"/>
                          <w:bottom w:val="single" w:sz="8" w:space="0" w:color="000000"/>
                          <w:right w:val="nil" w:sz="6" w:space="0" w:color="auto"/>
                        </w:tcBorders>
                      </w:tcPr>
                      <w:p>
                        <w:pPr>
                          <w:pStyle w:val="TableParagraph"/>
                          <w:spacing w:line="214" w:lineRule="exact"/>
                          <w:ind w:right="0"/>
                          <w:jc w:val="right"/>
                          <w:rPr>
                            <w:rFonts w:ascii="Times New Roman" w:hAnsi="Times New Roman" w:cs="Times New Roman" w:eastAsia="Times New Roman" w:hint="default"/>
                            <w:sz w:val="20"/>
                            <w:szCs w:val="20"/>
                          </w:rPr>
                        </w:pPr>
                        <w:r>
                          <w:rPr>
                            <w:rFonts w:ascii="Times New Roman"/>
                            <w:sz w:val="20"/>
                          </w:rPr>
                          <w:t>201</w:t>
                        </w:r>
                      </w:p>
                    </w:tc>
                  </w:tr>
                  <w:tr>
                    <w:trPr>
                      <w:trHeight w:val="343" w:hRule="exact"/>
                    </w:trPr>
                    <w:tc>
                      <w:tcPr>
                        <w:tcW w:w="5883"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扣除非经常性损益后归属于普通股股东净利润</w:t>
                        </w:r>
                      </w:p>
                    </w:tc>
                    <w:tc>
                      <w:tcPr>
                        <w:tcW w:w="30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1308" w:right="0"/>
                          <w:jc w:val="left"/>
                          <w:rPr>
                            <w:rFonts w:ascii="Times New Roman" w:hAnsi="Times New Roman" w:cs="Times New Roman" w:eastAsia="Times New Roman" w:hint="default"/>
                            <w:sz w:val="20"/>
                            <w:szCs w:val="20"/>
                          </w:rPr>
                        </w:pPr>
                        <w:r>
                          <w:rPr>
                            <w:rFonts w:ascii="Times New Roman"/>
                            <w:sz w:val="20"/>
                          </w:rPr>
                          <w:t>54,010,375.25</w:t>
                        </w:r>
                      </w:p>
                    </w:tc>
                    <w:tc>
                      <w:tcPr>
                        <w:tcW w:w="1889" w:type="dxa"/>
                        <w:tcBorders>
                          <w:top w:val="single" w:sz="8" w:space="0" w:color="000000"/>
                          <w:left w:val="nil" w:sz="6" w:space="0" w:color="auto"/>
                          <w:bottom w:val="single" w:sz="8" w:space="0" w:color="000000"/>
                          <w:right w:val="nil" w:sz="6" w:space="0" w:color="auto"/>
                        </w:tcBorders>
                      </w:tcPr>
                      <w:p>
                        <w:pPr/>
                      </w:p>
                    </w:tc>
                  </w:tr>
                  <w:tr>
                    <w:trPr>
                      <w:trHeight w:val="653" w:hRule="exact"/>
                    </w:trPr>
                    <w:tc>
                      <w:tcPr>
                        <w:tcW w:w="588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26" w:right="857"/>
                          <w:jc w:val="left"/>
                          <w:rPr>
                            <w:rFonts w:ascii="宋体" w:hAnsi="宋体" w:cs="宋体" w:eastAsia="宋体" w:hint="default"/>
                            <w:sz w:val="20"/>
                            <w:szCs w:val="20"/>
                          </w:rPr>
                        </w:pPr>
                        <w:r>
                          <w:rPr>
                            <w:rFonts w:ascii="宋体" w:hAnsi="宋体" w:cs="宋体" w:eastAsia="宋体" w:hint="default"/>
                            <w:w w:val="95"/>
                            <w:sz w:val="20"/>
                            <w:szCs w:val="20"/>
                          </w:rPr>
                          <w:t>根据扣除非经常性损益后归属于普通股股东净利润计算的</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z w:val="20"/>
                            <w:szCs w:val="20"/>
                          </w:rPr>
                          <w:t>基本每股收益</w:t>
                        </w:r>
                      </w:p>
                    </w:tc>
                    <w:tc>
                      <w:tcPr>
                        <w:tcW w:w="30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51"/>
                          <w:jc w:val="right"/>
                          <w:rPr>
                            <w:rFonts w:ascii="Times New Roman" w:hAnsi="Times New Roman" w:cs="Times New Roman" w:eastAsia="Times New Roman" w:hint="default"/>
                            <w:sz w:val="20"/>
                            <w:szCs w:val="20"/>
                          </w:rPr>
                        </w:pPr>
                        <w:r>
                          <w:rPr>
                            <w:rFonts w:ascii="Times New Roman"/>
                            <w:spacing w:val="-1"/>
                            <w:sz w:val="20"/>
                          </w:rPr>
                          <w:t>0.39</w:t>
                        </w:r>
                      </w:p>
                    </w:tc>
                    <w:tc>
                      <w:tcPr>
                        <w:tcW w:w="1889" w:type="dxa"/>
                        <w:tcBorders>
                          <w:top w:val="single" w:sz="8" w:space="0" w:color="000000"/>
                          <w:left w:val="nil" w:sz="6" w:space="0" w:color="auto"/>
                          <w:bottom w:val="single" w:sz="8" w:space="0" w:color="000000"/>
                          <w:right w:val="nil" w:sz="6" w:space="0" w:color="auto"/>
                        </w:tcBorders>
                      </w:tcPr>
                      <w:p>
                        <w:pPr/>
                      </w:p>
                    </w:tc>
                  </w:tr>
                </w:tbl>
                <w:p>
                  <w:pPr/>
                </w:p>
              </w:txbxContent>
            </v:textbox>
            <w10:wrap type="none"/>
          </v:shape>
        </w:pict>
      </w:r>
      <w:r>
        <w:rPr>
          <w:spacing w:val="-2"/>
        </w:rPr>
        <w:t>报告期内的扣除非经常性损益后归属于普通股股东净利润和根据扣除非经常性损益后归属于普通股</w:t>
      </w:r>
      <w:r>
        <w:rPr>
          <w:w w:val="100"/>
        </w:rPr>
        <w:t> </w:t>
      </w:r>
      <w:r>
        <w:rPr/>
        <w:t>股东净利润计算的基本每股收益列示如下：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before="36"/>
        <w:ind w:left="467" w:right="0"/>
        <w:jc w:val="left"/>
      </w:pPr>
      <w:r>
        <w:rPr/>
        <w:t>（</w:t>
      </w:r>
      <w:r>
        <w:rPr>
          <w:rFonts w:ascii="Times New Roman" w:hAnsi="Times New Roman" w:cs="Times New Roman" w:eastAsia="Times New Roman" w:hint="default"/>
        </w:rPr>
        <w:t>2</w:t>
      </w:r>
      <w:r>
        <w:rPr/>
        <w:t>）稀释每股收益计算公式如下</w:t>
      </w:r>
    </w:p>
    <w:p>
      <w:pPr>
        <w:pStyle w:val="Heading5"/>
        <w:spacing w:line="240" w:lineRule="auto" w:before="195"/>
        <w:ind w:left="520" w:right="0"/>
        <w:jc w:val="left"/>
      </w:pPr>
      <w:r>
        <w:rPr>
          <w:spacing w:val="-2"/>
        </w:rPr>
        <w:t>稀释每股收益＝</w:t>
      </w:r>
      <w:r>
        <w:rPr>
          <w:spacing w:val="-93"/>
        </w:rPr>
        <w:t> </w:t>
      </w:r>
      <w:r>
        <w:rPr>
          <w:spacing w:val="-4"/>
          <w:w w:val="100"/>
        </w:rPr>
        <w:drawing>
          <wp:inline distT="0" distB="0" distL="0" distR="0">
            <wp:extent cx="3095625" cy="40132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0" cstate="print"/>
                    <a:stretch>
                      <a:fillRect/>
                    </a:stretch>
                  </pic:blipFill>
                  <pic:spPr>
                    <a:xfrm>
                      <a:off x="0" y="0"/>
                      <a:ext cx="3095625" cy="401320"/>
                    </a:xfrm>
                    <a:prstGeom prst="rect">
                      <a:avLst/>
                    </a:prstGeom>
                  </pic:spPr>
                </pic:pic>
              </a:graphicData>
            </a:graphic>
          </wp:inline>
        </w:drawing>
      </w:r>
      <w:r>
        <w:rPr>
          <w:spacing w:val="-4"/>
          <w:w w:val="100"/>
        </w:rPr>
      </w:r>
      <w:r>
        <w:rPr>
          <w:rFonts w:ascii="Times New Roman" w:hAnsi="Times New Roman" w:cs="Times New Roman" w:eastAsia="Times New Roman" w:hint="default"/>
          <w:spacing w:val="-2"/>
        </w:rPr>
        <w:t>+</w:t>
      </w:r>
      <w:r>
        <w:rPr>
          <w:spacing w:val="-2"/>
        </w:rPr>
        <w:t>认股权证、股份期权、可转换</w:t>
      </w:r>
    </w:p>
    <w:p>
      <w:pPr>
        <w:pStyle w:val="Heading5"/>
        <w:spacing w:line="240" w:lineRule="auto" w:before="124"/>
        <w:ind w:right="0"/>
        <w:jc w:val="both"/>
      </w:pPr>
      <w:r>
        <w:rPr/>
        <w:t>债券等增加的普通股加权平均数）</w:t>
      </w:r>
    </w:p>
    <w:p>
      <w:pPr>
        <w:spacing w:line="240" w:lineRule="auto" w:before="3"/>
        <w:rPr>
          <w:rFonts w:ascii="宋体" w:hAnsi="宋体" w:cs="宋体" w:eastAsia="宋体" w:hint="default"/>
          <w:sz w:val="17"/>
          <w:szCs w:val="17"/>
        </w:rPr>
      </w:pPr>
    </w:p>
    <w:p>
      <w:pPr>
        <w:pStyle w:val="Heading5"/>
        <w:spacing w:line="240" w:lineRule="auto" w:before="0"/>
        <w:ind w:left="623" w:right="0"/>
        <w:jc w:val="left"/>
      </w:pPr>
      <w:r>
        <w:rPr/>
        <w:pict>
          <v:shape style="position:absolute;margin-left:101.187843pt;margin-top:0pt;width:22.7pt;height:15.85pt;mso-position-horizontal-relative:page;mso-position-vertical-relative:paragraph;z-index:-839464" type="#_x0000_t202" filled="false" stroked="false">
            <v:textbox inset="0,0,0,0">
              <w:txbxContent>
                <w:p>
                  <w:pPr>
                    <w:spacing w:before="42"/>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其中</w:t>
      </w:r>
      <w:r>
        <w:rPr>
          <w:spacing w:val="76"/>
        </w:rPr>
        <w:t> </w:t>
      </w:r>
      <w:r>
        <w:rPr>
          <w:spacing w:val="-31"/>
        </w:rPr>
        <w:drawing>
          <wp:inline distT="0" distB="0" distL="0" distR="0">
            <wp:extent cx="172085" cy="18097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1" cstate="print"/>
                    <a:stretch>
                      <a:fillRect/>
                    </a:stretch>
                  </pic:blipFill>
                  <pic:spPr>
                    <a:xfrm>
                      <a:off x="0" y="0"/>
                      <a:ext cx="172085" cy="180975"/>
                    </a:xfrm>
                    <a:prstGeom prst="rect">
                      <a:avLst/>
                    </a:prstGeom>
                  </pic:spPr>
                </pic:pic>
              </a:graphicData>
            </a:graphic>
          </wp:inline>
        </w:drawing>
      </w:r>
      <w:r>
        <w:rPr>
          <w:spacing w:val="-31"/>
        </w:rPr>
      </w:r>
      <w:r>
        <w:rPr/>
        <w:t>为归属于公司普通股股东的净利润或扣除非经常性损益后归属于公司普通股股东的净利润，</w:t>
      </w:r>
    </w:p>
    <w:p>
      <w:pPr>
        <w:pStyle w:val="Heading5"/>
        <w:spacing w:line="273" w:lineRule="auto" w:before="157"/>
        <w:ind w:right="1126"/>
        <w:jc w:val="both"/>
      </w:pPr>
      <w:r>
        <w:rPr>
          <w:spacing w:val="-2"/>
        </w:rPr>
        <w:t>并考虑稀释性潜在普通股对其影响，按《企业会计准则》及有关规定进行调整。公司在计算稀释每股收益</w:t>
      </w:r>
      <w:r>
        <w:rPr>
          <w:spacing w:val="-46"/>
        </w:rPr>
        <w:t> </w:t>
      </w:r>
      <w:r>
        <w:rPr>
          <w:spacing w:val="-46"/>
        </w:rPr>
      </w:r>
      <w:r>
        <w:rPr>
          <w:spacing w:val="-2"/>
        </w:rPr>
        <w:t>时，考虑所有稀释性潜在普通股对归属于公司普通股股东的净利润或扣除非经常性损益后归属于公司普通</w:t>
      </w:r>
      <w:r>
        <w:rPr>
          <w:spacing w:val="-43"/>
        </w:rPr>
        <w:t> </w:t>
      </w:r>
      <w:r>
        <w:rPr>
          <w:spacing w:val="-43"/>
        </w:rPr>
      </w:r>
      <w:r>
        <w:rPr>
          <w:spacing w:val="-2"/>
        </w:rPr>
        <w:t>股股东的净利润和加权平均股数的影响，按照其稀释程度从大到小的顺序计入稀释每股收益，直至稀释每</w:t>
      </w:r>
      <w:r>
        <w:rPr>
          <w:spacing w:val="-43"/>
        </w:rPr>
        <w:t> </w:t>
      </w:r>
      <w:r>
        <w:rPr>
          <w:spacing w:val="-43"/>
        </w:rPr>
      </w:r>
      <w:r>
        <w:rPr/>
        <w:t>股收益达到最小值。</w:t>
      </w:r>
    </w:p>
    <w:p>
      <w:pPr>
        <w:pStyle w:val="Heading5"/>
        <w:spacing w:line="240" w:lineRule="auto" w:before="48"/>
        <w:ind w:left="62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w:t>
      </w:r>
      <w:r>
        <w:rPr>
          <w:rFonts w:ascii="Times New Roman" w:hAnsi="Times New Roman" w:cs="Times New Roman" w:eastAsia="Times New Roman" w:hint="default"/>
        </w:rPr>
        <w:t>2011</w:t>
      </w:r>
      <w:r>
        <w:rPr/>
        <w:t>年第二次临时股东大会审议通过了《青岛市恒顺电气股份有限公司股权激</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56" w:lineRule="auto" w:before="36"/>
        <w:ind w:right="0"/>
        <w:jc w:val="left"/>
      </w:pPr>
      <w:r>
        <w:rPr>
          <w:spacing w:val="-2"/>
        </w:rPr>
        <w:t>励计划（正式稿）》。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日公司召开第一届董事会第十八次会议，会议决定授予公司</w:t>
      </w:r>
      <w:r>
        <w:rPr>
          <w:rFonts w:ascii="Times New Roman" w:hAnsi="Times New Roman" w:cs="Times New Roman" w:eastAsia="Times New Roman" w:hint="default"/>
          <w:spacing w:val="-2"/>
        </w:rPr>
        <w:t>25</w:t>
      </w:r>
      <w:r>
        <w:rPr>
          <w:spacing w:val="-2"/>
        </w:rPr>
        <w:t>位激励</w:t>
      </w:r>
      <w:r>
        <w:rPr>
          <w:spacing w:val="-15"/>
        </w:rPr>
        <w:t> </w:t>
      </w:r>
      <w:r>
        <w:rPr>
          <w:spacing w:val="-15"/>
        </w:rPr>
      </w:r>
      <w:r>
        <w:rPr/>
        <w:t>对象合计</w:t>
      </w:r>
      <w:r>
        <w:rPr>
          <w:rFonts w:ascii="Times New Roman" w:hAnsi="Times New Roman" w:cs="Times New Roman" w:eastAsia="Times New Roman" w:hint="default"/>
        </w:rPr>
        <w:t>410</w:t>
      </w:r>
      <w:r>
        <w:rPr/>
        <w:t>万份股票期权，授权日为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日，行权价格为</w:t>
      </w:r>
      <w:r>
        <w:rPr>
          <w:rFonts w:ascii="Times New Roman" w:hAnsi="Times New Roman" w:cs="Times New Roman" w:eastAsia="Times New Roman" w:hint="default"/>
        </w:rPr>
        <w:t>19.74</w:t>
      </w:r>
      <w:r>
        <w:rPr/>
        <w:t>元</w:t>
      </w:r>
      <w:r>
        <w:rPr>
          <w:rFonts w:ascii="Times New Roman" w:hAnsi="Times New Roman" w:cs="Times New Roman" w:eastAsia="Times New Roman" w:hint="default"/>
        </w:rPr>
        <w:t>/</w:t>
      </w:r>
      <w:r>
        <w:rPr/>
        <w:t>股。</w:t>
      </w:r>
    </w:p>
    <w:p>
      <w:pPr>
        <w:pStyle w:val="Heading5"/>
        <w:spacing w:line="256" w:lineRule="auto" w:before="46"/>
        <w:ind w:right="0" w:firstLine="470"/>
        <w:jc w:val="left"/>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2011</w:t>
      </w:r>
      <w:r>
        <w:rPr/>
        <w:t>年度股东大会决议，公司以截至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日公司股份总数</w:t>
      </w:r>
      <w:r>
        <w:rPr>
          <w:w w:val="100"/>
        </w:rPr>
        <w:t> </w:t>
      </w:r>
      <w:r>
        <w:rPr>
          <w:rFonts w:ascii="Times New Roman" w:hAnsi="Times New Roman" w:cs="Times New Roman" w:eastAsia="Times New Roman" w:hint="default"/>
          <w:spacing w:val="-2"/>
        </w:rPr>
        <w:t>7,000</w:t>
      </w:r>
      <w:r>
        <w:rPr>
          <w:spacing w:val="-2"/>
        </w:rPr>
        <w:t>万股为基数，以资本公积向股东每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股，转增股本后公司总股本变更为</w:t>
      </w:r>
      <w:r>
        <w:rPr>
          <w:rFonts w:ascii="Times New Roman" w:hAnsi="Times New Roman" w:cs="Times New Roman" w:eastAsia="Times New Roman" w:hint="default"/>
          <w:spacing w:val="-2"/>
        </w:rPr>
        <w:t>1.4</w:t>
      </w:r>
      <w:r>
        <w:rPr>
          <w:spacing w:val="-2"/>
        </w:rPr>
        <w:t>亿股。转增股本</w:t>
      </w:r>
      <w:r>
        <w:rPr>
          <w:spacing w:val="-12"/>
        </w:rPr>
        <w:t> </w:t>
      </w:r>
      <w:r>
        <w:rPr>
          <w:spacing w:val="-12"/>
        </w:rPr>
      </w:r>
      <w:r>
        <w:rPr>
          <w:spacing w:val="-2"/>
        </w:rPr>
        <w:t>后公司授予</w:t>
      </w:r>
      <w:r>
        <w:rPr>
          <w:rFonts w:ascii="Times New Roman" w:hAnsi="Times New Roman" w:cs="Times New Roman" w:eastAsia="Times New Roman" w:hint="default"/>
          <w:spacing w:val="-2"/>
        </w:rPr>
        <w:t>25</w:t>
      </w:r>
      <w:r>
        <w:rPr>
          <w:spacing w:val="-2"/>
        </w:rPr>
        <w:t>位激励对象股票期权合计变更为</w:t>
      </w:r>
      <w:r>
        <w:rPr>
          <w:rFonts w:ascii="Times New Roman" w:hAnsi="Times New Roman" w:cs="Times New Roman" w:eastAsia="Times New Roman" w:hint="default"/>
          <w:spacing w:val="-2"/>
        </w:rPr>
        <w:t>820</w:t>
      </w:r>
      <w:r>
        <w:rPr>
          <w:spacing w:val="-2"/>
        </w:rPr>
        <w:t>万份，行权价格变更为</w:t>
      </w:r>
      <w:r>
        <w:rPr>
          <w:rFonts w:ascii="Times New Roman" w:hAnsi="Times New Roman" w:cs="Times New Roman" w:eastAsia="Times New Roman" w:hint="default"/>
          <w:spacing w:val="-2"/>
        </w:rPr>
        <w:t>9.77</w:t>
      </w:r>
      <w:r>
        <w:rPr>
          <w:spacing w:val="-2"/>
        </w:rPr>
        <w:t>元</w:t>
      </w:r>
      <w:r>
        <w:rPr>
          <w:rFonts w:ascii="Times New Roman" w:hAnsi="Times New Roman" w:cs="Times New Roman" w:eastAsia="Times New Roman" w:hint="default"/>
          <w:spacing w:val="-2"/>
        </w:rPr>
        <w:t>/</w:t>
      </w:r>
      <w:r>
        <w:rPr>
          <w:spacing w:val="-2"/>
        </w:rPr>
        <w:t>股，当期普通股平均市场</w:t>
      </w:r>
      <w:r>
        <w:rPr>
          <w:spacing w:val="-14"/>
        </w:rPr>
        <w:t> </w:t>
      </w:r>
      <w:r>
        <w:rPr>
          <w:spacing w:val="-14"/>
        </w:rPr>
      </w:r>
      <w:r>
        <w:rPr/>
        <w:t>价格</w:t>
      </w:r>
      <w:r>
        <w:rPr>
          <w:rFonts w:ascii="Times New Roman" w:hAnsi="Times New Roman" w:cs="Times New Roman" w:eastAsia="Times New Roman" w:hint="default"/>
        </w:rPr>
        <w:t>10.46</w:t>
      </w:r>
      <w:r>
        <w:rPr/>
        <w:t>元</w:t>
      </w:r>
      <w:r>
        <w:rPr>
          <w:rFonts w:ascii="Times New Roman" w:hAnsi="Times New Roman" w:cs="Times New Roman" w:eastAsia="Times New Roman" w:hint="default"/>
        </w:rPr>
        <w:t>/</w:t>
      </w:r>
      <w:r>
        <w:rPr/>
        <w:t>股。</w:t>
      </w:r>
    </w:p>
    <w:p>
      <w:pPr>
        <w:pStyle w:val="Heading5"/>
        <w:spacing w:line="290" w:lineRule="auto" w:before="43"/>
        <w:ind w:left="623" w:right="2004"/>
        <w:jc w:val="left"/>
        <w:rPr>
          <w:rFonts w:ascii="Times New Roman" w:hAnsi="Times New Roman" w:cs="Times New Roman" w:eastAsia="Times New Roman" w:hint="default"/>
        </w:rPr>
      </w:pPr>
      <w:r>
        <w:rPr>
          <w:spacing w:val="-1"/>
        </w:rPr>
        <w:t>股份期权等增加的普通股加权平均数</w:t>
      </w:r>
      <w:r>
        <w:rPr>
          <w:rFonts w:ascii="Times New Roman" w:hAnsi="Times New Roman" w:cs="Times New Roman" w:eastAsia="Times New Roman" w:hint="default"/>
          <w:spacing w:val="-1"/>
        </w:rPr>
        <w:t>=820-820*9.77/10.46=54.09</w:t>
      </w:r>
      <w:r>
        <w:rPr>
          <w:spacing w:val="-1"/>
        </w:rPr>
        <w:t>（万股）</w:t>
      </w:r>
      <w:r>
        <w:rPr>
          <w:spacing w:val="-67"/>
        </w:rPr>
        <w:t> </w:t>
      </w:r>
      <w:r>
        <w:rPr>
          <w:spacing w:val="-67"/>
        </w:rPr>
      </w:r>
      <w:r>
        <w:rPr/>
        <w:t>稀释每股收益（Ⅰ）</w:t>
      </w:r>
      <w:r>
        <w:rPr>
          <w:rFonts w:ascii="Times New Roman" w:hAnsi="Times New Roman" w:cs="Times New Roman" w:eastAsia="Times New Roman" w:hint="default"/>
        </w:rPr>
        <w:t>= 55,341,821.14</w:t>
      </w:r>
      <w:r>
        <w:rPr>
          <w:rFonts w:ascii="Times New Roman" w:hAnsi="Times New Roman" w:cs="Times New Roman" w:eastAsia="Times New Roman" w:hint="default"/>
          <w:spacing w:val="-5"/>
        </w:rPr>
        <w:t> </w:t>
      </w:r>
      <w:r>
        <w:rPr>
          <w:rFonts w:ascii="Times New Roman" w:hAnsi="Times New Roman" w:cs="Times New Roman" w:eastAsia="Times New Roman" w:hint="default"/>
        </w:rPr>
        <w:t>/(140,000,000+540,900)</w:t>
      </w:r>
    </w:p>
    <w:p>
      <w:pPr>
        <w:pStyle w:val="Heading5"/>
        <w:spacing w:line="240" w:lineRule="auto" w:before="60"/>
        <w:ind w:left="2135" w:right="0"/>
        <w:jc w:val="left"/>
        <w:rPr>
          <w:rFonts w:ascii="Times New Roman" w:hAnsi="Times New Roman" w:cs="Times New Roman" w:eastAsia="Times New Roman" w:hint="default"/>
        </w:rPr>
      </w:pPr>
      <w:r>
        <w:rPr>
          <w:rFonts w:ascii="Times New Roman"/>
        </w:rPr>
        <w:t>=0.39</w:t>
      </w:r>
    </w:p>
    <w:p>
      <w:pPr>
        <w:pStyle w:val="Heading5"/>
        <w:spacing w:line="240" w:lineRule="auto" w:before="62"/>
        <w:ind w:left="623" w:right="0"/>
        <w:jc w:val="left"/>
        <w:rPr>
          <w:rFonts w:ascii="Times New Roman" w:hAnsi="Times New Roman" w:cs="Times New Roman" w:eastAsia="Times New Roman" w:hint="default"/>
        </w:rPr>
      </w:pPr>
      <w:r>
        <w:rPr/>
        <w:t>稀释每股收益（Ⅱ）</w:t>
      </w:r>
      <w:r>
        <w:rPr>
          <w:rFonts w:ascii="Times New Roman" w:hAnsi="Times New Roman" w:cs="Times New Roman" w:eastAsia="Times New Roman" w:hint="default"/>
        </w:rPr>
        <w:t>= 54,010,375.25</w:t>
      </w:r>
      <w:r>
        <w:rPr>
          <w:rFonts w:ascii="Times New Roman" w:hAnsi="Times New Roman" w:cs="Times New Roman" w:eastAsia="Times New Roman" w:hint="default"/>
          <w:spacing w:val="-6"/>
        </w:rPr>
        <w:t> </w:t>
      </w:r>
      <w:r>
        <w:rPr>
          <w:rFonts w:ascii="Times New Roman" w:hAnsi="Times New Roman" w:cs="Times New Roman" w:eastAsia="Times New Roman" w:hint="default"/>
        </w:rPr>
        <w:t>/(140,000,000+540,900)</w:t>
      </w:r>
    </w:p>
    <w:p>
      <w:pPr>
        <w:pStyle w:val="Heading5"/>
        <w:spacing w:line="240" w:lineRule="auto" w:before="109"/>
        <w:ind w:left="2135" w:right="0"/>
        <w:jc w:val="left"/>
        <w:rPr>
          <w:rFonts w:ascii="Times New Roman" w:hAnsi="Times New Roman" w:cs="Times New Roman" w:eastAsia="Times New Roman" w:hint="default"/>
        </w:rPr>
      </w:pPr>
      <w:r>
        <w:rPr>
          <w:rFonts w:ascii="Times New Roman"/>
        </w:rPr>
        <w:t>=0.38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41</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-134,411.50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-134,411.50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966,146.71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966,146.71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831,735.21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其他综合收益说明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银行利息存款收入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5,128,444.02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收到政府奖励、补助款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255,280.00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其他应收款减少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2,594,675.33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77,655.36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8,056,054.71</w:t>
            </w:r>
          </w:p>
        </w:tc>
      </w:tr>
    </w:tbl>
    <w:p>
      <w:pPr>
        <w:pStyle w:val="BodyText"/>
        <w:spacing w:line="240" w:lineRule="auto" w:before="49"/>
        <w:ind w:right="0"/>
        <w:jc w:val="left"/>
      </w:pPr>
      <w:r>
        <w:rPr/>
        <w:t>收到的其他与经营活动有关的现金说明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1,540,529.33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88,362.83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2,896,261.16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1,520,367.27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科研开发费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3,024,453.20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2,989,959.40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1,249,619.32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608,812.00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2,140,518.30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877,352.48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124,194.70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2,521,466.37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1,397,275.01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20,979,171.37</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14,569,695.76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14,569,695.76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18,872,206.72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18,872,206.72</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55,341,821.14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49,890,964.92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634,386.52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2,997,626.19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33,072,697.68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12,042,759.67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179,781.84</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132,028.00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49,032.50</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2,710.43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-10,192.03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12,425,652.15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6,776,773.98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-5,773,992.18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-444,589.33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11,259,112.88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-7,826,908.93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1,501,096.15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-30,421,160.54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-47,847,639.33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32,656,826.23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-3,271,869.37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8,232,058.24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-1,057,941.76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44,601,361.00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20,805,803.43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396,343,462.83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402,750,501.61</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402,750,501.61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60,651,385.32</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-6,407,038.70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342,099,116.29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396,343,462.83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402,750,501.61</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6,590.61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4,813.05</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396,336,872.22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402,745,688.56</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396,343,462.83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402,750,501.61</w:t>
            </w:r>
          </w:p>
        </w:tc>
      </w:tr>
    </w:tbl>
    <w:p>
      <w:pPr>
        <w:pStyle w:val="BodyText"/>
        <w:spacing w:line="357" w:lineRule="auto" w:before="49"/>
        <w:ind w:right="459"/>
        <w:jc w:val="left"/>
      </w:pPr>
      <w:r>
        <w:rPr/>
        <w:t>现金流量表补充资料的说明 注：</w:t>
      </w:r>
      <w:r>
        <w:rPr>
          <w:rFonts w:ascii="Times New Roman" w:hAnsi="Times New Roman" w:cs="Times New Roman" w:eastAsia="Times New Roman" w:hint="default"/>
        </w:rPr>
        <w:t>2012</w:t>
      </w:r>
      <w:r>
        <w:rPr/>
        <w:t>年其他</w:t>
      </w:r>
      <w:r>
        <w:rPr>
          <w:rFonts w:ascii="Times New Roman" w:hAnsi="Times New Roman" w:cs="Times New Roman" w:eastAsia="Times New Roman" w:hint="default"/>
        </w:rPr>
        <w:t>8,232,058.24</w:t>
      </w:r>
      <w:r>
        <w:rPr/>
        <w:t>元，其中股权激励费用</w:t>
      </w:r>
      <w:r>
        <w:rPr>
          <w:rFonts w:ascii="Times New Roman" w:hAnsi="Times New Roman" w:cs="Times New Roman" w:eastAsia="Times New Roman" w:hint="default"/>
        </w:rPr>
        <w:t>929</w:t>
      </w:r>
      <w:r>
        <w:rPr/>
        <w:t>万元，搬迁补偿产生的递延收益本期转回计入营业外收入的金额</w:t>
      </w:r>
    </w:p>
    <w:p>
      <w:pPr>
        <w:pStyle w:val="BodyText"/>
        <w:spacing w:line="214" w:lineRule="exact"/>
        <w:ind w:right="0"/>
        <w:jc w:val="left"/>
      </w:pPr>
      <w:r>
        <w:rPr>
          <w:rFonts w:ascii="Times New Roman" w:hAnsi="Times New Roman" w:cs="Times New Roman" w:eastAsia="Times New Roman" w:hint="default"/>
        </w:rPr>
        <w:t>-1,057,941.76</w:t>
      </w:r>
      <w:r>
        <w:rPr/>
        <w:t>元；</w:t>
      </w:r>
      <w:r>
        <w:rPr>
          <w:rFonts w:ascii="Times New Roman" w:hAnsi="Times New Roman" w:cs="Times New Roman" w:eastAsia="Times New Roman" w:hint="default"/>
        </w:rPr>
        <w:t>2011</w:t>
      </w:r>
      <w:r>
        <w:rPr/>
        <w:t>年其他</w:t>
      </w:r>
      <w:r>
        <w:rPr>
          <w:rFonts w:ascii="Times New Roman" w:hAnsi="Times New Roman" w:cs="Times New Roman" w:eastAsia="Times New Roman" w:hint="default"/>
        </w:rPr>
        <w:t>-1,057,941.76</w:t>
      </w:r>
      <w:r>
        <w:rPr/>
        <w:t>元是搬迁补偿产生的递延收益本期转回计入营业外收入的金额。</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44</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说明对上年年末余额进行调整的“其他”项目名称及调整金额、由同一控制下企业合并产生的追溯调整等事项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51"/>
      </w:tblGrid>
      <w:tr>
        <w:trPr>
          <w:trHeight w:val="713"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9" w:right="67"/>
              <w:jc w:val="left"/>
              <w:rPr>
                <w:rFonts w:ascii="宋体" w:hAnsi="宋体" w:cs="宋体" w:eastAsia="宋体" w:hint="default"/>
                <w:sz w:val="18"/>
                <w:szCs w:val="18"/>
              </w:rPr>
            </w:pPr>
            <w:r>
              <w:rPr>
                <w:rFonts w:ascii="宋体" w:hAnsi="宋体" w:cs="宋体" w:eastAsia="宋体" w:hint="default"/>
                <w:sz w:val="18"/>
                <w:szCs w:val="18"/>
              </w:rPr>
              <w:t>母公司对 本企业的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9" w:right="70"/>
              <w:jc w:val="left"/>
              <w:rPr>
                <w:rFonts w:ascii="宋体" w:hAnsi="宋体" w:cs="宋体" w:eastAsia="宋体" w:hint="default"/>
                <w:sz w:val="18"/>
                <w:szCs w:val="18"/>
              </w:rPr>
            </w:pPr>
            <w:r>
              <w:rPr>
                <w:rFonts w:ascii="宋体" w:hAnsi="宋体" w:cs="宋体" w:eastAsia="宋体" w:hint="default"/>
                <w:sz w:val="18"/>
                <w:szCs w:val="18"/>
              </w:rPr>
              <w:t>母公司对 本企业的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4" w:right="54"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after="0" w:line="314" w:lineRule="auto"/>
        <w:jc w:val="left"/>
        <w:rPr>
          <w:rFonts w:ascii="宋体" w:hAnsi="宋体" w:cs="宋体" w:eastAsia="宋体" w:hint="default"/>
          <w:sz w:val="18"/>
          <w:szCs w:val="18"/>
        </w:rPr>
        <w:sectPr>
          <w:footerReference w:type="default" r:id="rId22"/>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r>
        <w:rPr/>
        <w:pict>
          <v:shape style="position:absolute;margin-left:62.643002pt;margin-top:655.419983pt;width:89.55pt;height:46.8pt;mso-position-horizontal-relative:page;mso-position-vertical-relative:page;z-index:-839320" type="#_x0000_t202" filled="false" stroked="false">
            <v:textbox inset="0,0,0,0">
              <w:txbxContent>
                <w:p>
                  <w:pPr>
                    <w:pStyle w:val="BodyText"/>
                    <w:spacing w:line="205" w:lineRule="exact"/>
                    <w:ind w:left="0" w:right="0"/>
                    <w:jc w:val="left"/>
                  </w:pPr>
                  <w:r>
                    <w:rPr/>
                    <w:t>（新加坡）</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675"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06" w:right="70"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青岛清源 环保实业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境内一般 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33.71%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33.71%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77681755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青岛恒顺节 能科技有限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青岛市城阳 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能源项目投 资管理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人民币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58366406-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西安恒顺电 气科技有限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西安市高新 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技术服务与 电力设备、 材料的销售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人民币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59633255-8</w:t>
            </w:r>
          </w:p>
        </w:tc>
      </w:tr>
      <w:tr>
        <w:trPr>
          <w:trHeight w:val="320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恒顺新加坡 国际控股有 限责任公司</w:t>
            </w:r>
          </w:p>
          <w:p>
            <w:pPr>
              <w:pStyle w:val="TableParagraph"/>
              <w:spacing w:line="357" w:lineRule="auto" w:before="19"/>
              <w:ind w:left="24"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H&amp;SHU</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INTERNAT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HOLDING</w:t>
            </w:r>
          </w:p>
          <w:p>
            <w:pPr>
              <w:pStyle w:val="TableParagraph"/>
              <w:spacing w:line="312" w:lineRule="auto" w:before="7"/>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PTE.LTD</w:t>
            </w:r>
            <w:r>
              <w:rPr>
                <w:rFonts w:ascii="宋体" w:hAnsi="宋体" w:cs="宋体" w:eastAsia="宋体" w:hint="default"/>
                <w:spacing w:val="-3"/>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4" w:right="47"/>
              <w:jc w:val="left"/>
              <w:rPr>
                <w:rFonts w:ascii="Times New Roman" w:hAnsi="Times New Roman" w:cs="Times New Roman" w:eastAsia="Times New Roman" w:hint="default"/>
                <w:sz w:val="18"/>
                <w:szCs w:val="18"/>
              </w:rPr>
            </w:pPr>
            <w:r>
              <w:rPr>
                <w:rFonts w:ascii="Times New Roman"/>
                <w:sz w:val="18"/>
              </w:rPr>
              <w:t>Blk</w:t>
            </w:r>
            <w:r>
              <w:rPr>
                <w:rFonts w:ascii="Times New Roman"/>
                <w:spacing w:val="-1"/>
                <w:sz w:val="18"/>
              </w:rPr>
              <w:t> </w:t>
            </w:r>
            <w:r>
              <w:rPr>
                <w:rFonts w:ascii="Times New Roman"/>
                <w:sz w:val="18"/>
              </w:rPr>
              <w:t>809</w:t>
            </w:r>
            <w:r>
              <w:rPr>
                <w:rFonts w:ascii="Times New Roman"/>
                <w:sz w:val="18"/>
              </w:rPr>
              <w:t> French</w:t>
            </w:r>
            <w:r>
              <w:rPr>
                <w:rFonts w:ascii="Times New Roman"/>
                <w:w w:val="99"/>
                <w:sz w:val="18"/>
              </w:rPr>
              <w:t> </w:t>
            </w:r>
            <w:r>
              <w:rPr>
                <w:rFonts w:ascii="Times New Roman"/>
                <w:sz w:val="18"/>
              </w:rPr>
              <w:t>Road,#06-1</w:t>
            </w:r>
            <w:r>
              <w:rPr>
                <w:rFonts w:ascii="Times New Roman"/>
                <w:w w:val="99"/>
                <w:sz w:val="18"/>
              </w:rPr>
              <w:t> </w:t>
            </w:r>
            <w:r>
              <w:rPr>
                <w:rFonts w:ascii="Times New Roman"/>
                <w:sz w:val="18"/>
              </w:rPr>
              <w:t>56,Kitchene</w:t>
            </w:r>
            <w:r>
              <w:rPr>
                <w:rFonts w:ascii="Times New Roman"/>
                <w:w w:val="99"/>
                <w:sz w:val="18"/>
              </w:rPr>
              <w:t> </w:t>
            </w:r>
            <w:r>
              <w:rPr>
                <w:rFonts w:ascii="Times New Roman"/>
                <w:sz w:val="18"/>
              </w:rPr>
              <w:t>r</w:t>
            </w:r>
            <w:r>
              <w:rPr>
                <w:rFonts w:ascii="Times New Roman"/>
                <w:w w:val="99"/>
                <w:sz w:val="18"/>
              </w:rPr>
              <w:t> </w:t>
            </w:r>
            <w:r>
              <w:rPr>
                <w:rFonts w:ascii="Times New Roman"/>
                <w:sz w:val="18"/>
              </w:rPr>
              <w:t>Complex,Si</w:t>
            </w:r>
            <w:r>
              <w:rPr>
                <w:rFonts w:ascii="Times New Roman"/>
                <w:sz w:val="18"/>
              </w:rPr>
              <w:t> ngapore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青岛市恒川 滤波科技有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青岛市城阳 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万元人 民币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77026396-6</w:t>
            </w:r>
          </w:p>
        </w:tc>
      </w:tr>
      <w:tr>
        <w:trPr>
          <w:trHeight w:val="22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9"/>
              <w:jc w:val="left"/>
              <w:rPr>
                <w:rFonts w:ascii="Times New Roman" w:hAnsi="Times New Roman" w:cs="Times New Roman" w:eastAsia="Times New Roman" w:hint="default"/>
                <w:sz w:val="18"/>
                <w:szCs w:val="18"/>
              </w:rPr>
            </w:pPr>
            <w:r>
              <w:rPr>
                <w:rFonts w:ascii="Times New Roman"/>
                <w:sz w:val="18"/>
              </w:rPr>
              <w:t>H&amp;Shun Coal Holding</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Pte.Ltd.  </w:t>
            </w:r>
            <w:r>
              <w:rPr>
                <w:rFonts w:ascii="宋体" w:hAnsi="宋体" w:cs="宋体" w:eastAsia="宋体" w:hint="default"/>
                <w:sz w:val="18"/>
                <w:szCs w:val="18"/>
              </w:rPr>
              <w:t>恒</w:t>
            </w:r>
          </w:p>
          <w:p>
            <w:pPr>
              <w:pStyle w:val="TableParagraph"/>
              <w:spacing w:line="316"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顺 煤炭控股有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936" w:lineRule="exact"/>
              <w:ind w:left="2"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7.3pt;height:46.8pt;mso-position-horizontal-relative:char;mso-position-vertical-relative:line" coordorigin="0,0" coordsize="946,936">
                  <v:group style="position:absolute;left:0;top:0;width:946;height:936" coordorigin="0,0" coordsize="946,936">
                    <v:shape style="position:absolute;left:0;top:0;width:946;height:936" coordorigin="0,0" coordsize="946,936" path="m0,936l946,936,946,0,0,0,0,936xe" filled="true" fillcolor="#ffffff" stroked="false">
                      <v:path arrowok="t"/>
                      <v:fill type="solid"/>
                    </v:shape>
                  </v:group>
                </v:group>
              </w:pict>
            </w:r>
            <w:r>
              <w:rPr>
                <w:rFonts w:ascii="宋体" w:hAnsi="宋体" w:cs="宋体" w:eastAsia="宋体" w:hint="default"/>
                <w:position w:val="-18"/>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
              <w:jc w:val="left"/>
              <w:rPr>
                <w:rFonts w:ascii="Times New Roman" w:hAnsi="Times New Roman" w:cs="Times New Roman" w:eastAsia="Times New Roman" w:hint="default"/>
                <w:sz w:val="18"/>
                <w:szCs w:val="18"/>
              </w:rPr>
            </w:pPr>
            <w:r>
              <w:rPr>
                <w:rFonts w:ascii="Times New Roman"/>
                <w:sz w:val="18"/>
              </w:rPr>
              <w:t>Blk</w:t>
            </w:r>
            <w:r>
              <w:rPr>
                <w:rFonts w:ascii="Times New Roman"/>
                <w:spacing w:val="-1"/>
                <w:sz w:val="18"/>
              </w:rPr>
              <w:t> </w:t>
            </w:r>
            <w:r>
              <w:rPr>
                <w:rFonts w:ascii="Times New Roman"/>
                <w:sz w:val="18"/>
              </w:rPr>
              <w:t>809</w:t>
            </w:r>
            <w:r>
              <w:rPr>
                <w:rFonts w:ascii="Times New Roman"/>
                <w:sz w:val="18"/>
              </w:rPr>
              <w:t> French</w:t>
            </w:r>
            <w:r>
              <w:rPr>
                <w:rFonts w:ascii="Times New Roman"/>
                <w:w w:val="99"/>
                <w:sz w:val="18"/>
              </w:rPr>
              <w:t> </w:t>
            </w:r>
            <w:r>
              <w:rPr>
                <w:rFonts w:ascii="Times New Roman"/>
                <w:sz w:val="18"/>
              </w:rPr>
              <w:t>Road,#06-1</w:t>
            </w:r>
            <w:r>
              <w:rPr>
                <w:rFonts w:ascii="Times New Roman"/>
                <w:w w:val="99"/>
                <w:sz w:val="18"/>
              </w:rPr>
              <w:t> </w:t>
            </w:r>
            <w:r>
              <w:rPr>
                <w:rFonts w:ascii="Times New Roman"/>
                <w:sz w:val="18"/>
              </w:rPr>
              <w:t>56,Kitchene</w:t>
            </w:r>
            <w:r>
              <w:rPr>
                <w:rFonts w:ascii="Times New Roman"/>
                <w:w w:val="99"/>
                <w:sz w:val="18"/>
              </w:rPr>
              <w:t> </w:t>
            </w:r>
            <w:r>
              <w:rPr>
                <w:rFonts w:ascii="Times New Roman"/>
                <w:sz w:val="18"/>
              </w:rPr>
              <w:t>r</w:t>
            </w:r>
            <w:r>
              <w:rPr>
                <w:rFonts w:ascii="Times New Roman"/>
                <w:w w:val="99"/>
                <w:sz w:val="18"/>
              </w:rPr>
              <w:t> </w:t>
            </w:r>
            <w:r>
              <w:rPr>
                <w:rFonts w:ascii="Times New Roman"/>
                <w:sz w:val="18"/>
              </w:rPr>
              <w:t>Complex,Si</w:t>
            </w:r>
            <w:r>
              <w:rPr>
                <w:rFonts w:ascii="Times New Roman"/>
                <w:sz w:val="18"/>
              </w:rPr>
              <w:t> ngapore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Power Holding Pte.Ltd.</w:t>
            </w:r>
            <w:r>
              <w:rPr>
                <w:rFonts w:ascii="宋体" w:hAnsi="宋体" w:cs="宋体" w:eastAsia="宋体" w:hint="default"/>
                <w:sz w:val="18"/>
                <w:szCs w:val="18"/>
              </w:rPr>
              <w:t>恒</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
              <w:jc w:val="left"/>
              <w:rPr>
                <w:rFonts w:ascii="Times New Roman" w:hAnsi="Times New Roman" w:cs="Times New Roman" w:eastAsia="Times New Roman" w:hint="default"/>
                <w:sz w:val="18"/>
                <w:szCs w:val="18"/>
              </w:rPr>
            </w:pPr>
            <w:r>
              <w:rPr>
                <w:rFonts w:ascii="Times New Roman"/>
                <w:sz w:val="18"/>
              </w:rPr>
              <w:t>Blk</w:t>
            </w:r>
            <w:r>
              <w:rPr>
                <w:rFonts w:ascii="Times New Roman"/>
                <w:spacing w:val="-1"/>
                <w:sz w:val="18"/>
              </w:rPr>
              <w:t> </w:t>
            </w:r>
            <w:r>
              <w:rPr>
                <w:rFonts w:ascii="Times New Roman"/>
                <w:sz w:val="18"/>
              </w:rPr>
              <w:t>809</w:t>
            </w:r>
            <w:r>
              <w:rPr>
                <w:rFonts w:ascii="Times New Roman"/>
                <w:sz w:val="18"/>
              </w:rPr>
              <w:t> French</w:t>
            </w:r>
            <w:r>
              <w:rPr>
                <w:rFonts w:ascii="Times New Roman"/>
                <w:w w:val="99"/>
                <w:sz w:val="18"/>
              </w:rPr>
              <w:t> </w:t>
            </w:r>
            <w:r>
              <w:rPr>
                <w:rFonts w:ascii="Times New Roman"/>
                <w:sz w:val="18"/>
              </w:rPr>
              <w:t>Road,#06-1</w:t>
            </w:r>
            <w:r>
              <w:rPr>
                <w:rFonts w:ascii="Times New Roman"/>
                <w:w w:val="99"/>
                <w:sz w:val="18"/>
              </w:rPr>
              <w:t> </w:t>
            </w:r>
            <w:r>
              <w:rPr>
                <w:rFonts w:ascii="Times New Roman"/>
                <w:sz w:val="18"/>
              </w:rPr>
              <w:t>56,Kitchene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62.643002pt;margin-top:72.475983pt;width:89.55pt;height:48.9pt;mso-position-horizontal-relative:page;mso-position-vertical-relative:page;z-index:-839224" type="#_x0000_t202" filled="false" stroked="false">
            <v:textbox inset="0,0,0,0">
              <w:txbxContent>
                <w:p>
                  <w:pPr>
                    <w:pStyle w:val="BodyText"/>
                    <w:spacing w:line="240" w:lineRule="auto" w:before="8"/>
                    <w:ind w:left="0" w:right="0"/>
                    <w:jc w:val="left"/>
                  </w:pPr>
                  <w:r>
                    <w:rPr/>
                    <w:t>（新加坡）</w:t>
                  </w:r>
                </w:p>
              </w:txbxContent>
            </v:textbox>
            <w10:wrap type="none"/>
          </v:shape>
        </w:pict>
      </w:r>
      <w:r>
        <w:rPr/>
        <w:pict>
          <v:shape style="position:absolute;margin-left:62.643002pt;margin-top:188.179977pt;width:89.55pt;height:46.8pt;mso-position-horizontal-relative:page;mso-position-vertical-relative:page;z-index:-839200" type="#_x0000_t202" filled="false" stroked="false">
            <v:textbox inset="0,0,0,0">
              <w:txbxContent>
                <w:p>
                  <w:pPr>
                    <w:pStyle w:val="BodyText"/>
                    <w:spacing w:line="205" w:lineRule="exact"/>
                    <w:ind w:left="0" w:right="0"/>
                    <w:jc w:val="left"/>
                  </w:pPr>
                  <w:r>
                    <w:rPr/>
                    <w:t>（新加坡）</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320"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顺</w:t>
            </w:r>
          </w:p>
        </w:tc>
        <w:tc>
          <w:tcPr>
            <w:tcW w:w="958" w:type="dxa"/>
            <w:vMerge w:val="restart"/>
            <w:tcBorders>
              <w:top w:val="single" w:sz="4" w:space="0" w:color="000000"/>
              <w:left w:val="single" w:sz="4" w:space="0" w:color="000000"/>
              <w:right w:val="single" w:sz="4" w:space="0" w:color="000000"/>
            </w:tcBorders>
          </w:tcPr>
          <w:p>
            <w:pPr>
              <w:pStyle w:val="TableParagraph"/>
              <w:spacing w:line="977" w:lineRule="exact"/>
              <w:ind w:left="2"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47.3pt;height:48.9pt;mso-position-horizontal-relative:char;mso-position-vertical-relative:line" coordorigin="0,0" coordsize="946,978">
                  <v:group style="position:absolute;left:0;top:0;width:946;height:978" coordorigin="0,0" coordsize="946,978">
                    <v:shape style="position:absolute;left:0;top:0;width:946;height:978" coordorigin="0,0" coordsize="946,978" path="m0,977l946,977,946,0,0,0,0,977xe" filled="true" fillcolor="#ffffff" stroked="false">
                      <v:path arrowok="t"/>
                      <v:fill type="solid"/>
                    </v:shape>
                  </v:group>
                </v:group>
              </w:pict>
            </w:r>
            <w:r>
              <w:rPr>
                <w:rFonts w:ascii="宋体" w:hAnsi="宋体" w:cs="宋体" w:eastAsia="宋体" w:hint="default"/>
                <w:position w:val="-19"/>
                <w:sz w:val="20"/>
                <w:szCs w:val="20"/>
              </w:rPr>
            </w:r>
          </w:p>
        </w:tc>
        <w:tc>
          <w:tcPr>
            <w:tcW w:w="956"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w w:val="99"/>
                <w:sz w:val="18"/>
              </w:rPr>
              <w:t>r</w:t>
            </w:r>
            <w:r>
              <w:rPr>
                <w:rFonts w:ascii="Times New Roman"/>
                <w:sz w:val="18"/>
              </w:rPr>
            </w: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能源控股有</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Complex,Si</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ngapore</w:t>
            </w: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r>
        <w:trPr>
          <w:trHeight w:val="365"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H&amp;Shun</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936" w:lineRule="exact"/>
              <w:ind w:left="2"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7.3pt;height:46.8pt;mso-position-horizontal-relative:char;mso-position-vertical-relative:line" coordorigin="0,0" coordsize="946,936">
                  <v:group style="position:absolute;left:0;top:0;width:946;height:936" coordorigin="0,0" coordsize="946,936">
                    <v:shape style="position:absolute;left:0;top:0;width:946;height:936" coordorigin="0,0" coordsize="946,936" path="m0,936l946,936,946,0,0,0,0,936xe" filled="true" fillcolor="#ffffff" stroked="false">
                      <v:path arrowok="t"/>
                      <v:fill type="solid"/>
                    </v:shape>
                  </v:group>
                </v:group>
              </w:pict>
            </w:r>
            <w:r>
              <w:rPr>
                <w:rFonts w:ascii="宋体" w:hAnsi="宋体" w:cs="宋体" w:eastAsia="宋体" w:hint="default"/>
                <w:position w:val="-18"/>
                <w:sz w:val="20"/>
                <w:szCs w:val="20"/>
              </w:rPr>
            </w:r>
          </w:p>
        </w:tc>
        <w:tc>
          <w:tcPr>
            <w:tcW w:w="956"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Blk</w:t>
            </w:r>
            <w:r>
              <w:rPr>
                <w:rFonts w:ascii="Times New Roman"/>
                <w:spacing w:val="1"/>
                <w:sz w:val="18"/>
              </w:rPr>
              <w:t> </w:t>
            </w:r>
            <w:r>
              <w:rPr>
                <w:rFonts w:ascii="Times New Roman"/>
                <w:sz w:val="18"/>
              </w:rPr>
              <w:t>809</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Coal</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French</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r>
      <w:tr>
        <w:trPr>
          <w:trHeight w:val="30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Marketing</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Road,#06-1</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Pte.Ltd.</w:t>
            </w:r>
            <w:r>
              <w:rPr>
                <w:rFonts w:ascii="宋体" w:hAnsi="宋体" w:cs="宋体" w:eastAsia="宋体" w:hint="default"/>
                <w:sz w:val="18"/>
                <w:szCs w:val="18"/>
              </w:rPr>
              <w:t>恒</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56,Kitchene</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元新币</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100%</w:t>
            </w:r>
          </w:p>
        </w:tc>
        <w:tc>
          <w:tcPr>
            <w:tcW w:w="958" w:type="dxa"/>
            <w:vMerge/>
            <w:tcBorders>
              <w:left w:val="single" w:sz="4" w:space="0" w:color="000000"/>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顺</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w w:val="99"/>
                <w:sz w:val="18"/>
              </w:rPr>
              <w:t>r</w:t>
            </w:r>
            <w:r>
              <w:rPr>
                <w:rFonts w:ascii="Times New Roman"/>
                <w:sz w:val="18"/>
              </w:rPr>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煤炭贸易有</w:t>
            </w: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Complex,Si</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r>
      <w:tr>
        <w:trPr>
          <w:trHeight w:val="353"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ngapore</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r>
        <w:trPr>
          <w:trHeight w:val="227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An</w:t>
            </w:r>
            <w:r>
              <w:rPr>
                <w:rFonts w:ascii="Times New Roman"/>
                <w:spacing w:val="-1"/>
                <w:sz w:val="18"/>
              </w:rPr>
              <w:t> </w:t>
            </w:r>
            <w:r>
              <w:rPr>
                <w:rFonts w:ascii="Times New Roman"/>
                <w:sz w:val="18"/>
              </w:rPr>
              <w:t>Shun</w:t>
            </w:r>
          </w:p>
          <w:p>
            <w:pPr>
              <w:pStyle w:val="TableParagraph"/>
              <w:spacing w:line="312" w:lineRule="auto" w:before="105"/>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Coal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Mines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Pte.Ltd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 顺 煤矿有限公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1340" w:lineRule="exact"/>
              <w:ind w:left="2" w:right="-39"/>
              <w:jc w:val="left"/>
              <w:rPr>
                <w:rFonts w:ascii="宋体" w:hAnsi="宋体" w:cs="宋体" w:eastAsia="宋体" w:hint="default"/>
                <w:sz w:val="20"/>
                <w:szCs w:val="20"/>
              </w:rPr>
            </w:pPr>
            <w:r>
              <w:rPr>
                <w:rFonts w:ascii="宋体" w:hAnsi="宋体" w:cs="宋体" w:eastAsia="宋体" w:hint="default"/>
                <w:position w:val="-26"/>
                <w:sz w:val="20"/>
                <w:szCs w:val="20"/>
              </w:rPr>
              <w:pict>
                <v:group style="width:47.3pt;height:67.05pt;mso-position-horizontal-relative:char;mso-position-vertical-relative:line" coordorigin="0,0" coordsize="946,1341">
                  <v:group style="position:absolute;left:11;top:11;width:2;height:394" coordorigin="11,11" coordsize="2,394">
                    <v:shape style="position:absolute;left:11;top:11;width:2;height:394" coordorigin="11,11" coordsize="0,394" path="m11,11l11,404e" filled="false" stroked="true" strokeweight="1.08pt" strokecolor="#ffffff">
                      <v:path arrowok="t"/>
                    </v:shape>
                  </v:group>
                  <v:group style="position:absolute;left:0;top:404;width:946;height:936" coordorigin="0,404" coordsize="946,936">
                    <v:shape style="position:absolute;left:0;top:404;width:946;height:936" coordorigin="0,404" coordsize="946,936" path="m0,1340l946,1340,946,404,0,404,0,1340xe" filled="true" fillcolor="#ffffff" stroked="false">
                      <v:path arrowok="t"/>
                      <v:fill type="solid"/>
                    </v:shape>
                  </v:group>
                  <v:group style="position:absolute;left:22;top:11;width:900;height:394" coordorigin="22,11" coordsize="900,394">
                    <v:shape style="position:absolute;left:22;top:11;width:900;height:394" coordorigin="22,11" coordsize="900,394" path="m22,404l922,404,922,11,22,11,22,404xe" filled="true" fillcolor="#ffffff" stroked="false">
                      <v:path arrowok="t"/>
                      <v:fill type="solid"/>
                    </v:shape>
                  </v:group>
                </v:group>
              </w:pict>
            </w:r>
            <w:r>
              <w:rPr>
                <w:rFonts w:ascii="宋体" w:hAnsi="宋体" w:cs="宋体" w:eastAsia="宋体" w:hint="default"/>
                <w:position w:val="-26"/>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
              <w:jc w:val="left"/>
              <w:rPr>
                <w:rFonts w:ascii="Times New Roman" w:hAnsi="Times New Roman" w:cs="Times New Roman" w:eastAsia="Times New Roman" w:hint="default"/>
                <w:sz w:val="18"/>
                <w:szCs w:val="18"/>
              </w:rPr>
            </w:pPr>
            <w:r>
              <w:rPr>
                <w:rFonts w:ascii="Times New Roman"/>
                <w:sz w:val="18"/>
              </w:rPr>
              <w:t>Blk</w:t>
            </w:r>
            <w:r>
              <w:rPr>
                <w:rFonts w:ascii="Times New Roman"/>
                <w:spacing w:val="-1"/>
                <w:sz w:val="18"/>
              </w:rPr>
              <w:t> </w:t>
            </w:r>
            <w:r>
              <w:rPr>
                <w:rFonts w:ascii="Times New Roman"/>
                <w:sz w:val="18"/>
              </w:rPr>
              <w:t>809</w:t>
            </w:r>
            <w:r>
              <w:rPr>
                <w:rFonts w:ascii="Times New Roman"/>
                <w:sz w:val="18"/>
              </w:rPr>
              <w:t> French</w:t>
            </w:r>
            <w:r>
              <w:rPr>
                <w:rFonts w:ascii="Times New Roman"/>
                <w:w w:val="99"/>
                <w:sz w:val="18"/>
              </w:rPr>
              <w:t> </w:t>
            </w:r>
            <w:r>
              <w:rPr>
                <w:rFonts w:ascii="Times New Roman"/>
                <w:sz w:val="18"/>
              </w:rPr>
              <w:t>Road,#06-1</w:t>
            </w:r>
            <w:r>
              <w:rPr>
                <w:rFonts w:ascii="Times New Roman"/>
                <w:w w:val="99"/>
                <w:sz w:val="18"/>
              </w:rPr>
              <w:t> </w:t>
            </w:r>
            <w:r>
              <w:rPr>
                <w:rFonts w:ascii="Times New Roman"/>
                <w:sz w:val="18"/>
              </w:rPr>
              <w:t>56,Kitchene</w:t>
            </w:r>
            <w:r>
              <w:rPr>
                <w:rFonts w:ascii="Times New Roman"/>
                <w:w w:val="99"/>
                <w:sz w:val="18"/>
              </w:rPr>
              <w:t> </w:t>
            </w:r>
            <w:r>
              <w:rPr>
                <w:rFonts w:ascii="Times New Roman"/>
                <w:sz w:val="18"/>
              </w:rPr>
              <w:t>r</w:t>
            </w:r>
            <w:r>
              <w:rPr>
                <w:rFonts w:ascii="Times New Roman"/>
                <w:w w:val="99"/>
                <w:sz w:val="18"/>
              </w:rPr>
              <w:t> </w:t>
            </w:r>
            <w:r>
              <w:rPr>
                <w:rFonts w:ascii="Times New Roman"/>
                <w:sz w:val="18"/>
              </w:rPr>
              <w:t>Complex,Si</w:t>
            </w:r>
            <w:r>
              <w:rPr>
                <w:rFonts w:ascii="Times New Roman"/>
                <w:sz w:val="18"/>
              </w:rPr>
              <w:t> ngapore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21"/>
              <w:jc w:val="left"/>
              <w:rPr>
                <w:rFonts w:ascii="宋体" w:hAnsi="宋体" w:cs="宋体" w:eastAsia="宋体" w:hint="default"/>
                <w:sz w:val="18"/>
                <w:szCs w:val="18"/>
              </w:rPr>
            </w:pPr>
            <w:r>
              <w:rPr>
                <w:rFonts w:ascii="宋体" w:hAnsi="宋体" w:cs="宋体" w:eastAsia="宋体" w:hint="default"/>
                <w:sz w:val="18"/>
                <w:szCs w:val="18"/>
              </w:rPr>
              <w:t>贸易、投资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shape style="position:absolute;margin-left:62.643002pt;margin-top:-79.536331pt;width:88.35pt;height:22.05pt;mso-position-horizontal-relative:page;mso-position-vertical-relative:paragraph;z-index:-839176"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（新加坡）</w:t>
                  </w:r>
                </w:p>
              </w:txbxContent>
            </v:textbox>
            <w10:wrap type="none"/>
          </v:shape>
        </w:pict>
      </w: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持有本公司控股股东</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33.33%</w:t>
            </w:r>
            <w:r>
              <w:rPr>
                <w:rFonts w:ascii="宋体" w:hAnsi="宋体" w:cs="宋体" w:eastAsia="宋体" w:hint="default"/>
                <w:sz w:val="18"/>
                <w:szCs w:val="18"/>
              </w:rPr>
              <w:t>股份</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持有本公司控股股东</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26.67%</w:t>
            </w:r>
            <w:r>
              <w:rPr>
                <w:rFonts w:ascii="宋体" w:hAnsi="宋体" w:cs="宋体" w:eastAsia="宋体" w:hint="default"/>
                <w:sz w:val="18"/>
                <w:szCs w:val="18"/>
              </w:rPr>
              <w:t>股份</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广西天源置业有限责任公司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79973987-6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南宁市恒川高新商务酒店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南宁恒川大酒店有限公司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74208748-3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南宁市顺天食府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南宁市龙庭网吧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74511157-3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滨州市永利汽车销售服务有限公司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69544656-9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烟台永利汽车销售有限公司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72078820-3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青岛福日房地产开发有限公司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73351986-2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26479520-6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 Qingdao Evercontaining</w:t>
            </w:r>
            <w:r>
              <w:rPr>
                <w:rFonts w:ascii="Times New Roman"/>
                <w:spacing w:val="-12"/>
                <w:sz w:val="18"/>
              </w:rPr>
              <w:t> </w:t>
            </w:r>
            <w:r>
              <w:rPr>
                <w:rFonts w:ascii="Times New Roman"/>
                <w:sz w:val="18"/>
              </w:rPr>
              <w:t>Electric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3" w:right="173" w:hanging="361"/>
        <w:jc w:val="left"/>
      </w:pPr>
      <w:r>
        <w:rPr/>
        <w:t>本企业的其他关联方情况的说明 其他关联方还包括本公司的关键管理人员，主要指本公司董事、监事、高级管理人员和直接或者间接持有公司</w:t>
      </w:r>
      <w:r>
        <w:rPr>
          <w:rFonts w:ascii="Times New Roman" w:hAnsi="Times New Roman" w:cs="Times New Roman" w:eastAsia="Times New Roman" w:hint="default"/>
        </w:rPr>
        <w:t>5%</w:t>
      </w:r>
      <w:r>
        <w:rPr/>
        <w:t>以上</w:t>
      </w:r>
    </w:p>
    <w:p>
      <w:pPr>
        <w:pStyle w:val="BodyText"/>
        <w:spacing w:line="201" w:lineRule="exact"/>
        <w:ind w:right="0"/>
        <w:jc w:val="left"/>
      </w:pPr>
      <w:r>
        <w:rPr/>
        <w:t>股份的自然人股东，公司的董事、监事、高级管理人员的关系密切的家庭成员，包括配偶、父母、配偶的父母、兄弟姐妹及</w:t>
      </w:r>
    </w:p>
    <w:p>
      <w:pPr>
        <w:pStyle w:val="BodyText"/>
        <w:spacing w:line="240" w:lineRule="auto" w:before="76"/>
        <w:ind w:right="0"/>
        <w:jc w:val="left"/>
      </w:pPr>
      <w:r>
        <w:rPr/>
        <w:t>其配偶、年满</w:t>
      </w:r>
      <w:r>
        <w:rPr>
          <w:rFonts w:ascii="Times New Roman" w:hAnsi="Times New Roman" w:cs="Times New Roman" w:eastAsia="Times New Roman" w:hint="default"/>
        </w:rPr>
        <w:t>18</w:t>
      </w:r>
      <w:r>
        <w:rPr/>
        <w:t>周岁的子女及其配偶、配偶的兄弟姐妹和子女配偶的父母。</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30005pt;margin-top:3.831728pt;width:85.5pt;height:15.6pt;mso-position-horizontal-relative:page;mso-position-vertical-relative:paragraph;z-index:-83915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68273pt;width:479.15pt;height:123.1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荣信电力电子股份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SVG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配件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pacing w:val="-5"/>
                            <w:sz w:val="18"/>
                            <w:szCs w:val="18"/>
                          </w:rPr>
                          <w:t>（董事会）表决通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1,675,213.68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right="0"/>
        <w:jc w:val="left"/>
      </w:pPr>
      <w:r>
        <w:rPr/>
        <w:t>出售商品、提供劳务情况表</w:t>
      </w:r>
    </w:p>
    <w:p>
      <w:pPr>
        <w:pStyle w:val="BodyText"/>
        <w:spacing w:line="240" w:lineRule="auto" w:before="117"/>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30005pt;margin-top:3.711727pt;width:85.5pt;height:15.6pt;mso-position-horizontal-relative:page;mso-position-vertical-relative:paragraph;z-index:-839128"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00002pt;margin-top:-52.028275pt;width:479.15pt;height:123.2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荣信电力电子股份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电能质量优化产品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w:t>
                        </w:r>
                      </w:p>
                      <w:p>
                        <w:pPr>
                          <w:pStyle w:val="TableParagraph"/>
                          <w:spacing w:line="316" w:lineRule="auto" w:before="60"/>
                          <w:ind w:left="24" w:right="23"/>
                          <w:jc w:val="left"/>
                          <w:rPr>
                            <w:rFonts w:ascii="宋体" w:hAnsi="宋体" w:cs="宋体" w:eastAsia="宋体" w:hint="default"/>
                            <w:sz w:val="18"/>
                            <w:szCs w:val="18"/>
                          </w:rPr>
                        </w:pPr>
                        <w:r>
                          <w:rPr>
                            <w:rFonts w:ascii="宋体" w:hAnsi="宋体" w:cs="宋体" w:eastAsia="宋体" w:hint="default"/>
                            <w:spacing w:val="-5"/>
                            <w:sz w:val="18"/>
                            <w:szCs w:val="18"/>
                          </w:rPr>
                          <w:t>（董事会）表决通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10,422,471.20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14,279,037.61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6.57%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贾全臣、青岛清源环</w:t>
            </w:r>
            <w:r>
              <w:rPr>
                <w:rFonts w:ascii="宋体" w:hAnsi="宋体" w:cs="宋体" w:eastAsia="宋体" w:hint="default"/>
                <w:sz w:val="18"/>
                <w:szCs w:val="18"/>
              </w:rPr>
              <w:t> </w:t>
            </w:r>
            <w:r>
              <w:rPr>
                <w:rFonts w:ascii="宋体" w:hAnsi="宋体" w:cs="宋体" w:eastAsia="宋体" w:hint="default"/>
                <w:spacing w:val="-9"/>
                <w:sz w:val="18"/>
                <w:szCs w:val="18"/>
              </w:rPr>
              <w:t>保实业有限公司、广</w:t>
            </w:r>
            <w:r>
              <w:rPr>
                <w:rFonts w:ascii="宋体" w:hAnsi="宋体" w:cs="宋体" w:eastAsia="宋体" w:hint="default"/>
                <w:sz w:val="18"/>
                <w:szCs w:val="18"/>
              </w:rPr>
              <w:t> 西恒顺电器有限公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8"/>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青岛清源环保实业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贾全臣、青岛清源环</w:t>
            </w:r>
            <w:r>
              <w:rPr>
                <w:rFonts w:ascii="宋体" w:hAnsi="宋体" w:cs="宋体" w:eastAsia="宋体" w:hint="default"/>
                <w:sz w:val="18"/>
                <w:szCs w:val="18"/>
              </w:rPr>
              <w:t> 保实业有限公司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贾全臣、青岛清源环</w:t>
            </w:r>
            <w:r>
              <w:rPr>
                <w:rFonts w:ascii="宋体" w:hAnsi="宋体" w:cs="宋体" w:eastAsia="宋体" w:hint="default"/>
                <w:sz w:val="18"/>
                <w:szCs w:val="18"/>
              </w:rPr>
              <w:t> 保实业有限公司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贾全臣、贾玉兰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贾全臣、贾玉兰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青岛市恒顺电气股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3"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荣信电力电子股份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7,374,641.40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4,253,250.00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212,662.50</w:t>
            </w:r>
          </w:p>
        </w:tc>
      </w:tr>
      <w:tr>
        <w:trPr>
          <w:trHeight w:val="102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528"/>
              <w:jc w:val="left"/>
              <w:rPr>
                <w:rFonts w:ascii="Times New Roman" w:hAnsi="Times New Roman" w:cs="Times New Roman" w:eastAsia="Times New Roman" w:hint="default"/>
                <w:sz w:val="18"/>
                <w:szCs w:val="18"/>
              </w:rPr>
            </w:pPr>
            <w:r>
              <w:rPr>
                <w:rFonts w:ascii="Times New Roman"/>
                <w:sz w:val="18"/>
              </w:rPr>
              <w:t>PT</w:t>
            </w:r>
            <w:r>
              <w:rPr>
                <w:rFonts w:ascii="Times New Roman"/>
                <w:spacing w:val="-5"/>
                <w:sz w:val="18"/>
              </w:rPr>
              <w:t> </w:t>
            </w:r>
            <w:r>
              <w:rPr>
                <w:rFonts w:ascii="Times New Roman"/>
                <w:sz w:val="18"/>
              </w:rPr>
              <w:t>Qingdao</w:t>
            </w:r>
            <w:r>
              <w:rPr>
                <w:rFonts w:ascii="Times New Roman"/>
                <w:sz w:val="18"/>
              </w:rPr>
              <w:t> Evercontaining Electric</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1,409,211.05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70,460.55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荣信电力电子股份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上市公司应付关联方款项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本公司采用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模型确定该股票期权的公允价值，估值方法 </w:t>
            </w:r>
            <w:r>
              <w:rPr>
                <w:rFonts w:ascii="宋体" w:hAnsi="宋体" w:cs="宋体" w:eastAsia="宋体" w:hint="default"/>
                <w:spacing w:val="-7"/>
                <w:sz w:val="18"/>
                <w:szCs w:val="18"/>
              </w:rPr>
              <w:t>选取的参数为：（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）期权的行权价格为</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9.77</w:t>
            </w:r>
            <w:r>
              <w:rPr>
                <w:rFonts w:ascii="Times New Roman" w:hAnsi="Times New Roman" w:cs="Times New Roman" w:eastAsia="Times New Roman" w:hint="default"/>
                <w:spacing w:val="15"/>
                <w:sz w:val="18"/>
                <w:szCs w:val="18"/>
              </w:rPr>
              <w:t> </w:t>
            </w:r>
            <w:r>
              <w:rPr>
                <w:rFonts w:ascii="宋体" w:hAnsi="宋体" w:cs="宋体" w:eastAsia="宋体" w:hint="default"/>
                <w:spacing w:val="-15"/>
                <w:sz w:val="18"/>
                <w:szCs w:val="18"/>
              </w:rPr>
              <w:t>元；（</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）股票期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权的剩余年限为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）标的股份在授</w:t>
            </w:r>
            <w:r>
              <w:rPr>
                <w:rFonts w:ascii="宋体" w:hAnsi="宋体" w:cs="宋体" w:eastAsia="宋体" w:hint="default"/>
                <w:spacing w:val="-87"/>
                <w:sz w:val="18"/>
                <w:szCs w:val="18"/>
              </w:rPr>
              <w:t> </w:t>
            </w:r>
            <w:r>
              <w:rPr>
                <w:rFonts w:ascii="宋体" w:hAnsi="宋体" w:cs="宋体" w:eastAsia="宋体" w:hint="default"/>
                <w:sz w:val="18"/>
                <w:szCs w:val="18"/>
              </w:rPr>
              <w:t>予日的价格为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9.845 </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）股价预计年化波动率为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）期权有效期内的无风险利率为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5.43%</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1,064,200.00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1,064,200.00</w:t>
            </w:r>
          </w:p>
        </w:tc>
      </w:tr>
    </w:tbl>
    <w:p>
      <w:pPr>
        <w:pStyle w:val="BodyText"/>
        <w:spacing w:line="240" w:lineRule="auto" w:before="49"/>
        <w:ind w:right="0"/>
        <w:jc w:val="both"/>
      </w:pPr>
      <w:r>
        <w:rPr/>
        <w:t>以权益结算的股份支付的说明</w:t>
      </w:r>
    </w:p>
    <w:p>
      <w:pPr>
        <w:pStyle w:val="BodyText"/>
        <w:spacing w:line="240" w:lineRule="auto" w:before="117"/>
        <w:ind w:left="508" w:right="0"/>
        <w:jc w:val="left"/>
      </w:pP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w:t>
      </w:r>
      <w:r>
        <w:rPr>
          <w:spacing w:val="-5"/>
        </w:rPr>
        <w:t>日，公司</w:t>
      </w:r>
      <w:r>
        <w:rPr>
          <w:rFonts w:ascii="Times New Roman" w:hAnsi="Times New Roman" w:cs="Times New Roman" w:eastAsia="Times New Roman" w:hint="default"/>
          <w:spacing w:val="-5"/>
        </w:rPr>
        <w:t>2011</w:t>
      </w:r>
      <w:r>
        <w:rPr>
          <w:spacing w:val="-5"/>
        </w:rPr>
        <w:t>年第二次临时股东大会审议通过了《青岛市恒顺电气股份有限公司股权激励计划（正式稿）》。</w:t>
      </w:r>
    </w:p>
    <w:p>
      <w:pPr>
        <w:pStyle w:val="BodyText"/>
        <w:spacing w:line="300" w:lineRule="auto" w:before="63"/>
        <w:ind w:right="19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日公司召开第一届董事会第十八次会议，会议决定授予公司</w:t>
      </w:r>
      <w:r>
        <w:rPr>
          <w:rFonts w:ascii="Times New Roman" w:hAnsi="Times New Roman" w:cs="Times New Roman" w:eastAsia="Times New Roman" w:hint="default"/>
          <w:spacing w:val="-2"/>
        </w:rPr>
        <w:t>25</w:t>
      </w:r>
      <w:r>
        <w:rPr>
          <w:spacing w:val="-2"/>
        </w:rPr>
        <w:t>位激励对象合计</w:t>
      </w:r>
      <w:r>
        <w:rPr>
          <w:rFonts w:ascii="Times New Roman" w:hAnsi="Times New Roman" w:cs="Times New Roman" w:eastAsia="Times New Roman" w:hint="default"/>
          <w:spacing w:val="-2"/>
        </w:rPr>
        <w:t>410</w:t>
      </w:r>
      <w:r>
        <w:rPr>
          <w:spacing w:val="-2"/>
        </w:rPr>
        <w:t>万份股票期权，授权日为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日，行权价格为</w:t>
      </w:r>
      <w:r>
        <w:rPr>
          <w:rFonts w:ascii="Times New Roman" w:hAnsi="Times New Roman" w:cs="Times New Roman" w:eastAsia="Times New Roman" w:hint="default"/>
          <w:spacing w:val="-2"/>
        </w:rPr>
        <w:t>19.74</w:t>
      </w:r>
      <w:r>
        <w:rPr>
          <w:spacing w:val="-2"/>
        </w:rPr>
        <w:t>元</w:t>
      </w:r>
      <w:r>
        <w:rPr>
          <w:rFonts w:ascii="Times New Roman" w:hAnsi="Times New Roman" w:cs="Times New Roman" w:eastAsia="Times New Roman" w:hint="default"/>
          <w:spacing w:val="-2"/>
        </w:rPr>
        <w:t>/</w:t>
      </w:r>
      <w:r>
        <w:rPr>
          <w:spacing w:val="-2"/>
        </w:rPr>
        <w:t>股，并对相关事项进行了公告。公司</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spacing w:val="-2"/>
        </w:rPr>
        <w:t>年度利润分配方案</w:t>
      </w:r>
      <w:r>
        <w:rPr>
          <w:spacing w:val="-60"/>
        </w:rPr>
        <w:t> </w:t>
      </w:r>
      <w:r>
        <w:rPr>
          <w:spacing w:val="-60"/>
        </w:rPr>
      </w:r>
      <w:r>
        <w:rPr/>
        <w:t>已实施完毕。根据公司《股票期权激励计划》，董事会依据股东大会的授权，</w:t>
      </w:r>
      <w:r>
        <w:rPr>
          <w:spacing w:val="8"/>
        </w:rPr>
        <w:t> </w:t>
      </w:r>
      <w:r>
        <w:rPr/>
        <w:t>对股权激励计划中的股票期权数量及行权价</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08" w:right="0" w:hanging="356"/>
        <w:jc w:val="left"/>
      </w:pPr>
      <w:r>
        <w:rPr/>
        <w:t>格进行相应的调整。调整后公司股票期权激励计划期权数量调整为</w:t>
      </w:r>
      <w:r>
        <w:rPr>
          <w:rFonts w:ascii="Times New Roman" w:hAnsi="Times New Roman" w:cs="Times New Roman" w:eastAsia="Times New Roman" w:hint="default"/>
        </w:rPr>
        <w:t>820 </w:t>
      </w:r>
      <w:r>
        <w:rPr/>
        <w:t>万份，股票期权行权价格为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10"/>
        </w:rPr>
        <w:t> </w:t>
      </w:r>
      <w:r>
        <w:rPr/>
        <w:t>元。 </w:t>
      </w:r>
      <w:r>
        <w:rPr>
          <w:spacing w:val="-2"/>
        </w:rPr>
        <w:t>根据股权激励计划，自股票期权授权日起</w:t>
      </w:r>
      <w:r>
        <w:rPr>
          <w:rFonts w:ascii="Times New Roman" w:hAnsi="Times New Roman" w:cs="Times New Roman" w:eastAsia="Times New Roman" w:hint="default"/>
          <w:spacing w:val="-2"/>
        </w:rPr>
        <w:t>18</w:t>
      </w:r>
      <w:r>
        <w:rPr>
          <w:spacing w:val="-2"/>
        </w:rPr>
        <w:t>个月后，满足行权条件的，激励对象可以分三期申请行权。行权安排如下表</w:t>
      </w:r>
    </w:p>
    <w:p>
      <w:pPr>
        <w:pStyle w:val="BodyText"/>
        <w:spacing w:line="215" w:lineRule="exact"/>
        <w:ind w:right="0"/>
        <w:jc w:val="left"/>
      </w:pPr>
      <w:r>
        <w:rPr/>
        <w:t>所示：</w:t>
      </w:r>
    </w:p>
    <w:p>
      <w:pPr>
        <w:spacing w:line="240" w:lineRule="auto" w:before="5"/>
        <w:rPr>
          <w:rFonts w:ascii="宋体" w:hAnsi="宋体" w:cs="宋体" w:eastAsia="宋体" w:hint="default"/>
          <w:sz w:val="9"/>
          <w:szCs w:val="9"/>
        </w:rPr>
      </w:pPr>
    </w:p>
    <w:p>
      <w:pPr>
        <w:spacing w:line="2460" w:lineRule="exact"/>
        <w:ind w:left="153"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5791200" cy="156210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3" cstate="print"/>
                    <a:stretch>
                      <a:fillRect/>
                    </a:stretch>
                  </pic:blipFill>
                  <pic:spPr>
                    <a:xfrm>
                      <a:off x="0" y="0"/>
                      <a:ext cx="5791200" cy="1562100"/>
                    </a:xfrm>
                    <a:prstGeom prst="rect">
                      <a:avLst/>
                    </a:prstGeom>
                  </pic:spPr>
                </pic:pic>
              </a:graphicData>
            </a:graphic>
          </wp:inline>
        </w:drawing>
      </w:r>
      <w:r>
        <w:rPr>
          <w:rFonts w:ascii="宋体" w:hAnsi="宋体" w:cs="宋体" w:eastAsia="宋体" w:hint="default"/>
          <w:position w:val="-48"/>
          <w:sz w:val="20"/>
          <w:szCs w:val="20"/>
        </w:rPr>
      </w:r>
    </w:p>
    <w:p>
      <w:pPr>
        <w:pStyle w:val="BodyText"/>
        <w:spacing w:line="300" w:lineRule="auto" w:before="68"/>
        <w:ind w:right="128" w:firstLine="355"/>
        <w:jc w:val="left"/>
      </w:pPr>
      <w:r>
        <w:rPr/>
        <w:t>本公司采用</w:t>
      </w:r>
      <w:r>
        <w:rPr>
          <w:rFonts w:ascii="Times New Roman" w:hAnsi="Times New Roman" w:cs="Times New Roman" w:eastAsia="Times New Roman" w:hint="default"/>
        </w:rPr>
        <w:t>B-S </w:t>
      </w:r>
      <w:r>
        <w:rPr/>
        <w:t>模型确定该股票期权的公允价值，估值方法选取的参数为：（</w:t>
      </w:r>
      <w:r>
        <w:rPr>
          <w:rFonts w:ascii="Times New Roman" w:hAnsi="Times New Roman" w:cs="Times New Roman" w:eastAsia="Times New Roman" w:hint="default"/>
        </w:rPr>
        <w:t>1</w:t>
      </w:r>
      <w:r>
        <w:rPr/>
        <w:t>）期权的行权价格为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30"/>
        </w:rPr>
        <w:t> </w:t>
      </w:r>
      <w:r>
        <w:rPr/>
        <w:t>元；（</w:t>
      </w:r>
      <w:r>
        <w:rPr>
          <w:rFonts w:ascii="Times New Roman" w:hAnsi="Times New Roman" w:cs="Times New Roman" w:eastAsia="Times New Roman" w:hint="default"/>
        </w:rPr>
        <w:t>2</w:t>
      </w:r>
      <w:r>
        <w:rPr/>
        <w:t>）股</w:t>
      </w:r>
      <w:r>
        <w:rPr>
          <w:spacing w:val="2"/>
        </w:rPr>
        <w:t> </w:t>
      </w:r>
      <w:r>
        <w:rPr/>
        <w:t>票期权的剩余年限为</w:t>
      </w:r>
      <w:r>
        <w:rPr>
          <w:rFonts w:ascii="Times New Roman" w:hAnsi="Times New Roman" w:cs="Times New Roman" w:eastAsia="Times New Roman" w:hint="default"/>
        </w:rPr>
        <w:t>1.5</w:t>
      </w:r>
      <w:r>
        <w:rPr/>
        <w:t>年、</w:t>
      </w:r>
      <w:r>
        <w:rPr>
          <w:rFonts w:ascii="Times New Roman" w:hAnsi="Times New Roman" w:cs="Times New Roman" w:eastAsia="Times New Roman" w:hint="default"/>
        </w:rPr>
        <w:t>2.5</w:t>
      </w:r>
      <w:r>
        <w:rPr/>
        <w:t>年、</w:t>
      </w:r>
      <w:r>
        <w:rPr>
          <w:rFonts w:ascii="Times New Roman" w:hAnsi="Times New Roman" w:cs="Times New Roman" w:eastAsia="Times New Roman" w:hint="default"/>
        </w:rPr>
        <w:t>3.5  </w:t>
      </w:r>
      <w:r>
        <w:rPr/>
        <w:t>年；（</w:t>
      </w:r>
      <w:r>
        <w:rPr>
          <w:rFonts w:ascii="Times New Roman" w:hAnsi="Times New Roman" w:cs="Times New Roman" w:eastAsia="Times New Roman" w:hint="default"/>
        </w:rPr>
        <w:t>3</w:t>
      </w:r>
      <w:r>
        <w:rPr/>
        <w:t>）标的股份在授予日的价格为</w:t>
      </w:r>
      <w:r>
        <w:rPr>
          <w:rFonts w:ascii="Times New Roman" w:hAnsi="Times New Roman" w:cs="Times New Roman" w:eastAsia="Times New Roman" w:hint="default"/>
        </w:rPr>
        <w:t>9.845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4</w:t>
      </w:r>
      <w:r>
        <w:rPr/>
        <w:t>）股价预计年化波动率为</w:t>
      </w:r>
      <w:r>
        <w:rPr>
          <w:rFonts w:ascii="Times New Roman" w:hAnsi="Times New Roman" w:cs="Times New Roman" w:eastAsia="Times New Roman" w:hint="default"/>
        </w:rPr>
        <w:t>37%</w:t>
      </w:r>
      <w:r>
        <w:rPr/>
        <w:t>；</w:t>
      </w:r>
    </w:p>
    <w:p>
      <w:pPr>
        <w:pStyle w:val="BodyText"/>
        <w:spacing w:line="340" w:lineRule="auto" w:before="13"/>
        <w:ind w:left="513" w:right="4553" w:hanging="361"/>
        <w:jc w:val="left"/>
      </w:pPr>
      <w:r>
        <w:rPr/>
        <w:t>（</w:t>
      </w:r>
      <w:r>
        <w:rPr>
          <w:rFonts w:ascii="Times New Roman" w:hAnsi="Times New Roman" w:cs="Times New Roman" w:eastAsia="Times New Roman" w:hint="default"/>
        </w:rPr>
        <w:t>5</w:t>
      </w:r>
      <w:r>
        <w:rPr/>
        <w:t>）期权有效期内的无风险利率为</w:t>
      </w:r>
      <w:r>
        <w:rPr>
          <w:rFonts w:ascii="Times New Roman" w:hAnsi="Times New Roman" w:cs="Times New Roman" w:eastAsia="Times New Roman" w:hint="default"/>
        </w:rPr>
        <w:t>5.43%</w:t>
      </w:r>
      <w:r>
        <w:rPr/>
        <w:t>。 本次股票期权激励计划的实施对公司业绩的影响如下表所示：</w:t>
      </w:r>
    </w:p>
    <w:p>
      <w:pPr>
        <w:spacing w:after="0" w:line="3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Heading2"/>
        <w:spacing w:line="240" w:lineRule="auto"/>
        <w:ind w:right="-2"/>
        <w:jc w:val="left"/>
        <w:rPr>
          <w:b w:val="0"/>
          <w:bCs w:val="0"/>
        </w:rPr>
      </w:pPr>
      <w:r>
        <w:rPr/>
        <w:pict>
          <v:shape style="position:absolute;margin-left:56.649994pt;margin-top:-164.624374pt;width:456.699997pt;height:131.300003pt;mso-position-horizontal-relative:page;mso-position-vertical-relative:paragraph;z-index:2488" type="#_x0000_t75" stroked="false">
            <v:imagedata r:id="rId24" o:title=""/>
          </v:shape>
        </w:pict>
      </w:r>
      <w:r>
        <w:rPr/>
        <w:t>十、承诺事项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十一、资产负债表日后事项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39"/>
        <w:ind w:right="0"/>
        <w:jc w:val="left"/>
      </w:pPr>
      <w:r>
        <w:rPr/>
        <w:br w:type="column"/>
      </w:r>
      <w:r>
        <w:rPr/>
        <w:t>单位：万元</w:t>
      </w:r>
    </w:p>
    <w:p>
      <w:pPr>
        <w:spacing w:after="0" w:line="240" w:lineRule="auto"/>
        <w:jc w:val="left"/>
        <w:sectPr>
          <w:type w:val="continuous"/>
          <w:pgSz w:w="11910" w:h="16840"/>
          <w:pgMar w:top="1060" w:bottom="1160" w:left="980" w:right="980"/>
          <w:cols w:num="2" w:equalWidth="0">
            <w:col w:w="3422" w:space="3239"/>
            <w:col w:w="3289"/>
          </w:cols>
        </w:sectPr>
      </w:pPr>
    </w:p>
    <w:p>
      <w:pPr>
        <w:pStyle w:val="BodyText"/>
        <w:spacing w:line="240" w:lineRule="auto" w:before="105"/>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rPr>
          <w:rFonts w:ascii="Times New Roman" w:hAnsi="Times New Roman" w:cs="Times New Roman" w:eastAsia="Times New Roman" w:hint="default"/>
        </w:rPr>
      </w:pPr>
      <w:r>
        <w:rPr/>
        <w:t>经董事会研究决定，公司</w:t>
      </w:r>
      <w:r>
        <w:rPr>
          <w:spacing w:val="-45"/>
        </w:rPr>
        <w:t> </w:t>
      </w:r>
      <w:r>
        <w:rPr>
          <w:rFonts w:ascii="Times New Roman" w:hAnsi="Times New Roman" w:cs="Times New Roman" w:eastAsia="Times New Roman" w:hint="default"/>
        </w:rPr>
        <w:t>2012 </w:t>
      </w:r>
      <w:r>
        <w:rPr/>
        <w:t>年度的利润分配预案为：拟以公司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年末股本</w:t>
      </w:r>
      <w:r>
        <w:rPr>
          <w:spacing w:val="-45"/>
        </w:rPr>
        <w:t> </w:t>
      </w:r>
      <w:r>
        <w:rPr>
          <w:rFonts w:ascii="Times New Roman" w:hAnsi="Times New Roman" w:cs="Times New Roman" w:eastAsia="Times New Roman" w:hint="default"/>
        </w:rPr>
        <w:t>14,000</w:t>
      </w:r>
      <w:r>
        <w:rPr>
          <w:rFonts w:ascii="Times New Roman" w:hAnsi="Times New Roman" w:cs="Times New Roman" w:eastAsia="Times New Roman" w:hint="default"/>
          <w:spacing w:val="1"/>
        </w:rPr>
        <w:t> </w:t>
      </w:r>
      <w:r>
        <w:rPr/>
        <w:t>万股为基数，向全体股东每</w:t>
      </w:r>
      <w:r>
        <w:rPr>
          <w:spacing w:val="-44"/>
        </w:rPr>
        <w:t> </w:t>
      </w:r>
      <w:r>
        <w:rPr>
          <w:rFonts w:ascii="Times New Roman" w:hAnsi="Times New Roman" w:cs="Times New Roman" w:eastAsia="Times New Roman" w:hint="default"/>
        </w:rPr>
        <w:t>10</w:t>
      </w:r>
    </w:p>
    <w:p>
      <w:pPr>
        <w:pStyle w:val="BodyText"/>
        <w:spacing w:line="240" w:lineRule="auto" w:before="63"/>
        <w:ind w:right="0"/>
        <w:jc w:val="left"/>
      </w:pPr>
      <w:r>
        <w:rPr/>
        <w:t>股派发现金股利人民币</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8"/>
        </w:rPr>
        <w:t>元</w:t>
      </w:r>
      <w:r>
        <w:rPr>
          <w:spacing w:val="-3"/>
        </w:rPr>
        <w:t>（</w:t>
      </w:r>
      <w:r>
        <w:rPr/>
        <w:t>含税</w:t>
      </w:r>
      <w:r>
        <w:rPr>
          <w:spacing w:val="-92"/>
        </w:rPr>
        <w:t>）</w:t>
      </w:r>
      <w:r>
        <w:rPr>
          <w:spacing w:val="-8"/>
        </w:rPr>
        <w:t>，</w:t>
      </w:r>
      <w:r>
        <w:rPr/>
        <w:t>合计派发现金</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万</w:t>
      </w:r>
      <w:r>
        <w:rPr/>
        <w:t>元</w:t>
      </w:r>
      <w:r>
        <w:rPr>
          <w:spacing w:val="-8"/>
        </w:rPr>
        <w:t>，</w:t>
      </w:r>
      <w:r>
        <w:rPr/>
        <w:t>剩余未分配利润结转下一年度</w:t>
      </w:r>
      <w:r>
        <w:rPr>
          <w:spacing w:val="-8"/>
        </w:rPr>
        <w:t>，</w:t>
      </w:r>
      <w:r>
        <w:rPr/>
        <w:t>同时</w:t>
      </w:r>
      <w:r>
        <w:rPr>
          <w:spacing w:val="-8"/>
        </w:rPr>
        <w:t>，</w:t>
      </w:r>
      <w:r>
        <w:rPr/>
        <w:t>拟以</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年末</w:t>
      </w:r>
      <w:r>
        <w:rPr>
          <w:spacing w:val="-3"/>
        </w:rPr>
        <w:t>总</w:t>
      </w:r>
      <w:r>
        <w:rPr/>
        <w:t>股</w:t>
      </w:r>
    </w:p>
    <w:p>
      <w:pPr>
        <w:pStyle w:val="BodyText"/>
        <w:spacing w:line="240" w:lineRule="auto" w:before="63"/>
        <w:ind w:right="0"/>
        <w:jc w:val="left"/>
      </w:pPr>
      <w:r>
        <w:rPr/>
        <w:t>本</w:t>
      </w:r>
      <w:r>
        <w:rPr>
          <w:spacing w:val="-46"/>
        </w:rPr>
        <w:t> </w:t>
      </w:r>
      <w:r>
        <w:rPr>
          <w:rFonts w:ascii="Times New Roman" w:hAnsi="Times New Roman" w:cs="Times New Roman" w:eastAsia="Times New Roman" w:hint="default"/>
        </w:rPr>
        <w:t>14,000 </w:t>
      </w:r>
      <w:r>
        <w:rPr/>
        <w:t>万股为基数，以资本公积每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股，共计</w:t>
      </w:r>
      <w:r>
        <w:rPr>
          <w:spacing w:val="-49"/>
        </w:rPr>
        <w:t> </w:t>
      </w:r>
      <w:r>
        <w:rPr>
          <w:rFonts w:ascii="Times New Roman" w:hAnsi="Times New Roman" w:cs="Times New Roman" w:eastAsia="Times New Roman" w:hint="default"/>
        </w:rPr>
        <w:t>14,000 </w:t>
      </w:r>
      <w:r>
        <w:rPr/>
        <w:t>万股。</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根据公司</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年第三次临时股东大会决议，经中国证券监督管理委员会《关于核准青岛市恒顺电气股份有限公司非公</w:t>
      </w:r>
    </w:p>
    <w:p>
      <w:pPr>
        <w:pStyle w:val="BodyText"/>
        <w:spacing w:line="240" w:lineRule="auto" w:before="63"/>
        <w:ind w:right="0"/>
        <w:jc w:val="left"/>
        <w:rPr>
          <w:rFonts w:ascii="Times New Roman" w:hAnsi="Times New Roman" w:cs="Times New Roman" w:eastAsia="Times New Roman" w:hint="default"/>
        </w:rPr>
      </w:pPr>
      <w:r>
        <w:rPr/>
        <w:t>开发行公司债券的批复</w:t>
      </w:r>
      <w:r>
        <w:rPr>
          <w:spacing w:val="-113"/>
        </w:rPr>
        <w:t>》</w:t>
      </w:r>
      <w:r>
        <w:rPr/>
        <w:t>（证监许可</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6</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spacing w:val="-22"/>
        </w:rPr>
        <w:t>）</w:t>
      </w:r>
      <w:r>
        <w:rPr/>
        <w:t>核准</w:t>
      </w:r>
      <w:r>
        <w:rPr>
          <w:spacing w:val="-22"/>
        </w:rPr>
        <w:t>，</w:t>
      </w:r>
      <w:r>
        <w:rPr/>
        <w:t>公</w:t>
      </w:r>
      <w:r>
        <w:rPr>
          <w:spacing w:val="-3"/>
        </w:rPr>
        <w:t>司</w:t>
      </w:r>
      <w:r>
        <w:rPr/>
        <w:t>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日向社会</w:t>
      </w:r>
      <w:r>
        <w:rPr>
          <w:spacing w:val="-3"/>
        </w:rPr>
        <w:t>非</w:t>
      </w:r>
      <w:r>
        <w:rPr/>
        <w:t>公开发行为期五年金额为</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right="0"/>
        <w:jc w:val="left"/>
      </w:pPr>
      <w:r>
        <w:rPr/>
        <w:t>万元公司债券，扣除承销佣金</w:t>
      </w:r>
      <w:r>
        <w:rPr>
          <w:spacing w:val="-45"/>
        </w:rPr>
        <w:t> </w:t>
      </w:r>
      <w:r>
        <w:rPr>
          <w:rFonts w:ascii="Times New Roman" w:hAnsi="Times New Roman" w:cs="Times New Roman" w:eastAsia="Times New Roman" w:hint="default"/>
        </w:rPr>
        <w:t>220</w:t>
      </w:r>
      <w:r>
        <w:rPr>
          <w:rFonts w:ascii="Times New Roman" w:hAnsi="Times New Roman" w:cs="Times New Roman" w:eastAsia="Times New Roman" w:hint="default"/>
          <w:spacing w:val="1"/>
        </w:rPr>
        <w:t> </w:t>
      </w:r>
      <w:r>
        <w:rPr/>
        <w:t>万元，实际收到募集资金</w:t>
      </w:r>
      <w:r>
        <w:rPr>
          <w:spacing w:val="-46"/>
        </w:rPr>
        <w:t> </w:t>
      </w:r>
      <w:r>
        <w:rPr>
          <w:rFonts w:ascii="Times New Roman" w:hAnsi="Times New Roman" w:cs="Times New Roman" w:eastAsia="Times New Roman" w:hint="default"/>
        </w:rPr>
        <w:t>19,780</w:t>
      </w:r>
      <w:r>
        <w:rPr>
          <w:rFonts w:ascii="Times New Roman" w:hAnsi="Times New Roman" w:cs="Times New Roman" w:eastAsia="Times New Roman" w:hint="default"/>
          <w:spacing w:val="1"/>
        </w:rPr>
        <w:t> </w:t>
      </w:r>
      <w:r>
        <w:rPr/>
        <w:t>万元。</w:t>
      </w:r>
    </w:p>
    <w:p>
      <w:pPr>
        <w:pStyle w:val="BodyText"/>
        <w:spacing w:line="300" w:lineRule="auto" w:before="103"/>
        <w:ind w:right="183" w:firstLine="360"/>
        <w:jc w:val="left"/>
      </w:pPr>
      <w:r>
        <w:rPr/>
        <w:t>上述募集资金，已于</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日经山东汇德会计师事务所出具（</w:t>
      </w:r>
      <w:r>
        <w:rPr>
          <w:rFonts w:ascii="Times New Roman" w:hAnsi="Times New Roman" w:cs="Times New Roman" w:eastAsia="Times New Roman" w:hint="default"/>
        </w:rPr>
        <w:t>2013</w:t>
      </w:r>
      <w:r>
        <w:rPr/>
        <w:t>）汇所验字第</w:t>
      </w:r>
      <w:r>
        <w:rPr>
          <w:spacing w:val="-49"/>
        </w:rPr>
        <w:t> </w:t>
      </w:r>
      <w:r>
        <w:rPr>
          <w:rFonts w:ascii="Times New Roman" w:hAnsi="Times New Roman" w:cs="Times New Roman" w:eastAsia="Times New Roman" w:hint="default"/>
        </w:rPr>
        <w:t>1-002</w:t>
      </w:r>
      <w:r>
        <w:rPr>
          <w:rFonts w:ascii="Times New Roman" w:hAnsi="Times New Roman" w:cs="Times New Roman" w:eastAsia="Times New Roman" w:hint="default"/>
          <w:spacing w:val="-2"/>
        </w:rPr>
        <w:t> </w:t>
      </w:r>
      <w:r>
        <w:rPr>
          <w:spacing w:val="-3"/>
        </w:rPr>
        <w:t>号《资金验证报告》予</w:t>
      </w:r>
      <w:r>
        <w:rPr/>
        <w:t> 以审验。</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十二、其他重要事项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rFonts w:ascii="宋体" w:hAnsi="宋体" w:cs="宋体" w:eastAsia="宋体" w:hint="default"/>
          <w:spacing w:val="-3"/>
        </w:rPr>
        <w:t>1</w:t>
      </w:r>
      <w:r>
        <w:rPr>
          <w:spacing w:val="-3"/>
        </w:rPr>
        <w:t>、青岛市城阳区人民政府</w:t>
      </w:r>
      <w:r>
        <w:rPr>
          <w:rFonts w:ascii="宋体" w:hAnsi="宋体" w:cs="宋体" w:eastAsia="宋体" w:hint="default"/>
          <w:spacing w:val="-3"/>
        </w:rPr>
        <w:t>2007</w:t>
      </w:r>
      <w:r>
        <w:rPr>
          <w:spacing w:val="-3"/>
        </w:rPr>
        <w:t>年</w:t>
      </w:r>
      <w:r>
        <w:rPr>
          <w:rFonts w:ascii="宋体" w:hAnsi="宋体" w:cs="宋体" w:eastAsia="宋体" w:hint="default"/>
          <w:spacing w:val="-3"/>
        </w:rPr>
        <w:t>11</w:t>
      </w:r>
      <w:r>
        <w:rPr>
          <w:spacing w:val="-3"/>
        </w:rPr>
        <w:t>月召开的第</w:t>
      </w:r>
      <w:r>
        <w:rPr>
          <w:rFonts w:ascii="宋体" w:hAnsi="宋体" w:cs="宋体" w:eastAsia="宋体" w:hint="default"/>
          <w:spacing w:val="-3"/>
        </w:rPr>
        <w:t>148</w:t>
      </w:r>
      <w:r>
        <w:rPr>
          <w:spacing w:val="-3"/>
        </w:rPr>
        <w:t>次《关于青岛变压器集团有限公司退城进园协调会议》的会议纪要中确定：</w:t>
      </w:r>
      <w:r>
        <w:rPr>
          <w:spacing w:val="-85"/>
        </w:rPr>
        <w:t> </w:t>
      </w:r>
      <w:r>
        <w:rPr>
          <w:spacing w:val="-85"/>
        </w:rPr>
      </w:r>
      <w:r>
        <w:rPr/>
        <w:t>青岛变压器集团有限公司拆迁总补偿额按照评估值定为</w:t>
      </w:r>
      <w:r>
        <w:rPr>
          <w:rFonts w:ascii="宋体" w:hAnsi="宋体" w:cs="宋体" w:eastAsia="宋体" w:hint="default"/>
        </w:rPr>
        <w:t>3.2</w:t>
      </w:r>
      <w:r>
        <w:rPr/>
        <w:t>亿元，包括土地补偿、地上附着物和机械设备拆迁补偿、经营性</w:t>
      </w:r>
      <w:r>
        <w:rPr>
          <w:spacing w:val="-84"/>
        </w:rPr>
        <w:t> </w:t>
      </w:r>
      <w:r>
        <w:rPr>
          <w:spacing w:val="-84"/>
        </w:rPr>
      </w:r>
      <w:r>
        <w:rPr>
          <w:spacing w:val="-3"/>
        </w:rPr>
        <w:t>补偿费和搬家补助费。青岛变压器集团有限公司用于“招拍挂”的</w:t>
      </w:r>
      <w:r>
        <w:rPr>
          <w:rFonts w:ascii="宋体" w:hAnsi="宋体" w:cs="宋体" w:eastAsia="宋体" w:hint="default"/>
          <w:spacing w:val="-3"/>
        </w:rPr>
        <w:t>174.55</w:t>
      </w:r>
      <w:r>
        <w:rPr>
          <w:spacing w:val="-3"/>
        </w:rPr>
        <w:t>亩土地纯收益，如果低于政府与企业协商确定的</w:t>
      </w:r>
      <w:r>
        <w:rPr>
          <w:rFonts w:ascii="宋体" w:hAnsi="宋体" w:cs="宋体" w:eastAsia="宋体" w:hint="default"/>
          <w:spacing w:val="-3"/>
        </w:rPr>
        <w:t>2.7</w:t>
      </w:r>
      <w:r>
        <w:rPr>
          <w:rFonts w:ascii="宋体" w:hAnsi="宋体" w:cs="宋体" w:eastAsia="宋体" w:hint="default"/>
          <w:spacing w:val="-88"/>
        </w:rPr>
        <w:t> </w:t>
      </w:r>
      <w:r>
        <w:rPr>
          <w:spacing w:val="-2"/>
        </w:rPr>
        <w:t>亿元，由区政府按照</w:t>
      </w:r>
      <w:r>
        <w:rPr>
          <w:rFonts w:ascii="宋体" w:hAnsi="宋体" w:cs="宋体" w:eastAsia="宋体" w:hint="default"/>
          <w:spacing w:val="-2"/>
        </w:rPr>
        <w:t>2.7</w:t>
      </w:r>
      <w:r>
        <w:rPr>
          <w:spacing w:val="-2"/>
        </w:rPr>
        <w:t>亿元补偿；如果高于</w:t>
      </w:r>
      <w:r>
        <w:rPr>
          <w:rFonts w:ascii="宋体" w:hAnsi="宋体" w:cs="宋体" w:eastAsia="宋体" w:hint="default"/>
          <w:spacing w:val="-2"/>
        </w:rPr>
        <w:t>2.7</w:t>
      </w:r>
      <w:r>
        <w:rPr>
          <w:spacing w:val="-2"/>
        </w:rPr>
        <w:t>亿元但低于</w:t>
      </w:r>
      <w:r>
        <w:rPr>
          <w:rFonts w:ascii="宋体" w:hAnsi="宋体" w:cs="宋体" w:eastAsia="宋体" w:hint="default"/>
          <w:spacing w:val="-2"/>
        </w:rPr>
        <w:t>3.2</w:t>
      </w:r>
      <w:r>
        <w:rPr>
          <w:spacing w:val="-2"/>
        </w:rPr>
        <w:t>亿元，全部用于补偿；如果高于</w:t>
      </w:r>
      <w:r>
        <w:rPr>
          <w:rFonts w:ascii="宋体" w:hAnsi="宋体" w:cs="宋体" w:eastAsia="宋体" w:hint="default"/>
          <w:spacing w:val="-2"/>
        </w:rPr>
        <w:t>3.2</w:t>
      </w:r>
      <w:r>
        <w:rPr>
          <w:spacing w:val="-2"/>
        </w:rPr>
        <w:t>亿元，其超出部分由区政</w:t>
      </w:r>
      <w:r>
        <w:rPr>
          <w:spacing w:val="-52"/>
        </w:rPr>
        <w:t> </w:t>
      </w:r>
      <w:r>
        <w:rPr>
          <w:spacing w:val="-52"/>
        </w:rPr>
      </w:r>
      <w:r>
        <w:rPr/>
        <w:t>府按</w:t>
      </w:r>
      <w:r>
        <w:rPr>
          <w:rFonts w:ascii="宋体" w:hAnsi="宋体" w:cs="宋体" w:eastAsia="宋体" w:hint="default"/>
        </w:rPr>
        <w:t>30%</w:t>
      </w:r>
      <w:r>
        <w:rPr/>
        <w:t>的比例扶持企业发展。《青岛变压器集团有限公司及部分下属企业“退城进园”土地纳入储备核定企业搬迁损失项</w:t>
      </w:r>
      <w:r>
        <w:rPr>
          <w:spacing w:val="-84"/>
        </w:rPr>
        <w:t> </w:t>
      </w:r>
      <w:r>
        <w:rPr>
          <w:spacing w:val="-84"/>
        </w:rPr>
      </w:r>
      <w:r>
        <w:rPr/>
        <w:t>目资产评估报告》的评估结论：各项资产于评估基准日</w:t>
      </w:r>
      <w:r>
        <w:rPr>
          <w:rFonts w:ascii="宋体" w:hAnsi="宋体" w:cs="宋体" w:eastAsia="宋体" w:hint="default"/>
        </w:rPr>
        <w:t>2005</w:t>
      </w:r>
      <w:r>
        <w:rPr/>
        <w:t>年</w:t>
      </w:r>
      <w:r>
        <w:rPr>
          <w:rFonts w:ascii="宋体" w:hAnsi="宋体" w:cs="宋体" w:eastAsia="宋体" w:hint="default"/>
        </w:rPr>
        <w:t>7</w:t>
      </w:r>
      <w:r>
        <w:rPr/>
        <w:t>月</w:t>
      </w:r>
      <w:r>
        <w:rPr>
          <w:rFonts w:ascii="宋体" w:hAnsi="宋体" w:cs="宋体" w:eastAsia="宋体" w:hint="default"/>
        </w:rPr>
        <w:t>31</w:t>
      </w:r>
      <w:r>
        <w:rPr/>
        <w:t>日所表现的搬迁损失价值合计</w:t>
      </w:r>
      <w:r>
        <w:rPr>
          <w:rFonts w:ascii="宋体" w:hAnsi="宋体" w:cs="宋体" w:eastAsia="宋体" w:hint="default"/>
        </w:rPr>
        <w:t>212,488,738.00</w:t>
      </w:r>
      <w:r>
        <w:rPr/>
        <w:t>元，其中</w:t>
      </w:r>
      <w:r>
        <w:rPr>
          <w:spacing w:val="-85"/>
        </w:rPr>
        <w:t> </w:t>
      </w:r>
      <w:r>
        <w:rPr>
          <w:spacing w:val="-2"/>
        </w:rPr>
        <w:t>青岛恒顺电器有限公司</w:t>
      </w:r>
      <w:r>
        <w:rPr>
          <w:rFonts w:ascii="宋体" w:hAnsi="宋体" w:cs="宋体" w:eastAsia="宋体" w:hint="default"/>
          <w:spacing w:val="-2"/>
        </w:rPr>
        <w:t>27,393,688.00</w:t>
      </w:r>
      <w:r>
        <w:rPr>
          <w:spacing w:val="-2"/>
        </w:rPr>
        <w:t>元；所表现的企业搬迁期间经营性损失价值合计</w:t>
      </w:r>
      <w:r>
        <w:rPr>
          <w:rFonts w:ascii="宋体" w:hAnsi="宋体" w:cs="宋体" w:eastAsia="宋体" w:hint="default"/>
          <w:spacing w:val="-2"/>
        </w:rPr>
        <w:t>94,930,213.48</w:t>
      </w:r>
      <w:r>
        <w:rPr>
          <w:spacing w:val="-2"/>
        </w:rPr>
        <w:t>元，其中青岛恒顺电器</w:t>
      </w:r>
      <w:r>
        <w:rPr>
          <w:spacing w:val="-46"/>
        </w:rPr>
        <w:t> </w:t>
      </w:r>
      <w:r>
        <w:rPr>
          <w:spacing w:val="-46"/>
        </w:rPr>
      </w:r>
      <w:r>
        <w:rPr/>
        <w:t>有限公司</w:t>
      </w:r>
      <w:r>
        <w:rPr>
          <w:rFonts w:ascii="宋体" w:hAnsi="宋体" w:cs="宋体" w:eastAsia="宋体" w:hint="default"/>
        </w:rPr>
        <w:t>26,772,901.13</w:t>
      </w:r>
      <w:r>
        <w:rPr/>
        <w:t>元。</w:t>
      </w:r>
    </w:p>
    <w:p>
      <w:pPr>
        <w:pStyle w:val="BodyText"/>
        <w:spacing w:line="316" w:lineRule="auto" w:before="57"/>
        <w:ind w:right="91"/>
        <w:jc w:val="left"/>
      </w:pPr>
      <w:r>
        <w:rPr/>
        <w:t>青岛市城阳区人民政府</w:t>
      </w:r>
      <w:r>
        <w:rPr>
          <w:rFonts w:ascii="宋体" w:hAnsi="宋体" w:cs="宋体" w:eastAsia="宋体" w:hint="default"/>
        </w:rPr>
        <w:t>2009</w:t>
      </w:r>
      <w:r>
        <w:rPr/>
        <w:t>年</w:t>
      </w:r>
      <w:r>
        <w:rPr>
          <w:rFonts w:ascii="宋体" w:hAnsi="宋体" w:cs="宋体" w:eastAsia="宋体" w:hint="default"/>
        </w:rPr>
        <w:t>6</w:t>
      </w:r>
      <w:r>
        <w:rPr/>
        <w:t>月召开的第</w:t>
      </w:r>
      <w:r>
        <w:rPr>
          <w:rFonts w:ascii="宋体" w:hAnsi="宋体" w:cs="宋体" w:eastAsia="宋体" w:hint="default"/>
        </w:rPr>
        <w:t>18</w:t>
      </w:r>
      <w:r>
        <w:rPr/>
        <w:t>次《关于青岛恒顺电器有限公司退城进园拆迁补偿有关问题协调会议》的会议</w:t>
      </w:r>
      <w:r>
        <w:rPr>
          <w:spacing w:val="-85"/>
        </w:rPr>
        <w:t> </w:t>
      </w:r>
      <w:r>
        <w:rPr>
          <w:spacing w:val="-85"/>
        </w:rPr>
      </w:r>
      <w:r>
        <w:rPr>
          <w:spacing w:val="-2"/>
        </w:rPr>
        <w:t>纪要中确定：根据青岛变压器集团有限公司退城进园片区拆迁补偿评估报告所确认的青岛恒顺电器有限公司房产、设备和存</w:t>
      </w:r>
      <w:r>
        <w:rPr>
          <w:spacing w:val="-64"/>
        </w:rPr>
        <w:t> </w:t>
      </w:r>
      <w:r>
        <w:rPr>
          <w:spacing w:val="-64"/>
        </w:rPr>
      </w:r>
      <w:r>
        <w:rPr>
          <w:spacing w:val="-3"/>
        </w:rPr>
        <w:t>货搬迁费共计</w:t>
      </w:r>
      <w:r>
        <w:rPr>
          <w:rFonts w:ascii="宋体" w:hAnsi="宋体" w:cs="宋体" w:eastAsia="宋体" w:hint="default"/>
          <w:spacing w:val="-3"/>
        </w:rPr>
        <w:t>2,739.37</w:t>
      </w:r>
      <w:r>
        <w:rPr>
          <w:spacing w:val="-3"/>
        </w:rPr>
        <w:t>万元，从国家开发银行专款用于青岛变压器集团有限公司片区“退城进园”拆迁补偿封闭贷款资金中，</w:t>
      </w:r>
      <w:r>
        <w:rPr/>
        <w:t> 将上述款项拨付给青岛恒顺电器有限公司。</w:t>
      </w:r>
      <w:r>
        <w:rPr>
          <w:rFonts w:ascii="宋体" w:hAnsi="宋体" w:cs="宋体" w:eastAsia="宋体" w:hint="default"/>
        </w:rPr>
        <w:t>2009</w:t>
      </w:r>
      <w:r>
        <w:rPr/>
        <w:t>年</w:t>
      </w:r>
      <w:r>
        <w:rPr>
          <w:rFonts w:ascii="宋体" w:hAnsi="宋体" w:cs="宋体" w:eastAsia="宋体" w:hint="default"/>
        </w:rPr>
        <w:t>6</w:t>
      </w:r>
      <w:r>
        <w:rPr/>
        <w:t>月，青岛恒顺电器有限公司已收到区政府拨付的拆迁补偿款</w:t>
      </w:r>
      <w:r>
        <w:rPr>
          <w:rFonts w:ascii="宋体" w:hAnsi="宋体" w:cs="宋体" w:eastAsia="宋体" w:hint="default"/>
        </w:rPr>
        <w:t>2,700</w:t>
      </w:r>
      <w:r>
        <w:rPr/>
        <w:t>万元。</w:t>
      </w:r>
    </w:p>
    <w:p>
      <w:pPr>
        <w:pStyle w:val="BodyText"/>
        <w:spacing w:line="360" w:lineRule="auto" w:before="59"/>
        <w:ind w:right="97"/>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日，上述土地仍未处置，公司尚未收到经营损失补偿款。 </w:t>
      </w: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日，公司</w:t>
      </w:r>
      <w:r>
        <w:rPr>
          <w:rFonts w:ascii="宋体" w:hAnsi="宋体" w:cs="宋体" w:eastAsia="宋体" w:hint="default"/>
          <w:spacing w:val="-3"/>
        </w:rPr>
        <w:t>2011</w:t>
      </w:r>
      <w:r>
        <w:rPr>
          <w:spacing w:val="-3"/>
        </w:rPr>
        <w:t>年第二次临时股东大会审议通过了《青岛市恒顺电气股份有限公司股权激励计划（正式稿）》。</w:t>
      </w:r>
    </w:p>
    <w:p>
      <w:pPr>
        <w:pStyle w:val="BodyText"/>
        <w:spacing w:line="222" w:lineRule="exact"/>
        <w:ind w:right="0"/>
        <w:jc w:val="left"/>
        <w:rPr>
          <w:rFonts w:ascii="宋体" w:hAnsi="宋体" w:cs="宋体" w:eastAsia="宋体" w:hint="default"/>
        </w:rPr>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5</w:t>
      </w:r>
      <w:r>
        <w:rPr/>
        <w:t>日公司召开第一届董事会第十八次会议，会议决定授予公司</w:t>
      </w:r>
      <w:r>
        <w:rPr>
          <w:rFonts w:ascii="宋体" w:hAnsi="宋体" w:cs="宋体" w:eastAsia="宋体" w:hint="default"/>
        </w:rPr>
        <w:t>25</w:t>
      </w:r>
      <w:r>
        <w:rPr/>
        <w:t>位激励对象合计</w:t>
      </w:r>
      <w:r>
        <w:rPr>
          <w:rFonts w:ascii="宋体" w:hAnsi="宋体" w:cs="宋体" w:eastAsia="宋体" w:hint="default"/>
        </w:rPr>
        <w:t>410</w:t>
      </w:r>
      <w:r>
        <w:rPr/>
        <w:t>万份股票期权，授权日为</w:t>
      </w:r>
      <w:r>
        <w:rPr>
          <w:rFonts w:ascii="宋体" w:hAnsi="宋体" w:cs="宋体" w:eastAsia="宋体" w:hint="default"/>
        </w:rPr>
        <w:t>2011</w:t>
      </w:r>
    </w:p>
    <w:p>
      <w:pPr>
        <w:pStyle w:val="BodyText"/>
        <w:spacing w:line="319" w:lineRule="auto" w:before="76"/>
        <w:ind w:right="103"/>
        <w:jc w:val="both"/>
      </w:pPr>
      <w:r>
        <w:rPr/>
        <w:t>年</w:t>
      </w:r>
      <w:r>
        <w:rPr>
          <w:rFonts w:ascii="宋体" w:hAnsi="宋体" w:cs="宋体" w:eastAsia="宋体" w:hint="default"/>
        </w:rPr>
        <w:t>12</w:t>
      </w:r>
      <w:r>
        <w:rPr/>
        <w:t>月</w:t>
      </w:r>
      <w:r>
        <w:rPr>
          <w:rFonts w:ascii="宋体" w:hAnsi="宋体" w:cs="宋体" w:eastAsia="宋体" w:hint="default"/>
        </w:rPr>
        <w:t>5</w:t>
      </w:r>
      <w:r>
        <w:rPr/>
        <w:t>日，行权价格为</w:t>
      </w:r>
      <w:r>
        <w:rPr>
          <w:rFonts w:ascii="宋体" w:hAnsi="宋体" w:cs="宋体" w:eastAsia="宋体" w:hint="default"/>
        </w:rPr>
        <w:t>19.74</w:t>
      </w:r>
      <w:r>
        <w:rPr/>
        <w:t>元</w:t>
      </w:r>
      <w:r>
        <w:rPr>
          <w:rFonts w:ascii="宋体" w:hAnsi="宋体" w:cs="宋体" w:eastAsia="宋体" w:hint="default"/>
        </w:rPr>
        <w:t>/</w:t>
      </w:r>
      <w:r>
        <w:rPr/>
        <w:t>股，并对相关事项进行了公告。公司</w:t>
      </w:r>
      <w:r>
        <w:rPr>
          <w:rFonts w:ascii="宋体" w:hAnsi="宋体" w:cs="宋体" w:eastAsia="宋体" w:hint="default"/>
        </w:rPr>
        <w:t>2011</w:t>
      </w:r>
      <w:r>
        <w:rPr/>
        <w:t>年年度股东大会审议通过的</w:t>
      </w:r>
      <w:r>
        <w:rPr>
          <w:rFonts w:ascii="宋体" w:hAnsi="宋体" w:cs="宋体" w:eastAsia="宋体" w:hint="default"/>
        </w:rPr>
        <w:t>2011</w:t>
      </w:r>
      <w:r>
        <w:rPr/>
        <w:t>年度利润分配方</w:t>
      </w:r>
      <w:r>
        <w:rPr>
          <w:spacing w:val="-85"/>
        </w:rPr>
        <w:t> </w:t>
      </w:r>
      <w:r>
        <w:rPr/>
        <w:t>案已实施完毕。根据公司《股票期权激励计划》，董事会依据股东大会的授权， 对股权激励计划中的股票期权数量及行权</w:t>
      </w:r>
      <w:r>
        <w:rPr>
          <w:spacing w:val="-82"/>
        </w:rPr>
        <w:t> </w:t>
      </w:r>
      <w:r>
        <w:rPr>
          <w:spacing w:val="-82"/>
        </w:rPr>
      </w:r>
      <w:r>
        <w:rPr/>
        <w:t>价格进行相应的调整。调整后公司股票期权激励计划期权数量调整为</w:t>
      </w:r>
      <w:r>
        <w:rPr>
          <w:rFonts w:ascii="宋体" w:hAnsi="宋体" w:cs="宋体" w:eastAsia="宋体" w:hint="default"/>
        </w:rPr>
        <w:t>820 </w:t>
      </w:r>
      <w:r>
        <w:rPr/>
        <w:t>万份，股票期权行权价格为</w:t>
      </w:r>
      <w:r>
        <w:rPr>
          <w:rFonts w:ascii="宋体" w:hAnsi="宋体" w:cs="宋体" w:eastAsia="宋体" w:hint="default"/>
        </w:rPr>
        <w:t>9.77</w:t>
      </w:r>
      <w:r>
        <w:rPr>
          <w:rFonts w:ascii="宋体" w:hAnsi="宋体" w:cs="宋体" w:eastAsia="宋体" w:hint="default"/>
          <w:spacing w:val="2"/>
        </w:rPr>
        <w:t> </w:t>
      </w:r>
      <w:r>
        <w:rPr/>
        <w:t>元。</w:t>
      </w:r>
    </w:p>
    <w:p>
      <w:pPr>
        <w:pStyle w:val="BodyText"/>
        <w:spacing w:line="240" w:lineRule="auto" w:before="55"/>
        <w:ind w:right="0"/>
        <w:jc w:val="left"/>
      </w:pPr>
      <w:r>
        <w:rPr>
          <w:spacing w:val="-4"/>
        </w:rPr>
        <w:t>根据股权激励计划，自股票期权授权日起</w:t>
      </w:r>
      <w:r>
        <w:rPr>
          <w:rFonts w:ascii="宋体" w:hAnsi="宋体" w:cs="宋体" w:eastAsia="宋体" w:hint="default"/>
          <w:spacing w:val="-4"/>
        </w:rPr>
        <w:t>18</w:t>
      </w:r>
      <w:r>
        <w:rPr>
          <w:spacing w:val="-4"/>
        </w:rPr>
        <w:t>个月后，满足行权条件的，激励对象可以分三期申请行权。行权安排如下表所示：</w:t>
      </w: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075"/>
        <w:gridCol w:w="4320"/>
        <w:gridCol w:w="1779"/>
      </w:tblGrid>
      <w:tr>
        <w:trPr>
          <w:trHeight w:val="370"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1"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行权时间</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466" w:right="0"/>
              <w:jc w:val="left"/>
              <w:rPr>
                <w:rFonts w:ascii="宋体" w:hAnsi="宋体" w:cs="宋体" w:eastAsia="宋体" w:hint="default"/>
                <w:sz w:val="21"/>
                <w:szCs w:val="21"/>
              </w:rPr>
            </w:pPr>
            <w:r>
              <w:rPr>
                <w:rFonts w:ascii="宋体" w:hAnsi="宋体" w:cs="宋体" w:eastAsia="宋体" w:hint="default"/>
                <w:sz w:val="21"/>
                <w:szCs w:val="21"/>
              </w:rPr>
              <w:t>行权比例</w:t>
            </w:r>
          </w:p>
        </w:tc>
      </w:tr>
      <w:tr>
        <w:trPr>
          <w:trHeight w:val="670"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第一批股票期权行权期</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8" w:right="0"/>
              <w:jc w:val="left"/>
              <w:rPr>
                <w:rFonts w:ascii="宋体" w:hAnsi="宋体" w:cs="宋体" w:eastAsia="宋体" w:hint="default"/>
                <w:sz w:val="21"/>
                <w:szCs w:val="21"/>
              </w:rPr>
            </w:pPr>
            <w:r>
              <w:rPr>
                <w:rFonts w:ascii="宋体" w:hAnsi="宋体" w:cs="宋体" w:eastAsia="宋体" w:hint="default"/>
                <w:sz w:val="21"/>
                <w:szCs w:val="21"/>
              </w:rPr>
              <w:t>自授权日起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个月后首个交易日起至授权</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个月内最后一个交易日当日止</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w:t>
            </w:r>
          </w:p>
        </w:tc>
      </w:tr>
      <w:tr>
        <w:trPr>
          <w:trHeight w:val="672"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第二批股票期权行权期</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8" w:right="0"/>
              <w:jc w:val="left"/>
              <w:rPr>
                <w:rFonts w:ascii="宋体" w:hAnsi="宋体" w:cs="宋体" w:eastAsia="宋体" w:hint="default"/>
                <w:sz w:val="21"/>
                <w:szCs w:val="21"/>
              </w:rPr>
            </w:pPr>
            <w:r>
              <w:rPr>
                <w:rFonts w:ascii="宋体" w:hAnsi="宋体" w:cs="宋体" w:eastAsia="宋体" w:hint="default"/>
                <w:sz w:val="21"/>
                <w:szCs w:val="21"/>
              </w:rPr>
              <w:t>自授权日起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个月后首个交易日起至授权</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个月内最后一个交易日当日止</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40"/>
        </w:sectPr>
      </w:pPr>
    </w:p>
    <w:p>
      <w:pPr>
        <w:spacing w:line="240" w:lineRule="auto" w:before="10"/>
        <w:rPr>
          <w:rFonts w:ascii="宋体" w:hAnsi="宋体" w:cs="宋体" w:eastAsia="宋体" w:hint="default"/>
          <w:sz w:val="27"/>
          <w:szCs w:val="27"/>
        </w:rPr>
      </w:pPr>
    </w:p>
    <w:tbl>
      <w:tblPr>
        <w:tblW w:w="0" w:type="auto"/>
        <w:jc w:val="left"/>
        <w:tblInd w:w="176" w:type="dxa"/>
        <w:tblLayout w:type="fixed"/>
        <w:tblCellMar>
          <w:top w:w="0" w:type="dxa"/>
          <w:left w:w="0" w:type="dxa"/>
          <w:bottom w:w="0" w:type="dxa"/>
          <w:right w:w="0" w:type="dxa"/>
        </w:tblCellMar>
        <w:tblLook w:val="01E0"/>
      </w:tblPr>
      <w:tblGrid>
        <w:gridCol w:w="3075"/>
        <w:gridCol w:w="4320"/>
        <w:gridCol w:w="1779"/>
      </w:tblGrid>
      <w:tr>
        <w:trPr>
          <w:trHeight w:val="670" w:hRule="exact"/>
        </w:trPr>
        <w:tc>
          <w:tcPr>
            <w:tcW w:w="3075" w:type="dxa"/>
            <w:tcBorders>
              <w:top w:val="nil" w:sz="6" w:space="0" w:color="auto"/>
              <w:left w:val="nil" w:sz="6" w:space="0" w:color="auto"/>
              <w:bottom w:val="single" w:sz="8" w:space="0" w:color="000000"/>
              <w:right w:val="single" w:sz="4" w:space="0" w:color="000000"/>
            </w:tcBorders>
          </w:tcPr>
          <w:p>
            <w:pPr>
              <w:pStyle w:val="TableParagraph"/>
              <w:spacing w:line="240" w:lineRule="auto" w:before="161"/>
              <w:ind w:left="494" w:right="0"/>
              <w:jc w:val="left"/>
              <w:rPr>
                <w:rFonts w:ascii="宋体" w:hAnsi="宋体" w:cs="宋体" w:eastAsia="宋体" w:hint="default"/>
                <w:sz w:val="21"/>
                <w:szCs w:val="21"/>
              </w:rPr>
            </w:pPr>
            <w:r>
              <w:rPr>
                <w:rFonts w:ascii="宋体" w:hAnsi="宋体" w:cs="宋体" w:eastAsia="宋体" w:hint="default"/>
                <w:sz w:val="21"/>
                <w:szCs w:val="21"/>
              </w:rPr>
              <w:t>第三批股票期权行权期</w:t>
            </w:r>
          </w:p>
        </w:tc>
        <w:tc>
          <w:tcPr>
            <w:tcW w:w="432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
              <w:ind w:left="208" w:right="0"/>
              <w:jc w:val="left"/>
              <w:rPr>
                <w:rFonts w:ascii="宋体" w:hAnsi="宋体" w:cs="宋体" w:eastAsia="宋体" w:hint="default"/>
                <w:sz w:val="21"/>
                <w:szCs w:val="21"/>
              </w:rPr>
            </w:pPr>
            <w:r>
              <w:rPr>
                <w:rFonts w:ascii="宋体" w:hAnsi="宋体" w:cs="宋体" w:eastAsia="宋体" w:hint="default"/>
                <w:sz w:val="21"/>
                <w:szCs w:val="21"/>
              </w:rPr>
              <w:t>自授权日起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个月后首个交易日起至授权</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个月内最后一个交易日当日止</w:t>
            </w:r>
          </w:p>
        </w:tc>
        <w:tc>
          <w:tcPr>
            <w:tcW w:w="1779" w:type="dxa"/>
            <w:tcBorders>
              <w:top w:val="nil" w:sz="6" w:space="0" w:color="auto"/>
              <w:left w:val="single"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w:t>
            </w:r>
          </w:p>
        </w:tc>
      </w:tr>
    </w:tbl>
    <w:p>
      <w:pPr>
        <w:spacing w:line="240" w:lineRule="auto" w:before="4"/>
        <w:rPr>
          <w:rFonts w:ascii="宋体" w:hAnsi="宋体" w:cs="宋体" w:eastAsia="宋体" w:hint="default"/>
          <w:sz w:val="27"/>
          <w:szCs w:val="27"/>
        </w:rPr>
      </w:pPr>
    </w:p>
    <w:p>
      <w:pPr>
        <w:pStyle w:val="BodyText"/>
        <w:spacing w:line="316" w:lineRule="auto" w:before="44"/>
        <w:ind w:left="212" w:right="96"/>
        <w:jc w:val="left"/>
      </w:pPr>
      <w:r>
        <w:rPr/>
        <w:t>本公司采用</w:t>
      </w:r>
      <w:r>
        <w:rPr>
          <w:rFonts w:ascii="宋体" w:hAnsi="宋体" w:cs="宋体" w:eastAsia="宋体" w:hint="default"/>
        </w:rPr>
        <w:t>B-S </w:t>
      </w:r>
      <w:r>
        <w:rPr/>
        <w:t>模型确定该股票期权的公允价值，估值方法选取的参数为：（</w:t>
      </w:r>
      <w:r>
        <w:rPr>
          <w:rFonts w:ascii="宋体" w:hAnsi="宋体" w:cs="宋体" w:eastAsia="宋体" w:hint="default"/>
        </w:rPr>
        <w:t>1</w:t>
      </w:r>
      <w:r>
        <w:rPr/>
        <w:t>）期权的行权价格为</w:t>
      </w:r>
      <w:r>
        <w:rPr>
          <w:rFonts w:ascii="宋体" w:hAnsi="宋体" w:cs="宋体" w:eastAsia="宋体" w:hint="default"/>
        </w:rPr>
        <w:t>9.77</w:t>
      </w:r>
      <w:r>
        <w:rPr>
          <w:rFonts w:ascii="宋体" w:hAnsi="宋体" w:cs="宋体" w:eastAsia="宋体" w:hint="default"/>
          <w:spacing w:val="4"/>
        </w:rPr>
        <w:t> </w:t>
      </w:r>
      <w:r>
        <w:rPr/>
        <w:t>元；（</w:t>
      </w:r>
      <w:r>
        <w:rPr>
          <w:rFonts w:ascii="宋体" w:hAnsi="宋体" w:cs="宋体" w:eastAsia="宋体" w:hint="default"/>
        </w:rPr>
        <w:t>2</w:t>
      </w:r>
      <w:r>
        <w:rPr/>
        <w:t>）股票期 权的剩余年限为</w:t>
      </w:r>
      <w:r>
        <w:rPr>
          <w:rFonts w:ascii="宋体" w:hAnsi="宋体" w:cs="宋体" w:eastAsia="宋体" w:hint="default"/>
        </w:rPr>
        <w:t>1.5</w:t>
      </w:r>
      <w:r>
        <w:rPr/>
        <w:t>年、</w:t>
      </w:r>
      <w:r>
        <w:rPr>
          <w:rFonts w:ascii="宋体" w:hAnsi="宋体" w:cs="宋体" w:eastAsia="宋体" w:hint="default"/>
        </w:rPr>
        <w:t>2.5</w:t>
      </w:r>
      <w:r>
        <w:rPr/>
        <w:t>年、</w:t>
      </w:r>
      <w:r>
        <w:rPr>
          <w:rFonts w:ascii="宋体" w:hAnsi="宋体" w:cs="宋体" w:eastAsia="宋体" w:hint="default"/>
        </w:rPr>
        <w:t>3.5 </w:t>
      </w:r>
      <w:r>
        <w:rPr>
          <w:spacing w:val="-3"/>
        </w:rPr>
        <w:t>年；（</w:t>
      </w:r>
      <w:r>
        <w:rPr>
          <w:rFonts w:ascii="宋体" w:hAnsi="宋体" w:cs="宋体" w:eastAsia="宋体" w:hint="default"/>
          <w:spacing w:val="-3"/>
        </w:rPr>
        <w:t>3</w:t>
      </w:r>
      <w:r>
        <w:rPr>
          <w:spacing w:val="-3"/>
        </w:rPr>
        <w:t>）标的股份在授予日的价格为</w:t>
      </w:r>
      <w:r>
        <w:rPr>
          <w:rFonts w:ascii="宋体" w:hAnsi="宋体" w:cs="宋体" w:eastAsia="宋体" w:hint="default"/>
          <w:spacing w:val="-3"/>
        </w:rPr>
        <w:t>9.845</w:t>
      </w:r>
      <w:r>
        <w:rPr>
          <w:rFonts w:ascii="宋体" w:hAnsi="宋体" w:cs="宋体" w:eastAsia="宋体" w:hint="default"/>
          <w:spacing w:val="-6"/>
        </w:rPr>
        <w:t> </w:t>
      </w:r>
      <w:r>
        <w:rPr>
          <w:spacing w:val="-5"/>
        </w:rPr>
        <w:t>元；（</w:t>
      </w:r>
      <w:r>
        <w:rPr>
          <w:rFonts w:ascii="宋体" w:hAnsi="宋体" w:cs="宋体" w:eastAsia="宋体" w:hint="default"/>
          <w:spacing w:val="-5"/>
        </w:rPr>
        <w:t>4</w:t>
      </w:r>
      <w:r>
        <w:rPr>
          <w:spacing w:val="-5"/>
        </w:rPr>
        <w:t>）股价预计年化波动率为</w:t>
      </w:r>
      <w:r>
        <w:rPr>
          <w:rFonts w:ascii="宋体" w:hAnsi="宋体" w:cs="宋体" w:eastAsia="宋体" w:hint="default"/>
          <w:spacing w:val="-5"/>
        </w:rPr>
        <w:t>37%</w:t>
      </w:r>
      <w:r>
        <w:rPr>
          <w:spacing w:val="-5"/>
        </w:rPr>
        <w:t>；（</w:t>
      </w:r>
      <w:r>
        <w:rPr>
          <w:rFonts w:ascii="宋体" w:hAnsi="宋体" w:cs="宋体" w:eastAsia="宋体" w:hint="default"/>
          <w:spacing w:val="-5"/>
        </w:rPr>
        <w:t>5</w:t>
      </w:r>
      <w:r>
        <w:rPr>
          <w:spacing w:val="-5"/>
        </w:rPr>
        <w:t>）</w:t>
      </w:r>
      <w:r>
        <w:rPr/>
        <w:t> 期权有效期内的无风险利率为</w:t>
      </w:r>
      <w:r>
        <w:rPr>
          <w:rFonts w:ascii="宋体" w:hAnsi="宋体" w:cs="宋体" w:eastAsia="宋体" w:hint="default"/>
        </w:rPr>
        <w:t>5.43%</w:t>
      </w:r>
      <w:r>
        <w:rPr/>
        <w:t>。</w:t>
      </w:r>
    </w:p>
    <w:p>
      <w:pPr>
        <w:pStyle w:val="BodyText"/>
        <w:spacing w:line="240" w:lineRule="auto" w:before="57"/>
        <w:ind w:left="212" w:right="96"/>
        <w:jc w:val="left"/>
      </w:pPr>
      <w:r>
        <w:rPr/>
        <w:t>本次股票期权激励计划的实施对公司业绩的影响如下表所示：</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12"/>
        <w:gridCol w:w="2101"/>
        <w:gridCol w:w="2309"/>
        <w:gridCol w:w="2220"/>
        <w:gridCol w:w="2218"/>
      </w:tblGrid>
      <w:tr>
        <w:trPr>
          <w:trHeight w:val="37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9"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2011</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28.53</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22.77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26.12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77.42</w:t>
            </w:r>
          </w:p>
        </w:tc>
      </w:tr>
      <w:tr>
        <w:trPr>
          <w:trHeight w:val="63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2012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342.30</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273.22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313.48</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929.00</w:t>
            </w:r>
          </w:p>
        </w:tc>
      </w:tr>
      <w:tr>
        <w:trPr>
          <w:trHeight w:val="373"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2013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142.62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273.22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313.49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729.33</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2014</w:t>
            </w:r>
          </w:p>
        </w:tc>
        <w:tc>
          <w:tcPr>
            <w:tcW w:w="2101"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113.84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313.49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427.33</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2015</w:t>
            </w:r>
          </w:p>
        </w:tc>
        <w:tc>
          <w:tcPr>
            <w:tcW w:w="2101"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130.62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130.62</w:t>
            </w:r>
          </w:p>
        </w:tc>
      </w:tr>
      <w:tr>
        <w:trPr>
          <w:trHeight w:val="63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17"/>
              <w:jc w:val="left"/>
              <w:rPr>
                <w:rFonts w:ascii="宋体" w:hAnsi="宋体" w:cs="宋体" w:eastAsia="宋体" w:hint="default"/>
                <w:sz w:val="18"/>
                <w:szCs w:val="18"/>
              </w:rPr>
            </w:pPr>
            <w:r>
              <w:rPr>
                <w:rFonts w:ascii="宋体" w:hAnsi="宋体" w:cs="宋体" w:eastAsia="宋体" w:hint="default"/>
                <w:sz w:val="18"/>
                <w:szCs w:val="18"/>
              </w:rPr>
              <w:t>合 计</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513.45</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683.05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1,097.20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2,293.70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212" w:right="96"/>
        <w:jc w:val="left"/>
        <w:rPr>
          <w:b w:val="0"/>
          <w:bCs w:val="0"/>
        </w:rPr>
      </w:pP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12" w:right="96"/>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2" w:right="96"/>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94"/>
        <w:gridCol w:w="1199"/>
        <w:gridCol w:w="533"/>
        <w:gridCol w:w="1327"/>
        <w:gridCol w:w="666"/>
        <w:gridCol w:w="1195"/>
        <w:gridCol w:w="665"/>
        <w:gridCol w:w="1328"/>
        <w:gridCol w:w="665"/>
      </w:tblGrid>
      <w:tr>
        <w:trPr>
          <w:trHeight w:val="398" w:hRule="exact"/>
        </w:trPr>
        <w:tc>
          <w:tcPr>
            <w:tcW w:w="1994" w:type="dxa"/>
            <w:vMerge w:val="restart"/>
            <w:tcBorders>
              <w:top w:val="single" w:sz="4" w:space="0" w:color="000000"/>
              <w:left w:val="single" w:sz="4" w:space="0" w:color="000000"/>
              <w:right w:val="single" w:sz="4" w:space="0" w:color="000000"/>
            </w:tcBorders>
            <w:shd w:val="clear" w:color="auto" w:fill="D2D2D2"/>
          </w:tcPr>
          <w:p>
            <w:pPr/>
          </w:p>
        </w:tc>
        <w:tc>
          <w:tcPr>
            <w:tcW w:w="37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1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32"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c>
          <w:tcPr>
            <w:tcW w:w="1859"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1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5" w:hRule="exact"/>
        </w:trPr>
        <w:tc>
          <w:tcPr>
            <w:tcW w:w="1994" w:type="dxa"/>
            <w:vMerge w:val="restart"/>
            <w:tcBorders>
              <w:top w:val="nil" w:sz="6" w:space="0" w:color="auto"/>
              <w:left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64,063,895.04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3,303,859.75</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54,767,978.26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2,803,398.91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29,627,281.35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6,251,222.11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51,222,269.64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47.58%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6,101,298.46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11.91%</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29,627,281.35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6,251,222.11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51,222,269.64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47.58%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6,101,298.46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11.91%</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1,658,190.00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1,658,190.00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95,349,366.39</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11,213,271.86</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107,648,437.90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10,562,887.37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20" w:right="940"/>
        </w:sectPr>
      </w:pPr>
    </w:p>
    <w:p>
      <w:pPr>
        <w:spacing w:line="240" w:lineRule="auto" w:before="9"/>
        <w:rPr>
          <w:rFonts w:ascii="宋体" w:hAnsi="宋体" w:cs="宋体" w:eastAsia="宋体" w:hint="default"/>
          <w:sz w:val="25"/>
          <w:szCs w:val="25"/>
        </w:rPr>
      </w:pPr>
    </w:p>
    <w:p>
      <w:pPr>
        <w:pStyle w:val="BodyText"/>
        <w:spacing w:line="360" w:lineRule="auto" w:before="44"/>
        <w:ind w:right="3674"/>
        <w:jc w:val="left"/>
      </w:pPr>
      <w:r>
        <w:rPr/>
        <w:t>应收账款种类的说明 单项金额不重大但按信用风险特征组合后该组合的风险较大的应收账款包括：</w:t>
      </w:r>
    </w:p>
    <w:p>
      <w:pPr>
        <w:pStyle w:val="BodyText"/>
        <w:spacing w:line="236" w:lineRule="exact"/>
        <w:ind w:right="0"/>
        <w:jc w:val="left"/>
      </w:pPr>
      <w:r>
        <w:rPr/>
        <w:t>①</w:t>
      </w:r>
      <w:r>
        <w:rPr>
          <w:spacing w:val="-17"/>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月销售给青岛青波变压器股份有限公司产品货款</w:t>
      </w:r>
      <w:r>
        <w:rPr>
          <w:rFonts w:ascii="Times New Roman" w:hAnsi="Times New Roman" w:cs="Times New Roman" w:eastAsia="Times New Roman" w:hint="default"/>
        </w:rPr>
        <w:t>80</w:t>
      </w:r>
      <w:r>
        <w:rPr/>
        <w:t>万元，因对方对欠款余额不确认，造成款项无法收回的风险，</w:t>
      </w:r>
    </w:p>
    <w:p>
      <w:pPr>
        <w:pStyle w:val="BodyText"/>
        <w:spacing w:line="240" w:lineRule="auto" w:before="63"/>
        <w:ind w:right="3674"/>
        <w:jc w:val="left"/>
      </w:pPr>
      <w:r>
        <w:rPr/>
        <w:t>故在</w:t>
      </w:r>
      <w:r>
        <w:rPr>
          <w:rFonts w:ascii="Times New Roman" w:hAnsi="Times New Roman" w:cs="Times New Roman" w:eastAsia="Times New Roman" w:hint="default"/>
        </w:rPr>
        <w:t>2010</w:t>
      </w:r>
      <w:r>
        <w:rPr/>
        <w:t>年全额计提坏账准备。</w:t>
      </w:r>
    </w:p>
    <w:p>
      <w:pPr>
        <w:pStyle w:val="BodyText"/>
        <w:spacing w:line="300" w:lineRule="auto" w:before="63"/>
        <w:ind w:right="164"/>
        <w:jc w:val="left"/>
      </w:pPr>
      <w:r>
        <w:rPr/>
        <w:t>②应收沁阳沁澳铝业有限公司货款</w:t>
      </w:r>
      <w:r>
        <w:rPr>
          <w:rFonts w:ascii="Times New Roman" w:hAnsi="Times New Roman" w:cs="Times New Roman" w:eastAsia="Times New Roman" w:hint="default"/>
        </w:rPr>
        <w:t>184</w:t>
      </w:r>
      <w:r>
        <w:rPr/>
        <w:t>万元，</w:t>
      </w:r>
      <w:r>
        <w:rPr>
          <w:rFonts w:ascii="Times New Roman" w:hAnsi="Times New Roman" w:cs="Times New Roman" w:eastAsia="Times New Roman" w:hint="default"/>
        </w:rPr>
        <w:t>2010</w:t>
      </w:r>
      <w:r>
        <w:rPr/>
        <w:t>年已收回</w:t>
      </w:r>
      <w:r>
        <w:rPr>
          <w:rFonts w:ascii="Times New Roman" w:hAnsi="Times New Roman" w:cs="Times New Roman" w:eastAsia="Times New Roman" w:hint="default"/>
        </w:rPr>
        <w:t>981,810.00</w:t>
      </w:r>
      <w:r>
        <w:rPr/>
        <w:t>元，余额</w:t>
      </w:r>
      <w:r>
        <w:rPr>
          <w:rFonts w:ascii="Times New Roman" w:hAnsi="Times New Roman" w:cs="Times New Roman" w:eastAsia="Times New Roman" w:hint="default"/>
        </w:rPr>
        <w:t>858,190.00</w:t>
      </w:r>
      <w:r>
        <w:rPr/>
        <w:t>元重新划分为单项金额不重大但按 信用风险特征组合后该组合的风险较大的应收账款种类，已全额计提了坏账准备。</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60"/>
        </w:sectPr>
      </w:pPr>
    </w:p>
    <w:p>
      <w:pPr>
        <w:pStyle w:val="BodyText"/>
        <w:spacing w:line="240" w:lineRule="auto" w:before="44"/>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60"/>
          <w:cols w:num="2" w:equalWidth="0">
            <w:col w:w="4113" w:space="4716"/>
            <w:col w:w="114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盐田国际集装箱码头有限公司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14,112,000.00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705,600.00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冀北电力有限公司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8,223,227.00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411,161.35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山西省电力公司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7,971,339.40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398,566.97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6,862,210.00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343,110.50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6"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上海电气输配电工程成套有限公司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内蒙古电力（集团）有限责任公司乌兰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察布电业局</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3,618,000.00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江西久盛国际电力工程有限公司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3,577,095.90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178,854.80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山东电力集团公司物资供应公司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3,188,018.55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159,400.93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江苏省电力公司物资采购与配送中心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（国网）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2,941,062.79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147,053.13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新疆天龙矿业股份有限公司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2,176,300.00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209,480.00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9.63%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账龄较短，客户信用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良好，坏账风险较低</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64,063,895.04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3,303,859.75</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60"/>
        </w:sectPr>
      </w:pPr>
    </w:p>
    <w:p>
      <w:pPr>
        <w:pStyle w:val="BodyText"/>
        <w:spacing w:line="240" w:lineRule="auto" w:before="49"/>
        <w:ind w:right="-20"/>
        <w:jc w:val="left"/>
      </w:pPr>
      <w:r>
        <w:rPr/>
        <w:t>组合中，采用账龄分析法计提坏账准备的应收账款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60"/>
          <w:cols w:num="2" w:equalWidth="0">
            <w:col w:w="4113" w:space="4716"/>
            <w:col w:w="114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2657"/>
        <w:gridCol w:w="1462"/>
        <w:gridCol w:w="2792"/>
        <w:gridCol w:w="1583"/>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10,626,410.80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35.87%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531,320.54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36,567,571.70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1,828,378.59</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10,626,410.80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531,320.54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36,567,571.70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1,828,378.59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10,240,824.61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34.56%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1,024,082.46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8,451,505.00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845,150.50</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4,094,983.00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818,996.60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1,825,538.86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365,107.77</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4,665,062.94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3,876,822.51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4,377,654.08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3,062,661.60</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401,980.86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200,990.43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1,593,361.96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796,680.98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1,174,500.00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587,250.00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1,036,623.00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518,311.50</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3,088,582.08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3,088,582.08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1,747,669.12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1,747,669.12</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29,627,281.35</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6,251,222.11</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51,222,269.64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6,101,298.46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19"/>
        <w:jc w:val="left"/>
      </w:pPr>
      <w:r>
        <w:rPr/>
        <w:t>组合中，采用余额百分比法计提坏账准备的应收账款</w:t>
      </w:r>
    </w:p>
    <w:p>
      <w:pPr>
        <w:pStyle w:val="BodyText"/>
        <w:spacing w:line="340" w:lineRule="auto" w:before="115"/>
        <w:ind w:right="5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1"/>
              <w:jc w:val="left"/>
              <w:rPr>
                <w:rFonts w:ascii="宋体" w:hAnsi="宋体" w:cs="宋体" w:eastAsia="宋体" w:hint="default"/>
                <w:sz w:val="18"/>
                <w:szCs w:val="18"/>
              </w:rPr>
            </w:pPr>
            <w:r>
              <w:rPr>
                <w:rFonts w:ascii="宋体" w:hAnsi="宋体" w:cs="宋体" w:eastAsia="宋体" w:hint="default"/>
                <w:sz w:val="18"/>
                <w:szCs w:val="18"/>
              </w:rPr>
              <w:t>青岛青波变压器股份有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3"/>
              <w:jc w:val="both"/>
              <w:rPr>
                <w:rFonts w:ascii="宋体" w:hAnsi="宋体" w:cs="宋体" w:eastAsia="宋体" w:hint="default"/>
                <w:sz w:val="18"/>
                <w:szCs w:val="18"/>
              </w:rPr>
            </w:pPr>
            <w:r>
              <w:rPr>
                <w:rFonts w:ascii="宋体" w:hAnsi="宋体" w:cs="宋体" w:eastAsia="宋体" w:hint="default"/>
                <w:sz w:val="18"/>
                <w:szCs w:val="18"/>
              </w:rPr>
              <w:t>因对方对欠款余额不确 认，造成款项无法收回 的风险，故公司在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年全额计提坏账准备</w:t>
            </w:r>
          </w:p>
        </w:tc>
      </w:tr>
      <w:tr>
        <w:trPr>
          <w:trHeight w:val="165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沁阳沁澳铝业有限公司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858,190.00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858,190.00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年末重新划分为单 项金额不重大但按信用 风险特征组合后该组合 的风险较大的应收账款 种类</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1,658,190.00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1,658,190.00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32"/>
        <w:gridCol w:w="1935"/>
        <w:gridCol w:w="1935"/>
        <w:gridCol w:w="1933"/>
        <w:gridCol w:w="1834"/>
      </w:tblGrid>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594"/>
        <w:gridCol w:w="1863"/>
        <w:gridCol w:w="1860"/>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7,374,641.40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4,253,250.00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212,662.50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7,374,641.40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368,732.07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4,253,250.00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212,662.50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盐田国际集装箱码头有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14,112,000.00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冀北电力有限公司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8,223,227.00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7,971,339.40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荣信电力电子股份有限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7,374,641.40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腾达西北铁合金有限责 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6,862,210.00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44,543,417.80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股份的股 东</w:t>
            </w:r>
            <w:r>
              <w:rPr>
                <w:rFonts w:ascii="Times New Roman" w:hAnsi="Times New Roman" w:cs="Times New Roman" w:eastAsia="Times New Roman" w:hint="default"/>
                <w:sz w:val="18"/>
                <w:szCs w:val="18"/>
              </w:rPr>
              <w:t>,</w:t>
            </w:r>
            <w:r>
              <w:rPr>
                <w:rFonts w:ascii="宋体" w:hAnsi="宋体" w:cs="宋体" w:eastAsia="宋体" w:hint="default"/>
                <w:sz w:val="18"/>
                <w:szCs w:val="18"/>
              </w:rPr>
              <w:t>并委派一名董事</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7,374,641.40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不符合终止确认条件的应收账款的转移金额为元。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65"/>
        <w:gridCol w:w="1460"/>
        <w:gridCol w:w="523"/>
        <w:gridCol w:w="1326"/>
        <w:gridCol w:w="529"/>
        <w:gridCol w:w="1321"/>
        <w:gridCol w:w="523"/>
        <w:gridCol w:w="1196"/>
        <w:gridCol w:w="526"/>
      </w:tblGrid>
      <w:tr>
        <w:trPr>
          <w:trHeight w:val="398" w:hRule="exact"/>
        </w:trPr>
        <w:tc>
          <w:tcPr>
            <w:tcW w:w="2165" w:type="dxa"/>
            <w:vMerge w:val="restart"/>
            <w:tcBorders>
              <w:top w:val="single" w:sz="4" w:space="0" w:color="000000"/>
              <w:left w:val="single" w:sz="4" w:space="0" w:color="000000"/>
              <w:right w:val="single" w:sz="4" w:space="0" w:color="000000"/>
            </w:tcBorders>
            <w:shd w:val="clear" w:color="auto" w:fill="D2D2D2"/>
          </w:tcPr>
          <w:p>
            <w:pPr/>
          </w:p>
        </w:tc>
        <w:tc>
          <w:tcPr>
            <w:tcW w:w="38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65" w:type="dxa"/>
            <w:vMerge/>
            <w:tcBorders>
              <w:left w:val="single" w:sz="4" w:space="0" w:color="000000"/>
              <w:bottom w:val="nil" w:sz="6" w:space="0" w:color="auto"/>
              <w:right w:val="single" w:sz="4" w:space="0" w:color="000000"/>
            </w:tcBorders>
            <w:shd w:val="clear" w:color="auto" w:fill="D2D2D2"/>
          </w:tcPr>
          <w:p>
            <w:pPr/>
          </w:p>
        </w:tc>
        <w:tc>
          <w:tcPr>
            <w:tcW w:w="19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3" w:type="dxa"/>
            <w:gridSpan w:val="2"/>
            <w:vMerge/>
            <w:tcBorders>
              <w:left w:val="single" w:sz="4" w:space="0" w:color="000000"/>
              <w:bottom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165" w:type="dxa"/>
            <w:vMerge/>
            <w:tcBorders>
              <w:left w:val="single" w:sz="4" w:space="0" w:color="000000"/>
              <w:bottom w:val="single" w:sz="5" w:space="0" w:color="FFFFFF"/>
              <w:right w:val="single" w:sz="4" w:space="0" w:color="000000"/>
            </w:tcBorders>
            <w:shd w:val="clear" w:color="auto" w:fill="D2D2D2"/>
          </w:tcPr>
          <w:p>
            <w:pPr/>
          </w:p>
        </w:tc>
        <w:tc>
          <w:tcPr>
            <w:tcW w:w="1460"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65" w:type="dxa"/>
            <w:vMerge w:val="restart"/>
            <w:tcBorders>
              <w:top w:val="single" w:sz="5" w:space="0" w:color="FFFFFF"/>
              <w:left w:val="single" w:sz="4" w:space="0" w:color="000000"/>
              <w:right w:val="single" w:sz="4" w:space="0" w:color="000000"/>
            </w:tcBorders>
            <w:shd w:val="clear" w:color="auto" w:fill="D2D2D2"/>
          </w:tcPr>
          <w:p>
            <w:pPr/>
          </w:p>
        </w:tc>
        <w:tc>
          <w:tcPr>
            <w:tcW w:w="1460"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65"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25.07</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51,041,120.00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91.96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2,988,912.65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74.93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124,483.91</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4.16%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4,462,345.52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136,602.57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3.06%</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2,988,912.65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74.93</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124,483.91</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4.16%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4,462,345.52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136,602.57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3,988,912.65</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124,483.91</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55,503,465.52</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136,602.57</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634"/>
        <w:jc w:val="left"/>
      </w:pPr>
      <w:r>
        <w:rPr/>
        <w:t>其他应收款种类的说明 期末单项金额重大并单项计提坏账准备的其他应收款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宁夏天元锰业有限公司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7"/>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1,632,518.37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11,223.91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3,072,194.12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68.85%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21,661.39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1,632,518.37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11,223.91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3,072,194.12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68.85%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21,661.39</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892,586.00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1,255,511.00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28.14%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3,861.10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332,268.28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25,780.40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2,220.08</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112,860.00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108,860.00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108,860.00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108,860.00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108,860.00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2,988,912.65</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124,483.91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4,462,345.52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136,602.57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组合中，采用余额百分比法计提坏账准备的其他应收款</w:t>
      </w:r>
    </w:p>
    <w:p>
      <w:pPr>
        <w:pStyle w:val="BodyText"/>
        <w:spacing w:line="340" w:lineRule="auto" w:before="115"/>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3"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728"/>
        <w:gridCol w:w="1726"/>
        <w:gridCol w:w="1861"/>
        <w:gridCol w:w="1594"/>
      </w:tblGrid>
      <w:tr>
        <w:trPr>
          <w:trHeight w:val="404" w:hRule="exact"/>
        </w:trPr>
        <w:tc>
          <w:tcPr>
            <w:tcW w:w="2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60"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宁夏天元锰业有限公司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内蒙古蒙能招标有限公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中电技国际招标有限责 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300,868.28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国信招标集团有限公司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260,501.00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内蒙古分公司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华北电力物资总公司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2,253,922.28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青岛市恒 川滤波科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西安恒顺 电气科技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恒顺新加 坡国际控 股有限责 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137,843,8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137,843,8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137,843,8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青岛恒顺 节能科技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210,843,8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53,000,00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157,843,8</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210,843,8</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8"/>
        <w:gridCol w:w="798"/>
        <w:gridCol w:w="797"/>
        <w:gridCol w:w="799"/>
        <w:gridCol w:w="797"/>
        <w:gridCol w:w="799"/>
        <w:gridCol w:w="797"/>
      </w:tblGrid>
      <w:tr>
        <w:trPr>
          <w:trHeight w:val="3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67.00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67.00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67.00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374"/>
        <w:jc w:val="left"/>
      </w:pPr>
      <w:r>
        <w:rPr/>
        <w:t>长期股权投资的说明 期末，未发现长期股权投资存在明显减值迹象，故未计提减值准备。</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199,803,351.73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218,389,021.63</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4,254,741.06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4,034,486.54</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204,058,092.79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222,423,508.17</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116,714,272.24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131,251,900.71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199,803,351.73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116,248,543.60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131,128,192.69</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199,803,351.73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116,248,543.60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8" w:right="0"/>
              <w:jc w:val="left"/>
              <w:rPr>
                <w:rFonts w:ascii="Times New Roman" w:hAnsi="Times New Roman" w:cs="Times New Roman" w:eastAsia="Times New Roman" w:hint="default"/>
                <w:sz w:val="18"/>
                <w:szCs w:val="18"/>
              </w:rPr>
            </w:pPr>
            <w:r>
              <w:rPr>
                <w:rFonts w:ascii="Times New Roman"/>
                <w:sz w:val="18"/>
              </w:rPr>
              <w:t>131,128,192.69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电能质量优化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199,230,621.84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115,789,330.92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217,499,919.11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130,414,658.46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余热余压利用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572,729.89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459,212.68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889,102.52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713,534.23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199,803,351.73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116,248,543.60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131,128,192.69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9,577,261.82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7,073,687.00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20,385,276.92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12,930,119.99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64,883,067.15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33,417,317.48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58,025,408.46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35,108,157.08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28,836,518.09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20,517,898.45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58,513,730.34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32,956,661.65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13,460,512.84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6,008,629.25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6,695,410.25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3,605,151.85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6,694,335.89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3,752,727.06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9,367,282.05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5,608,545.99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29,640,006.46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19,148,938.21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59,901,315.32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37,824,407.95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46,711,649.48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26,329,346.15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5,500,598.29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3,095,148.18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199,803,351.73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116,248,543.60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218,389,021.63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131,128,192.69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华宁县顺昌工贸有限责任公司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46,697,974.27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山西省汇丰新型建材股份有限公司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39,303,540.22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27,103,931.67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深圳盐田西港区码头有限公司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13,401,709.42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山西省电力公司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11,468,815.38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137,975,970.96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67.61%</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2"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0"/>
        <w:jc w:val="left"/>
      </w:pPr>
      <w:r>
        <w:rPr/>
        <w:t>投资收益的说明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35,816,739.01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50,056,832.46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561,980.33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2,997,594.19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13,356,432.58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11,929,138.15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179,781.84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132,028.00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49,032.50</w:t>
            </w:r>
          </w:p>
        </w:tc>
      </w:tr>
      <w:tr>
        <w:trPr>
          <w:trHeight w:val="713"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2,710.43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-10,192.03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10,262,760.17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6,776,773.98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-5,773,992.18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-449,639.13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11,259,112.88</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-7,826,908.93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1,501,096.15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-75,890,444.17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-47,846,999.33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14,063,709.33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-3,191,869.37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8,232,058.24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-1,057,941.76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4,375,967.53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20,933,607.65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338,503,215.86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397,962,170.59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397,962,170.59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57,723,750.08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-59,458,954.73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340,238,420.51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反向购买下以公允价值入账的资产、负债情况</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0"/>
        <w:jc w:val="left"/>
      </w:pPr>
      <w:r>
        <w:rPr/>
        <w:t>反向购买形成长期股权投资的情况</w:t>
      </w:r>
    </w:p>
    <w:p>
      <w:pPr>
        <w:pStyle w:val="BodyText"/>
        <w:spacing w:line="240" w:lineRule="auto" w:before="117"/>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0.4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0.39</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88" w:right="0"/>
        <w:jc w:val="left"/>
      </w:pPr>
      <w:r>
        <w:rPr/>
        <w:t>（</w:t>
      </w:r>
      <w:r>
        <w:rPr>
          <w:rFonts w:ascii="Times New Roman" w:hAnsi="Times New Roman" w:cs="Times New Roman" w:eastAsia="Times New Roman" w:hint="default"/>
        </w:rPr>
        <w:t>1</w:t>
      </w:r>
      <w:r>
        <w:rPr/>
        <w:t>）预付账款</w:t>
      </w:r>
    </w:p>
    <w:p>
      <w:pPr>
        <w:pStyle w:val="BodyText"/>
        <w:spacing w:line="240" w:lineRule="auto" w:before="103"/>
        <w:ind w:left="467" w:right="0"/>
        <w:jc w:val="left"/>
      </w:pPr>
      <w:r>
        <w:rPr>
          <w:rFonts w:ascii="Times New Roman" w:hAnsi="Times New Roman" w:cs="Times New Roman" w:eastAsia="Times New Roman" w:hint="default"/>
          <w:spacing w:val="-2"/>
        </w:rPr>
        <w:t>2012</w:t>
      </w:r>
      <w:r>
        <w:rPr>
          <w:spacing w:val="-2"/>
        </w:rPr>
        <w:t>年末预付账款余额比</w:t>
      </w:r>
      <w:r>
        <w:rPr>
          <w:rFonts w:ascii="Times New Roman" w:hAnsi="Times New Roman" w:cs="Times New Roman" w:eastAsia="Times New Roman" w:hint="default"/>
          <w:spacing w:val="-2"/>
        </w:rPr>
        <w:t>2011</w:t>
      </w:r>
      <w:r>
        <w:rPr>
          <w:spacing w:val="-2"/>
        </w:rPr>
        <w:t>年末减少</w:t>
      </w:r>
      <w:r>
        <w:rPr>
          <w:rFonts w:ascii="Times New Roman" w:hAnsi="Times New Roman" w:cs="Times New Roman" w:eastAsia="Times New Roman" w:hint="default"/>
          <w:spacing w:val="-2"/>
        </w:rPr>
        <w:t>38.04%</w:t>
      </w:r>
      <w:r>
        <w:rPr>
          <w:spacing w:val="-2"/>
        </w:rPr>
        <w:t>（绝对额减少</w:t>
      </w:r>
      <w:r>
        <w:rPr>
          <w:rFonts w:ascii="Times New Roman" w:hAnsi="Times New Roman" w:cs="Times New Roman" w:eastAsia="Times New Roman" w:hint="default"/>
          <w:spacing w:val="-2"/>
        </w:rPr>
        <w:t>405.81</w:t>
      </w:r>
      <w:r>
        <w:rPr>
          <w:spacing w:val="-2"/>
        </w:rPr>
        <w:t>万元），主要原因是公司预付固定资产款项减少所致。</w:t>
      </w:r>
    </w:p>
    <w:p>
      <w:pPr>
        <w:pStyle w:val="BodyText"/>
        <w:spacing w:line="240" w:lineRule="auto" w:before="104"/>
        <w:ind w:left="388" w:right="0"/>
        <w:jc w:val="left"/>
      </w:pPr>
      <w:r>
        <w:rPr/>
        <w:t>（</w:t>
      </w:r>
      <w:r>
        <w:rPr>
          <w:rFonts w:ascii="Times New Roman" w:hAnsi="Times New Roman" w:cs="Times New Roman" w:eastAsia="Times New Roman" w:hint="default"/>
        </w:rPr>
        <w:t>2</w:t>
      </w:r>
      <w:r>
        <w:rPr/>
        <w:t>）存货</w:t>
      </w:r>
    </w:p>
    <w:p>
      <w:pPr>
        <w:pStyle w:val="BodyText"/>
        <w:spacing w:line="240" w:lineRule="auto" w:before="101"/>
        <w:ind w:left="467" w:right="0"/>
        <w:jc w:val="left"/>
      </w:pPr>
      <w:r>
        <w:rPr>
          <w:rFonts w:ascii="Times New Roman" w:hAnsi="Times New Roman" w:cs="Times New Roman" w:eastAsia="Times New Roman" w:hint="default"/>
        </w:rPr>
        <w:t>2012</w:t>
      </w:r>
      <w:r>
        <w:rPr/>
        <w:t>年末存货余额比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31.85%</w:t>
      </w:r>
      <w:r>
        <w:rPr/>
        <w:t>（绝对额增加</w:t>
      </w:r>
      <w:r>
        <w:rPr>
          <w:rFonts w:ascii="Times New Roman" w:hAnsi="Times New Roman" w:cs="Times New Roman" w:eastAsia="Times New Roman" w:hint="default"/>
        </w:rPr>
        <w:t>782.69</w:t>
      </w:r>
      <w:r>
        <w:rPr/>
        <w:t>万元），主要原因是公司原材料及库存商品增加所致。</w:t>
      </w:r>
    </w:p>
    <w:p>
      <w:pPr>
        <w:pStyle w:val="BodyText"/>
        <w:spacing w:line="240" w:lineRule="auto" w:before="103"/>
        <w:ind w:left="388" w:right="0"/>
        <w:jc w:val="left"/>
      </w:pPr>
      <w:r>
        <w:rPr/>
        <w:t>（</w:t>
      </w:r>
      <w:r>
        <w:rPr>
          <w:rFonts w:ascii="Times New Roman" w:hAnsi="Times New Roman" w:cs="Times New Roman" w:eastAsia="Times New Roman" w:hint="default"/>
        </w:rPr>
        <w:t>3</w:t>
      </w:r>
      <w:r>
        <w:rPr/>
        <w:t>）其他流动资产</w:t>
      </w:r>
    </w:p>
    <w:p>
      <w:pPr>
        <w:pStyle w:val="BodyText"/>
        <w:spacing w:line="300" w:lineRule="auto" w:before="103"/>
        <w:ind w:right="191" w:firstLine="324"/>
        <w:jc w:val="left"/>
      </w:pPr>
      <w:r>
        <w:rPr>
          <w:rFonts w:ascii="Times New Roman" w:hAnsi="Times New Roman" w:cs="Times New Roman" w:eastAsia="Times New Roman" w:hint="default"/>
          <w:spacing w:val="-1"/>
        </w:rPr>
        <w:t>2012</w:t>
      </w:r>
      <w:r>
        <w:rPr>
          <w:spacing w:val="-1"/>
        </w:rPr>
        <w:t>年末其他流动资产比</w:t>
      </w:r>
      <w:r>
        <w:rPr>
          <w:rFonts w:ascii="Times New Roman" w:hAnsi="Times New Roman" w:cs="Times New Roman" w:eastAsia="Times New Roman" w:hint="default"/>
          <w:spacing w:val="-1"/>
        </w:rPr>
        <w:t>2011</w:t>
      </w:r>
      <w:r>
        <w:rPr>
          <w:spacing w:val="-1"/>
        </w:rPr>
        <w:t>年末增加</w:t>
      </w:r>
      <w:r>
        <w:rPr>
          <w:rFonts w:ascii="Times New Roman" w:hAnsi="Times New Roman" w:cs="Times New Roman" w:eastAsia="Times New Roman" w:hint="default"/>
          <w:spacing w:val="-1"/>
        </w:rPr>
        <w:t>13,404.28</w:t>
      </w:r>
      <w:r>
        <w:rPr>
          <w:spacing w:val="-1"/>
        </w:rPr>
        <w:t>万元，原因是公司收购印尼公司股权事项处于收购进行阶段，还不能控</w:t>
      </w:r>
      <w:r>
        <w:rPr/>
        <w:t> 制被收购单位，将支付的前期股权收购价款作为其他流动资产列示。</w:t>
      </w:r>
    </w:p>
    <w:p>
      <w:pPr>
        <w:pStyle w:val="BodyText"/>
        <w:spacing w:line="240" w:lineRule="auto" w:before="70"/>
        <w:ind w:left="477" w:right="0"/>
        <w:jc w:val="left"/>
      </w:pPr>
      <w:r>
        <w:rPr/>
        <w:t>（</w:t>
      </w:r>
      <w:r>
        <w:rPr>
          <w:rFonts w:ascii="Times New Roman" w:hAnsi="Times New Roman" w:cs="Times New Roman" w:eastAsia="Times New Roman" w:hint="default"/>
        </w:rPr>
        <w:t>4</w:t>
      </w:r>
      <w:r>
        <w:rPr/>
        <w:t>）长期应收款</w:t>
      </w:r>
    </w:p>
    <w:p>
      <w:pPr>
        <w:pStyle w:val="BodyText"/>
        <w:spacing w:line="240" w:lineRule="auto" w:before="103"/>
        <w:ind w:left="477" w:right="0"/>
        <w:jc w:val="left"/>
      </w:pPr>
      <w:r>
        <w:rPr>
          <w:rFonts w:ascii="Times New Roman" w:hAnsi="Times New Roman" w:cs="Times New Roman" w:eastAsia="Times New Roman" w:hint="default"/>
        </w:rPr>
        <w:t>2012</w:t>
      </w:r>
      <w:r>
        <w:rPr/>
        <w:t>年末长期应收款比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8,941.63</w:t>
      </w:r>
      <w:r>
        <w:rPr/>
        <w:t>万元，是因为公司在</w:t>
      </w:r>
      <w:r>
        <w:rPr>
          <w:rFonts w:ascii="Times New Roman" w:hAnsi="Times New Roman" w:cs="Times New Roman" w:eastAsia="Times New Roman" w:hint="default"/>
        </w:rPr>
        <w:t>2012</w:t>
      </w:r>
      <w:r>
        <w:rPr/>
        <w:t>年增加了分期收款销售业务所致。</w:t>
      </w:r>
    </w:p>
    <w:p>
      <w:pPr>
        <w:pStyle w:val="BodyText"/>
        <w:spacing w:line="240" w:lineRule="auto" w:before="103"/>
        <w:ind w:left="388" w:right="0"/>
        <w:jc w:val="left"/>
      </w:pPr>
      <w:r>
        <w:rPr/>
        <w:t>（</w:t>
      </w:r>
      <w:r>
        <w:rPr>
          <w:rFonts w:ascii="Times New Roman" w:hAnsi="Times New Roman" w:cs="Times New Roman" w:eastAsia="Times New Roman" w:hint="default"/>
        </w:rPr>
        <w:t>5</w:t>
      </w:r>
      <w:r>
        <w:rPr/>
        <w:t>）固定资产</w:t>
      </w:r>
    </w:p>
    <w:p>
      <w:pPr>
        <w:pStyle w:val="BodyText"/>
        <w:spacing w:line="300" w:lineRule="auto" w:before="101"/>
        <w:ind w:right="215" w:firstLine="314"/>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年末固定资产余额比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41.46%</w:t>
      </w:r>
      <w:r>
        <w:rPr/>
        <w:t>（绝对额增加</w:t>
      </w:r>
      <w:r>
        <w:rPr>
          <w:rFonts w:ascii="Times New Roman" w:hAnsi="Times New Roman" w:cs="Times New Roman" w:eastAsia="Times New Roman" w:hint="default"/>
        </w:rPr>
        <w:t>7,210.15</w:t>
      </w:r>
      <w:r>
        <w:rPr/>
        <w:t>万元），主要原因是腾达西北铁合金矿热炉余热发 电项目资产投入运营转资增加固定资产所致</w:t>
      </w:r>
      <w:r>
        <w:rPr>
          <w:rFonts w:ascii="Times New Roman" w:hAnsi="Times New Roman" w:cs="Times New Roman" w:eastAsia="Times New Roman" w:hint="default"/>
        </w:rPr>
        <w:t>¡</w:t>
      </w:r>
    </w:p>
    <w:p>
      <w:pPr>
        <w:pStyle w:val="BodyText"/>
        <w:spacing w:line="240" w:lineRule="auto" w:before="53"/>
        <w:ind w:left="388" w:right="0"/>
        <w:jc w:val="left"/>
      </w:pPr>
      <w:r>
        <w:rPr/>
        <w:t>（</w:t>
      </w:r>
      <w:r>
        <w:rPr>
          <w:rFonts w:ascii="Times New Roman" w:hAnsi="Times New Roman" w:cs="Times New Roman" w:eastAsia="Times New Roman" w:hint="default"/>
        </w:rPr>
        <w:t>6</w:t>
      </w:r>
      <w:r>
        <w:rPr/>
        <w:t>）在建工程</w:t>
      </w:r>
    </w:p>
    <w:p>
      <w:pPr>
        <w:pStyle w:val="BodyText"/>
        <w:spacing w:line="300" w:lineRule="auto" w:before="104"/>
        <w:ind w:right="259" w:firstLine="360"/>
        <w:jc w:val="left"/>
      </w:pPr>
      <w:r>
        <w:rPr>
          <w:rFonts w:ascii="Times New Roman" w:hAnsi="Times New Roman" w:cs="Times New Roman" w:eastAsia="Times New Roman" w:hint="default"/>
        </w:rPr>
        <w:t>2012</w:t>
      </w:r>
      <w:r>
        <w:rPr/>
        <w:t>年末在建工程余额比</w:t>
      </w:r>
      <w:r>
        <w:rPr>
          <w:rFonts w:ascii="Times New Roman" w:hAnsi="Times New Roman" w:cs="Times New Roman" w:eastAsia="Times New Roman" w:hint="default"/>
        </w:rPr>
        <w:t>2011</w:t>
      </w:r>
      <w:r>
        <w:rPr/>
        <w:t>年末减少</w:t>
      </w:r>
      <w:r>
        <w:rPr>
          <w:rFonts w:ascii="Times New Roman" w:hAnsi="Times New Roman" w:cs="Times New Roman" w:eastAsia="Times New Roman" w:hint="default"/>
        </w:rPr>
        <w:t>36.76%</w:t>
      </w:r>
      <w:r>
        <w:rPr/>
        <w:t>（绝对额减少</w:t>
      </w:r>
      <w:r>
        <w:rPr>
          <w:rFonts w:ascii="Times New Roman" w:hAnsi="Times New Roman" w:cs="Times New Roman" w:eastAsia="Times New Roman" w:hint="default"/>
        </w:rPr>
        <w:t>205.20</w:t>
      </w:r>
      <w:r>
        <w:rPr/>
        <w:t>万元）</w:t>
      </w:r>
      <w:r>
        <w:rPr>
          <w:rFonts w:ascii="Times New Roman" w:hAnsi="Times New Roman" w:cs="Times New Roman" w:eastAsia="Times New Roman" w:hint="default"/>
        </w:rPr>
        <w:t>,</w:t>
      </w:r>
      <w:r>
        <w:rPr/>
        <w:t>主要原因是在建项目达到可使用状态并通过 验收转资增加固定资产所致。</w:t>
      </w:r>
    </w:p>
    <w:p>
      <w:pPr>
        <w:pStyle w:val="BodyText"/>
        <w:spacing w:line="240" w:lineRule="auto" w:before="70"/>
        <w:ind w:left="388" w:right="0"/>
        <w:jc w:val="left"/>
      </w:pPr>
      <w:r>
        <w:rPr/>
        <w:t>（</w:t>
      </w:r>
      <w:r>
        <w:rPr>
          <w:rFonts w:ascii="Times New Roman" w:hAnsi="Times New Roman" w:cs="Times New Roman" w:eastAsia="Times New Roman" w:hint="default"/>
        </w:rPr>
        <w:t>7</w:t>
      </w:r>
      <w:r>
        <w:rPr/>
        <w:t>）递延所得税资产</w:t>
      </w:r>
    </w:p>
    <w:p>
      <w:pPr>
        <w:pStyle w:val="BodyText"/>
        <w:spacing w:line="300" w:lineRule="auto" w:before="103"/>
        <w:ind w:right="214" w:firstLine="360"/>
        <w:jc w:val="left"/>
      </w:pPr>
      <w:r>
        <w:rPr>
          <w:rFonts w:ascii="Times New Roman" w:hAnsi="Times New Roman" w:cs="Times New Roman" w:eastAsia="Times New Roman" w:hint="default"/>
        </w:rPr>
        <w:t>2012</w:t>
      </w:r>
      <w:r>
        <w:rPr/>
        <w:t>年末递延所得税资产余额比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359.77%</w:t>
      </w:r>
      <w:r>
        <w:rPr/>
        <w:t>（绝对额增加</w:t>
      </w:r>
      <w:r>
        <w:rPr>
          <w:rFonts w:ascii="Times New Roman" w:hAnsi="Times New Roman" w:cs="Times New Roman" w:eastAsia="Times New Roman" w:hint="default"/>
        </w:rPr>
        <w:t>577.40</w:t>
      </w:r>
      <w:r>
        <w:rPr/>
        <w:t>万元），主要原因是公司新增分期收款销售 业务形成的存货计税基础与账面价值的差异增加确认递延所得税资产所致。</w:t>
      </w:r>
    </w:p>
    <w:p>
      <w:pPr>
        <w:pStyle w:val="BodyText"/>
        <w:spacing w:line="240" w:lineRule="auto" w:before="72"/>
        <w:ind w:left="467" w:right="0"/>
        <w:jc w:val="left"/>
      </w:pPr>
      <w:r>
        <w:rPr/>
        <w:t>（</w:t>
      </w:r>
      <w:r>
        <w:rPr>
          <w:rFonts w:ascii="Times New Roman" w:hAnsi="Times New Roman" w:cs="Times New Roman" w:eastAsia="Times New Roman" w:hint="default"/>
        </w:rPr>
        <w:t>8</w:t>
      </w:r>
      <w:r>
        <w:rPr/>
        <w:t>）其他非流动资产</w:t>
      </w:r>
    </w:p>
    <w:p>
      <w:pPr>
        <w:pStyle w:val="BodyText"/>
        <w:spacing w:line="300" w:lineRule="auto" w:before="101"/>
        <w:ind w:right="0" w:firstLine="314"/>
        <w:jc w:val="left"/>
      </w:pPr>
      <w:r>
        <w:rPr>
          <w:rFonts w:ascii="Times New Roman" w:hAnsi="Times New Roman" w:cs="Times New Roman" w:eastAsia="Times New Roman" w:hint="default"/>
        </w:rPr>
        <w:t>2012</w:t>
      </w:r>
      <w:r>
        <w:rPr/>
        <w:t>年末其他非流动资产余额比</w:t>
      </w:r>
      <w:r>
        <w:rPr>
          <w:rFonts w:ascii="Times New Roman" w:hAnsi="Times New Roman" w:cs="Times New Roman" w:eastAsia="Times New Roman" w:hint="default"/>
        </w:rPr>
        <w:t>2011</w:t>
      </w:r>
      <w:r>
        <w:rPr/>
        <w:t>年末减少</w:t>
      </w:r>
      <w:r>
        <w:rPr>
          <w:rFonts w:ascii="Times New Roman" w:hAnsi="Times New Roman" w:cs="Times New Roman" w:eastAsia="Times New Roman" w:hint="default"/>
        </w:rPr>
        <w:t>9,801.15</w:t>
      </w:r>
      <w:r>
        <w:rPr/>
        <w:t>万元，主要原因是公司以合同能源管理模式建设腾达西北铁合金 矿热炉余热发电项目的投入运营转资增加固定资产所致。</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467" w:right="0"/>
        <w:jc w:val="left"/>
      </w:pPr>
      <w:r>
        <w:rPr/>
        <w:t>（</w:t>
      </w:r>
      <w:r>
        <w:rPr>
          <w:rFonts w:ascii="Times New Roman" w:hAnsi="Times New Roman" w:cs="Times New Roman" w:eastAsia="Times New Roman" w:hint="default"/>
        </w:rPr>
        <w:t>9</w:t>
      </w:r>
      <w:r>
        <w:rPr/>
        <w:t>）应付票据</w:t>
      </w:r>
    </w:p>
    <w:p>
      <w:pPr>
        <w:pStyle w:val="BodyText"/>
        <w:spacing w:line="240" w:lineRule="auto" w:before="104"/>
        <w:ind w:left="467" w:right="0"/>
        <w:jc w:val="left"/>
      </w:pPr>
      <w:r>
        <w:rPr>
          <w:rFonts w:ascii="Times New Roman" w:hAnsi="Times New Roman" w:cs="Times New Roman" w:eastAsia="Times New Roman" w:hint="default"/>
        </w:rPr>
        <w:t>2012</w:t>
      </w:r>
      <w:r>
        <w:rPr/>
        <w:t>年末应付票据余额比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68.54</w:t>
      </w:r>
      <w:r>
        <w:rPr/>
        <w:t>％（绝对额增加</w:t>
      </w:r>
      <w:r>
        <w:rPr>
          <w:rFonts w:ascii="Times New Roman" w:hAnsi="Times New Roman" w:cs="Times New Roman" w:eastAsia="Times New Roman" w:hint="default"/>
        </w:rPr>
        <w:t>885.69</w:t>
      </w:r>
      <w:r>
        <w:rPr/>
        <w:t>万元），主要原因是以票据方式结算采购货款所致。</w:t>
      </w:r>
    </w:p>
    <w:p>
      <w:pPr>
        <w:pStyle w:val="BodyText"/>
        <w:spacing w:line="240" w:lineRule="auto" w:before="101"/>
        <w:ind w:left="467" w:right="0"/>
        <w:jc w:val="left"/>
      </w:pPr>
      <w:r>
        <w:rPr/>
        <w:t>（</w:t>
      </w:r>
      <w:r>
        <w:rPr>
          <w:rFonts w:ascii="Times New Roman" w:hAnsi="Times New Roman" w:cs="Times New Roman" w:eastAsia="Times New Roman" w:hint="default"/>
        </w:rPr>
        <w:t>10</w:t>
      </w:r>
      <w:r>
        <w:rPr/>
        <w:t>）预收账款</w:t>
      </w:r>
    </w:p>
    <w:p>
      <w:pPr>
        <w:pStyle w:val="BodyText"/>
        <w:spacing w:line="300" w:lineRule="auto" w:before="103"/>
        <w:ind w:right="214" w:firstLine="360"/>
        <w:jc w:val="left"/>
      </w:pPr>
      <w:r>
        <w:rPr>
          <w:rFonts w:ascii="Times New Roman" w:hAnsi="Times New Roman" w:cs="Times New Roman" w:eastAsia="Times New Roman" w:hint="default"/>
        </w:rPr>
        <w:t>2012</w:t>
      </w:r>
      <w:r>
        <w:rPr/>
        <w:t>年末账款余额比</w:t>
      </w:r>
      <w:r>
        <w:rPr>
          <w:rFonts w:ascii="Times New Roman" w:hAnsi="Times New Roman" w:cs="Times New Roman" w:eastAsia="Times New Roman" w:hint="default"/>
        </w:rPr>
        <w:t>2011</w:t>
      </w:r>
      <w:r>
        <w:rPr/>
        <w:t>年末减少</w:t>
      </w:r>
      <w:r>
        <w:rPr>
          <w:rFonts w:ascii="Times New Roman" w:hAnsi="Times New Roman" w:cs="Times New Roman" w:eastAsia="Times New Roman" w:hint="default"/>
        </w:rPr>
        <w:t>33.66%</w:t>
      </w:r>
      <w:r>
        <w:rPr/>
        <w:t>（绝对额减少</w:t>
      </w:r>
      <w:r>
        <w:rPr>
          <w:rFonts w:ascii="Times New Roman" w:hAnsi="Times New Roman" w:cs="Times New Roman" w:eastAsia="Times New Roman" w:hint="default"/>
        </w:rPr>
        <w:t>31.67</w:t>
      </w:r>
      <w:r>
        <w:rPr/>
        <w:t>万元），主要原因是本期预收梧州市电业局、寿光巨能特 钢有限公司款项减少导致的。</w:t>
      </w:r>
    </w:p>
    <w:p>
      <w:pPr>
        <w:pStyle w:val="BodyText"/>
        <w:spacing w:line="240" w:lineRule="auto" w:before="72"/>
        <w:ind w:left="513" w:right="0"/>
        <w:jc w:val="left"/>
      </w:pPr>
      <w:r>
        <w:rPr/>
        <w:t>（</w:t>
      </w:r>
      <w:r>
        <w:rPr>
          <w:rFonts w:ascii="Times New Roman" w:hAnsi="Times New Roman" w:cs="Times New Roman" w:eastAsia="Times New Roman" w:hint="default"/>
        </w:rPr>
        <w:t>11</w:t>
      </w:r>
      <w:r>
        <w:rPr/>
        <w:t>）应付利息</w:t>
      </w:r>
    </w:p>
    <w:p>
      <w:pPr>
        <w:pStyle w:val="BodyText"/>
        <w:spacing w:line="240" w:lineRule="auto" w:before="101"/>
        <w:ind w:left="566" w:right="0"/>
        <w:jc w:val="left"/>
      </w:pPr>
      <w:r>
        <w:rPr>
          <w:rFonts w:ascii="Times New Roman" w:hAnsi="Times New Roman" w:cs="Times New Roman" w:eastAsia="Times New Roman" w:hint="default"/>
        </w:rPr>
        <w:t>2012</w:t>
      </w:r>
      <w:r>
        <w:rPr/>
        <w:t>年末应付利息余额比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50.99%</w:t>
      </w:r>
      <w:r>
        <w:rPr/>
        <w:t>（绝对额增加</w:t>
      </w:r>
      <w:r>
        <w:rPr>
          <w:rFonts w:ascii="Times New Roman" w:hAnsi="Times New Roman" w:cs="Times New Roman" w:eastAsia="Times New Roman" w:hint="default"/>
        </w:rPr>
        <w:t>16.48</w:t>
      </w:r>
      <w:r>
        <w:rPr/>
        <w:t>万元），主要原因是公司银行借款余额增加所致。</w:t>
      </w:r>
    </w:p>
    <w:p>
      <w:pPr>
        <w:pStyle w:val="BodyText"/>
        <w:spacing w:line="240" w:lineRule="auto" w:before="103"/>
        <w:ind w:left="513" w:right="0"/>
        <w:jc w:val="left"/>
      </w:pPr>
      <w:r>
        <w:rPr/>
        <w:t>（</w:t>
      </w:r>
      <w:r>
        <w:rPr>
          <w:rFonts w:ascii="Times New Roman" w:hAnsi="Times New Roman" w:cs="Times New Roman" w:eastAsia="Times New Roman" w:hint="default"/>
        </w:rPr>
        <w:t>12</w:t>
      </w:r>
      <w:r>
        <w:rPr/>
        <w:t>）其他应付款</w:t>
      </w:r>
    </w:p>
    <w:p>
      <w:pPr>
        <w:pStyle w:val="BodyText"/>
        <w:spacing w:line="300" w:lineRule="auto" w:before="103"/>
        <w:ind w:right="186" w:firstLine="360"/>
        <w:jc w:val="left"/>
      </w:pPr>
      <w:r>
        <w:rPr>
          <w:rFonts w:ascii="Times New Roman" w:hAnsi="Times New Roman" w:cs="Times New Roman" w:eastAsia="Times New Roman" w:hint="default"/>
          <w:spacing w:val="-1"/>
        </w:rPr>
        <w:t>2012</w:t>
      </w:r>
      <w:r>
        <w:rPr>
          <w:spacing w:val="-1"/>
        </w:rPr>
        <w:t>年末其他应付款余额比</w:t>
      </w:r>
      <w:r>
        <w:rPr>
          <w:rFonts w:ascii="Times New Roman" w:hAnsi="Times New Roman" w:cs="Times New Roman" w:eastAsia="Times New Roman" w:hint="default"/>
          <w:spacing w:val="-1"/>
        </w:rPr>
        <w:t>2011</w:t>
      </w:r>
      <w:r>
        <w:rPr>
          <w:spacing w:val="-1"/>
        </w:rPr>
        <w:t>年末增加</w:t>
      </w:r>
      <w:r>
        <w:rPr>
          <w:rFonts w:ascii="Times New Roman" w:hAnsi="Times New Roman" w:cs="Times New Roman" w:eastAsia="Times New Roman" w:hint="default"/>
          <w:spacing w:val="-1"/>
        </w:rPr>
        <w:t>216.47%</w:t>
      </w:r>
      <w:r>
        <w:rPr>
          <w:spacing w:val="-1"/>
        </w:rPr>
        <w:t>（绝对额增加</w:t>
      </w:r>
      <w:r>
        <w:rPr>
          <w:rFonts w:ascii="Times New Roman" w:hAnsi="Times New Roman" w:cs="Times New Roman" w:eastAsia="Times New Roman" w:hint="default"/>
          <w:spacing w:val="-1"/>
        </w:rPr>
        <w:t>12.59</w:t>
      </w:r>
      <w:r>
        <w:rPr>
          <w:spacing w:val="-1"/>
        </w:rPr>
        <w:t>万元），主要原因新加坡子公司应付代理记账、审</w:t>
      </w:r>
      <w:r>
        <w:rPr/>
        <w:t> 计费增加所致。</w:t>
      </w:r>
    </w:p>
    <w:p>
      <w:pPr>
        <w:pStyle w:val="BodyText"/>
        <w:spacing w:line="240" w:lineRule="auto" w:before="70"/>
        <w:ind w:left="513" w:right="0"/>
        <w:jc w:val="left"/>
      </w:pPr>
      <w:r>
        <w:rPr/>
        <w:t>（</w:t>
      </w:r>
      <w:r>
        <w:rPr>
          <w:rFonts w:ascii="Times New Roman" w:hAnsi="Times New Roman" w:cs="Times New Roman" w:eastAsia="Times New Roman" w:hint="default"/>
        </w:rPr>
        <w:t>13</w:t>
      </w:r>
      <w:r>
        <w:rPr/>
        <w:t>）长期借款</w:t>
      </w:r>
    </w:p>
    <w:p>
      <w:pPr>
        <w:pStyle w:val="BodyText"/>
        <w:spacing w:line="240" w:lineRule="auto" w:before="104"/>
        <w:ind w:left="604" w:right="0"/>
        <w:jc w:val="left"/>
      </w:pPr>
      <w:r>
        <w:rPr>
          <w:rFonts w:ascii="Times New Roman" w:hAnsi="Times New Roman" w:cs="Times New Roman" w:eastAsia="Times New Roman" w:hint="default"/>
        </w:rPr>
        <w:t>2012</w:t>
      </w:r>
      <w:r>
        <w:rPr/>
        <w:t>年末长期借款余额比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316.49%</w:t>
      </w:r>
      <w:r>
        <w:rPr/>
        <w:t>（绝对额增加</w:t>
      </w:r>
      <w:r>
        <w:rPr>
          <w:rFonts w:ascii="Times New Roman" w:hAnsi="Times New Roman" w:cs="Times New Roman" w:eastAsia="Times New Roman" w:hint="default"/>
        </w:rPr>
        <w:t>10,127.78</w:t>
      </w:r>
      <w:r>
        <w:rPr/>
        <w:t>万元），主要原因是本期新增节能项目借款所</w:t>
      </w:r>
    </w:p>
    <w:p>
      <w:pPr>
        <w:pStyle w:val="BodyText"/>
        <w:spacing w:line="240" w:lineRule="auto" w:before="63"/>
        <w:ind w:right="0"/>
        <w:jc w:val="left"/>
      </w:pPr>
      <w:r>
        <w:rPr/>
        <w:t>致。</w:t>
      </w:r>
    </w:p>
    <w:p>
      <w:pPr>
        <w:pStyle w:val="BodyText"/>
        <w:spacing w:line="240" w:lineRule="auto" w:before="117"/>
        <w:ind w:left="513" w:right="0"/>
        <w:jc w:val="left"/>
      </w:pPr>
      <w:r>
        <w:rPr/>
        <w:t>（</w:t>
      </w:r>
      <w:r>
        <w:rPr>
          <w:rFonts w:ascii="Times New Roman" w:hAnsi="Times New Roman" w:cs="Times New Roman" w:eastAsia="Times New Roman" w:hint="default"/>
        </w:rPr>
        <w:t>14</w:t>
      </w:r>
      <w:r>
        <w:rPr/>
        <w:t>）递延所得税负债</w:t>
      </w:r>
    </w:p>
    <w:p>
      <w:pPr>
        <w:pStyle w:val="BodyText"/>
        <w:spacing w:line="240" w:lineRule="auto" w:before="101"/>
        <w:ind w:left="604"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年末递延所得税负债余</w:t>
      </w:r>
      <w:r>
        <w:rPr>
          <w:spacing w:val="-3"/>
        </w:rPr>
        <w:t>额</w:t>
      </w:r>
      <w:r>
        <w:rPr/>
        <w:t>比</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年末增加</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91</w:t>
      </w:r>
      <w:r>
        <w:rPr/>
        <w:t>万</w:t>
      </w:r>
      <w:r>
        <w:rPr>
          <w:spacing w:val="-3"/>
        </w:rPr>
        <w:t>元</w:t>
      </w:r>
      <w:r>
        <w:rPr>
          <w:spacing w:val="-85"/>
        </w:rPr>
        <w:t>，</w:t>
      </w:r>
      <w:r>
        <w:rPr/>
        <w:t>主要原因公司新增分期收款销售业务形成的长期应收款计</w:t>
      </w:r>
    </w:p>
    <w:p>
      <w:pPr>
        <w:pStyle w:val="BodyText"/>
        <w:spacing w:line="240" w:lineRule="auto" w:before="63"/>
        <w:ind w:right="0"/>
        <w:jc w:val="left"/>
      </w:pPr>
      <w:r>
        <w:rPr/>
        <w:t>税基础与账面价值的差异确认递延所得税负债所致。</w:t>
      </w:r>
    </w:p>
    <w:p>
      <w:pPr>
        <w:pStyle w:val="BodyText"/>
        <w:spacing w:line="240" w:lineRule="auto" w:before="117"/>
        <w:ind w:left="513" w:right="0"/>
        <w:jc w:val="left"/>
      </w:pPr>
      <w:r>
        <w:rPr/>
        <w:t>（</w:t>
      </w:r>
      <w:r>
        <w:rPr>
          <w:rFonts w:ascii="Times New Roman" w:hAnsi="Times New Roman" w:cs="Times New Roman" w:eastAsia="Times New Roman" w:hint="default"/>
        </w:rPr>
        <w:t>15</w:t>
      </w:r>
      <w:r>
        <w:rPr/>
        <w:t>）股本</w:t>
      </w:r>
    </w:p>
    <w:p>
      <w:pPr>
        <w:pStyle w:val="BodyText"/>
        <w:spacing w:line="240" w:lineRule="auto" w:before="103"/>
        <w:ind w:left="604" w:right="0"/>
        <w:jc w:val="left"/>
      </w:pPr>
      <w:r>
        <w:rPr>
          <w:rFonts w:ascii="Times New Roman" w:hAnsi="Times New Roman" w:cs="Times New Roman" w:eastAsia="Times New Roman" w:hint="default"/>
        </w:rPr>
        <w:t>2012</w:t>
      </w:r>
      <w:r>
        <w:rPr/>
        <w:t>年末股本比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100%</w:t>
      </w:r>
      <w:r>
        <w:rPr/>
        <w:t>（绝对额增加</w:t>
      </w:r>
      <w:r>
        <w:rPr>
          <w:rFonts w:ascii="Times New Roman" w:hAnsi="Times New Roman" w:cs="Times New Roman" w:eastAsia="Times New Roman" w:hint="default"/>
        </w:rPr>
        <w:t>7,000</w:t>
      </w:r>
      <w:r>
        <w:rPr/>
        <w:t>万元），是因为公司根据股东会决议以资本公积转增资本所致。</w:t>
      </w:r>
    </w:p>
    <w:p>
      <w:pPr>
        <w:pStyle w:val="BodyText"/>
        <w:spacing w:line="240" w:lineRule="auto" w:before="101"/>
        <w:ind w:left="513" w:right="0"/>
        <w:jc w:val="left"/>
      </w:pPr>
      <w:r>
        <w:rPr/>
        <w:t>（</w:t>
      </w:r>
      <w:r>
        <w:rPr>
          <w:rFonts w:ascii="Times New Roman" w:hAnsi="Times New Roman" w:cs="Times New Roman" w:eastAsia="Times New Roman" w:hint="default"/>
        </w:rPr>
        <w:t>16</w:t>
      </w:r>
      <w:r>
        <w:rPr/>
        <w:t>）盈余公积</w:t>
      </w:r>
    </w:p>
    <w:p>
      <w:pPr>
        <w:pStyle w:val="BodyText"/>
        <w:spacing w:line="240" w:lineRule="auto" w:before="103"/>
        <w:ind w:left="604" w:right="0"/>
        <w:jc w:val="left"/>
      </w:pPr>
      <w:r>
        <w:rPr>
          <w:rFonts w:ascii="Times New Roman" w:hAnsi="Times New Roman" w:cs="Times New Roman" w:eastAsia="Times New Roman" w:hint="default"/>
        </w:rPr>
        <w:t>2012</w:t>
      </w:r>
      <w:r>
        <w:rPr/>
        <w:t>年末盈余公积比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39.24%</w:t>
      </w:r>
      <w:r>
        <w:rPr/>
        <w:t>（绝对额增加</w:t>
      </w:r>
      <w:r>
        <w:rPr>
          <w:rFonts w:ascii="Times New Roman" w:hAnsi="Times New Roman" w:cs="Times New Roman" w:eastAsia="Times New Roman" w:hint="default"/>
        </w:rPr>
        <w:t>358.17</w:t>
      </w:r>
      <w:r>
        <w:rPr/>
        <w:t>万元），原因是公司计提法定盈余公积金所致。</w:t>
      </w:r>
    </w:p>
    <w:p>
      <w:pPr>
        <w:pStyle w:val="BodyText"/>
        <w:spacing w:line="240" w:lineRule="auto" w:before="103"/>
        <w:ind w:left="513" w:right="0"/>
        <w:jc w:val="left"/>
      </w:pPr>
      <w:r>
        <w:rPr/>
        <w:t>（</w:t>
      </w:r>
      <w:r>
        <w:rPr>
          <w:rFonts w:ascii="Times New Roman" w:hAnsi="Times New Roman" w:cs="Times New Roman" w:eastAsia="Times New Roman" w:hint="default"/>
        </w:rPr>
        <w:t>17</w:t>
      </w:r>
      <w:r>
        <w:rPr/>
        <w:t>）未分配利润</w:t>
      </w:r>
    </w:p>
    <w:p>
      <w:pPr>
        <w:pStyle w:val="BodyText"/>
        <w:spacing w:line="240" w:lineRule="auto" w:before="101"/>
        <w:ind w:left="513" w:right="0"/>
        <w:jc w:val="left"/>
      </w:pPr>
      <w:r>
        <w:rPr>
          <w:rFonts w:ascii="Times New Roman" w:hAnsi="Times New Roman" w:cs="Times New Roman" w:eastAsia="Times New Roman" w:hint="default"/>
        </w:rPr>
        <w:t>2012</w:t>
      </w:r>
      <w:r>
        <w:rPr/>
        <w:t>年末未分配利润比</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49.62%</w:t>
      </w:r>
      <w:r>
        <w:rPr>
          <w:rFonts w:ascii="Times New Roman" w:hAnsi="Times New Roman" w:cs="Times New Roman" w:eastAsia="Times New Roman" w:hint="default"/>
          <w:spacing w:val="20"/>
        </w:rPr>
        <w:t> </w:t>
      </w:r>
      <w:r>
        <w:rPr/>
        <w:t>（绝对额增加</w:t>
      </w:r>
      <w:r>
        <w:rPr>
          <w:rFonts w:ascii="Times New Roman" w:hAnsi="Times New Roman" w:cs="Times New Roman" w:eastAsia="Times New Roman" w:hint="default"/>
        </w:rPr>
        <w:t>3,776.01</w:t>
      </w:r>
      <w:r>
        <w:rPr/>
        <w:t>万元），主要原因是公司本期盈利所致。</w:t>
      </w:r>
    </w:p>
    <w:p>
      <w:pPr>
        <w:pStyle w:val="BodyText"/>
        <w:spacing w:line="240" w:lineRule="auto" w:before="104"/>
        <w:ind w:left="513" w:right="0"/>
        <w:jc w:val="left"/>
      </w:pPr>
      <w:r>
        <w:rPr/>
        <w:t>（</w:t>
      </w:r>
      <w:r>
        <w:rPr>
          <w:rFonts w:ascii="Times New Roman" w:hAnsi="Times New Roman" w:cs="Times New Roman" w:eastAsia="Times New Roman" w:hint="default"/>
        </w:rPr>
        <w:t>18</w:t>
      </w:r>
      <w:r>
        <w:rPr/>
        <w:t>）管理费用</w:t>
      </w:r>
    </w:p>
    <w:p>
      <w:pPr>
        <w:pStyle w:val="BodyText"/>
        <w:spacing w:line="300" w:lineRule="auto" w:before="103"/>
        <w:ind w:right="0" w:firstLine="360"/>
        <w:jc w:val="left"/>
      </w:pPr>
      <w:r>
        <w:rPr>
          <w:rFonts w:ascii="Times New Roman" w:hAnsi="Times New Roman" w:cs="Times New Roman" w:eastAsia="Times New Roman" w:hint="default"/>
        </w:rPr>
        <w:t>2012</w:t>
      </w:r>
      <w:r>
        <w:rPr/>
        <w:t>年度管理费用发生额比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39.69%</w:t>
      </w:r>
      <w:r>
        <w:rPr/>
        <w:t>（绝对额增加</w:t>
      </w:r>
      <w:r>
        <w:rPr>
          <w:rFonts w:ascii="Times New Roman" w:hAnsi="Times New Roman" w:cs="Times New Roman" w:eastAsia="Times New Roman" w:hint="default"/>
        </w:rPr>
        <w:t>806.21</w:t>
      </w:r>
      <w:r>
        <w:rPr/>
        <w:t>万元），主要原因是股票期权费用</w:t>
      </w:r>
      <w:r>
        <w:rPr>
          <w:rFonts w:ascii="Times New Roman" w:hAnsi="Times New Roman" w:cs="Times New Roman" w:eastAsia="Times New Roman" w:hint="default"/>
        </w:rPr>
        <w:t>929</w:t>
      </w:r>
      <w:r>
        <w:rPr/>
        <w:t>万元计入本 科目所致。</w:t>
      </w:r>
    </w:p>
    <w:p>
      <w:pPr>
        <w:pStyle w:val="BodyText"/>
        <w:spacing w:line="240" w:lineRule="auto" w:before="70"/>
        <w:ind w:left="513" w:right="0"/>
        <w:jc w:val="left"/>
      </w:pPr>
      <w:r>
        <w:rPr/>
        <w:t>（</w:t>
      </w:r>
      <w:r>
        <w:rPr>
          <w:rFonts w:ascii="Times New Roman" w:hAnsi="Times New Roman" w:cs="Times New Roman" w:eastAsia="Times New Roman" w:hint="default"/>
        </w:rPr>
        <w:t>19</w:t>
      </w:r>
      <w:r>
        <w:rPr/>
        <w:t>）财务费用</w:t>
      </w:r>
    </w:p>
    <w:p>
      <w:pPr>
        <w:pStyle w:val="BodyText"/>
        <w:spacing w:line="300" w:lineRule="auto" w:before="103"/>
        <w:ind w:right="0" w:firstLine="413"/>
        <w:jc w:val="left"/>
      </w:pPr>
      <w:r>
        <w:rPr>
          <w:rFonts w:ascii="Times New Roman" w:hAnsi="Times New Roman" w:cs="Times New Roman" w:eastAsia="Times New Roman" w:hint="default"/>
        </w:rPr>
        <w:t>2012</w:t>
      </w:r>
      <w:r>
        <w:rPr/>
        <w:t>年度财务费用发生额比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87.36%</w:t>
      </w:r>
      <w:r>
        <w:rPr/>
        <w:t>（绝对额增加</w:t>
      </w:r>
      <w:r>
        <w:rPr>
          <w:rFonts w:ascii="Times New Roman" w:hAnsi="Times New Roman" w:cs="Times New Roman" w:eastAsia="Times New Roman" w:hint="default"/>
        </w:rPr>
        <w:t>282.30</w:t>
      </w:r>
      <w:r>
        <w:rPr/>
        <w:t>万元），主要原因是借款增加导致的利息支出同 比增加所致。</w:t>
      </w:r>
    </w:p>
    <w:p>
      <w:pPr>
        <w:pStyle w:val="BodyText"/>
        <w:spacing w:line="240" w:lineRule="auto" w:before="72"/>
        <w:ind w:left="513" w:right="0"/>
        <w:jc w:val="left"/>
      </w:pPr>
      <w:r>
        <w:rPr/>
        <w:t>（</w:t>
      </w:r>
      <w:r>
        <w:rPr>
          <w:rFonts w:ascii="Times New Roman" w:hAnsi="Times New Roman" w:cs="Times New Roman" w:eastAsia="Times New Roman" w:hint="default"/>
        </w:rPr>
        <w:t>20</w:t>
      </w:r>
      <w:r>
        <w:rPr/>
        <w:t>）资产减值损失</w:t>
      </w:r>
    </w:p>
    <w:p>
      <w:pPr>
        <w:pStyle w:val="BodyText"/>
        <w:spacing w:line="300" w:lineRule="auto" w:before="101"/>
        <w:ind w:right="0" w:firstLine="406"/>
        <w:jc w:val="left"/>
      </w:pPr>
      <w:r>
        <w:rPr>
          <w:rFonts w:ascii="Times New Roman" w:hAnsi="Times New Roman" w:cs="Times New Roman" w:eastAsia="Times New Roman" w:hint="default"/>
        </w:rPr>
        <w:t>2012</w:t>
      </w:r>
      <w:r>
        <w:rPr/>
        <w:t>年度资产减值损失发生额比</w:t>
      </w:r>
      <w:r>
        <w:rPr>
          <w:rFonts w:ascii="Times New Roman" w:hAnsi="Times New Roman" w:cs="Times New Roman" w:eastAsia="Times New Roman" w:hint="default"/>
        </w:rPr>
        <w:t>2011</w:t>
      </w:r>
      <w:r>
        <w:rPr/>
        <w:t>年度减少</w:t>
      </w:r>
      <w:r>
        <w:rPr>
          <w:rFonts w:ascii="Times New Roman" w:hAnsi="Times New Roman" w:cs="Times New Roman" w:eastAsia="Times New Roman" w:hint="default"/>
        </w:rPr>
        <w:t>78.84%</w:t>
      </w:r>
      <w:r>
        <w:rPr/>
        <w:t>（绝对额减少</w:t>
      </w:r>
      <w:r>
        <w:rPr>
          <w:rFonts w:ascii="Times New Roman" w:hAnsi="Times New Roman" w:cs="Times New Roman" w:eastAsia="Times New Roman" w:hint="default"/>
        </w:rPr>
        <w:t>236.32</w:t>
      </w:r>
      <w:r>
        <w:rPr/>
        <w:t>万元），主要是</w:t>
      </w:r>
      <w:r>
        <w:rPr>
          <w:rFonts w:ascii="Times New Roman" w:hAnsi="Times New Roman" w:cs="Times New Roman" w:eastAsia="Times New Roman" w:hint="default"/>
        </w:rPr>
        <w:t>2012</w:t>
      </w:r>
      <w:r>
        <w:rPr/>
        <w:t>年度应收账款坏账准备 减少所致。</w:t>
      </w:r>
    </w:p>
    <w:p>
      <w:pPr>
        <w:pStyle w:val="BodyText"/>
        <w:spacing w:line="240" w:lineRule="auto" w:before="72"/>
        <w:ind w:left="513" w:right="0"/>
        <w:jc w:val="left"/>
      </w:pPr>
      <w:r>
        <w:rPr/>
        <w:t>（</w:t>
      </w:r>
      <w:r>
        <w:rPr>
          <w:rFonts w:ascii="Times New Roman" w:hAnsi="Times New Roman" w:cs="Times New Roman" w:eastAsia="Times New Roman" w:hint="default"/>
        </w:rPr>
        <w:t>21</w:t>
      </w:r>
      <w:r>
        <w:rPr/>
        <w:t>）营业外收入</w:t>
      </w:r>
    </w:p>
    <w:p>
      <w:pPr>
        <w:pStyle w:val="BodyText"/>
        <w:spacing w:line="300" w:lineRule="auto" w:before="104"/>
        <w:ind w:right="0" w:firstLine="413"/>
        <w:jc w:val="left"/>
      </w:pPr>
      <w:r>
        <w:rPr>
          <w:rFonts w:ascii="Times New Roman" w:hAnsi="Times New Roman" w:cs="Times New Roman" w:eastAsia="Times New Roman" w:hint="default"/>
        </w:rPr>
        <w:t>2012</w:t>
      </w:r>
      <w:r>
        <w:rPr/>
        <w:t>年度营业外收入发生额比</w:t>
      </w:r>
      <w:r>
        <w:rPr>
          <w:rFonts w:ascii="Times New Roman" w:hAnsi="Times New Roman" w:cs="Times New Roman" w:eastAsia="Times New Roman" w:hint="default"/>
        </w:rPr>
        <w:t>2011</w:t>
      </w:r>
      <w:r>
        <w:rPr/>
        <w:t>年度减少</w:t>
      </w:r>
      <w:r>
        <w:rPr>
          <w:rFonts w:ascii="Times New Roman" w:hAnsi="Times New Roman" w:cs="Times New Roman" w:eastAsia="Times New Roman" w:hint="default"/>
        </w:rPr>
        <w:t>75.80%</w:t>
      </w:r>
      <w:r>
        <w:rPr/>
        <w:t>（绝对额减少</w:t>
      </w:r>
      <w:r>
        <w:rPr>
          <w:rFonts w:ascii="Times New Roman" w:hAnsi="Times New Roman" w:cs="Times New Roman" w:eastAsia="Times New Roman" w:hint="default"/>
        </w:rPr>
        <w:t>435.76</w:t>
      </w:r>
      <w:r>
        <w:rPr/>
        <w:t>万元）</w:t>
      </w:r>
      <w:r>
        <w:rPr>
          <w:rFonts w:ascii="Times New Roman" w:hAnsi="Times New Roman" w:cs="Times New Roman" w:eastAsia="Times New Roman" w:hint="default"/>
        </w:rPr>
        <w:t>,</w:t>
      </w:r>
      <w:r>
        <w:rPr/>
        <w:t>主要原因是政府补助减少所致（</w:t>
      </w:r>
      <w:r>
        <w:rPr>
          <w:rFonts w:ascii="Times New Roman" w:hAnsi="Times New Roman" w:cs="Times New Roman" w:eastAsia="Times New Roman" w:hint="default"/>
        </w:rPr>
        <w:t>2011</w:t>
      </w:r>
      <w:r>
        <w:rPr/>
        <w:t>年 上市奖励资金</w:t>
      </w:r>
      <w:r>
        <w:rPr>
          <w:rFonts w:ascii="Times New Roman" w:hAnsi="Times New Roman" w:cs="Times New Roman" w:eastAsia="Times New Roman" w:hint="default"/>
        </w:rPr>
        <w:t>300</w:t>
      </w:r>
      <w:r>
        <w:rPr/>
        <w:t>万元）。</w:t>
      </w:r>
    </w:p>
    <w:p>
      <w:pPr>
        <w:pStyle w:val="BodyText"/>
        <w:spacing w:line="240" w:lineRule="auto" w:before="51"/>
        <w:ind w:left="513" w:right="0"/>
        <w:jc w:val="left"/>
      </w:pPr>
      <w:r>
        <w:rPr/>
        <w:t>（</w:t>
      </w:r>
      <w:r>
        <w:rPr>
          <w:rFonts w:ascii="Times New Roman" w:hAnsi="Times New Roman" w:cs="Times New Roman" w:eastAsia="Times New Roman" w:hint="default"/>
        </w:rPr>
        <w:t>22</w:t>
      </w:r>
      <w:r>
        <w:rPr/>
        <w:t>）营业外支出</w:t>
      </w:r>
    </w:p>
    <w:p>
      <w:pPr>
        <w:pStyle w:val="BodyText"/>
        <w:spacing w:line="240" w:lineRule="auto" w:before="103"/>
        <w:ind w:left="558" w:right="0"/>
        <w:jc w:val="left"/>
      </w:pPr>
      <w:r>
        <w:rPr>
          <w:rFonts w:ascii="Times New Roman" w:hAnsi="Times New Roman" w:cs="Times New Roman" w:eastAsia="Times New Roman" w:hint="default"/>
        </w:rPr>
        <w:t>2012</w:t>
      </w:r>
      <w:r>
        <w:rPr/>
        <w:t>年度营业外支出发生额比</w:t>
      </w:r>
      <w:r>
        <w:rPr>
          <w:rFonts w:ascii="Times New Roman" w:hAnsi="Times New Roman" w:cs="Times New Roman" w:eastAsia="Times New Roman" w:hint="default"/>
        </w:rPr>
        <w:t>2011</w:t>
      </w:r>
      <w:r>
        <w:rPr/>
        <w:t>年度减少</w:t>
      </w:r>
      <w:r>
        <w:rPr>
          <w:rFonts w:ascii="Times New Roman" w:hAnsi="Times New Roman" w:cs="Times New Roman" w:eastAsia="Times New Roman" w:hint="default"/>
        </w:rPr>
        <w:t>92.54%</w:t>
      </w:r>
      <w:r>
        <w:rPr/>
        <w:t>（绝对额减少</w:t>
      </w:r>
      <w:r>
        <w:rPr>
          <w:rFonts w:ascii="Times New Roman" w:hAnsi="Times New Roman" w:cs="Times New Roman" w:eastAsia="Times New Roman" w:hint="default"/>
        </w:rPr>
        <w:t>3.36</w:t>
      </w:r>
      <w:r>
        <w:rPr/>
        <w:t>万元），主要是固定资产报废损失减少所致。</w:t>
      </w:r>
    </w:p>
    <w:p>
      <w:pPr>
        <w:pStyle w:val="BodyText"/>
        <w:spacing w:line="240" w:lineRule="auto" w:before="103"/>
        <w:ind w:left="513" w:right="0"/>
        <w:jc w:val="left"/>
      </w:pPr>
      <w:r>
        <w:rPr/>
        <w:t>（</w:t>
      </w:r>
      <w:r>
        <w:rPr>
          <w:rFonts w:ascii="Times New Roman" w:hAnsi="Times New Roman" w:cs="Times New Roman" w:eastAsia="Times New Roman" w:hint="default"/>
        </w:rPr>
        <w:t>23</w:t>
      </w:r>
      <w:r>
        <w:rPr/>
        <w:t>）经营活动产生的现金流量净额</w:t>
      </w:r>
    </w:p>
    <w:p>
      <w:pPr>
        <w:pStyle w:val="BodyText"/>
        <w:spacing w:line="300" w:lineRule="auto" w:before="101"/>
        <w:ind w:left="357" w:right="113" w:firstLine="271"/>
        <w:jc w:val="left"/>
      </w:pPr>
      <w:r>
        <w:rPr>
          <w:rFonts w:ascii="Times New Roman" w:hAnsi="Times New Roman" w:cs="Times New Roman" w:eastAsia="Times New Roman" w:hint="default"/>
        </w:rPr>
        <w:t>2012</w:t>
      </w:r>
      <w:r>
        <w:rPr/>
        <w:t>年度经营活动产生的现金流量净额比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114.37</w:t>
      </w:r>
      <w:r>
        <w:rPr/>
        <w:t>％（绝对额增加</w:t>
      </w:r>
      <w:r>
        <w:rPr>
          <w:rFonts w:ascii="Times New Roman" w:hAnsi="Times New Roman" w:cs="Times New Roman" w:eastAsia="Times New Roman" w:hint="default"/>
        </w:rPr>
        <w:t>2,379.56</w:t>
      </w:r>
      <w:r>
        <w:rPr/>
        <w:t>万元），主要原因是购买商品、 接受劳务支付的现金同比减少，由于公司本年采购原材料总额减少和应付票据增加所致。</w:t>
      </w:r>
    </w:p>
    <w:p>
      <w:pPr>
        <w:spacing w:after="0" w:line="30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59"/>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2"/>
        <w:rPr>
          <w:rFonts w:ascii="宋体" w:hAnsi="宋体" w:cs="宋体" w:eastAsia="宋体" w:hint="default"/>
          <w:b/>
          <w:bCs/>
          <w:sz w:val="40"/>
          <w:szCs w:val="40"/>
        </w:rPr>
      </w:pPr>
    </w:p>
    <w:p>
      <w:pPr>
        <w:pStyle w:val="Heading5"/>
        <w:spacing w:line="273" w:lineRule="auto" w:before="0"/>
        <w:ind w:left="489" w:right="0" w:hanging="36"/>
        <w:jc w:val="left"/>
      </w:pPr>
      <w:r>
        <w:rPr/>
        <w:t>一、载有法定代表人、主管会计工作负责人、会计机构负责人签名并盖章的会计报表。</w:t>
      </w:r>
      <w:r>
        <w:rPr>
          <w:w w:val="100"/>
        </w:rPr>
        <w:t> </w:t>
      </w:r>
      <w:r>
        <w:rPr/>
        <w:t>二、载有会计师事务所盖章、注册会计师签名并盖章的审计报告原件。</w:t>
      </w:r>
      <w:r>
        <w:rPr>
          <w:w w:val="100"/>
        </w:rPr>
        <w:t> </w:t>
      </w:r>
      <w:r>
        <w:rPr>
          <w:spacing w:val="-2"/>
        </w:rPr>
        <w:t>三、报告期内在中国证监会指定报纸上公开披露过的所有公司文件的正本及公告的原稿。</w:t>
      </w:r>
      <w:r>
        <w:rPr>
          <w:spacing w:val="-67"/>
        </w:rPr>
        <w:t> </w:t>
      </w:r>
      <w:r>
        <w:rPr>
          <w:spacing w:val="-67"/>
        </w:rPr>
      </w:r>
      <w:r>
        <w:rPr/>
        <w:t>四、其他相关资料。</w:t>
      </w:r>
    </w:p>
    <w:p>
      <w:pPr>
        <w:pStyle w:val="Heading5"/>
        <w:spacing w:line="240" w:lineRule="auto" w:before="7"/>
        <w:ind w:left="489" w:right="0"/>
        <w:jc w:val="left"/>
      </w:pPr>
      <w:r>
        <w:rPr/>
        <w:t>以上备查文件的备置地点：公司董事会办公室。</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404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40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40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40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40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40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104</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40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40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40520" type="#_x0000_t202" filled="false" stroked="false">
          <v:textbox inset="0,0,0,0">
            <w:txbxContent>
              <w:p>
                <w:pPr>
                  <w:pStyle w:val="BodyText"/>
                  <w:spacing w:line="214" w:lineRule="exact"/>
                  <w:ind w:left="20" w:right="0"/>
                  <w:jc w:val="left"/>
                </w:pPr>
                <w:r>
                  <w:rPr/>
                  <w:t>青岛市恒顺电气股份有限公司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5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2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21"/>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qdhengshun.com/" TargetMode="External"/><Relationship Id="rId10" Type="http://schemas.openxmlformats.org/officeDocument/2006/relationships/hyperlink" Target="mailto:hengshun@188.com" TargetMode="External"/><Relationship Id="rId11" Type="http://schemas.openxmlformats.org/officeDocument/2006/relationships/hyperlink" Target="mailto:hengshunzqb@188.com"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oter" Target="footer8.xml"/><Relationship Id="rId23" Type="http://schemas.openxmlformats.org/officeDocument/2006/relationships/image" Target="media/image7.png"/><Relationship Id="rId2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2020-05-04T02:01:52Z</dcterms:created>
  <dcterms:modified xsi:type="dcterms:W3CDTF">2020-05-04T02:01:52Z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Microsoft® Office Word 2007</vt:lpwstr>
  </property>
  <property fmtid="{D5CDD505-2E9C-101B-9397-08002B2CF9AE}" pid="4" name="LastSaved">
    <vt:filetime>2020-05-03T00:00:00Z</vt:filetime>
  </property>
</Properties>
</file>